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15E1" w14:textId="77777777" w:rsidR="00EA1518" w:rsidRDefault="00EA1518">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noProof/>
          <w:color w:val="0000FF"/>
          <w:sz w:val="52"/>
          <w:szCs w:val="52"/>
        </w:rPr>
        <w:drawing>
          <wp:anchor distT="0" distB="0" distL="114300" distR="114300" simplePos="0" relativeHeight="251658240" behindDoc="0" locked="0" layoutInCell="1" allowOverlap="1" wp14:anchorId="4B814904" wp14:editId="19F7D4DE">
            <wp:simplePos x="0" y="0"/>
            <wp:positionH relativeFrom="margin">
              <wp:posOffset>-723900</wp:posOffset>
            </wp:positionH>
            <wp:positionV relativeFrom="page">
              <wp:posOffset>-133350</wp:posOffset>
            </wp:positionV>
            <wp:extent cx="5583555" cy="8382000"/>
            <wp:effectExtent l="0" t="0" r="0" b="0"/>
            <wp:wrapTopAndBottom/>
            <wp:docPr id="151866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4707"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583555" cy="838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936090" w14:textId="77777777" w:rsidR="007F0218" w:rsidRDefault="00000000">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color w:val="0000FF"/>
          <w:sz w:val="52"/>
          <w:szCs w:val="52"/>
        </w:rPr>
        <w:lastRenderedPageBreak/>
        <w:t>Auswandern</w:t>
      </w:r>
      <w:r w:rsidR="007F0218">
        <w:rPr>
          <w:rFonts w:ascii="Amazon Ember" w:eastAsia="Amazon Ember" w:hAnsi="Amazon Ember" w:cs="Amazon Ember"/>
          <w:b/>
          <w:bCs/>
          <w:color w:val="0000FF"/>
          <w:sz w:val="52"/>
          <w:szCs w:val="52"/>
        </w:rPr>
        <w:t>.</w:t>
      </w:r>
    </w:p>
    <w:p w14:paraId="71466D77" w14:textId="472E0D4F" w:rsidR="001F7233" w:rsidRDefault="007F0218">
      <w:pPr>
        <w:spacing w:after="240"/>
        <w:jc w:val="center"/>
      </w:pPr>
      <w:r>
        <w:rPr>
          <w:rFonts w:ascii="Amazon Ember" w:eastAsia="Amazon Ember" w:hAnsi="Amazon Ember" w:cs="Amazon Ember"/>
          <w:b/>
          <w:bCs/>
          <w:color w:val="0000FF"/>
          <w:sz w:val="52"/>
          <w:szCs w:val="52"/>
        </w:rPr>
        <w:t>Ab in die USA, Kanada, Australien oder Neuseeland?</w:t>
      </w:r>
    </w:p>
    <w:p w14:paraId="35E2697D" w14:textId="77777777" w:rsidR="001F7233" w:rsidRDefault="00000000" w:rsidP="007F0218">
      <w:pPr>
        <w:jc w:val="center"/>
        <w:rPr>
          <w:rFonts w:ascii="Amazon Ember" w:eastAsia="Amazon Ember" w:hAnsi="Amazon Ember" w:cs="Amazon Ember"/>
          <w:b/>
          <w:bCs/>
          <w:color w:val="0000FF"/>
          <w:sz w:val="32"/>
          <w:szCs w:val="32"/>
        </w:rPr>
      </w:pPr>
      <w:r>
        <w:rPr>
          <w:rFonts w:ascii="Amazon Ember" w:eastAsia="Amazon Ember" w:hAnsi="Amazon Ember" w:cs="Amazon Ember"/>
          <w:b/>
          <w:bCs/>
          <w:color w:val="0000FF"/>
          <w:sz w:val="32"/>
          <w:szCs w:val="32"/>
        </w:rPr>
        <w:t>Vier Wege, ein gemeinsamer Abflug aus Deutschland</w:t>
      </w:r>
    </w:p>
    <w:p w14:paraId="7B025D48" w14:textId="77777777" w:rsidR="007F0218" w:rsidRPr="007F0218" w:rsidRDefault="007F0218" w:rsidP="007F0218">
      <w:pPr>
        <w:spacing w:line="480" w:lineRule="auto"/>
        <w:jc w:val="center"/>
      </w:pPr>
      <w:r w:rsidRPr="007F0218">
        <w:rPr>
          <w:color w:val="215E99" w:themeColor="text2" w:themeTint="BF"/>
          <w:sz w:val="32"/>
          <w:szCs w:val="32"/>
        </w:rPr>
        <w:t>Kevin Drew Peters</w:t>
      </w:r>
    </w:p>
    <w:p w14:paraId="4496F0A5" w14:textId="6D9AC234" w:rsidR="007F0218" w:rsidRDefault="00000000" w:rsidP="00EA1518">
      <w:pPr>
        <w:spacing w:line="360" w:lineRule="auto"/>
        <w:jc w:val="center"/>
        <w:rPr>
          <w:color w:val="215E99" w:themeColor="text2" w:themeTint="BF"/>
          <w:sz w:val="20"/>
          <w:szCs w:val="20"/>
        </w:rPr>
      </w:pPr>
      <w:r w:rsidRPr="00EA1518">
        <w:rPr>
          <w:color w:val="215E99" w:themeColor="text2" w:themeTint="BF"/>
          <w:sz w:val="20"/>
          <w:szCs w:val="20"/>
        </w:rPr>
        <w:t xml:space="preserve">USA im Detail. Kanada, Australien und Neuseeland im Vergleich. </w:t>
      </w:r>
    </w:p>
    <w:p w14:paraId="272D53CA" w14:textId="62507B4C" w:rsidR="00EA1518" w:rsidRDefault="00000000" w:rsidP="007F0218">
      <w:pPr>
        <w:spacing w:after="240" w:line="360" w:lineRule="auto"/>
        <w:jc w:val="center"/>
        <w:rPr>
          <w:color w:val="215E99" w:themeColor="text2" w:themeTint="BF"/>
          <w:sz w:val="20"/>
          <w:szCs w:val="20"/>
        </w:rPr>
      </w:pPr>
      <w:r w:rsidRPr="00EA1518">
        <w:rPr>
          <w:color w:val="215E99" w:themeColor="text2" w:themeTint="BF"/>
          <w:sz w:val="20"/>
          <w:szCs w:val="20"/>
        </w:rPr>
        <w:t>Ein praxisnahes Handbuch für Entscheidung, Vorbereitung, Ausreise und Ankommen.</w:t>
      </w:r>
    </w:p>
    <w:p w14:paraId="70C8770E" w14:textId="0DBE6F27" w:rsidR="007F0218" w:rsidRPr="007F0218" w:rsidRDefault="00000000" w:rsidP="007F0218">
      <w:pPr>
        <w:spacing w:after="90" w:line="240" w:lineRule="auto"/>
        <w:jc w:val="center"/>
        <w:rPr>
          <w:sz w:val="16"/>
          <w:szCs w:val="16"/>
        </w:rPr>
      </w:pPr>
      <w:r w:rsidRPr="007F0218">
        <w:rPr>
          <w:sz w:val="16"/>
          <w:szCs w:val="16"/>
        </w:rPr>
        <w:t>Copyright © 2026 Kevin Drew Peters.</w:t>
      </w:r>
    </w:p>
    <w:p w14:paraId="634105B1" w14:textId="7C5EBE6A" w:rsidR="007F0218" w:rsidRDefault="007F0218" w:rsidP="007F0218">
      <w:pPr>
        <w:spacing w:after="240" w:line="262" w:lineRule="auto"/>
        <w:jc w:val="center"/>
        <w:rPr>
          <w:sz w:val="16"/>
          <w:szCs w:val="16"/>
        </w:rPr>
      </w:pPr>
      <w:r w:rsidRPr="007F0218">
        <w:rPr>
          <w:sz w:val="16"/>
          <w:szCs w:val="16"/>
        </w:rPr>
        <w:t>Stand der Angaben: Oktober 2026.</w:t>
      </w:r>
    </w:p>
    <w:p w14:paraId="23CE2D2F" w14:textId="28236438" w:rsidR="001F7233" w:rsidRPr="007F0218" w:rsidRDefault="00000000">
      <w:pPr>
        <w:spacing w:after="90" w:line="262" w:lineRule="auto"/>
        <w:rPr>
          <w:sz w:val="16"/>
          <w:szCs w:val="16"/>
        </w:rPr>
      </w:pPr>
      <w:r w:rsidRPr="007F0218">
        <w:rPr>
          <w:sz w:val="16"/>
          <w:szCs w:val="16"/>
        </w:rPr>
        <w:t>Alle Rechte vorbehalten. Kein Teil dieses Buches darf ohne schriftliche Genehmigung des Autors vervielfältigt, gespeichert oder übertragen werden, auch nicht auszugsweise.</w:t>
      </w:r>
    </w:p>
    <w:p w14:paraId="37A823D7" w14:textId="4240FAB0" w:rsidR="001F7233" w:rsidRPr="007F0218" w:rsidRDefault="00000000">
      <w:pPr>
        <w:spacing w:after="90" w:line="262" w:lineRule="auto"/>
        <w:rPr>
          <w:sz w:val="16"/>
          <w:szCs w:val="16"/>
        </w:rPr>
      </w:pPr>
      <w:r w:rsidRPr="007F0218">
        <w:rPr>
          <w:sz w:val="16"/>
          <w:szCs w:val="16"/>
        </w:rPr>
        <w:t>Ein ausdrücklich genannter Quellen- oder Datenstand bezeichnet den Abruf- beziehungsweise Veröffentlichungsmonat der betreffenden Zahl. Einwanderungs-, Steuer-, Sozialversicherungs- und Gesundheitsrecht der USA, Kanadas, Australiens, Neuseelands und Deutschlands ändern sich häufig. Das gilt auch für Gebühren, Fristen und Behördenpraxis. Prüfe vor einer Entscheidung die in den Kapiteln genannten offiziellen Quellen und das jeweilige Gültigkeitsdatum.</w:t>
      </w:r>
    </w:p>
    <w:p w14:paraId="7C0F503C" w14:textId="527845E1" w:rsidR="007F0218" w:rsidRDefault="00000000" w:rsidP="007F0218">
      <w:pPr>
        <w:spacing w:line="262" w:lineRule="auto"/>
        <w:jc w:val="center"/>
        <w:rPr>
          <w:color w:val="444444"/>
          <w:sz w:val="16"/>
          <w:szCs w:val="16"/>
        </w:rPr>
      </w:pPr>
      <w:r w:rsidRPr="007F0218">
        <w:rPr>
          <w:color w:val="444444"/>
          <w:sz w:val="16"/>
          <w:szCs w:val="16"/>
        </w:rPr>
        <w:t>Haftungsausschluss</w:t>
      </w:r>
    </w:p>
    <w:p w14:paraId="4873B8AF" w14:textId="29F0202E" w:rsidR="001F7233" w:rsidRPr="007F0218" w:rsidRDefault="00000000" w:rsidP="007F0218">
      <w:pPr>
        <w:spacing w:line="262" w:lineRule="auto"/>
        <w:rPr>
          <w:sz w:val="16"/>
          <w:szCs w:val="16"/>
        </w:rPr>
      </w:pPr>
      <w:r w:rsidRPr="007F0218">
        <w:rPr>
          <w:color w:val="444444"/>
          <w:sz w:val="16"/>
          <w:szCs w:val="16"/>
        </w:rPr>
        <w:t>Dieses Buch ist ein Ratgeber. Es ersetzt keine individuelle Rechts-, Steuer-, Finanz- oder Einwanderungsberatung. Der Autor hat mit großer Sorgfalt recherchiert. Er übernimmt aber keine Gewähr für Richtigkeit, Vollständigkeit und Aktualität und keine Haftung für Entscheidungen auf Grundlage dieses Buches. Bei Visum, Steuern, Immobilien und Vorsorge solltest du zugelassene Fachleute hinzuziehen.</w:t>
      </w:r>
    </w:p>
    <w:p w14:paraId="61333C53" w14:textId="73CEDF11" w:rsidR="001F7233" w:rsidRDefault="00000000" w:rsidP="007F0218">
      <w:pPr>
        <w:spacing w:after="90" w:line="262" w:lineRule="auto"/>
      </w:pPr>
      <w:r w:rsidRPr="007F0218">
        <w:rPr>
          <w:color w:val="444444"/>
          <w:sz w:val="16"/>
          <w:szCs w:val="16"/>
        </w:rPr>
        <w:t>Regeln, Gebühren und Fristen beruhen auf genannten Quellen und dem angegebenen Stand. Rechenbeispiele nennen ihre Annahmen. Die Praxisbeispiele sind typische Planungsverläufe, keine dokumentierten Einzelfälle und keine Personenprofile.</w:t>
      </w:r>
      <w:r>
        <w:br w:type="page"/>
      </w:r>
    </w:p>
    <w:p w14:paraId="059E2B33" w14:textId="77777777" w:rsidR="001F7233" w:rsidRDefault="00000000">
      <w:pPr>
        <w:spacing w:after="360"/>
        <w:jc w:val="center"/>
      </w:pPr>
      <w:bookmarkStart w:id="0" w:name="Inhaltsverzeichnis"/>
      <w:r>
        <w:rPr>
          <w:rFonts w:ascii="Amazon Ember" w:eastAsia="Amazon Ember" w:hAnsi="Amazon Ember" w:cs="Amazon Ember"/>
          <w:b/>
          <w:bCs/>
          <w:color w:val="0000FF"/>
          <w:sz w:val="32"/>
          <w:szCs w:val="34"/>
        </w:rPr>
        <w:lastRenderedPageBreak/>
        <w:t>Inhaltsverzeichnis</w:t>
      </w:r>
      <w:bookmarkEnd w:id="0"/>
    </w:p>
    <w:p w14:paraId="2128C2F2" w14:textId="77777777" w:rsidR="001F7233" w:rsidRDefault="001F7233">
      <w:pPr>
        <w:spacing w:after="45"/>
        <w:ind w:left="300"/>
      </w:pPr>
      <w:hyperlink w:anchor="quickstart_2026">
        <w:r>
          <w:rPr>
            <w:color w:val="0563C1"/>
            <w:u w:val="single"/>
          </w:rPr>
          <w:t>Schnellstart: 30-Minuten-Einstieg</w:t>
        </w:r>
      </w:hyperlink>
    </w:p>
    <w:p w14:paraId="33CB8A7E" w14:textId="77777777" w:rsidR="001F7233" w:rsidRDefault="001F7233">
      <w:pPr>
        <w:spacing w:after="45"/>
        <w:ind w:left="300"/>
      </w:pPr>
      <w:hyperlink w:anchor="s1">
        <w:r>
          <w:rPr>
            <w:color w:val="0563C1"/>
            <w:u w:val="single"/>
          </w:rPr>
          <w:t>Vorwort</w:t>
        </w:r>
      </w:hyperlink>
    </w:p>
    <w:p w14:paraId="228CCFAE" w14:textId="77777777" w:rsidR="001F7233" w:rsidRDefault="001F7233">
      <w:pPr>
        <w:spacing w:after="45"/>
        <w:ind w:left="300"/>
      </w:pPr>
      <w:hyperlink w:anchor="s2">
        <w:r>
          <w:rPr>
            <w:color w:val="0563C1"/>
            <w:u w:val="single"/>
          </w:rPr>
          <w:t>So nutzt du dieses Buch</w:t>
        </w:r>
      </w:hyperlink>
    </w:p>
    <w:p w14:paraId="0F07F9C4" w14:textId="77777777" w:rsidR="001F7233" w:rsidRDefault="001F7233">
      <w:pPr>
        <w:spacing w:after="45"/>
      </w:pPr>
      <w:hyperlink w:anchor="rev73h2006">
        <w:r>
          <w:rPr>
            <w:b/>
            <w:color w:val="0563C1"/>
            <w:u w:val="single"/>
          </w:rPr>
          <w:t>TEIL UNIVERSAL — Bevor du dich entscheidest</w:t>
        </w:r>
      </w:hyperlink>
    </w:p>
    <w:p w14:paraId="6D728E98" w14:textId="7311B514" w:rsidR="00EA1518" w:rsidRDefault="00EA1518">
      <w:pPr>
        <w:spacing w:after="45"/>
        <w:ind w:left="300"/>
      </w:pPr>
      <w:hyperlink w:anchor="praxisbeispiele_REV112" w:history="1">
        <w:r w:rsidRPr="00EA1518">
          <w:rPr>
            <w:rStyle w:val="Hyperlink"/>
          </w:rPr>
          <w:t>Praxisbeispiele aus der Auswanderungspraxis</w:t>
        </w:r>
      </w:hyperlink>
    </w:p>
    <w:p w14:paraId="2F04F1F4" w14:textId="49FF97E2" w:rsidR="001F7233" w:rsidRDefault="001F7233">
      <w:pPr>
        <w:spacing w:after="45"/>
        <w:ind w:left="300"/>
      </w:pPr>
      <w:hyperlink w:anchor="integration_REV112">
        <w:r>
          <w:rPr>
            <w:color w:val="0563C1"/>
            <w:u w:val="single"/>
          </w:rPr>
          <w:t>Integration und langfristige Lebensplanung</w:t>
        </w:r>
      </w:hyperlink>
    </w:p>
    <w:p w14:paraId="6BC2EC3D" w14:textId="77777777" w:rsidR="001F7233" w:rsidRDefault="001F7233">
      <w:pPr>
        <w:spacing w:after="45"/>
        <w:ind w:left="300"/>
      </w:pPr>
      <w:hyperlink w:anchor="fehler20_REV112">
        <w:r>
          <w:rPr>
            <w:color w:val="0563C1"/>
            <w:u w:val="single"/>
          </w:rPr>
          <w:t>Die 20 häufigsten Auswanderungsfehler</w:t>
        </w:r>
      </w:hyperlink>
    </w:p>
    <w:p w14:paraId="07465681" w14:textId="77777777" w:rsidR="001F7233" w:rsidRDefault="001F7233">
      <w:pPr>
        <w:spacing w:after="45"/>
        <w:ind w:left="300"/>
      </w:pPr>
      <w:hyperlink w:anchor="t0001">
        <w:r>
          <w:rPr>
            <w:color w:val="0563C1"/>
            <w:u w:val="single"/>
          </w:rPr>
          <w:t>Bist du überhaupt bereit dafür?</w:t>
        </w:r>
      </w:hyperlink>
    </w:p>
    <w:p w14:paraId="3071467D" w14:textId="77777777" w:rsidR="001F7233" w:rsidRDefault="001F7233">
      <w:pPr>
        <w:spacing w:after="45"/>
        <w:ind w:left="300"/>
      </w:pPr>
      <w:hyperlink w:anchor="t0002">
        <w:r>
          <w:rPr>
            <w:color w:val="0563C1"/>
            <w:u w:val="single"/>
          </w:rPr>
          <w:t>Welches Land passt zu dir?</w:t>
        </w:r>
      </w:hyperlink>
    </w:p>
    <w:p w14:paraId="04AA0906" w14:textId="77777777" w:rsidR="001F7233" w:rsidRDefault="001F7233">
      <w:pPr>
        <w:spacing w:after="45"/>
        <w:ind w:left="300"/>
      </w:pPr>
      <w:hyperlink w:anchor="t0003">
        <w:r>
          <w:rPr>
            <w:color w:val="0563C1"/>
            <w:u w:val="single"/>
          </w:rPr>
          <w:t>Deutschland vor dem Abflug</w:t>
        </w:r>
      </w:hyperlink>
    </w:p>
    <w:p w14:paraId="0A28D5F8" w14:textId="77777777" w:rsidR="001F7233" w:rsidRDefault="001F7233">
      <w:pPr>
        <w:spacing w:after="45"/>
        <w:ind w:left="300"/>
      </w:pPr>
      <w:hyperlink w:anchor="t0004">
        <w:r>
          <w:rPr>
            <w:color w:val="0563C1"/>
            <w:u w:val="single"/>
          </w:rPr>
          <w:t>Die Rückkehr nach Deutschland</w:t>
        </w:r>
      </w:hyperlink>
    </w:p>
    <w:p w14:paraId="5BA533B4" w14:textId="77777777" w:rsidR="001F7233" w:rsidRDefault="001F7233">
      <w:pPr>
        <w:spacing w:after="45"/>
      </w:pPr>
      <w:hyperlink w:anchor="PathUSA">
        <w:r>
          <w:rPr>
            <w:b/>
            <w:color w:val="0563C1"/>
            <w:u w:val="single"/>
          </w:rPr>
          <w:t>TEIL I — Die Entscheidung</w:t>
        </w:r>
      </w:hyperlink>
    </w:p>
    <w:p w14:paraId="6BBD6B76" w14:textId="77777777" w:rsidR="001F7233" w:rsidRDefault="001F7233">
      <w:pPr>
        <w:spacing w:after="45"/>
        <w:ind w:left="300"/>
      </w:pPr>
      <w:hyperlink w:anchor="k1">
        <w:r>
          <w:rPr>
            <w:color w:val="0563C1"/>
            <w:u w:val="single"/>
          </w:rPr>
          <w:t>Kapitel 1: Die ehrliche Bilanz: Was für die USA spricht und was dagegen</w:t>
        </w:r>
      </w:hyperlink>
    </w:p>
    <w:p w14:paraId="5CD07D5C" w14:textId="77777777" w:rsidR="001F7233" w:rsidRDefault="001F7233">
      <w:pPr>
        <w:spacing w:after="45"/>
        <w:ind w:left="300"/>
      </w:pPr>
      <w:hyperlink w:anchor="k2">
        <w:r>
          <w:rPr>
            <w:color w:val="0563C1"/>
            <w:u w:val="single"/>
          </w:rPr>
          <w:t>Kapitel 2: Die 25 größten Fallen</w:t>
        </w:r>
      </w:hyperlink>
    </w:p>
    <w:p w14:paraId="4566170D" w14:textId="77777777" w:rsidR="001F7233" w:rsidRDefault="001F7233">
      <w:pPr>
        <w:spacing w:after="45"/>
        <w:ind w:left="300"/>
      </w:pPr>
      <w:hyperlink w:anchor="k3">
        <w:r>
          <w:rPr>
            <w:color w:val="0563C1"/>
            <w:u w:val="single"/>
          </w:rPr>
          <w:t>Kapitel 3: Lohnt es sich für mich? Rechnen, prüfen, entscheiden</w:t>
        </w:r>
      </w:hyperlink>
    </w:p>
    <w:p w14:paraId="788F2563" w14:textId="77777777" w:rsidR="001F7233" w:rsidRDefault="001F7233">
      <w:pPr>
        <w:spacing w:after="45"/>
      </w:pPr>
      <w:hyperlink w:anchor="rev73h2007">
        <w:r>
          <w:rPr>
            <w:b/>
            <w:color w:val="0563C1"/>
            <w:u w:val="single"/>
          </w:rPr>
          <w:t>TEIL II — Visum und Green Card</w:t>
        </w:r>
      </w:hyperlink>
    </w:p>
    <w:p w14:paraId="269A34BD" w14:textId="77777777" w:rsidR="001F7233" w:rsidRDefault="001F7233">
      <w:pPr>
        <w:spacing w:after="45"/>
        <w:ind w:left="300"/>
      </w:pPr>
      <w:hyperlink w:anchor="k4">
        <w:r>
          <w:rPr>
            <w:color w:val="0563C1"/>
            <w:u w:val="single"/>
          </w:rPr>
          <w:t>Kapitel 4: Die Wege in die USA im Überblick</w:t>
        </w:r>
      </w:hyperlink>
    </w:p>
    <w:p w14:paraId="04E5EE30" w14:textId="77777777" w:rsidR="001F7233" w:rsidRDefault="001F7233">
      <w:pPr>
        <w:spacing w:after="45"/>
        <w:ind w:left="300"/>
      </w:pPr>
      <w:hyperlink w:anchor="k5">
        <w:r>
          <w:rPr>
            <w:color w:val="0563C1"/>
            <w:u w:val="single"/>
          </w:rPr>
          <w:t>Kapitel 5: Das H-1B-Visum</w:t>
        </w:r>
      </w:hyperlink>
    </w:p>
    <w:p w14:paraId="03EF4B68" w14:textId="77777777" w:rsidR="001F7233" w:rsidRDefault="001F7233">
      <w:pPr>
        <w:spacing w:after="45"/>
        <w:ind w:left="300"/>
      </w:pPr>
      <w:hyperlink w:anchor="k6">
        <w:r>
          <w:rPr>
            <w:color w:val="0563C1"/>
            <w:u w:val="single"/>
          </w:rPr>
          <w:t>Kapitel 6: Die Green Card</w:t>
        </w:r>
      </w:hyperlink>
    </w:p>
    <w:p w14:paraId="0E2C8F74" w14:textId="77777777" w:rsidR="001F7233" w:rsidRDefault="001F7233">
      <w:pPr>
        <w:spacing w:after="45"/>
        <w:ind w:left="300"/>
      </w:pPr>
      <w:hyperlink w:anchor="k7">
        <w:r>
          <w:rPr>
            <w:color w:val="0563C1"/>
            <w:u w:val="single"/>
          </w:rPr>
          <w:t>Kapitel 7: H-1B oder Green Card? Der direkte Vergleich</w:t>
        </w:r>
      </w:hyperlink>
    </w:p>
    <w:p w14:paraId="5E88113B" w14:textId="77777777" w:rsidR="001F7233" w:rsidRDefault="001F7233">
      <w:pPr>
        <w:spacing w:after="45"/>
        <w:ind w:left="300"/>
      </w:pPr>
      <w:hyperlink w:anchor="k8">
        <w:r>
          <w:rPr>
            <w:color w:val="0563C1"/>
            <w:u w:val="single"/>
          </w:rPr>
          <w:t>Kapitel 8: Der Studienweg: F-1, OPT und der spätere Statuswechsel</w:t>
        </w:r>
      </w:hyperlink>
    </w:p>
    <w:p w14:paraId="2509F833" w14:textId="77777777" w:rsidR="001F7233" w:rsidRDefault="001F7233">
      <w:pPr>
        <w:spacing w:after="45"/>
        <w:ind w:left="300"/>
      </w:pPr>
      <w:hyperlink w:anchor="k9">
        <w:r>
          <w:rPr>
            <w:color w:val="0563C1"/>
            <w:u w:val="single"/>
          </w:rPr>
          <w:t>Kapitel 9: Weitere Wege: L-1, O-1, E-2, J-1, Lotterie, Heirat, Selbständigkeit</w:t>
        </w:r>
      </w:hyperlink>
    </w:p>
    <w:p w14:paraId="0A83885C" w14:textId="77777777" w:rsidR="001F7233" w:rsidRDefault="001F7233">
      <w:pPr>
        <w:spacing w:after="45"/>
        <w:ind w:left="300"/>
      </w:pPr>
      <w:hyperlink w:anchor="k10">
        <w:r>
          <w:rPr>
            <w:color w:val="0563C1"/>
            <w:u w:val="single"/>
          </w:rPr>
          <w:t>Kapitel 10: Ehepartner und Kinder im Visumssystem</w:t>
        </w:r>
      </w:hyperlink>
    </w:p>
    <w:p w14:paraId="7312DE00" w14:textId="77777777" w:rsidR="001F7233" w:rsidRDefault="001F7233">
      <w:pPr>
        <w:spacing w:after="45"/>
        <w:ind w:left="300"/>
      </w:pPr>
      <w:hyperlink w:anchor="k11">
        <w:r>
          <w:rPr>
            <w:color w:val="0563C1"/>
            <w:u w:val="single"/>
          </w:rPr>
          <w:t>Kapitel 11: Antrag, Konsulat, Anwalt, Kosten</w:t>
        </w:r>
      </w:hyperlink>
    </w:p>
    <w:p w14:paraId="35DBA920" w14:textId="77777777" w:rsidR="001F7233" w:rsidRDefault="001F7233">
      <w:pPr>
        <w:spacing w:after="45"/>
      </w:pPr>
      <w:hyperlink w:anchor="rev73h2008">
        <w:r>
          <w:rPr>
            <w:b/>
            <w:color w:val="0563C1"/>
            <w:u w:val="single"/>
          </w:rPr>
          <w:t>TEIL III — Wohnort und Wohnen</w:t>
        </w:r>
      </w:hyperlink>
    </w:p>
    <w:p w14:paraId="46F405AB" w14:textId="77777777" w:rsidR="001F7233" w:rsidRDefault="001F7233">
      <w:pPr>
        <w:spacing w:after="45"/>
        <w:ind w:left="300"/>
      </w:pPr>
      <w:hyperlink w:anchor="k12">
        <w:r>
          <w:rPr>
            <w:color w:val="0563C1"/>
            <w:u w:val="single"/>
          </w:rPr>
          <w:t>Kapitel 12: Wo leben? Die besten Orte nach Berufsfeld</w:t>
        </w:r>
      </w:hyperlink>
    </w:p>
    <w:p w14:paraId="1A8A512F" w14:textId="77777777" w:rsidR="001F7233" w:rsidRDefault="001F7233">
      <w:pPr>
        <w:spacing w:after="45"/>
        <w:ind w:left="300"/>
      </w:pPr>
      <w:hyperlink w:anchor="k13">
        <w:r>
          <w:rPr>
            <w:color w:val="0563C1"/>
            <w:u w:val="single"/>
          </w:rPr>
          <w:t>Kapitel 13: Mieten in den USA</w:t>
        </w:r>
      </w:hyperlink>
    </w:p>
    <w:p w14:paraId="4759264E" w14:textId="77777777" w:rsidR="001F7233" w:rsidRDefault="001F7233">
      <w:pPr>
        <w:spacing w:after="45"/>
        <w:ind w:left="300"/>
      </w:pPr>
      <w:hyperlink w:anchor="k14">
        <w:r>
          <w:rPr>
            <w:color w:val="0563C1"/>
            <w:u w:val="single"/>
          </w:rPr>
          <w:t>Kapitel 14: Kaufen in den USA und Hypotheken-Know-how</w:t>
        </w:r>
      </w:hyperlink>
    </w:p>
    <w:p w14:paraId="421F5AF3" w14:textId="77777777" w:rsidR="001F7233" w:rsidRDefault="001F7233">
      <w:pPr>
        <w:spacing w:after="45"/>
      </w:pPr>
      <w:hyperlink w:anchor="rev73h2009">
        <w:r>
          <w:rPr>
            <w:b/>
            <w:color w:val="0563C1"/>
            <w:u w:val="single"/>
          </w:rPr>
          <w:t>TEIL IV — Vorbereitung in Deutschland</w:t>
        </w:r>
      </w:hyperlink>
    </w:p>
    <w:p w14:paraId="47F0E33C" w14:textId="77777777" w:rsidR="001F7233" w:rsidRDefault="001F7233">
      <w:pPr>
        <w:spacing w:after="45"/>
        <w:ind w:left="300"/>
      </w:pPr>
      <w:hyperlink w:anchor="k15">
        <w:r>
          <w:rPr>
            <w:color w:val="0563C1"/>
            <w:u w:val="single"/>
          </w:rPr>
          <w:t>Kapitel 15: Der Masterplan: Zeitleiste vom Entschluss bis zum Abflug</w:t>
        </w:r>
      </w:hyperlink>
    </w:p>
    <w:p w14:paraId="7F4A4F28" w14:textId="77777777" w:rsidR="001F7233" w:rsidRDefault="001F7233">
      <w:pPr>
        <w:spacing w:after="45"/>
        <w:ind w:left="300"/>
      </w:pPr>
      <w:hyperlink w:anchor="k16">
        <w:r>
          <w:rPr>
            <w:color w:val="0563C1"/>
            <w:u w:val="single"/>
          </w:rPr>
          <w:t>Kapitel 16: Behörden, Verträge, Versicherungen abwickeln</w:t>
        </w:r>
      </w:hyperlink>
    </w:p>
    <w:p w14:paraId="60CBB3FB" w14:textId="77777777" w:rsidR="001F7233" w:rsidRDefault="001F7233">
      <w:pPr>
        <w:spacing w:after="45"/>
        <w:ind w:left="300"/>
      </w:pPr>
      <w:hyperlink w:anchor="k17">
        <w:r>
          <w:rPr>
            <w:color w:val="0563C1"/>
            <w:u w:val="single"/>
          </w:rPr>
          <w:t>Kapitel 17: Steuern, Rente und Geld: die deutsche Seite</w:t>
        </w:r>
      </w:hyperlink>
    </w:p>
    <w:p w14:paraId="01C4872B" w14:textId="77777777" w:rsidR="001F7233" w:rsidRDefault="001F7233">
      <w:pPr>
        <w:spacing w:after="45"/>
        <w:ind w:left="300"/>
      </w:pPr>
      <w:hyperlink w:anchor="k18">
        <w:r>
          <w:rPr>
            <w:color w:val="0563C1"/>
            <w:u w:val="single"/>
          </w:rPr>
          <w:t>Kapitel 18: Krankenversicherung und Gesundheit vor dem Abflug</w:t>
        </w:r>
      </w:hyperlink>
    </w:p>
    <w:p w14:paraId="6B822E12" w14:textId="77777777" w:rsidR="001F7233" w:rsidRDefault="001F7233">
      <w:pPr>
        <w:spacing w:after="45"/>
        <w:ind w:left="300"/>
      </w:pPr>
      <w:hyperlink w:anchor="k19">
        <w:r>
          <w:rPr>
            <w:color w:val="0563C1"/>
            <w:u w:val="single"/>
          </w:rPr>
          <w:t>Kapitel 19: Dokumente, Übersetzungen, Apostillen</w:t>
        </w:r>
      </w:hyperlink>
    </w:p>
    <w:p w14:paraId="7C2E643F" w14:textId="77777777" w:rsidR="001F7233" w:rsidRDefault="001F7233">
      <w:pPr>
        <w:spacing w:after="45"/>
      </w:pPr>
      <w:hyperlink w:anchor="rev73h2010">
        <w:r>
          <w:rPr>
            <w:b/>
            <w:color w:val="0563C1"/>
            <w:u w:val="single"/>
          </w:rPr>
          <w:t>TEIL V — Der Umzug</w:t>
        </w:r>
      </w:hyperlink>
    </w:p>
    <w:p w14:paraId="1AC8B176" w14:textId="77777777" w:rsidR="001F7233" w:rsidRDefault="001F7233">
      <w:pPr>
        <w:spacing w:after="45"/>
        <w:ind w:left="300"/>
      </w:pPr>
      <w:hyperlink w:anchor="k20">
        <w:r>
          <w:rPr>
            <w:color w:val="0563C1"/>
            <w:u w:val="single"/>
          </w:rPr>
          <w:t>Kapitel 20: Container, Luftfracht oder Koffer: Umzug planen und Kosten sparen</w:t>
        </w:r>
      </w:hyperlink>
    </w:p>
    <w:p w14:paraId="204CB6FD" w14:textId="77777777" w:rsidR="001F7233" w:rsidRDefault="001F7233">
      <w:pPr>
        <w:spacing w:after="45"/>
        <w:ind w:left="300"/>
      </w:pPr>
      <w:hyperlink w:anchor="k21">
        <w:r>
          <w:rPr>
            <w:color w:val="0563C1"/>
            <w:u w:val="single"/>
          </w:rPr>
          <w:t>Kapitel 21: Mitnehmen oder neu kaufen? Die Raum-für-Raum-Liste</w:t>
        </w:r>
      </w:hyperlink>
    </w:p>
    <w:p w14:paraId="3A14C773" w14:textId="77777777" w:rsidR="001F7233" w:rsidRDefault="001F7233">
      <w:pPr>
        <w:spacing w:after="45"/>
        <w:ind w:left="300"/>
      </w:pPr>
      <w:hyperlink w:anchor="k22">
        <w:r>
          <w:rPr>
            <w:color w:val="0563C1"/>
            <w:u w:val="single"/>
          </w:rPr>
          <w:t>Kapitel 22: Haustiere: Einreise, Kosten, Alltag</w:t>
        </w:r>
      </w:hyperlink>
    </w:p>
    <w:p w14:paraId="4A3461D1" w14:textId="77777777" w:rsidR="001F7233" w:rsidRDefault="001F7233">
      <w:pPr>
        <w:spacing w:after="45"/>
      </w:pPr>
      <w:hyperlink w:anchor="rev73h2011">
        <w:r>
          <w:rPr>
            <w:b/>
            <w:color w:val="0563C1"/>
            <w:u w:val="single"/>
          </w:rPr>
          <w:t>TEIL VI — Ankommen</w:t>
        </w:r>
      </w:hyperlink>
    </w:p>
    <w:p w14:paraId="56995D00" w14:textId="77777777" w:rsidR="001F7233" w:rsidRDefault="001F7233">
      <w:pPr>
        <w:spacing w:after="45"/>
        <w:ind w:left="300"/>
      </w:pPr>
      <w:hyperlink w:anchor="k23">
        <w:r>
          <w:rPr>
            <w:color w:val="0563C1"/>
            <w:u w:val="single"/>
          </w:rPr>
          <w:t>Kapitel 23: Landung, Einreise und die ersten 72 Stunden</w:t>
        </w:r>
      </w:hyperlink>
    </w:p>
    <w:p w14:paraId="5491AD2E" w14:textId="77777777" w:rsidR="001F7233" w:rsidRDefault="001F7233">
      <w:pPr>
        <w:spacing w:after="45"/>
        <w:ind w:left="300"/>
      </w:pPr>
      <w:hyperlink w:anchor="k24">
        <w:r>
          <w:rPr>
            <w:color w:val="0563C1"/>
            <w:u w:val="single"/>
          </w:rPr>
          <w:t>Kapitel 24: Die Social Security Number (SSN) und die ITIN</w:t>
        </w:r>
      </w:hyperlink>
    </w:p>
    <w:p w14:paraId="73AD91ED" w14:textId="77777777" w:rsidR="001F7233" w:rsidRDefault="001F7233">
      <w:pPr>
        <w:spacing w:after="45"/>
        <w:ind w:left="300"/>
      </w:pPr>
      <w:hyperlink w:anchor="k25">
        <w:r>
          <w:rPr>
            <w:color w:val="0563C1"/>
            <w:u w:val="single"/>
          </w:rPr>
          <w:t>Kapitel 25: Bank, Kredit, Versicherungen: Geld im Alltag</w:t>
        </w:r>
      </w:hyperlink>
    </w:p>
    <w:p w14:paraId="64C43798" w14:textId="77777777" w:rsidR="001F7233" w:rsidRDefault="001F7233">
      <w:pPr>
        <w:spacing w:after="45"/>
        <w:ind w:left="300"/>
      </w:pPr>
      <w:hyperlink w:anchor="k26">
        <w:r>
          <w:rPr>
            <w:color w:val="0563C1"/>
            <w:u w:val="single"/>
          </w:rPr>
          <w:t>Kapitel 26: Das US-Gesundheitssystem für Neuankömmlinge</w:t>
        </w:r>
      </w:hyperlink>
    </w:p>
    <w:p w14:paraId="56959DDB" w14:textId="77777777" w:rsidR="001F7233" w:rsidRDefault="001F7233">
      <w:pPr>
        <w:spacing w:after="45"/>
        <w:ind w:left="300"/>
      </w:pPr>
      <w:hyperlink w:anchor="k27">
        <w:r>
          <w:rPr>
            <w:color w:val="0563C1"/>
            <w:u w:val="single"/>
          </w:rPr>
          <w:t>Kapitel 27: Führerschein, Auto und Mobilität</w:t>
        </w:r>
      </w:hyperlink>
    </w:p>
    <w:p w14:paraId="44D5BA04" w14:textId="77777777" w:rsidR="001F7233" w:rsidRDefault="001F7233">
      <w:pPr>
        <w:spacing w:after="45"/>
        <w:ind w:left="300"/>
      </w:pPr>
      <w:hyperlink w:anchor="k28">
        <w:r>
          <w:rPr>
            <w:color w:val="0563C1"/>
            <w:u w:val="single"/>
          </w:rPr>
          <w:t>Kapitel 28: Steuern in den USA verständlich erklärt</w:t>
        </w:r>
      </w:hyperlink>
    </w:p>
    <w:p w14:paraId="564E1507" w14:textId="77777777" w:rsidR="001F7233" w:rsidRDefault="001F7233">
      <w:pPr>
        <w:spacing w:after="45"/>
      </w:pPr>
      <w:hyperlink w:anchor="rev73h2012">
        <w:r>
          <w:rPr>
            <w:b/>
            <w:color w:val="0563C1"/>
            <w:u w:val="single"/>
          </w:rPr>
          <w:t>TEIL VII — Arbeiten in den USA</w:t>
        </w:r>
      </w:hyperlink>
    </w:p>
    <w:p w14:paraId="0C8984C3" w14:textId="77777777" w:rsidR="001F7233" w:rsidRDefault="001F7233">
      <w:pPr>
        <w:spacing w:after="45"/>
        <w:ind w:left="300"/>
      </w:pPr>
      <w:hyperlink w:anchor="k29">
        <w:r>
          <w:rPr>
            <w:color w:val="0563C1"/>
            <w:u w:val="single"/>
          </w:rPr>
          <w:t>Kapitel 29: Die Arbeitswelt in den USA: Recht, Kultur, Gehalt</w:t>
        </w:r>
      </w:hyperlink>
    </w:p>
    <w:p w14:paraId="12B6F0CE" w14:textId="77777777" w:rsidR="001F7233" w:rsidRDefault="001F7233">
      <w:pPr>
        <w:spacing w:after="45"/>
        <w:ind w:left="300"/>
      </w:pPr>
      <w:hyperlink w:anchor="k30">
        <w:r>
          <w:rPr>
            <w:color w:val="0563C1"/>
            <w:u w:val="single"/>
          </w:rPr>
          <w:t>Kapitel 30: Jobwechsel, Kündigung und Umzug im Land: Was dein Status erlaubt</w:t>
        </w:r>
      </w:hyperlink>
    </w:p>
    <w:p w14:paraId="0F40B8A6" w14:textId="77777777" w:rsidR="001F7233" w:rsidRDefault="001F7233">
      <w:pPr>
        <w:spacing w:after="45"/>
      </w:pPr>
      <w:hyperlink w:anchor="rev73h2013">
        <w:r>
          <w:rPr>
            <w:b/>
            <w:color w:val="0563C1"/>
            <w:u w:val="single"/>
          </w:rPr>
          <w:t>TEIL VIII — Leben und Menschen</w:t>
        </w:r>
      </w:hyperlink>
    </w:p>
    <w:p w14:paraId="40F8796B" w14:textId="77777777" w:rsidR="001F7233" w:rsidRDefault="001F7233">
      <w:pPr>
        <w:spacing w:after="45"/>
        <w:ind w:left="300"/>
      </w:pPr>
      <w:hyperlink w:anchor="k31">
        <w:r>
          <w:rPr>
            <w:color w:val="0563C1"/>
            <w:u w:val="single"/>
          </w:rPr>
          <w:t>Kapitel 31: Kulturunterschiede: Der große Deutsch-Amerikanisch-Vergleich</w:t>
        </w:r>
      </w:hyperlink>
    </w:p>
    <w:p w14:paraId="1756D1CB" w14:textId="77777777" w:rsidR="001F7233" w:rsidRDefault="001F7233">
      <w:pPr>
        <w:spacing w:after="45"/>
        <w:ind w:left="300"/>
      </w:pPr>
      <w:hyperlink w:anchor="k32">
        <w:r>
          <w:rPr>
            <w:color w:val="0563C1"/>
            <w:u w:val="single"/>
          </w:rPr>
          <w:t>Kapitel 32: Freunde finden in einem neuen Land</w:t>
        </w:r>
      </w:hyperlink>
    </w:p>
    <w:p w14:paraId="78BB1D01" w14:textId="77777777" w:rsidR="001F7233" w:rsidRDefault="001F7233">
      <w:pPr>
        <w:spacing w:after="45"/>
        <w:ind w:left="300"/>
      </w:pPr>
      <w:hyperlink w:anchor="k33">
        <w:r>
          <w:rPr>
            <w:color w:val="0563C1"/>
            <w:u w:val="single"/>
          </w:rPr>
          <w:t>Kapitel 33: Heimweh, Kulturschock und mentale Gesundheit</w:t>
        </w:r>
      </w:hyperlink>
    </w:p>
    <w:p w14:paraId="3D549B69" w14:textId="77777777" w:rsidR="001F7233" w:rsidRDefault="001F7233">
      <w:pPr>
        <w:spacing w:after="45"/>
        <w:ind w:left="300"/>
      </w:pPr>
      <w:hyperlink w:anchor="kapitel34_kleidung">
        <w:r>
          <w:rPr>
            <w:color w:val="0563C1"/>
            <w:u w:val="single"/>
          </w:rPr>
          <w:t>Kapitel 34: Kleidung im Vier-Länder-Vergleich</w:t>
        </w:r>
      </w:hyperlink>
    </w:p>
    <w:p w14:paraId="71DAE249" w14:textId="77777777" w:rsidR="001F7233" w:rsidRDefault="001F7233">
      <w:pPr>
        <w:spacing w:after="45"/>
        <w:ind w:left="300"/>
      </w:pPr>
      <w:hyperlink w:anchor="k35">
        <w:r>
          <w:rPr>
            <w:color w:val="0563C1"/>
            <w:u w:val="single"/>
          </w:rPr>
          <w:t>Kapitel 35: Essen, Trinken, Einkaufen</w:t>
        </w:r>
      </w:hyperlink>
    </w:p>
    <w:p w14:paraId="7527EDDF" w14:textId="77777777" w:rsidR="001F7233" w:rsidRDefault="001F7233">
      <w:pPr>
        <w:spacing w:after="45"/>
      </w:pPr>
      <w:hyperlink w:anchor="rev73h2014">
        <w:r>
          <w:rPr>
            <w:b/>
            <w:color w:val="0563C1"/>
            <w:u w:val="single"/>
          </w:rPr>
          <w:t>TEIL IX — Kinder und Schule</w:t>
        </w:r>
      </w:hyperlink>
    </w:p>
    <w:p w14:paraId="17DD7ED2" w14:textId="77777777" w:rsidR="001F7233" w:rsidRDefault="001F7233">
      <w:pPr>
        <w:spacing w:after="45"/>
        <w:ind w:left="300"/>
      </w:pPr>
      <w:hyperlink w:anchor="k36">
        <w:r>
          <w:rPr>
            <w:color w:val="0563C1"/>
            <w:u w:val="single"/>
          </w:rPr>
          <w:t>Kapitel 36: Das amerikanische Schulsystem verstehen</w:t>
        </w:r>
      </w:hyperlink>
    </w:p>
    <w:p w14:paraId="27570D0A" w14:textId="77777777" w:rsidR="001F7233" w:rsidRDefault="001F7233">
      <w:pPr>
        <w:spacing w:after="45"/>
        <w:ind w:left="300"/>
      </w:pPr>
      <w:hyperlink w:anchor="k37">
        <w:r>
          <w:rPr>
            <w:color w:val="0563C1"/>
            <w:u w:val="single"/>
          </w:rPr>
          <w:t>Kapitel 37: ESL und Sprache: Englisch lernen und Deutsch bewahren</w:t>
        </w:r>
      </w:hyperlink>
    </w:p>
    <w:p w14:paraId="519C0ECD" w14:textId="77777777" w:rsidR="001F7233" w:rsidRDefault="001F7233">
      <w:pPr>
        <w:spacing w:after="45"/>
        <w:ind w:left="300"/>
      </w:pPr>
      <w:hyperlink w:anchor="k38">
        <w:r>
          <w:rPr>
            <w:color w:val="0563C1"/>
            <w:u w:val="single"/>
          </w:rPr>
          <w:t>Kapitel 38: Babys, Kleinkinder und Teenager</w:t>
        </w:r>
      </w:hyperlink>
    </w:p>
    <w:p w14:paraId="6AF0A3F7" w14:textId="77777777" w:rsidR="001F7233" w:rsidRDefault="001F7233">
      <w:pPr>
        <w:spacing w:after="45"/>
      </w:pPr>
      <w:hyperlink w:anchor="rev73h2015">
        <w:r>
          <w:rPr>
            <w:b/>
            <w:color w:val="0563C1"/>
            <w:u w:val="single"/>
          </w:rPr>
          <w:t>TEIL X — Langfristig</w:t>
        </w:r>
      </w:hyperlink>
    </w:p>
    <w:p w14:paraId="2CCF1E3D" w14:textId="77777777" w:rsidR="001F7233" w:rsidRDefault="001F7233">
      <w:pPr>
        <w:spacing w:after="45"/>
        <w:ind w:left="300"/>
      </w:pPr>
      <w:hyperlink w:anchor="k39">
        <w:r>
          <w:rPr>
            <w:color w:val="0563C1"/>
            <w:u w:val="single"/>
          </w:rPr>
          <w:t>Kapitel 39: Vorsorge, Erbe und Vermögen</w:t>
        </w:r>
      </w:hyperlink>
    </w:p>
    <w:p w14:paraId="20C7C608" w14:textId="77777777" w:rsidR="001F7233" w:rsidRDefault="001F7233">
      <w:pPr>
        <w:spacing w:after="45"/>
        <w:ind w:left="300"/>
      </w:pPr>
      <w:hyperlink w:anchor="k40">
        <w:r>
          <w:rPr>
            <w:color w:val="0563C1"/>
            <w:u w:val="single"/>
          </w:rPr>
          <w:t>Kapitel 40: Recht und Sicherheit im Alltag</w:t>
        </w:r>
      </w:hyperlink>
    </w:p>
    <w:p w14:paraId="2B04D967" w14:textId="77777777" w:rsidR="001F7233" w:rsidRDefault="001F7233">
      <w:pPr>
        <w:spacing w:after="45"/>
        <w:ind w:left="300"/>
      </w:pPr>
      <w:hyperlink w:anchor="k41">
        <w:r>
          <w:rPr>
            <w:color w:val="0563C1"/>
            <w:u w:val="single"/>
          </w:rPr>
          <w:t>Kapitel 41: Von der Green Card zur Staatsbürgerschaft: Der Doppelpass</w:t>
        </w:r>
      </w:hyperlink>
    </w:p>
    <w:p w14:paraId="74151C9B" w14:textId="77777777" w:rsidR="001F7233" w:rsidRDefault="001F7233">
      <w:pPr>
        <w:spacing w:after="45"/>
        <w:ind w:left="300"/>
      </w:pPr>
      <w:hyperlink w:anchor="k42">
        <w:r>
          <w:rPr>
            <w:color w:val="0563C1"/>
            <w:u w:val="single"/>
          </w:rPr>
          <w:t>Kapitel 42: Plan B: Die Rückkehr nach Deutschland</w:t>
        </w:r>
      </w:hyperlink>
    </w:p>
    <w:p w14:paraId="68F75E7E" w14:textId="77777777" w:rsidR="001F7233" w:rsidRDefault="001F7233">
      <w:pPr>
        <w:spacing w:after="45"/>
      </w:pPr>
      <w:hyperlink w:anchor="PathAustralien">
        <w:r>
          <w:rPr>
            <w:b/>
            <w:color w:val="0563C1"/>
            <w:u w:val="single"/>
          </w:rPr>
          <w:t>TEIL AUSTRALIEN — Fern, aber gut geregelt</w:t>
        </w:r>
      </w:hyperlink>
    </w:p>
    <w:p w14:paraId="74F0EF19" w14:textId="77777777" w:rsidR="001F7233" w:rsidRDefault="001F7233">
      <w:pPr>
        <w:spacing w:after="45"/>
        <w:ind w:left="300"/>
      </w:pPr>
      <w:hyperlink w:anchor="tau01">
        <w:r>
          <w:rPr>
            <w:color w:val="0563C1"/>
            <w:u w:val="single"/>
          </w:rPr>
          <w:t>Australien: Die ehrliche Bilanz</w:t>
        </w:r>
      </w:hyperlink>
    </w:p>
    <w:p w14:paraId="5A117E6D" w14:textId="77777777" w:rsidR="001F7233" w:rsidRDefault="001F7233">
      <w:pPr>
        <w:spacing w:after="45"/>
        <w:ind w:left="300"/>
      </w:pPr>
      <w:hyperlink w:anchor="tau02">
        <w:r>
          <w:rPr>
            <w:color w:val="0563C1"/>
            <w:u w:val="single"/>
          </w:rPr>
          <w:t>Australien: Wege der Einwanderung</w:t>
        </w:r>
      </w:hyperlink>
    </w:p>
    <w:p w14:paraId="6C2C0E9C" w14:textId="77777777" w:rsidR="001F7233" w:rsidRDefault="001F7233">
      <w:pPr>
        <w:spacing w:after="45"/>
        <w:ind w:left="300"/>
      </w:pPr>
      <w:hyperlink w:anchor="tau03">
        <w:r>
          <w:rPr>
            <w:color w:val="0563C1"/>
            <w:u w:val="single"/>
          </w:rPr>
          <w:t>Australien: Der Arbeitsweg im Detail</w:t>
        </w:r>
      </w:hyperlink>
    </w:p>
    <w:p w14:paraId="71396FE7" w14:textId="77777777" w:rsidR="001F7233" w:rsidRDefault="001F7233">
      <w:pPr>
        <w:spacing w:after="45"/>
        <w:ind w:left="300"/>
      </w:pPr>
      <w:hyperlink w:anchor="tau03a">
        <w:r>
          <w:rPr>
            <w:color w:val="0563C1"/>
            <w:u w:val="single"/>
          </w:rPr>
          <w:t>Australien: Anerkennung deutscher Berufsabschlüsse</w:t>
        </w:r>
      </w:hyperlink>
    </w:p>
    <w:p w14:paraId="4386ED39" w14:textId="77777777" w:rsidR="001F7233" w:rsidRDefault="001F7233">
      <w:pPr>
        <w:spacing w:after="45"/>
        <w:ind w:left="300"/>
      </w:pPr>
      <w:hyperlink w:anchor="tau04">
        <w:r>
          <w:rPr>
            <w:color w:val="0563C1"/>
            <w:u w:val="single"/>
          </w:rPr>
          <w:t>Australien: Familie, Investor, Ruhestand</w:t>
        </w:r>
      </w:hyperlink>
    </w:p>
    <w:p w14:paraId="2A478ABC" w14:textId="77777777" w:rsidR="001F7233" w:rsidRDefault="001F7233">
      <w:pPr>
        <w:spacing w:after="45"/>
        <w:ind w:left="300"/>
      </w:pPr>
      <w:hyperlink w:anchor="tau05">
        <w:r>
          <w:rPr>
            <w:color w:val="0563C1"/>
            <w:u w:val="single"/>
          </w:rPr>
          <w:t>Australien: Antrag, Konsulat und Kosten</w:t>
        </w:r>
      </w:hyperlink>
    </w:p>
    <w:p w14:paraId="15A21EC6" w14:textId="77777777" w:rsidR="001F7233" w:rsidRDefault="001F7233">
      <w:pPr>
        <w:spacing w:after="45"/>
        <w:ind w:left="300"/>
      </w:pPr>
      <w:hyperlink w:anchor="tau06">
        <w:r>
          <w:rPr>
            <w:color w:val="0563C1"/>
            <w:u w:val="single"/>
          </w:rPr>
          <w:t>Australien: Ankunft, erste Tage und Wochen</w:t>
        </w:r>
      </w:hyperlink>
    </w:p>
    <w:p w14:paraId="0783488E" w14:textId="77777777" w:rsidR="001F7233" w:rsidRDefault="001F7233">
      <w:pPr>
        <w:spacing w:after="45"/>
        <w:ind w:left="300"/>
      </w:pPr>
      <w:hyperlink w:anchor="tau07">
        <w:r>
          <w:rPr>
            <w:color w:val="0563C1"/>
            <w:u w:val="single"/>
          </w:rPr>
          <w:t>Australien: Steuer-ID, Bank, Kredit aufbauen</w:t>
        </w:r>
      </w:hyperlink>
    </w:p>
    <w:p w14:paraId="52833305" w14:textId="77777777" w:rsidR="001F7233" w:rsidRDefault="001F7233">
      <w:pPr>
        <w:spacing w:after="45"/>
        <w:ind w:left="300"/>
      </w:pPr>
      <w:hyperlink w:anchor="tau08">
        <w:r>
          <w:rPr>
            <w:color w:val="0563C1"/>
            <w:u w:val="single"/>
          </w:rPr>
          <w:t>Australien: Das Gesundheitssystem</w:t>
        </w:r>
      </w:hyperlink>
    </w:p>
    <w:p w14:paraId="0E4932F1" w14:textId="77777777" w:rsidR="001F7233" w:rsidRDefault="001F7233">
      <w:pPr>
        <w:spacing w:after="45"/>
        <w:ind w:left="300"/>
      </w:pPr>
      <w:hyperlink w:anchor="tau09">
        <w:r>
          <w:rPr>
            <w:color w:val="0563C1"/>
            <w:u w:val="single"/>
          </w:rPr>
          <w:t>Australien: Wohnen und die besten Orte zum Leben</w:t>
        </w:r>
      </w:hyperlink>
    </w:p>
    <w:p w14:paraId="2933FF26" w14:textId="77777777" w:rsidR="001F7233" w:rsidRDefault="001F7233">
      <w:pPr>
        <w:spacing w:after="45"/>
        <w:ind w:left="300"/>
      </w:pPr>
      <w:hyperlink w:anchor="tau10">
        <w:r>
          <w:rPr>
            <w:color w:val="0563C1"/>
            <w:u w:val="single"/>
          </w:rPr>
          <w:t>Australien: Führerschein, Auto und Verkehrsregeln</w:t>
        </w:r>
      </w:hyperlink>
    </w:p>
    <w:p w14:paraId="4AD0261A" w14:textId="77777777" w:rsidR="001F7233" w:rsidRDefault="001F7233">
      <w:pPr>
        <w:spacing w:after="45"/>
        <w:ind w:left="300"/>
      </w:pPr>
      <w:hyperlink w:anchor="tau11">
        <w:r>
          <w:rPr>
            <w:color w:val="0563C1"/>
            <w:u w:val="single"/>
          </w:rPr>
          <w:t>Australien: Alltagskultur und Umgangsformen</w:t>
        </w:r>
      </w:hyperlink>
    </w:p>
    <w:p w14:paraId="2E52905C" w14:textId="77777777" w:rsidR="001F7233" w:rsidRDefault="001F7233">
      <w:pPr>
        <w:spacing w:after="45"/>
        <w:ind w:left="300"/>
      </w:pPr>
      <w:hyperlink w:anchor="tau12">
        <w:r>
          <w:rPr>
            <w:color w:val="0563C1"/>
            <w:u w:val="single"/>
          </w:rPr>
          <w:t>Australien: Freunde finden und der Kulturschock der großen Distanz</w:t>
        </w:r>
      </w:hyperlink>
    </w:p>
    <w:p w14:paraId="3078D5E4" w14:textId="77777777" w:rsidR="001F7233" w:rsidRDefault="001F7233">
      <w:pPr>
        <w:spacing w:after="45"/>
        <w:ind w:left="300"/>
      </w:pPr>
      <w:hyperlink w:anchor="tau13">
        <w:r>
          <w:rPr>
            <w:color w:val="0563C1"/>
            <w:u w:val="single"/>
          </w:rPr>
          <w:t>Australien: Kinder, Schule und Spracheingewöhnung</w:t>
        </w:r>
      </w:hyperlink>
    </w:p>
    <w:p w14:paraId="26B255B6" w14:textId="77777777" w:rsidR="001F7233" w:rsidRDefault="001F7233">
      <w:pPr>
        <w:spacing w:after="45"/>
        <w:ind w:left="300"/>
      </w:pPr>
      <w:hyperlink w:anchor="tau14">
        <w:r>
          <w:rPr>
            <w:color w:val="0563C1"/>
            <w:u w:val="single"/>
          </w:rPr>
          <w:t>Australien: Arbeitswelt und Jobwechsel</w:t>
        </w:r>
      </w:hyperlink>
    </w:p>
    <w:p w14:paraId="228EDE57" w14:textId="77777777" w:rsidR="001F7233" w:rsidRDefault="001F7233">
      <w:pPr>
        <w:spacing w:after="45"/>
        <w:ind w:left="300"/>
      </w:pPr>
      <w:hyperlink w:anchor="tau15">
        <w:r>
          <w:rPr>
            <w:color w:val="0563C1"/>
            <w:u w:val="single"/>
          </w:rPr>
          <w:t>Australien: Recht, Sicherheit und Polizeikontakt</w:t>
        </w:r>
      </w:hyperlink>
    </w:p>
    <w:p w14:paraId="5DF4846C" w14:textId="77777777" w:rsidR="001F7233" w:rsidRDefault="001F7233">
      <w:pPr>
        <w:spacing w:after="45"/>
        <w:ind w:left="300"/>
      </w:pPr>
      <w:hyperlink w:anchor="tau16">
        <w:r>
          <w:rPr>
            <w:color w:val="0563C1"/>
            <w:u w:val="single"/>
          </w:rPr>
          <w:t>Australien: Staatsbürgerschaft und Steuerresidenz</w:t>
        </w:r>
      </w:hyperlink>
    </w:p>
    <w:p w14:paraId="088914C1" w14:textId="77777777" w:rsidR="001F7233" w:rsidRDefault="001F7233">
      <w:pPr>
        <w:spacing w:after="45"/>
      </w:pPr>
      <w:hyperlink w:anchor="PathKanada">
        <w:r>
          <w:rPr>
            <w:b/>
            <w:color w:val="0563C1"/>
            <w:u w:val="single"/>
          </w:rPr>
          <w:t>TEIL KANADA — Nahe dran, trotzdem anders</w:t>
        </w:r>
      </w:hyperlink>
    </w:p>
    <w:p w14:paraId="0DEDEAB6" w14:textId="77777777" w:rsidR="001F7233" w:rsidRDefault="001F7233">
      <w:pPr>
        <w:spacing w:after="45"/>
        <w:ind w:left="300"/>
      </w:pPr>
      <w:hyperlink w:anchor="tka01">
        <w:r>
          <w:rPr>
            <w:color w:val="0563C1"/>
            <w:u w:val="single"/>
          </w:rPr>
          <w:t>Kanada: Die ehrliche Bilanz</w:t>
        </w:r>
      </w:hyperlink>
    </w:p>
    <w:p w14:paraId="7B51FD3D" w14:textId="77777777" w:rsidR="001F7233" w:rsidRDefault="001F7233">
      <w:pPr>
        <w:spacing w:after="45"/>
        <w:ind w:left="300"/>
      </w:pPr>
      <w:hyperlink w:anchor="tka02">
        <w:r>
          <w:rPr>
            <w:color w:val="0563C1"/>
            <w:u w:val="single"/>
          </w:rPr>
          <w:t>Kanada: Wege der Einwanderung</w:t>
        </w:r>
      </w:hyperlink>
    </w:p>
    <w:p w14:paraId="136D050C" w14:textId="77777777" w:rsidR="001F7233" w:rsidRDefault="001F7233">
      <w:pPr>
        <w:spacing w:after="45"/>
        <w:ind w:left="300"/>
      </w:pPr>
      <w:hyperlink w:anchor="tka03">
        <w:r>
          <w:rPr>
            <w:color w:val="0563C1"/>
            <w:u w:val="single"/>
          </w:rPr>
          <w:t>Kanada: Der Arbeitsweg im Detail</w:t>
        </w:r>
      </w:hyperlink>
    </w:p>
    <w:p w14:paraId="586768D0" w14:textId="77777777" w:rsidR="001F7233" w:rsidRDefault="001F7233">
      <w:pPr>
        <w:spacing w:after="45"/>
        <w:ind w:left="300"/>
      </w:pPr>
      <w:hyperlink w:anchor="tka03a">
        <w:r>
          <w:rPr>
            <w:color w:val="0563C1"/>
            <w:u w:val="single"/>
          </w:rPr>
          <w:t>Kanada: Anerkennung deutscher Berufsabschlüsse</w:t>
        </w:r>
      </w:hyperlink>
    </w:p>
    <w:p w14:paraId="122CCA08" w14:textId="77777777" w:rsidR="001F7233" w:rsidRDefault="001F7233">
      <w:pPr>
        <w:spacing w:after="45"/>
        <w:ind w:left="300"/>
      </w:pPr>
      <w:hyperlink w:anchor="tka04">
        <w:r>
          <w:rPr>
            <w:color w:val="0563C1"/>
            <w:u w:val="single"/>
          </w:rPr>
          <w:t>Kanada: Familie, Investoren und der Ruhestand</w:t>
        </w:r>
      </w:hyperlink>
    </w:p>
    <w:p w14:paraId="5B4F5FE8" w14:textId="77777777" w:rsidR="001F7233" w:rsidRDefault="001F7233">
      <w:pPr>
        <w:spacing w:after="45"/>
        <w:ind w:left="300"/>
      </w:pPr>
      <w:hyperlink w:anchor="tka05">
        <w:r>
          <w:rPr>
            <w:color w:val="0563C1"/>
            <w:u w:val="single"/>
          </w:rPr>
          <w:t>Kanada: Antrag, Konsulat und Kosten</w:t>
        </w:r>
      </w:hyperlink>
    </w:p>
    <w:p w14:paraId="0F1F40AB" w14:textId="77777777" w:rsidR="001F7233" w:rsidRDefault="001F7233">
      <w:pPr>
        <w:spacing w:after="45"/>
        <w:ind w:left="300"/>
      </w:pPr>
      <w:hyperlink w:anchor="tka06">
        <w:r>
          <w:rPr>
            <w:color w:val="0563C1"/>
            <w:u w:val="single"/>
          </w:rPr>
          <w:t>Kanada: Ankunft, erste Tage und Wochen</w:t>
        </w:r>
      </w:hyperlink>
    </w:p>
    <w:p w14:paraId="3D009D7D" w14:textId="77777777" w:rsidR="001F7233" w:rsidRDefault="001F7233">
      <w:pPr>
        <w:spacing w:after="45"/>
        <w:ind w:left="300"/>
      </w:pPr>
      <w:hyperlink w:anchor="tka07">
        <w:r>
          <w:rPr>
            <w:color w:val="0563C1"/>
            <w:u w:val="single"/>
          </w:rPr>
          <w:t>Kanada: SIN, Steuern, Bank und Kredit aufbauen</w:t>
        </w:r>
      </w:hyperlink>
    </w:p>
    <w:p w14:paraId="5BA6952E" w14:textId="77777777" w:rsidR="001F7233" w:rsidRDefault="001F7233">
      <w:pPr>
        <w:spacing w:after="45"/>
        <w:ind w:left="300"/>
      </w:pPr>
      <w:hyperlink w:anchor="tka08">
        <w:r>
          <w:rPr>
            <w:color w:val="0563C1"/>
            <w:u w:val="single"/>
          </w:rPr>
          <w:t>Kanada: Das Gesundheitssystem</w:t>
        </w:r>
      </w:hyperlink>
    </w:p>
    <w:p w14:paraId="20B5FE93" w14:textId="77777777" w:rsidR="001F7233" w:rsidRDefault="001F7233">
      <w:pPr>
        <w:spacing w:after="45"/>
        <w:ind w:left="300"/>
      </w:pPr>
      <w:hyperlink w:anchor="tka09">
        <w:r>
          <w:rPr>
            <w:color w:val="0563C1"/>
            <w:u w:val="single"/>
          </w:rPr>
          <w:t>Kanada: Wohnen und die besten Orte zum Leben</w:t>
        </w:r>
      </w:hyperlink>
    </w:p>
    <w:p w14:paraId="00F4005C" w14:textId="77777777" w:rsidR="001F7233" w:rsidRDefault="001F7233">
      <w:pPr>
        <w:spacing w:after="45"/>
        <w:ind w:left="300"/>
      </w:pPr>
      <w:hyperlink w:anchor="tka10">
        <w:r>
          <w:rPr>
            <w:color w:val="0563C1"/>
            <w:u w:val="single"/>
          </w:rPr>
          <w:t>Kanada: Führerschein, Auto und Verkehrsregeln</w:t>
        </w:r>
      </w:hyperlink>
    </w:p>
    <w:p w14:paraId="2BBE6A51" w14:textId="77777777" w:rsidR="001F7233" w:rsidRDefault="001F7233">
      <w:pPr>
        <w:spacing w:after="45"/>
        <w:ind w:left="300"/>
      </w:pPr>
      <w:hyperlink w:anchor="tka11">
        <w:r>
          <w:rPr>
            <w:color w:val="0563C1"/>
            <w:u w:val="single"/>
          </w:rPr>
          <w:t>Kanada: Alltagskultur und Umgangsformen</w:t>
        </w:r>
      </w:hyperlink>
    </w:p>
    <w:p w14:paraId="4301754D" w14:textId="77777777" w:rsidR="001F7233" w:rsidRDefault="001F7233">
      <w:pPr>
        <w:spacing w:after="45"/>
        <w:ind w:left="300"/>
      </w:pPr>
      <w:hyperlink w:anchor="tka12">
        <w:r>
          <w:rPr>
            <w:color w:val="0563C1"/>
            <w:u w:val="single"/>
          </w:rPr>
          <w:t>Kanada: Freunde finden und der Kulturschock des ersten Winters</w:t>
        </w:r>
      </w:hyperlink>
    </w:p>
    <w:p w14:paraId="29FDE214" w14:textId="77777777" w:rsidR="001F7233" w:rsidRDefault="001F7233">
      <w:pPr>
        <w:spacing w:after="45"/>
        <w:ind w:left="300"/>
      </w:pPr>
      <w:hyperlink w:anchor="tka13">
        <w:r>
          <w:rPr>
            <w:color w:val="0563C1"/>
            <w:u w:val="single"/>
          </w:rPr>
          <w:t>Kanada: Kinder, Schule und Spracheingewöhnung</w:t>
        </w:r>
      </w:hyperlink>
    </w:p>
    <w:p w14:paraId="0BD6E5FF" w14:textId="77777777" w:rsidR="001F7233" w:rsidRDefault="001F7233">
      <w:pPr>
        <w:spacing w:after="45"/>
        <w:ind w:left="300"/>
      </w:pPr>
      <w:hyperlink w:anchor="tka14">
        <w:r>
          <w:rPr>
            <w:color w:val="0563C1"/>
            <w:u w:val="single"/>
          </w:rPr>
          <w:t>Kanada: Arbeitswelt und Jobwechsel</w:t>
        </w:r>
      </w:hyperlink>
    </w:p>
    <w:p w14:paraId="4E421B1D" w14:textId="77777777" w:rsidR="001F7233" w:rsidRDefault="001F7233">
      <w:pPr>
        <w:spacing w:after="45"/>
        <w:ind w:left="300"/>
      </w:pPr>
      <w:hyperlink w:anchor="tka15">
        <w:r>
          <w:rPr>
            <w:color w:val="0563C1"/>
            <w:u w:val="single"/>
          </w:rPr>
          <w:t>Kanada: Recht, Sicherheit und Polizeikontakt</w:t>
        </w:r>
      </w:hyperlink>
    </w:p>
    <w:p w14:paraId="5916F935" w14:textId="77777777" w:rsidR="001F7233" w:rsidRDefault="001F7233">
      <w:pPr>
        <w:spacing w:after="45"/>
        <w:ind w:left="300"/>
      </w:pPr>
      <w:hyperlink w:anchor="tka16">
        <w:r>
          <w:rPr>
            <w:color w:val="0563C1"/>
            <w:u w:val="single"/>
          </w:rPr>
          <w:t>Kanada: Staatsbürgerschaft und Steuerresidenz</w:t>
        </w:r>
      </w:hyperlink>
    </w:p>
    <w:p w14:paraId="61633FA4" w14:textId="77777777" w:rsidR="001F7233" w:rsidRDefault="001F7233">
      <w:pPr>
        <w:spacing w:after="45"/>
      </w:pPr>
      <w:hyperlink w:anchor="PathNeuseeland">
        <w:r>
          <w:rPr>
            <w:b/>
            <w:color w:val="0563C1"/>
            <w:u w:val="single"/>
          </w:rPr>
          <w:t>TEIL NEUSEELAND — Am Ende der Welt neu anfangen</w:t>
        </w:r>
      </w:hyperlink>
    </w:p>
    <w:p w14:paraId="378D6B2B" w14:textId="77777777" w:rsidR="001F7233" w:rsidRDefault="001F7233">
      <w:pPr>
        <w:spacing w:after="45"/>
        <w:ind w:left="300"/>
      </w:pPr>
      <w:hyperlink w:anchor="tnz01">
        <w:r>
          <w:rPr>
            <w:color w:val="0563C1"/>
            <w:u w:val="single"/>
          </w:rPr>
          <w:t>Neuseeland: Die ehrliche Bilanz</w:t>
        </w:r>
      </w:hyperlink>
    </w:p>
    <w:p w14:paraId="47551C60" w14:textId="77777777" w:rsidR="001F7233" w:rsidRDefault="001F7233">
      <w:pPr>
        <w:spacing w:after="45"/>
        <w:ind w:left="300"/>
      </w:pPr>
      <w:hyperlink w:anchor="tnz02">
        <w:r>
          <w:rPr>
            <w:color w:val="0563C1"/>
            <w:u w:val="single"/>
          </w:rPr>
          <w:t>Neuseeland: Wege der Einwanderung</w:t>
        </w:r>
      </w:hyperlink>
    </w:p>
    <w:p w14:paraId="272E5ADB" w14:textId="77777777" w:rsidR="001F7233" w:rsidRDefault="001F7233">
      <w:pPr>
        <w:spacing w:after="45"/>
        <w:ind w:left="300"/>
      </w:pPr>
      <w:hyperlink w:anchor="tnz03">
        <w:r>
          <w:rPr>
            <w:color w:val="0563C1"/>
            <w:u w:val="single"/>
          </w:rPr>
          <w:t>Neuseeland: Der Arbeitsweg im Detail</w:t>
        </w:r>
      </w:hyperlink>
    </w:p>
    <w:p w14:paraId="38603E14" w14:textId="77777777" w:rsidR="001F7233" w:rsidRDefault="001F7233">
      <w:pPr>
        <w:spacing w:after="45"/>
        <w:ind w:left="300"/>
      </w:pPr>
      <w:hyperlink w:anchor="tnz03a">
        <w:r>
          <w:rPr>
            <w:color w:val="0563C1"/>
            <w:u w:val="single"/>
          </w:rPr>
          <w:t>Neuseeland: Anerkennung deutscher Berufsabschlüsse</w:t>
        </w:r>
      </w:hyperlink>
    </w:p>
    <w:p w14:paraId="5F3A59C8" w14:textId="77777777" w:rsidR="001F7233" w:rsidRDefault="001F7233">
      <w:pPr>
        <w:spacing w:after="45"/>
        <w:ind w:left="300"/>
      </w:pPr>
      <w:hyperlink w:anchor="tnz04">
        <w:r>
          <w:rPr>
            <w:color w:val="0563C1"/>
            <w:u w:val="single"/>
          </w:rPr>
          <w:t>Neuseeland: Familie, Investoren und der Ruhestand</w:t>
        </w:r>
      </w:hyperlink>
    </w:p>
    <w:p w14:paraId="5C9349A9" w14:textId="77777777" w:rsidR="001F7233" w:rsidRDefault="001F7233">
      <w:pPr>
        <w:spacing w:after="45"/>
        <w:ind w:left="300"/>
      </w:pPr>
      <w:hyperlink w:anchor="tnz05">
        <w:r>
          <w:rPr>
            <w:color w:val="0563C1"/>
            <w:u w:val="single"/>
          </w:rPr>
          <w:t>Neuseeland: Antrag, Konsulat und Kosten</w:t>
        </w:r>
      </w:hyperlink>
    </w:p>
    <w:p w14:paraId="197DC9D7" w14:textId="77777777" w:rsidR="001F7233" w:rsidRDefault="001F7233">
      <w:pPr>
        <w:spacing w:after="45"/>
        <w:ind w:left="300"/>
      </w:pPr>
      <w:hyperlink w:anchor="tnz06">
        <w:r>
          <w:rPr>
            <w:color w:val="0563C1"/>
            <w:u w:val="single"/>
          </w:rPr>
          <w:t>Neuseeland: Ankunft, erste Tage und Wochen</w:t>
        </w:r>
      </w:hyperlink>
    </w:p>
    <w:p w14:paraId="09B4F0BC" w14:textId="77777777" w:rsidR="001F7233" w:rsidRDefault="001F7233">
      <w:pPr>
        <w:spacing w:after="45"/>
        <w:ind w:left="300"/>
      </w:pPr>
      <w:hyperlink w:anchor="tnz07">
        <w:r>
          <w:rPr>
            <w:color w:val="0563C1"/>
            <w:u w:val="single"/>
          </w:rPr>
          <w:t>Neuseeland: IRD-Nummer, Steuern, Bank und Kredit aufbauen</w:t>
        </w:r>
      </w:hyperlink>
    </w:p>
    <w:p w14:paraId="7D84158A" w14:textId="77777777" w:rsidR="001F7233" w:rsidRDefault="001F7233">
      <w:pPr>
        <w:spacing w:after="45"/>
        <w:ind w:left="300"/>
      </w:pPr>
      <w:hyperlink w:anchor="tnz08">
        <w:r>
          <w:rPr>
            <w:color w:val="0563C1"/>
            <w:u w:val="single"/>
          </w:rPr>
          <w:t>Neuseeland: Das Gesundheitssystem</w:t>
        </w:r>
      </w:hyperlink>
    </w:p>
    <w:p w14:paraId="4F3B46A5" w14:textId="77777777" w:rsidR="001F7233" w:rsidRDefault="001F7233">
      <w:pPr>
        <w:spacing w:after="45"/>
        <w:ind w:left="300"/>
      </w:pPr>
      <w:hyperlink w:anchor="tnz09">
        <w:r>
          <w:rPr>
            <w:color w:val="0563C1"/>
            <w:u w:val="single"/>
          </w:rPr>
          <w:t>Neuseeland: Wohnen und die besten Orte zum Leben</w:t>
        </w:r>
      </w:hyperlink>
    </w:p>
    <w:p w14:paraId="3011F6FE" w14:textId="77777777" w:rsidR="001F7233" w:rsidRDefault="001F7233">
      <w:pPr>
        <w:spacing w:after="45"/>
        <w:ind w:left="300"/>
      </w:pPr>
      <w:hyperlink w:anchor="tnz10">
        <w:r>
          <w:rPr>
            <w:color w:val="0563C1"/>
            <w:u w:val="single"/>
          </w:rPr>
          <w:t>Neuseeland: Führerschein, Auto und Verkehrsregeln</w:t>
        </w:r>
      </w:hyperlink>
    </w:p>
    <w:p w14:paraId="3C3D39F4" w14:textId="77777777" w:rsidR="001F7233" w:rsidRDefault="001F7233">
      <w:pPr>
        <w:spacing w:after="45"/>
        <w:ind w:left="300"/>
      </w:pPr>
      <w:hyperlink w:anchor="tnz11">
        <w:r>
          <w:rPr>
            <w:color w:val="0563C1"/>
            <w:u w:val="single"/>
          </w:rPr>
          <w:t>Neuseeland: Alltagskultur und Umgangsformen</w:t>
        </w:r>
      </w:hyperlink>
    </w:p>
    <w:p w14:paraId="13E50AA7" w14:textId="77777777" w:rsidR="001F7233" w:rsidRDefault="001F7233">
      <w:pPr>
        <w:spacing w:after="45"/>
        <w:ind w:left="300"/>
      </w:pPr>
      <w:hyperlink w:anchor="tnz12">
        <w:r>
          <w:rPr>
            <w:color w:val="0563C1"/>
            <w:u w:val="single"/>
          </w:rPr>
          <w:t>Neuseeland: Freunde finden und der Kulturschock der Distanz</w:t>
        </w:r>
      </w:hyperlink>
    </w:p>
    <w:p w14:paraId="54D6674F" w14:textId="77777777" w:rsidR="001F7233" w:rsidRDefault="001F7233">
      <w:pPr>
        <w:spacing w:after="45"/>
        <w:ind w:left="300"/>
      </w:pPr>
      <w:hyperlink w:anchor="tnz13">
        <w:r>
          <w:rPr>
            <w:color w:val="0563C1"/>
            <w:u w:val="single"/>
          </w:rPr>
          <w:t>Neuseeland: Kinder, Schule und Spracheingewöhnung</w:t>
        </w:r>
      </w:hyperlink>
    </w:p>
    <w:p w14:paraId="404615D8" w14:textId="77777777" w:rsidR="001F7233" w:rsidRDefault="001F7233">
      <w:pPr>
        <w:spacing w:after="45"/>
        <w:ind w:left="300"/>
      </w:pPr>
      <w:hyperlink w:anchor="tnz14">
        <w:r>
          <w:rPr>
            <w:color w:val="0563C1"/>
            <w:u w:val="single"/>
          </w:rPr>
          <w:t>Neuseeland: Arbeitswelt und Jobwechsel</w:t>
        </w:r>
      </w:hyperlink>
    </w:p>
    <w:p w14:paraId="5BC0D8A2" w14:textId="77777777" w:rsidR="001F7233" w:rsidRDefault="001F7233">
      <w:pPr>
        <w:spacing w:after="45"/>
        <w:ind w:left="300"/>
      </w:pPr>
      <w:hyperlink w:anchor="tnz15">
        <w:r>
          <w:rPr>
            <w:color w:val="0563C1"/>
            <w:u w:val="single"/>
          </w:rPr>
          <w:t>Neuseeland: Recht, Sicherheit und Polizeikontakt</w:t>
        </w:r>
      </w:hyperlink>
    </w:p>
    <w:p w14:paraId="10439E8A" w14:textId="77777777" w:rsidR="001F7233" w:rsidRDefault="001F7233">
      <w:pPr>
        <w:spacing w:after="45"/>
        <w:ind w:left="300"/>
      </w:pPr>
      <w:hyperlink w:anchor="tnz16">
        <w:r>
          <w:rPr>
            <w:color w:val="0563C1"/>
            <w:u w:val="single"/>
          </w:rPr>
          <w:t>Neuseeland: Staatsbürgerschaft und Steuerresidenz</w:t>
        </w:r>
      </w:hyperlink>
    </w:p>
    <w:p w14:paraId="0D25C5E3" w14:textId="77777777" w:rsidR="001F7233" w:rsidRDefault="001F7233">
      <w:pPr>
        <w:spacing w:after="45"/>
        <w:ind w:left="300"/>
      </w:pPr>
      <w:hyperlink w:anchor="anhangA_masterplan">
        <w:r>
          <w:rPr>
            <w:color w:val="0563C1"/>
            <w:u w:val="single"/>
          </w:rPr>
          <w:t>Anhang A: Der Masterplan</w:t>
        </w:r>
      </w:hyperlink>
    </w:p>
    <w:p w14:paraId="7D256051" w14:textId="77777777" w:rsidR="001F7233" w:rsidRDefault="001F7233">
      <w:pPr>
        <w:spacing w:after="45"/>
        <w:ind w:left="300"/>
      </w:pPr>
      <w:hyperlink w:anchor="anhang_b">
        <w:r>
          <w:rPr>
            <w:color w:val="0563C1"/>
            <w:u w:val="single"/>
          </w:rPr>
          <w:t>Anhang B: Glossar Deutsch–Englisch</w:t>
        </w:r>
      </w:hyperlink>
    </w:p>
    <w:p w14:paraId="1DECEEE0" w14:textId="77777777" w:rsidR="001F7233" w:rsidRDefault="001F7233">
      <w:pPr>
        <w:spacing w:after="45"/>
        <w:ind w:left="300"/>
      </w:pPr>
      <w:hyperlink w:anchor="anhang_c">
        <w:r>
          <w:rPr>
            <w:color w:val="0563C1"/>
            <w:u w:val="single"/>
          </w:rPr>
          <w:t>Anhang C: Umrechnungstabellen</w:t>
        </w:r>
      </w:hyperlink>
    </w:p>
    <w:p w14:paraId="2594CD23" w14:textId="77777777" w:rsidR="001F7233" w:rsidRDefault="001F7233">
      <w:pPr>
        <w:spacing w:after="45"/>
        <w:ind w:left="300"/>
      </w:pPr>
      <w:hyperlink w:anchor="anhang_d">
        <w:r>
          <w:rPr>
            <w:color w:val="0563C1"/>
            <w:u w:val="single"/>
          </w:rPr>
          <w:t>Anhang D: Formulare und Abkürzungen</w:t>
        </w:r>
      </w:hyperlink>
    </w:p>
    <w:p w14:paraId="588E6F4F" w14:textId="77777777" w:rsidR="001F7233" w:rsidRDefault="001F7233">
      <w:pPr>
        <w:spacing w:after="45"/>
        <w:ind w:left="300"/>
      </w:pPr>
      <w:hyperlink w:anchor="anhang_e">
        <w:r>
          <w:rPr>
            <w:color w:val="0563C1"/>
            <w:u w:val="single"/>
          </w:rPr>
          <w:t>Anhang E: Dein Monatsbudget</w:t>
        </w:r>
      </w:hyperlink>
    </w:p>
    <w:p w14:paraId="6B51215B" w14:textId="77777777" w:rsidR="001F7233" w:rsidRDefault="001F7233">
      <w:pPr>
        <w:spacing w:after="45"/>
        <w:ind w:left="300"/>
      </w:pPr>
      <w:hyperlink w:anchor="anhang_f">
        <w:r>
          <w:rPr>
            <w:color w:val="0563C1"/>
            <w:u w:val="single"/>
          </w:rPr>
          <w:t>Anhang F: Offizielle Quellen und Adressen</w:t>
        </w:r>
      </w:hyperlink>
    </w:p>
    <w:p w14:paraId="2279A356" w14:textId="77777777" w:rsidR="001F7233" w:rsidRDefault="001F7233">
      <w:pPr>
        <w:spacing w:after="45"/>
        <w:ind w:left="300"/>
      </w:pPr>
      <w:hyperlink w:anchor="s110">
        <w:r>
          <w:rPr>
            <w:color w:val="0563C1"/>
            <w:u w:val="single"/>
          </w:rPr>
          <w:t>Quellen USA</w:t>
        </w:r>
      </w:hyperlink>
    </w:p>
    <w:p w14:paraId="2F7BD6B6" w14:textId="77777777" w:rsidR="001F7233" w:rsidRDefault="001F7233">
      <w:pPr>
        <w:spacing w:after="45"/>
        <w:ind w:left="300"/>
      </w:pPr>
      <w:hyperlink w:anchor="s111">
        <w:r>
          <w:rPr>
            <w:color w:val="0563C1"/>
            <w:u w:val="single"/>
          </w:rPr>
          <w:t>Quellen Kanada</w:t>
        </w:r>
      </w:hyperlink>
    </w:p>
    <w:p w14:paraId="3CE8CDFF" w14:textId="77777777" w:rsidR="001F7233" w:rsidRDefault="001F7233">
      <w:pPr>
        <w:spacing w:after="45"/>
        <w:ind w:left="300"/>
      </w:pPr>
      <w:hyperlink w:anchor="s112">
        <w:r>
          <w:rPr>
            <w:color w:val="0563C1"/>
            <w:u w:val="single"/>
          </w:rPr>
          <w:t>Quellen Australien</w:t>
        </w:r>
      </w:hyperlink>
    </w:p>
    <w:p w14:paraId="4A338D39" w14:textId="77777777" w:rsidR="001F7233" w:rsidRDefault="001F7233">
      <w:pPr>
        <w:spacing w:after="45"/>
        <w:ind w:left="300"/>
      </w:pPr>
      <w:hyperlink w:anchor="s113">
        <w:r>
          <w:rPr>
            <w:color w:val="0563C1"/>
            <w:u w:val="single"/>
          </w:rPr>
          <w:t>Quellen Neuseeland</w:t>
        </w:r>
      </w:hyperlink>
    </w:p>
    <w:p w14:paraId="36BD9887" w14:textId="77777777" w:rsidR="001F7233" w:rsidRDefault="001F7233">
      <w:pPr>
        <w:spacing w:after="45"/>
        <w:ind w:left="300"/>
      </w:pPr>
      <w:hyperlink w:anchor="anhang_g">
        <w:r>
          <w:rPr>
            <w:color w:val="0563C1"/>
            <w:u w:val="single"/>
          </w:rPr>
          <w:t>Anhang G: Schnellfinder — Problem → Kapitel</w:t>
        </w:r>
      </w:hyperlink>
    </w:p>
    <w:p w14:paraId="22913E33" w14:textId="77777777" w:rsidR="001F7233" w:rsidRDefault="001F7233">
      <w:pPr>
        <w:spacing w:after="45"/>
        <w:ind w:left="300"/>
      </w:pPr>
      <w:hyperlink w:anchor="s115">
        <w:r>
          <w:rPr>
            <w:color w:val="0563C1"/>
            <w:u w:val="single"/>
          </w:rPr>
          <w:t>Schnellfinder USA</w:t>
        </w:r>
      </w:hyperlink>
    </w:p>
    <w:p w14:paraId="390BE51F" w14:textId="77777777" w:rsidR="001F7233" w:rsidRDefault="001F7233">
      <w:pPr>
        <w:spacing w:after="45"/>
        <w:ind w:left="300"/>
      </w:pPr>
      <w:hyperlink w:anchor="s116">
        <w:r>
          <w:rPr>
            <w:color w:val="0563C1"/>
            <w:u w:val="single"/>
          </w:rPr>
          <w:t>Schnellfinder Kanada</w:t>
        </w:r>
      </w:hyperlink>
    </w:p>
    <w:p w14:paraId="1861B1C0" w14:textId="77777777" w:rsidR="001F7233" w:rsidRDefault="001F7233">
      <w:pPr>
        <w:spacing w:after="45"/>
        <w:ind w:left="300"/>
      </w:pPr>
      <w:hyperlink w:anchor="s117">
        <w:r>
          <w:rPr>
            <w:color w:val="0563C1"/>
            <w:u w:val="single"/>
          </w:rPr>
          <w:t>Schnellfinder Australien</w:t>
        </w:r>
      </w:hyperlink>
    </w:p>
    <w:p w14:paraId="76ECE445" w14:textId="77777777" w:rsidR="001F7233" w:rsidRDefault="001F7233">
      <w:pPr>
        <w:spacing w:after="45"/>
        <w:ind w:left="300"/>
      </w:pPr>
      <w:hyperlink w:anchor="s118">
        <w:r>
          <w:rPr>
            <w:color w:val="0563C1"/>
            <w:u w:val="single"/>
          </w:rPr>
          <w:t>Schnellfinder Neuseeland</w:t>
        </w:r>
      </w:hyperlink>
    </w:p>
    <w:p w14:paraId="78FE1CE1" w14:textId="77777777" w:rsidR="001F7233" w:rsidRDefault="001F7233">
      <w:pPr>
        <w:spacing w:after="45"/>
        <w:ind w:left="300"/>
      </w:pPr>
      <w:hyperlink w:anchor="anhang_h_deutsch">
        <w:r>
          <w:rPr>
            <w:color w:val="0563C1"/>
            <w:u w:val="single"/>
          </w:rPr>
          <w:t>Anhang H: Der deutsche Maßstab – was im Alltag wirklich anders ist</w:t>
        </w:r>
      </w:hyperlink>
    </w:p>
    <w:p w14:paraId="47A6E0A5" w14:textId="77777777" w:rsidR="001F7233" w:rsidRDefault="001F7233">
      <w:pPr>
        <w:ind w:left="300"/>
      </w:pPr>
      <w:hyperlink w:anchor="AnhangI_Sachindex">
        <w:r>
          <w:rPr>
            <w:color w:val="0563C1"/>
            <w:u w:val="single"/>
          </w:rPr>
          <w:t>Anhang I: Sachindex mit Direktlinks</w:t>
        </w:r>
      </w:hyperlink>
    </w:p>
    <w:p w14:paraId="6804EBFC" w14:textId="77777777" w:rsidR="001F7233" w:rsidRDefault="00000000">
      <w:pPr>
        <w:spacing w:after="45"/>
        <w:ind w:left="300"/>
      </w:pPr>
      <w:r>
        <w:t>Anhang J: Gemeinsame Alltagsthemen</w:t>
      </w:r>
    </w:p>
    <w:p w14:paraId="1FDE1EC8" w14:textId="77777777" w:rsidR="001F7233" w:rsidRDefault="001F7233">
      <w:pPr>
        <w:spacing w:after="45"/>
        <w:ind w:left="300"/>
      </w:pPr>
      <w:hyperlink w:anchor="s119">
        <w:r>
          <w:rPr>
            <w:color w:val="0563C1"/>
            <w:u w:val="single"/>
          </w:rPr>
          <w:t>Über den Autor</w:t>
        </w:r>
      </w:hyperlink>
    </w:p>
    <w:p w14:paraId="274F9847" w14:textId="77777777" w:rsidR="001F7233" w:rsidRDefault="001F7233">
      <w:pPr>
        <w:spacing w:after="45"/>
        <w:ind w:left="300"/>
      </w:pPr>
      <w:hyperlink w:anchor="s120">
        <w:r>
          <w:rPr>
            <w:color w:val="0563C1"/>
            <w:u w:val="single"/>
          </w:rPr>
          <w:t>Eine kleine Bitte</w:t>
        </w:r>
      </w:hyperlink>
    </w:p>
    <w:p w14:paraId="3391A96B" w14:textId="77777777" w:rsidR="001F7233" w:rsidRDefault="001F7233">
      <w:pPr>
        <w:spacing w:after="45"/>
        <w:ind w:left="300"/>
      </w:pPr>
      <w:hyperlink w:anchor="s121">
        <w:r>
          <w:rPr>
            <w:color w:val="0563C1"/>
            <w:u w:val="single"/>
          </w:rPr>
          <w:t>Dieses Buch und weitere Titel</w:t>
        </w:r>
      </w:hyperlink>
      <w:r>
        <w:br w:type="page"/>
      </w:r>
    </w:p>
    <w:p w14:paraId="761D4E9A" w14:textId="77777777" w:rsidR="001F7233" w:rsidRDefault="00000000">
      <w:pPr>
        <w:pStyle w:val="Heading2"/>
      </w:pPr>
      <w:bookmarkStart w:id="1" w:name="quickstart_2026"/>
      <w:r>
        <w:lastRenderedPageBreak/>
        <w:t>Schnellstart: Entscheiden statt durchlesen</w:t>
      </w:r>
      <w:bookmarkEnd w:id="1"/>
    </w:p>
    <w:p w14:paraId="5D5D56E4" w14:textId="77777777" w:rsidR="001F7233" w:rsidRDefault="00000000">
      <w:pPr>
        <w:pStyle w:val="Heading3"/>
      </w:pPr>
      <w:r>
        <w:t>Am Ende dieser halben Stunde</w:t>
      </w:r>
    </w:p>
    <w:p w14:paraId="60DB46DD" w14:textId="77777777" w:rsidR="001F7233" w:rsidRDefault="00000000">
      <w:r>
        <w:t>Nutze die nächsten 30 Minuten für einen ersten Prüfplan: Welche Aufenthaltswege kommen infrage? Welche Länder bleiben auf deiner Liste? Welche Kosten musst du ermitteln? Notiere danach deine drei wichtigsten nächsten Schritte. Das Ergebnis ist eine erste Orientierung, keine Zusage, dass dein Umzug möglich oder bereits genehmigt ist. Die Praxisbeispiele und die zwanzig Fehler stehen zum Nachschlagen. Sie sind nicht der erste Schritt. Der erste Schritt ist die Bereitschaftsfrage und danach der Länderfilter.</w:t>
      </w:r>
    </w:p>
    <w:p w14:paraId="573A648D" w14:textId="77777777" w:rsidR="001F7233" w:rsidRDefault="00000000">
      <w:r>
        <w:t>Die abschließende 30-Minuten-Frage findest du im Kindle-Check am Buchende. Sie lautet: Würdest du gehen, wenn es schwieriger, teurer und langsamer wird als erwartet?</w:t>
      </w:r>
    </w:p>
    <w:p w14:paraId="76304E02" w14:textId="77777777" w:rsidR="001F7233" w:rsidRDefault="00000000">
      <w:r>
        <w:rPr>
          <w:b/>
        </w:rPr>
        <w:t xml:space="preserve">Etwa zwei Stunden: </w:t>
      </w:r>
      <w:r>
        <w:t xml:space="preserve">Wenn du noch vergleichst, öffne zuerst den Überblick. Wenn dein Land feststeht, lies nur diesen Pfad und den Deutschland-Teil vor dem Abflug. </w:t>
      </w:r>
      <w:hyperlink w:anchor="t0002">
        <w:r w:rsidR="001F7233">
          <w:rPr>
            <w:color w:val="0563C1"/>
            <w:u w:val="single"/>
          </w:rPr>
          <w:t>Ländervergleich</w:t>
        </w:r>
      </w:hyperlink>
      <w:r>
        <w:t xml:space="preserve"> | </w:t>
      </w:r>
      <w:hyperlink w:anchor="t0003">
        <w:r w:rsidR="001F7233">
          <w:rPr>
            <w:color w:val="0563C1"/>
            <w:u w:val="single"/>
          </w:rPr>
          <w:t>Deutschland vor Abflug</w:t>
        </w:r>
      </w:hyperlink>
    </w:p>
    <w:p w14:paraId="362DAC4C" w14:textId="77777777" w:rsidR="001F7233" w:rsidRDefault="00000000">
      <w:r>
        <w:t>Zum Nachschlagen: Nutze Inhaltsverzeichnis, Schnellnavigation oder Index. Spring direkt zur gesuchten Frage. Du musst nicht alle Kapitel lesen.</w:t>
      </w:r>
    </w:p>
    <w:p w14:paraId="1137A5F8" w14:textId="77777777" w:rsidR="001F7233" w:rsidRDefault="00000000">
      <w:r>
        <w:t>Prüfe zuerst Aufenthalt und Arbeit, dann Beruf und Zulassung, Familie und Gesundheit, Geld und zuletzt Ort und Alltag. So kommen mögliche Hindernisse früh ans Licht. Klima und Wunschstadt bleiben wichtig, entscheiden aber nicht allein.</w:t>
      </w:r>
    </w:p>
    <w:p w14:paraId="1EE6E414" w14:textId="77777777" w:rsidR="001F7233" w:rsidRDefault="001F7233">
      <w:pPr>
        <w:jc w:val="center"/>
      </w:pPr>
    </w:p>
    <w:p w14:paraId="1AC88399" w14:textId="77777777" w:rsidR="001F7233" w:rsidRDefault="00000000">
      <w:pPr>
        <w:keepNext/>
        <w:jc w:val="center"/>
      </w:pPr>
      <w:r>
        <w:lastRenderedPageBreak/>
        <w:t>Schaubild 1. Erst Voraussetzungen prüfen, dann Lebensstil.</w:t>
      </w:r>
      <w:r>
        <w:br/>
      </w:r>
      <w:r>
        <w:rPr>
          <w:noProof/>
        </w:rPr>
        <w:drawing>
          <wp:inline distT="0" distB="0" distL="0" distR="0" wp14:anchorId="0ED2E4FE" wp14:editId="4BA78D42">
            <wp:extent cx="4114800" cy="3291840"/>
            <wp:effectExtent l="0" t="0" r="0" b="0"/>
            <wp:docPr id="1" name="Schaubild 1" descr="Fünf Entscheidung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aubild 1" descr="Fünf Entscheidungstore"/>
                    <pic:cNvPicPr>
                      <a:picLocks noChangeAspect="1" noChangeArrowheads="1"/>
                    </pic:cNvPicPr>
                  </pic:nvPicPr>
                  <pic:blipFill>
                    <a:blip r:embed="rId6"/>
                    <a:stretch>
                      <a:fillRect/>
                    </a:stretch>
                  </pic:blipFill>
                  <pic:spPr bwMode="auto">
                    <a:xfrm>
                      <a:off x="0" y="0"/>
                      <a:ext cx="4114800" cy="3291840"/>
                    </a:xfrm>
                    <a:prstGeom prst="rect">
                      <a:avLst/>
                    </a:prstGeom>
                    <a:noFill/>
                  </pic:spPr>
                </pic:pic>
              </a:graphicData>
            </a:graphic>
          </wp:inline>
        </w:drawing>
      </w:r>
    </w:p>
    <w:p w14:paraId="196D3E21" w14:textId="77777777" w:rsidR="001F7233" w:rsidRDefault="00000000">
      <w:pPr>
        <w:pStyle w:val="Heading3"/>
      </w:pPr>
      <w:r>
        <w:t>Fünf Prüfungen vor Kündigung oder Buchung</w:t>
      </w:r>
    </w:p>
    <w:p w14:paraId="0EF53EA6" w14:textId="77777777" w:rsidR="001F7233" w:rsidRDefault="00000000">
      <w:r>
        <w:t>Markiere jeden Prüfpunkt mit Ja, Nein oder Offen. Bei Offen notierst du den fehlenden Nachweis und die zuständige Stelle. Ein Nein kann den geprüften Aufenthaltsweg ausschließen; prüfe, ob ein anderer Weg infrage kommt.</w:t>
      </w:r>
    </w:p>
    <w:p w14:paraId="717124CB" w14:textId="77777777" w:rsidR="001F7233" w:rsidRDefault="00000000">
      <w:r>
        <w:t>1. Aufenthalt: Passt ein Visum zu deinem Pass, Alter, deiner Ausbildung, Familie und deinem Ziel? Welche Bedingung oder Frist ist noch offen?</w:t>
      </w:r>
    </w:p>
    <w:p w14:paraId="1C9D6C52" w14:textId="77777777" w:rsidR="001F7233" w:rsidRDefault="00000000">
      <w:r>
        <w:t>2. Arbeit: Darfst du mit genau diesem Visum angestellt, selbstständig oder aus der Ferne arbeiten? Ein Touristenstatus, eine Interessenbekundung oder eine Einladung erlaubt das nicht automatisch.</w:t>
      </w:r>
    </w:p>
    <w:p w14:paraId="5E5140E8" w14:textId="77777777" w:rsidR="001F7233" w:rsidRDefault="00000000">
      <w:r>
        <w:t>3. Beruf: Ist dein Beruf reglementiert, also nur mit staatlicher Zulassung erlaubt? Eine anerkannte Ausbildung garantiert weder Berufserlaubnis noch Visum.</w:t>
      </w:r>
    </w:p>
    <w:p w14:paraId="6E33EA2E" w14:textId="77777777" w:rsidR="001F7233" w:rsidRDefault="00000000">
      <w:r>
        <w:lastRenderedPageBreak/>
        <w:t>4. Familie und Gesundheit: Darf dein Partner arbeiten? Welche Papiere brauchen Kinder oder Angehörige? Was kostet die Versorgung vor und nach dem Zugang zum öffentlichen System? Was gilt bei einer Versicherungslücke?</w:t>
      </w:r>
    </w:p>
    <w:p w14:paraId="58ABE81C" w14:textId="77777777" w:rsidR="001F7233" w:rsidRDefault="00000000">
      <w:r>
        <w:t>5. Geld und Rückweg: Reicht dein verfügbares Geld für Kaution, Umzug, die ersten Monate, Krankenversicherung und Rückreise? Was geschieht mit Wohnung, Steuern, Rente, Versicherung und Pflichten in Deutschland, falls du zurückkehrst?</w:t>
      </w:r>
    </w:p>
    <w:p w14:paraId="55F46EAF" w14:textId="77777777" w:rsidR="001F7233" w:rsidRDefault="00000000">
      <w:r>
        <w:t>Wenn alle fünf Prüfpunkte mit Ja beantwortet sind, prüfe Antrag und Budget im Detail. Bei offenen Punkten sammelst du zuerst Belege und Antworten. Bei einem Nein stoppst du teure Schritte, die sich kaum rückgängig machen lassen. Kündige Wohnung und Arbeit nicht auf Verdacht. Warte den nötigen Bescheid ab und kläre, ab wann du arbeiten darfst.</w:t>
      </w:r>
    </w:p>
    <w:p w14:paraId="1D471AB9" w14:textId="77777777" w:rsidR="001F7233" w:rsidRDefault="00000000">
      <w:pPr>
        <w:pStyle w:val="Heading3"/>
      </w:pPr>
      <w:r>
        <w:t>Entscheidungsweg auf einen Blick</w:t>
      </w:r>
    </w:p>
    <w:p w14:paraId="4BD8FB4E" w14:textId="77777777" w:rsidR="001F7233" w:rsidRDefault="00000000">
      <w:r>
        <w:rPr>
          <w:b/>
        </w:rPr>
        <w:t>START  |  Aufenthaltsweg und Arbeitserlaubnis nachweisbar?</w:t>
      </w:r>
    </w:p>
    <w:p w14:paraId="5E2DBFD8" w14:textId="77777777" w:rsidR="001F7233" w:rsidRDefault="00000000">
      <w:r>
        <w:rPr>
          <w:b/>
        </w:rPr>
        <w:t>NEIN  -&gt;  Weg und fehlende Voraussetzungen klären. Noch nichts kündigen.</w:t>
      </w:r>
    </w:p>
    <w:p w14:paraId="1C259983" w14:textId="77777777" w:rsidR="001F7233" w:rsidRDefault="00000000">
      <w:r>
        <w:rPr>
          <w:b/>
        </w:rPr>
        <w:t>JA  -&gt;  Berufszulassung, Familienrechte und Gesundheitsschutz geprüft?</w:t>
      </w:r>
    </w:p>
    <w:p w14:paraId="697EFA79" w14:textId="77777777" w:rsidR="001F7233" w:rsidRDefault="00000000">
      <w:r>
        <w:rPr>
          <w:b/>
        </w:rPr>
        <w:t>NEIN  -&gt;  Zuständige Stellen fragen und Belege beschaffen. Noch keine nicht erstattbare Buchung.</w:t>
      </w:r>
    </w:p>
    <w:p w14:paraId="475BE386" w14:textId="77777777" w:rsidR="001F7233" w:rsidRDefault="00000000">
      <w:r>
        <w:rPr>
          <w:b/>
        </w:rPr>
        <w:t>JA  -&gt;  Budget samt Kaution, Reserve und Rückweg tragfähig?</w:t>
      </w:r>
    </w:p>
    <w:p w14:paraId="2B347747" w14:textId="77777777" w:rsidR="001F7233" w:rsidRDefault="00000000">
      <w:r>
        <w:rPr>
          <w:b/>
        </w:rPr>
        <w:t>NEIN  -&gt;  Kosten, Zielregion oder Zeitpunkt neu planen.</w:t>
      </w:r>
    </w:p>
    <w:p w14:paraId="16D0B257" w14:textId="77777777" w:rsidR="001F7233" w:rsidRDefault="00000000">
      <w:r>
        <w:rPr>
          <w:b/>
        </w:rPr>
        <w:t>JA  -&gt;  Zielland wählen, nur dessen Pfad öffnen und Antragsschritte festlegen.</w:t>
      </w:r>
    </w:p>
    <w:p w14:paraId="5F567B63" w14:textId="77777777" w:rsidR="001F7233" w:rsidRDefault="00000000">
      <w:pPr>
        <w:pStyle w:val="Heading3"/>
      </w:pPr>
      <w:r>
        <w:t>Welches Land bleibt nach den Filtern?</w:t>
      </w:r>
    </w:p>
    <w:p w14:paraId="13C85F42" w14:textId="77777777" w:rsidR="001F7233" w:rsidRDefault="00000000">
      <w:r>
        <w:t>Wenn du dein Zielland bereits gewählt hast, lies direkt dessen Pfad. Vergleiche die anderen nicht aus Pflicht. Die folgenden Karten sind nur zum Aussortieren; Einzelheiten und aktuelle Voraussetzungen stehen bei den Behörden und in den Visumkapiteln.</w:t>
      </w:r>
    </w:p>
    <w:p w14:paraId="08FB15BC" w14:textId="77777777" w:rsidR="001F7233" w:rsidRDefault="00000000">
      <w:r>
        <w:lastRenderedPageBreak/>
        <w:t>USA: Es gibt keinen allgemeinen Punkteweg. Der passende Status hängt von konkreter Kategorie, Sponsor, Familie, Studium oder anderer Grundlage ab. Ein Jobangebot allein schafft keinen Status. Auch ein L-1-Weg setzt unter anderem vorherige Beschäftigung bei einer verbundenen Organisation voraus.</w:t>
      </w:r>
    </w:p>
    <w:p w14:paraId="237D8DF6" w14:textId="77777777" w:rsidR="001F7233" w:rsidRDefault="001F7233">
      <w:hyperlink w:anchor="PathUSA">
        <w:r>
          <w:rPr>
            <w:color w:val="0563C1"/>
            <w:u w:val="single"/>
          </w:rPr>
          <w:t>USA-Länderpfad öffnen</w:t>
        </w:r>
      </w:hyperlink>
    </w:p>
    <w:p w14:paraId="22BBE6D8" w14:textId="77777777" w:rsidR="001F7233" w:rsidRDefault="001F7233">
      <w:hyperlink r:id="rId7">
        <w:r>
          <w:rPr>
            <w:color w:val="0563C1"/>
            <w:u w:val="single"/>
          </w:rPr>
          <w:t>USCIS: Arbeiten in den USA</w:t>
        </w:r>
      </w:hyperlink>
    </w:p>
    <w:p w14:paraId="1D93A318" w14:textId="77777777" w:rsidR="001F7233" w:rsidRDefault="00000000">
      <w:r>
        <w:t>Kanada: Express Entry ordnet geeignete Profile nach Kriterien und Rangfolge; Provinz-, Familien- und Arbeitgeberwege haben eigene Anforderungen. Ein Profil oder CRS-Wert ist keine Einladung, und eine Einladung noch keine Daueraufenthaltsgenehmigung. NOC/TEER, Sprachtests, Berufserfahrung, Alter und Provinzoptionen gehören zusammen.</w:t>
      </w:r>
    </w:p>
    <w:p w14:paraId="43E49328" w14:textId="77777777" w:rsidR="001F7233" w:rsidRDefault="001F7233">
      <w:hyperlink w:anchor="PathKanada">
        <w:r>
          <w:rPr>
            <w:color w:val="0563C1"/>
            <w:u w:val="single"/>
          </w:rPr>
          <w:t>Kanada-Länderpfad öffnen</w:t>
        </w:r>
      </w:hyperlink>
    </w:p>
    <w:p w14:paraId="32EE2B4A" w14:textId="77777777" w:rsidR="001F7233" w:rsidRDefault="001F7233">
      <w:hyperlink r:id="rId8">
        <w:r>
          <w:rPr>
            <w:color w:val="0563C1"/>
            <w:u w:val="single"/>
          </w:rPr>
          <w:t>IRCC: Express Entry</w:t>
        </w:r>
      </w:hyperlink>
    </w:p>
    <w:p w14:paraId="75FF93D7" w14:textId="77777777" w:rsidR="001F7233" w:rsidRDefault="00000000">
      <w:r>
        <w:t>Australien: Fachkräfte-, Arbeitgeber- und Familienwege unterscheiden sich bei Berufscode, Punkten, Sponsor, Gehalt und Berufsanerkennung. Eine Einladung ist kein endgültiger Bescheid. Prüfe Working-Holiday-Altersgrenzen für deinen Pass und das konkrete Abkommen; es gibt keine sichere Einheitsgrenze.</w:t>
      </w:r>
    </w:p>
    <w:p w14:paraId="68D796C4" w14:textId="77777777" w:rsidR="001F7233" w:rsidRDefault="001F7233">
      <w:hyperlink w:anchor="PathAustralien">
        <w:r>
          <w:rPr>
            <w:color w:val="0563C1"/>
            <w:u w:val="single"/>
          </w:rPr>
          <w:t>Australien-Länderpfad öffnen</w:t>
        </w:r>
      </w:hyperlink>
    </w:p>
    <w:p w14:paraId="31BFBA31" w14:textId="77777777" w:rsidR="001F7233" w:rsidRDefault="001F7233">
      <w:hyperlink r:id="rId9">
        <w:r>
          <w:rPr>
            <w:color w:val="0563C1"/>
            <w:u w:val="single"/>
          </w:rPr>
          <w:t>Home Affairs: Skilled Migration</w:t>
        </w:r>
      </w:hyperlink>
    </w:p>
    <w:p w14:paraId="2356AD3D" w14:textId="77777777" w:rsidR="001F7233" w:rsidRDefault="00000000">
      <w:r>
        <w:t>Neuseeland: Skilled Migrant Category, Green List, Arbeitgeber- und Familienwege haben eigene Anforderungen. Eine ähnliche Stellenbezeichnung allein reicht nicht; Rolle, Qualifikation, Registrierung, Einkommen und Arbeitgeberstatus können wichtig sein.</w:t>
      </w:r>
    </w:p>
    <w:p w14:paraId="4F40C2EB" w14:textId="77777777" w:rsidR="001F7233" w:rsidRDefault="001F7233">
      <w:hyperlink w:anchor="PathNeuseeland">
        <w:r>
          <w:rPr>
            <w:color w:val="0563C1"/>
            <w:u w:val="single"/>
          </w:rPr>
          <w:t>Neuseeland-Länderpfad öffnen</w:t>
        </w:r>
      </w:hyperlink>
    </w:p>
    <w:p w14:paraId="02828F56" w14:textId="77777777" w:rsidR="001F7233" w:rsidRDefault="001F7233">
      <w:hyperlink r:id="rId10">
        <w:r>
          <w:rPr>
            <w:color w:val="0563C1"/>
            <w:u w:val="single"/>
          </w:rPr>
          <w:t>Immigration NZ: Visa finden</w:t>
        </w:r>
      </w:hyperlink>
    </w:p>
    <w:p w14:paraId="65C1812D" w14:textId="77777777" w:rsidR="001F7233" w:rsidRDefault="00000000">
      <w:r>
        <w:t>Notiere für jeden noch geprüften Weg die passende Behörde, die Voraussetzungen, den fehlenden Nachweis und den Tag deiner Prüfung. Damit wird aus „vielleicht“ eine überprüfbare Aufgabe.</w:t>
      </w:r>
    </w:p>
    <w:p w14:paraId="4B857843" w14:textId="77777777" w:rsidR="001F7233" w:rsidRDefault="001F7233">
      <w:pPr>
        <w:jc w:val="center"/>
      </w:pPr>
    </w:p>
    <w:p w14:paraId="5A6375CF" w14:textId="77777777" w:rsidR="001F7233" w:rsidRDefault="00000000">
      <w:pPr>
        <w:keepNext/>
        <w:jc w:val="center"/>
      </w:pPr>
      <w:r>
        <w:lastRenderedPageBreak/>
        <w:t>Schaubild 2. Visumwege nach Land sortieren, nicht nach Wunschort.</w:t>
      </w:r>
      <w:r>
        <w:br/>
      </w:r>
      <w:r>
        <w:rPr>
          <w:noProof/>
        </w:rPr>
        <w:drawing>
          <wp:inline distT="0" distB="0" distL="0" distR="0" wp14:anchorId="75E30486" wp14:editId="213189EF">
            <wp:extent cx="4114800" cy="3137535"/>
            <wp:effectExtent l="0" t="0" r="0" b="0"/>
            <wp:docPr id="2" name="Schaubild 2" descr="Vierländer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haubild 2" descr="Vierländerübersicht"/>
                    <pic:cNvPicPr>
                      <a:picLocks noChangeAspect="1" noChangeArrowheads="1"/>
                    </pic:cNvPicPr>
                  </pic:nvPicPr>
                  <pic:blipFill>
                    <a:blip r:embed="rId11"/>
                    <a:stretch>
                      <a:fillRect/>
                    </a:stretch>
                  </pic:blipFill>
                  <pic:spPr bwMode="auto">
                    <a:xfrm>
                      <a:off x="0" y="0"/>
                      <a:ext cx="4114800" cy="3137535"/>
                    </a:xfrm>
                    <a:prstGeom prst="rect">
                      <a:avLst/>
                    </a:prstGeom>
                    <a:noFill/>
                  </pic:spPr>
                </pic:pic>
              </a:graphicData>
            </a:graphic>
          </wp:inline>
        </w:drawing>
      </w:r>
    </w:p>
    <w:p w14:paraId="34AB6D60" w14:textId="77777777" w:rsidR="001F7233" w:rsidRDefault="00000000">
      <w:pPr>
        <w:pStyle w:val="Heading3"/>
      </w:pPr>
      <w:r>
        <w:t>Was kostet dein Start?</w:t>
      </w:r>
    </w:p>
    <w:p w14:paraId="2F8FDA49" w14:textId="77777777" w:rsidR="001F7233" w:rsidRDefault="00000000">
      <w:r>
        <w:t>Rechne mit deiner Zielregion und deinem Haushalt, nicht nur mit einem Landesdurchschnitt. Trenne laufende Monatskosten, einmalige Kosten, gebundene Beträge wie Kautionen und liquide Reserve. Nimm deutsche Verpflichtungen hinzu: Kredite, Unterhalt, Versicherungen oder eine nicht sofort vermietbare Wohnung.</w:t>
      </w:r>
    </w:p>
    <w:p w14:paraId="3CB5F744" w14:textId="77777777" w:rsidR="001F7233" w:rsidRDefault="00000000">
      <w:r>
        <w:t>Monatlich gehören Wohnen samt Nebenkosten, Lebensmittel, Mobilität, Krankenversicherung und Eigenanteile, Telefon, Kinderbetreuung oder Schule, Schuldendienst und Rücklagen hinein. Einmalig kommen Visa- und Prüfungsgebühren, Übersetzungen, Umzug, Flüge, Übergangsunterkunft, Einrichtung und Zulassung hinzu. Kaution ist gebundenes Geld, keine frei verfügbare Reserve.</w:t>
      </w:r>
    </w:p>
    <w:p w14:paraId="2BDBAFE4" w14:textId="77777777" w:rsidR="001F7233" w:rsidRDefault="00000000">
      <w:r>
        <w:t xml:space="preserve">Nur eine Rechenannahme: Bei unvermeidbaren Monatskosten von 4.000 Einheiten der Zielwährung entsprechen sechs Monate 24.000 Einheiten. Umzug, Kaution, Gebühren und Rückreise sind darin nicht enthalten. Ersetze die Annahme durch lokale Angebote und </w:t>
      </w:r>
      <w:r>
        <w:lastRenderedPageBreak/>
        <w:t>vergleiche Netto nach Steuern, Sozialabgaben, Versicherung und Fahrtkosten.</w:t>
      </w:r>
    </w:p>
    <w:p w14:paraId="25F77C8C" w14:textId="77777777" w:rsidR="001F7233" w:rsidRDefault="001F7233">
      <w:pPr>
        <w:jc w:val="center"/>
      </w:pPr>
    </w:p>
    <w:p w14:paraId="2271BB9C" w14:textId="77777777" w:rsidR="001F7233" w:rsidRDefault="00000000">
      <w:pPr>
        <w:keepNext/>
        <w:jc w:val="center"/>
      </w:pPr>
      <w:r>
        <w:t>Schaubild 3. Startliquidität zählt, nicht Vermögen auf dem Papier.</w:t>
      </w:r>
      <w:r>
        <w:br/>
      </w:r>
      <w:r>
        <w:rPr>
          <w:noProof/>
        </w:rPr>
        <w:drawing>
          <wp:inline distT="0" distB="0" distL="0" distR="0" wp14:anchorId="0485560B" wp14:editId="0A428AAA">
            <wp:extent cx="4114800" cy="3600450"/>
            <wp:effectExtent l="0" t="0" r="0" b="0"/>
            <wp:docPr id="3" name="Schaubild 3" descr="Startliquiditä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haubild 3" descr="Startliquidität"/>
                    <pic:cNvPicPr>
                      <a:picLocks noChangeAspect="1" noChangeArrowheads="1"/>
                    </pic:cNvPicPr>
                  </pic:nvPicPr>
                  <pic:blipFill>
                    <a:blip r:embed="rId12"/>
                    <a:stretch>
                      <a:fillRect/>
                    </a:stretch>
                  </pic:blipFill>
                  <pic:spPr bwMode="auto">
                    <a:xfrm>
                      <a:off x="0" y="0"/>
                      <a:ext cx="4114800" cy="3600450"/>
                    </a:xfrm>
                    <a:prstGeom prst="rect">
                      <a:avLst/>
                    </a:prstGeom>
                    <a:noFill/>
                  </pic:spPr>
                </pic:pic>
              </a:graphicData>
            </a:graphic>
          </wp:inline>
        </w:drawing>
      </w:r>
    </w:p>
    <w:p w14:paraId="003724B8" w14:textId="77777777" w:rsidR="001F7233" w:rsidRDefault="00000000">
      <w:r>
        <w:t>GELD SPAREN: Ein Container ist nicht automatisch günstiger als Neukauf. Vergleiche Gepäck, Paket, Teilcontainer und Verkauf samt Ersatz anhand schriftlicher Angebote, Zollregeln, Stromstandard und Versicherung.</w:t>
      </w:r>
    </w:p>
    <w:p w14:paraId="5E886089" w14:textId="77777777" w:rsidR="001F7233" w:rsidRDefault="00000000">
      <w:pPr>
        <w:pStyle w:val="Heading3"/>
      </w:pPr>
      <w:r>
        <w:t>Dein Zwölf-Monats-Plan</w:t>
      </w:r>
    </w:p>
    <w:p w14:paraId="30EC62BB" w14:textId="77777777" w:rsidR="001F7233" w:rsidRDefault="00000000">
      <w:r>
        <w:t>Die Abschnitte sind Arbeitsphasen, keine Zusage für Behördenlaufzeiten. Anerkennung, Sicherheitsprüfungen, Immobilienverkauf oder komplexe Familienfälle können länger dauern.</w:t>
      </w:r>
    </w:p>
    <w:p w14:paraId="77946491" w14:textId="77777777" w:rsidR="001F7233" w:rsidRDefault="00000000">
      <w:r>
        <w:lastRenderedPageBreak/>
        <w:t>T-12 bis T-9 Monate: Aufenthaltsweg und Berufszulassung prüfen. Sprachtests und Unterlagen planen; Familien- und Sorgerechtsfragen klären; Regionen und Budget eingrenzen.</w:t>
      </w:r>
    </w:p>
    <w:p w14:paraId="12E2F734" w14:textId="77777777" w:rsidR="001F7233" w:rsidRDefault="00000000">
      <w:r>
        <w:t>T-9 bis T-6: Dokumente beschaffen und nur dort übersetzen oder apostillieren lassen, wo es verlangt wird. Bewerbungen und Bewertungen starten. Deutsche Steuer-, Renten- und Krankenversicherungsfolgen prüfen.</w:t>
      </w:r>
    </w:p>
    <w:p w14:paraId="2832485B" w14:textId="77777777" w:rsidR="001F7233" w:rsidRDefault="00000000">
      <w:r>
        <w:t>T-6 bis T-3: Anträge korrekt einreichen und Bestätigungen sichern. Wohnen und Schule recherchieren, aber keine nicht erstattbaren Verpflichtungen eingehen, solange Status und Datum offen sind.</w:t>
      </w:r>
    </w:p>
    <w:p w14:paraId="2C0E82F5" w14:textId="77777777" w:rsidR="001F7233" w:rsidRDefault="00000000">
      <w:r>
        <w:t>T-3 bis T-1: erst mit belastbarer Planung kündigen oder verkaufen. Versicherungsschutz schriftlich klären; Dokumente, Bankzugriff, Vollmachten, Post und Notfallkontakt organisieren. In den letzten 30 Tagen die Einreisebedingungen erneut offiziell prüfen.</w:t>
      </w:r>
    </w:p>
    <w:p w14:paraId="43C2B7D0" w14:textId="77777777" w:rsidR="001F7233" w:rsidRDefault="001F7233">
      <w:pPr>
        <w:keepLines/>
        <w:spacing w:before="160" w:after="40"/>
        <w:jc w:val="center"/>
      </w:pPr>
    </w:p>
    <w:p w14:paraId="201272FE" w14:textId="77777777" w:rsidR="001F7233" w:rsidRDefault="00000000">
      <w:pPr>
        <w:keepLines/>
        <w:spacing w:after="200"/>
        <w:jc w:val="center"/>
      </w:pPr>
      <w:r>
        <w:rPr>
          <w:i/>
          <w:sz w:val="18"/>
        </w:rPr>
        <w:t>Schaubild 4. Zwölf Monate bis zum Abflug: erst prüfen, dann festlegen.</w:t>
      </w:r>
      <w:r>
        <w:br/>
      </w:r>
      <w:r>
        <w:rPr>
          <w:noProof/>
        </w:rPr>
        <w:drawing>
          <wp:inline distT="0" distB="0" distL="0" distR="0" wp14:anchorId="35CE44BF" wp14:editId="45301493">
            <wp:extent cx="4114800" cy="2880360"/>
            <wp:effectExtent l="0" t="0" r="0" b="0"/>
            <wp:docPr id="4" name="Schaubild 4" descr="Zwölfmonats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haubild 4" descr="Zwölfmonatsplan"/>
                    <pic:cNvPicPr>
                      <a:picLocks noChangeAspect="1" noChangeArrowheads="1"/>
                    </pic:cNvPicPr>
                  </pic:nvPicPr>
                  <pic:blipFill>
                    <a:blip r:embed="rId13"/>
                    <a:stretch>
                      <a:fillRect/>
                    </a:stretch>
                  </pic:blipFill>
                  <pic:spPr bwMode="auto">
                    <a:xfrm>
                      <a:off x="0" y="0"/>
                      <a:ext cx="4114800" cy="2880360"/>
                    </a:xfrm>
                    <a:prstGeom prst="rect">
                      <a:avLst/>
                    </a:prstGeom>
                    <a:noFill/>
                  </pic:spPr>
                </pic:pic>
              </a:graphicData>
            </a:graphic>
          </wp:inline>
        </w:drawing>
      </w:r>
    </w:p>
    <w:p w14:paraId="7ED2383C" w14:textId="77777777" w:rsidR="001F7233" w:rsidRDefault="00000000">
      <w:pPr>
        <w:pStyle w:val="Heading3"/>
        <w:keepNext/>
        <w:keepLines/>
      </w:pPr>
      <w:r>
        <w:lastRenderedPageBreak/>
        <w:t>Welche Zusatzprüfung betrifft dich?</w:t>
      </w:r>
    </w:p>
    <w:p w14:paraId="61C45E51" w14:textId="77777777" w:rsidR="001F7233" w:rsidRDefault="00000000">
      <w:r>
        <w:t>Allein: Kann dein Budget eine Wohnung allein tragen, wer hilft in den ersten Wochen und wer ist in Deutschland im Notfall erreichbar?</w:t>
      </w:r>
    </w:p>
    <w:p w14:paraId="45632177" w14:textId="77777777" w:rsidR="001F7233" w:rsidRDefault="00000000">
      <w:r>
        <w:t>Mit Partner oder Kindern: Prüfe die Arbeitsrechte jedes Erwachsenen, Sorgerecht und Zustimmung zur Ausreise, Schul- und Betreuungskosten sowie Gesundheitsunterlagen. Familienmitglieder erhalten nicht automatisch identische Rechte.</w:t>
      </w:r>
    </w:p>
    <w:p w14:paraId="0707BC7C" w14:textId="77777777" w:rsidR="001F7233" w:rsidRDefault="00000000">
      <w:r>
        <w:t>Im Ruhestand: Aufenthaltsrecht, Einkommen, Besteuerung deutscher Renten, Wechselkursrisiko, Gesundheitsversorgung und Rückkehrfähigkeit gemeinsam rechnen. Vermögen allein schafft keinen Einwanderungsweg.</w:t>
      </w:r>
    </w:p>
    <w:p w14:paraId="4ED683E3" w14:textId="77777777" w:rsidR="001F7233" w:rsidRDefault="00000000">
      <w:r>
        <w:t>Als Fachkraft: Trenne Anerkennung, Berufslizenz, Visum und Einstellung. Prüfe Sponsor, Stellenanforderungen und mögliche Bindung an den Arbeitgeber.</w:t>
      </w:r>
    </w:p>
    <w:p w14:paraId="168E8711" w14:textId="77777777" w:rsidR="001F7233" w:rsidRDefault="00000000">
      <w:pPr>
        <w:pStyle w:val="Heading3"/>
      </w:pPr>
      <w:r>
        <w:t>Fehler, die später teuer werden</w:t>
      </w:r>
    </w:p>
    <w:p w14:paraId="74E0445B" w14:textId="77777777" w:rsidR="001F7233" w:rsidRDefault="00000000">
      <w:r>
        <w:t>Antrag eingereicht heißt nicht genehmigt: Kündige nicht auf dieser Grundlage. Bruttogehälter sind nicht vergleichbar, bevor Steuer, Pflichtbeiträge, Gesundheit, Wohnort und Betreuung abgezogen sind. Anerkennung ist keine Berufszulassung. Ein Partner darf nicht automatisch arbeiten; Remote-Arbeit ist nicht überall erlaubt. Haus, Schule und Container solltest du nicht verbindlich buchen, bevor Status und Zielregion feststehen.</w:t>
      </w:r>
    </w:p>
    <w:p w14:paraId="5AAB4534" w14:textId="77777777" w:rsidR="001F7233" w:rsidRDefault="00000000">
      <w:r>
        <w:t xml:space="preserve">HÄUFIGER FEHLER: Nach der Länderwahl alle vier Länderpfade parallel lesen. Wechsle in den gewählten Pfad. Gemeinsame Alltagsthemen sind einmal gesammelt: </w:t>
      </w:r>
      <w:hyperlink w:anchor="Gemeinsame_Alltagsthemen">
        <w:r w:rsidR="001F7233">
          <w:rPr>
            <w:color w:val="0563C1"/>
            <w:u w:val="single"/>
          </w:rPr>
          <w:t>zum gemeinsamen Abschnitt</w:t>
        </w:r>
      </w:hyperlink>
    </w:p>
    <w:p w14:paraId="778AB653" w14:textId="77777777" w:rsidR="001F7233" w:rsidRDefault="00000000">
      <w:pPr>
        <w:pStyle w:val="Heading3"/>
      </w:pPr>
      <w:r>
        <w:t>Die ersten zehn Tage: direkt zum Länderpfad</w:t>
      </w:r>
    </w:p>
    <w:p w14:paraId="1F819793" w14:textId="77777777" w:rsidR="001F7233" w:rsidRDefault="00000000">
      <w:r>
        <w:t>Öffne nach der Wahl nur die passende Ankunftscheckliste:</w:t>
      </w:r>
    </w:p>
    <w:p w14:paraId="49A09AF9" w14:textId="77777777" w:rsidR="001F7233" w:rsidRDefault="001F7233">
      <w:hyperlink w:anchor="k23">
        <w:r>
          <w:rPr>
            <w:color w:val="0563C1"/>
            <w:u w:val="single"/>
          </w:rPr>
          <w:t>USA: Status, Sozialversicherungsnummer, Versicherung und Ankommen</w:t>
        </w:r>
      </w:hyperlink>
    </w:p>
    <w:p w14:paraId="3166219E" w14:textId="77777777" w:rsidR="001F7233" w:rsidRDefault="001F7233">
      <w:hyperlink w:anchor="tka06">
        <w:r>
          <w:rPr>
            <w:color w:val="0563C1"/>
            <w:u w:val="single"/>
          </w:rPr>
          <w:t>Kanada: Provinz, Gesundheitsdeckung und Behördenwege</w:t>
        </w:r>
      </w:hyperlink>
    </w:p>
    <w:p w14:paraId="3624781A" w14:textId="77777777" w:rsidR="001F7233" w:rsidRDefault="001F7233">
      <w:hyperlink w:anchor="tau06">
        <w:r>
          <w:rPr>
            <w:color w:val="0563C1"/>
            <w:u w:val="single"/>
          </w:rPr>
          <w:t>Australien: Tax File Number, Medicare/Versicherung und Ankommen</w:t>
        </w:r>
      </w:hyperlink>
    </w:p>
    <w:p w14:paraId="30203EC9" w14:textId="77777777" w:rsidR="001F7233" w:rsidRDefault="001F7233">
      <w:hyperlink w:anchor="tnz06">
        <w:r>
          <w:rPr>
            <w:color w:val="0563C1"/>
            <w:u w:val="single"/>
          </w:rPr>
          <w:t>Neuseeland: IRD-Nummer, Gesundheit und erste Einrichtung</w:t>
        </w:r>
      </w:hyperlink>
    </w:p>
    <w:p w14:paraId="6015677B" w14:textId="77777777" w:rsidR="001F7233" w:rsidRDefault="00000000">
      <w:pPr>
        <w:pStyle w:val="Heading3"/>
      </w:pPr>
      <w:r>
        <w:t>So benutzt du den Rest des Buches</w:t>
      </w:r>
    </w:p>
    <w:p w14:paraId="302FB7F2" w14:textId="77777777" w:rsidR="001F7233" w:rsidRDefault="00000000">
      <w:r>
        <w:t>Beginne mit dem gemeinsamen Teil zu Entscheidung, Deutschland vor dem Abflug und möglicher Rückkehr. Danach führt jeder Länderpfad direkt durch Aufenthalt, Arbeit, Familie, Kosten und Ankunft. Wenn dein Zielland feststeht, lies den gemeinsamen Teil und anschließend nur den passenden Länderpfad. Der USA-Pfad behandelt Visum und Status besonders ausführlich.</w:t>
      </w:r>
    </w:p>
    <w:p w14:paraId="31B085B9" w14:textId="77777777" w:rsidR="001F7233" w:rsidRDefault="00000000">
      <w:r>
        <w:t>Drei Zeichen reichen. „Kurz gesagt“ ist die Zusammenfassung. „Achtung“ ist das Risiko, das Geld oder Status kostet. „Zum Abhaken“ ist der nächste Schritt. Offizielle Quellen belegen Regeln; Datenquellen beschreiben Messwerte und Bezugsgruppen. Zahlen gelten für ihr Stand-Datum. Regeln, Gebühren und Fristen beruhen auf genannten Quellen und dem angegebenen Stand. Rechenbeispiele nennen ihre Annahmen. Die Praxisbeispiele sind typische Planungsverläufe, keine dokumentierten Einzelfälle und keine Personenprofile.</w:t>
      </w:r>
    </w:p>
    <w:p w14:paraId="5C06D6A2" w14:textId="77777777" w:rsidR="001F7233" w:rsidRDefault="00000000">
      <w:r>
        <w:t>JETZT TUN: Wähle eine Route, die deinen Aufenthaltszweck trägt. Schreibe drei offene Fragen auf, notiere die passende Stelle und setze einen Termin zur Klärung. Erst dann wird aus dem Wunsch ein prüfbarer Plan.</w:t>
      </w:r>
      <w:r>
        <w:br w:type="page"/>
      </w:r>
    </w:p>
    <w:p w14:paraId="0D64E92F" w14:textId="77777777" w:rsidR="001F7233" w:rsidRDefault="00000000">
      <w:pPr>
        <w:pStyle w:val="Heading2"/>
        <w:keepNext/>
        <w:spacing w:line="341" w:lineRule="auto"/>
        <w:jc w:val="center"/>
      </w:pPr>
      <w:bookmarkStart w:id="2" w:name="s1"/>
      <w:r>
        <w:rPr>
          <w:rFonts w:ascii="Amazon Ember" w:eastAsia="Amazon Ember" w:hAnsi="Amazon Ember" w:cs="Amazon Ember"/>
          <w:color w:val="0000FF"/>
          <w:sz w:val="36"/>
          <w:szCs w:val="36"/>
        </w:rPr>
        <w:lastRenderedPageBreak/>
        <w:t>Vorwort</w:t>
      </w:r>
      <w:bookmarkEnd w:id="2"/>
    </w:p>
    <w:p w14:paraId="73526BDD" w14:textId="77777777" w:rsidR="001F7233" w:rsidRDefault="00000000">
      <w:r>
        <w:t>Ich bin selbst zwischen Deutschland und den USA ausgewandert. Meine Erfahrung prägt vor allem den USA-Teil. Die Angaben zu Kanada, Australien und Neuseeland beruhen auf den offiziellen Quellen, die ich im jeweiligen Kapitel nenne.</w:t>
      </w:r>
    </w:p>
    <w:p w14:paraId="3C00FB8A" w14:textId="77777777" w:rsidR="001F7233" w:rsidRDefault="00000000">
      <w:pPr>
        <w:spacing w:after="140"/>
      </w:pPr>
      <w:r>
        <w:t>Das Buch begann als USA-Ratgeber. Jetzt gibt es zusätzlich einen gemeinsamen Teil zur Entscheidung und Ausreise aus Deutschland sowie eigene Pfade für Kanada, Australien und Neuseeland. Wiederholte Alltagskapitel in den Länderpfaden sind Absicht: Wer nur einen Pfad liest, soll Wohnung, Gesundheit und Ankunft nicht im anderen Land suchen. Wer alle vier Pfade am Stück liest, überspringt die Wiederholung.</w:t>
      </w:r>
    </w:p>
    <w:p w14:paraId="0CBEB986" w14:textId="77777777" w:rsidR="001F7233" w:rsidRDefault="00000000">
      <w:pPr>
        <w:spacing w:after="140"/>
      </w:pPr>
      <w:r>
        <w:t>Vier Dinge solltest du wissen.</w:t>
      </w:r>
    </w:p>
    <w:p w14:paraId="0BDFFBBC" w14:textId="77777777" w:rsidR="001F7233" w:rsidRDefault="00000000">
      <w:pPr>
        <w:spacing w:after="140"/>
      </w:pPr>
      <w:r>
        <w:t>Erstens: Regeln ändern sich. Darum stehen bei veränderlichen Angaben Datum und Quelle. Ein Gesetz gilt ab seinem Inkrafttreten. Eine Verordnung gilt ab ihrem Startdatum. Ein Vorschlag ist noch kein Recht. Behördenhinweise zeigen, wie die Behörde Regeln derzeit anwendet. Gerichte können Regeln aussetzen oder aufheben. Regierungen können manche Verordnungen und Behörden-Prioritäten ändern, aber keine gesetzlichen Quoten oder Voraussetzungen mit einer Pressemitteilung. Prüfe bei einem Urteil den genauen Beschluss, für wen und wo er gilt und ob es später eine Aussetzung oder Berufung gab.</w:t>
      </w:r>
    </w:p>
    <w:p w14:paraId="2AC91BA9" w14:textId="77777777" w:rsidR="001F7233" w:rsidRDefault="00000000">
      <w:pPr>
        <w:spacing w:after="140"/>
      </w:pPr>
      <w:r>
        <w:t>Zweitens: Jedes Land hat große regionale Unterschiede. Die USA haben 50 Bundesstaaten, Kanada 10 Provinzen und 3 Territorien, Australien 6 Bundesstaaten und mehrere Territorien. Auch Neuseeland kennt regionale Regeln. Führerschein, Schule, Steuer und Mietrecht hängen oft vom Wohnort ab. Prüfe deshalb die Regel für deinen Bundesstaat, deine Provinz oder dein Territorium.</w:t>
      </w:r>
    </w:p>
    <w:p w14:paraId="0036FD5D" w14:textId="77777777" w:rsidR="001F7233" w:rsidRDefault="00000000">
      <w:pPr>
        <w:spacing w:after="140"/>
      </w:pPr>
      <w:r>
        <w:t xml:space="preserve">Drittens: Die vier Länder bieten nicht dieselbe Mischung. Einen leichten Weg zum Daueraufenthalt, ein staatliches </w:t>
      </w:r>
      <w:r>
        <w:lastRenderedPageBreak/>
        <w:t>Gesundheitssystem, Nähe zu Deutschland und ein hohes Gehalt bekommst du nicht alles zugleich. Nutze den Vergleich, um deine Prioritäten zu setzen. Wenn du dich entschieden hast, lies nur den Pfad für dieses Land.</w:t>
      </w:r>
    </w:p>
    <w:p w14:paraId="58A27987" w14:textId="77777777" w:rsidR="001F7233" w:rsidRDefault="00000000">
      <w:pPr>
        <w:spacing w:after="140"/>
      </w:pPr>
      <w:r>
        <w:t>Viertens: Dieses Buch ersetzt keine Beratung. Lass dich bei Visum, Steuer, Hauskauf und Altersvorsorge von Fachleuten beraten, die deinen Fall kennen. Das Buch hilft dir, gute Fragen zu stellen und Angebote zu prüfen. So erkennst du Risiken, bevor sie teuer werden.</w:t>
      </w:r>
    </w:p>
    <w:p w14:paraId="6C1D1858" w14:textId="77777777" w:rsidR="001F7233" w:rsidRDefault="00000000">
      <w:pPr>
        <w:spacing w:after="140"/>
      </w:pPr>
      <w:r>
        <w:t>Wenn das Buch dir hilft, mit Plan auszuwandern oder bewusst zu bleiben, hat es sein Ziel erreicht. Die deutsche Seite einer späteren Rückkehr steht im gemeinsamen Rückkehrkapitel. Im USA-Pfad bleiben nur die Punkte, die mit Green Card und US-Steuer zusammenhängen. Ich wünsche dir einen klaren Kopf, gute Nerven und einen guten Start.</w:t>
      </w:r>
    </w:p>
    <w:p w14:paraId="333BCA33" w14:textId="77777777" w:rsidR="001F7233" w:rsidRDefault="00000000">
      <w:pPr>
        <w:spacing w:after="140"/>
      </w:pPr>
      <w:r>
        <w:t>Kevin Drew Peters</w:t>
      </w:r>
      <w:r>
        <w:br w:type="page"/>
      </w:r>
    </w:p>
    <w:p w14:paraId="17C8E577" w14:textId="77777777" w:rsidR="001F7233" w:rsidRDefault="00000000">
      <w:pPr>
        <w:pStyle w:val="Heading2"/>
        <w:keepNext/>
        <w:spacing w:line="341" w:lineRule="auto"/>
        <w:jc w:val="center"/>
      </w:pPr>
      <w:bookmarkStart w:id="3" w:name="s2"/>
      <w:r>
        <w:rPr>
          <w:rFonts w:ascii="Amazon Ember" w:eastAsia="Amazon Ember" w:hAnsi="Amazon Ember" w:cs="Amazon Ember"/>
          <w:color w:val="0000FF"/>
          <w:sz w:val="36"/>
          <w:szCs w:val="36"/>
        </w:rPr>
        <w:lastRenderedPageBreak/>
        <w:t>So nutzt du dieses Buch</w:t>
      </w:r>
      <w:bookmarkEnd w:id="3"/>
    </w:p>
    <w:p w14:paraId="1117BF08" w14:textId="77777777" w:rsidR="001F7233" w:rsidRDefault="00000000">
      <w:r>
        <w:t>Prüfe das Datum jeder Zahl. Öffne vor Antrag, Zahlung, Kündigung oder Buchung die verlinkte Behördenseite. Ein Durchschnittswert sagt nicht, was für deinen Fall gilt.</w:t>
      </w:r>
    </w:p>
    <w:p w14:paraId="57083D3E" w14:textId="77777777" w:rsidR="001F7233" w:rsidRDefault="00000000">
      <w:r>
        <w:t>Die Praxisbeispiele zeigen typische Planungsverläufe, keine dokumentierten Einzelfälle oder Personenprofile.</w:t>
      </w:r>
    </w:p>
    <w:p w14:paraId="72225B39" w14:textId="77777777" w:rsidR="001F7233" w:rsidRDefault="00000000">
      <w:r>
        <w:t>Am Ende jedes Kapitels findest du die Quellen zu Gesetzen, Behördenpraxis und Daten. Statistiken nennen Jahr und Bezugsgruppe. Wenn sich Regeln ändern, öffne die Behördenseite und prüfe Jahr, Haushaltstyp und Geltungsbereich.</w:t>
      </w:r>
    </w:p>
    <w:p w14:paraId="2B128289" w14:textId="77777777" w:rsidR="001F7233" w:rsidRDefault="00000000">
      <w:pPr>
        <w:pStyle w:val="Heading1"/>
        <w:keepNext/>
        <w:spacing w:line="341" w:lineRule="auto"/>
        <w:jc w:val="center"/>
      </w:pPr>
      <w:bookmarkStart w:id="4" w:name="rev73h2006"/>
      <w:r>
        <w:rPr>
          <w:rFonts w:ascii="Amazon Ember" w:eastAsia="Amazon Ember" w:hAnsi="Amazon Ember" w:cs="Amazon Ember"/>
          <w:color w:val="0000FF"/>
        </w:rPr>
        <w:lastRenderedPageBreak/>
        <w:t>TEIL UNIVERSAL — Bevor du dich entscheidest</w:t>
      </w:r>
      <w:bookmarkEnd w:id="4"/>
    </w:p>
    <w:p w14:paraId="002679BF" w14:textId="77777777" w:rsidR="001F7233" w:rsidRDefault="00000000">
      <w:pPr>
        <w:pStyle w:val="Heading3"/>
      </w:pPr>
      <w:r>
        <w:t>Noch kein Land gewählt? Folge diesem gemeinsamen Pfad</w:t>
      </w:r>
    </w:p>
    <w:p w14:paraId="5F193BCC" w14:textId="77777777" w:rsidR="001F7233" w:rsidRDefault="00000000">
      <w:pPr>
        <w:spacing w:after="45"/>
        <w:ind w:left="300"/>
      </w:pPr>
      <w:r>
        <w:t>Kläre zuerst, ob ein Umzug zu deiner Lage passt: </w:t>
      </w:r>
      <w:hyperlink w:anchor="t0001">
        <w:r w:rsidR="001F7233">
          <w:rPr>
            <w:color w:val="0563C1"/>
            <w:u w:val="single"/>
          </w:rPr>
          <w:t>Bereitschaft und Grenzen </w:t>
        </w:r>
      </w:hyperlink>
      <w:r>
        <w:t>→ </w:t>
      </w:r>
      <w:hyperlink w:anchor="t0002">
        <w:r w:rsidR="001F7233">
          <w:rPr>
            <w:color w:val="0563C1"/>
            <w:u w:val="single"/>
          </w:rPr>
          <w:t>Ländervergleich</w:t>
        </w:r>
      </w:hyperlink>
      <w:r>
        <w:t>. Vor einer Abreise lies </w:t>
      </w:r>
      <w:hyperlink w:anchor="t0003">
        <w:r w:rsidR="001F7233">
          <w:rPr>
            <w:color w:val="0563C1"/>
            <w:u w:val="single"/>
          </w:rPr>
          <w:t>Deutschland vor dem Abflug </w:t>
        </w:r>
      </w:hyperlink>
      <w:r>
        <w:t>und plane auch die </w:t>
      </w:r>
      <w:hyperlink w:anchor="t0004">
        <w:r w:rsidR="001F7233">
          <w:rPr>
            <w:color w:val="0563C1"/>
            <w:u w:val="single"/>
          </w:rPr>
          <w:t>Rückkehr nach Deutschland</w:t>
        </w:r>
      </w:hyperlink>
      <w:r>
        <w:t>. Sobald du ein Land gewählt hast, öffne nur dessen Pfad.</w:t>
      </w:r>
    </w:p>
    <w:p w14:paraId="6617EFC7" w14:textId="77777777" w:rsidR="001F7233" w:rsidRDefault="00000000">
      <w:pPr>
        <w:spacing w:after="160" w:line="300" w:lineRule="auto"/>
        <w:ind w:left="400" w:right="400"/>
        <w:jc w:val="center"/>
      </w:pPr>
      <w:r>
        <w:rPr>
          <w:i/>
          <w:iCs/>
          <w:sz w:val="24"/>
          <w:szCs w:val="24"/>
        </w:rPr>
        <w:t>Bist du überhaupt bereit für einen Umzug ins Ausland und welches der vier Länder passt zu dir? Dieser Teil klärt beides, bevor du dich in die Tiefe eines einzelnen Länder-Teils stürzt und alles, was mit dem Verlassen Deutschlands zu tun hat, gehört hierher, unabhängig vom Ziel.</w:t>
      </w:r>
    </w:p>
    <w:p w14:paraId="3F569862" w14:textId="77777777" w:rsidR="001F7233" w:rsidRDefault="00000000">
      <w:r>
        <w:br w:type="page"/>
      </w:r>
    </w:p>
    <w:p w14:paraId="3B64B5A4" w14:textId="77777777" w:rsidR="00EA1518" w:rsidRPr="00B8323E" w:rsidRDefault="00EA1518" w:rsidP="00B8323E">
      <w:pPr>
        <w:jc w:val="center"/>
        <w:rPr>
          <w:color w:val="215E99" w:themeColor="text2" w:themeTint="BF"/>
        </w:rPr>
      </w:pPr>
      <w:bookmarkStart w:id="5" w:name="praxisbeispiele_REV112"/>
      <w:bookmarkStart w:id="6" w:name="t0001"/>
      <w:bookmarkEnd w:id="5"/>
      <w:r w:rsidRPr="00B8323E">
        <w:rPr>
          <w:rFonts w:ascii="Calibri" w:eastAsia="Calibri" w:hAnsi="Calibri"/>
          <w:b/>
          <w:color w:val="215E99" w:themeColor="text2" w:themeTint="BF"/>
          <w:sz w:val="32"/>
        </w:rPr>
        <w:lastRenderedPageBreak/>
        <w:t>Praxisbeispiele aus der Auswanderungspraxis</w:t>
      </w:r>
    </w:p>
    <w:p w14:paraId="21991D8F" w14:textId="77777777" w:rsidR="00EA1518" w:rsidRDefault="00EA1518" w:rsidP="00EA1518">
      <w:r>
        <w:t>Die folgenden Verläufe zeigen typische Planungsfehler und Puffer. Sie sind keine Akten und keine Erfolgsgeschichten mit Namen. Übertragbar ist nur die Reihenfolge: Reserve vor Kündigung, Bescheid vor Buchung.</w:t>
      </w:r>
    </w:p>
    <w:p w14:paraId="0A0FCDA5" w14:textId="77777777" w:rsidR="00EA1518" w:rsidRDefault="00EA1518" w:rsidP="00EA1518">
      <w:r>
        <w:rPr>
          <w:rFonts w:ascii="Calibri" w:eastAsia="Calibri" w:hAnsi="Calibri"/>
          <w:b/>
          <w:color w:val="1B3A4B"/>
          <w:sz w:val="26"/>
        </w:rPr>
        <w:t>Praxisbeispiel 1: Erfolgreiche Auswanderung nach Kanada</w:t>
      </w:r>
    </w:p>
    <w:p w14:paraId="1B50EC7D" w14:textId="77777777" w:rsidR="00EA1518" w:rsidRDefault="00EA1518" w:rsidP="00EA1518">
      <w:r>
        <w:t>Ein Haushalt aus Nordrhein-Westfalen plante die Auswanderung nach Kanada mit einem Vorlauf von zwölf Monaten. Eine Person im Haushalt hatte einen gefragten Berufsabschluss und ausreichende Englischkenntnisse.</w:t>
      </w:r>
    </w:p>
    <w:p w14:paraId="0A8D3E12" w14:textId="77777777" w:rsidR="00EA1518" w:rsidRDefault="00EA1518" w:rsidP="00EA1518">
      <w:r>
        <w:rPr>
          <w:rFonts w:ascii="Calibri" w:eastAsia="Calibri" w:hAnsi="Calibri"/>
        </w:rPr>
        <w:t>Während des Einwanderungsverfahrens verzögerte sich jedoch die Anerkennung einzelner Qualifikationsnachweise. Da die Familie bereits frühzeitig finanzielle Reserven eingeplant hatte und wichtige Dokumente vollständig vorbereitet waren, konnten die zusätzlichen Wartezeiten überbrückt werden.</w:t>
      </w:r>
    </w:p>
    <w:p w14:paraId="6792F707" w14:textId="77777777" w:rsidR="00EA1518" w:rsidRDefault="00EA1518" w:rsidP="00EA1518">
      <w:r>
        <w:rPr>
          <w:rFonts w:ascii="Calibri" w:eastAsia="Calibri" w:hAnsi="Calibri"/>
        </w:rPr>
        <w:t>Wichtigste Erkenntnis: Selbst gut vorbereitete Auswanderungen verlaufen selten exakt nach Plan. Zeitliche und finanzielle Reserven gehören daher zu jeder realistischen Planung.</w:t>
      </w:r>
    </w:p>
    <w:p w14:paraId="0C1BB41E" w14:textId="77777777" w:rsidR="00EA1518" w:rsidRDefault="00EA1518" w:rsidP="00EA1518">
      <w:r>
        <w:rPr>
          <w:rFonts w:ascii="Calibri" w:eastAsia="Calibri" w:hAnsi="Calibri"/>
          <w:b/>
        </w:rPr>
        <w:t>Experten-Tipp</w:t>
      </w:r>
    </w:p>
    <w:p w14:paraId="1DD99DF2" w14:textId="77777777" w:rsidR="00EA1518" w:rsidRDefault="00EA1518" w:rsidP="00EA1518">
      <w:r>
        <w:t>Beantrage wichtige Dokumente möglichst frühzeitig. Apostillen, Führungszeugnisse und beglaubigte Übersetzungen brauchen oft deutlich mehr Zeit als erwartet. Bestelle sie nur dort, wo die zuständige Stelle sie verlangt.</w:t>
      </w:r>
    </w:p>
    <w:p w14:paraId="408D057C" w14:textId="77777777" w:rsidR="00EA1518" w:rsidRDefault="00EA1518" w:rsidP="00EA1518">
      <w:r>
        <w:rPr>
          <w:rFonts w:ascii="Calibri" w:eastAsia="Calibri" w:hAnsi="Calibri"/>
          <w:b/>
          <w:color w:val="1B3A4B"/>
          <w:sz w:val="26"/>
        </w:rPr>
        <w:t>Praxisbeispiel 2: Der falsche Visumsweg</w:t>
      </w:r>
    </w:p>
    <w:p w14:paraId="7D184534" w14:textId="77777777" w:rsidR="00EA1518" w:rsidRDefault="00EA1518" w:rsidP="00EA1518">
      <w:r>
        <w:t>Eine Fachkraft erhielt ein attraktives Stellenangebot in den USA und kündigte vorschnell die Arbeitsstelle in Deutschland. Erst später stellte sich heraus, dass der Arbeitgeber das erforderliche Visum nicht unterstützen konnte.</w:t>
      </w:r>
    </w:p>
    <w:p w14:paraId="2723CFF5" w14:textId="77777777" w:rsidR="00EA1518" w:rsidRDefault="00EA1518" w:rsidP="00EA1518">
      <w:r>
        <w:rPr>
          <w:rFonts w:ascii="Calibri" w:eastAsia="Calibri" w:hAnsi="Calibri"/>
        </w:rPr>
        <w:t>Mehrere Monate Planung und erhebliche Kosten waren verloren.</w:t>
      </w:r>
    </w:p>
    <w:p w14:paraId="23EDAB6B" w14:textId="77777777" w:rsidR="00EA1518" w:rsidRDefault="00EA1518" w:rsidP="00EA1518">
      <w:r>
        <w:t>Kündige Arbeit und Mietvertrag erst dann, wenn die rechtliche Grundlage deiner Auswanderung ausreichend gesichert ist.</w:t>
      </w:r>
    </w:p>
    <w:p w14:paraId="6FD5F14C" w14:textId="77777777" w:rsidR="00EA1518" w:rsidRDefault="00EA1518" w:rsidP="00EA1518">
      <w:r>
        <w:rPr>
          <w:rFonts w:ascii="Calibri" w:eastAsia="Calibri" w:hAnsi="Calibri"/>
          <w:b/>
        </w:rPr>
        <w:t>Experten-Tipp</w:t>
      </w:r>
    </w:p>
    <w:p w14:paraId="7D96F11C" w14:textId="77777777" w:rsidR="00EA1518" w:rsidRDefault="00EA1518" w:rsidP="00EA1518">
      <w:r>
        <w:lastRenderedPageBreak/>
        <w:t>Prüfe schriftlich, welche Verpflichtungen ein Arbeitgeber tatsächlich übernimmt und welche Schritte du selbst organisieren musst.</w:t>
      </w:r>
    </w:p>
    <w:p w14:paraId="22ACACCB" w14:textId="77777777" w:rsidR="00EA1518" w:rsidRDefault="00EA1518" w:rsidP="00EA1518">
      <w:r>
        <w:rPr>
          <w:rFonts w:ascii="Calibri" w:eastAsia="Calibri" w:hAnsi="Calibri"/>
          <w:b/>
          <w:color w:val="1B3A4B"/>
          <w:sz w:val="26"/>
        </w:rPr>
        <w:t>Praxisbeispiel 3: Unterschätzte Lebenshaltungskosten</w:t>
      </w:r>
    </w:p>
    <w:p w14:paraId="556DB7B2" w14:textId="77777777" w:rsidR="00EA1518" w:rsidRDefault="00EA1518" w:rsidP="00EA1518">
      <w:r>
        <w:t>Ein Paar im Ruhestand plante die Auswanderung nach Australien auf Basis touristischer Eindrücke und allgemeiner Internetinformationen.</w:t>
      </w:r>
    </w:p>
    <w:p w14:paraId="6D2CFA3C" w14:textId="77777777" w:rsidR="00EA1518" w:rsidRDefault="00EA1518" w:rsidP="00EA1518">
      <w:r>
        <w:rPr>
          <w:rFonts w:ascii="Calibri" w:eastAsia="Calibri" w:hAnsi="Calibri"/>
        </w:rPr>
        <w:t>Vor Ort stellte sich heraus, dass Mieten, Versicherungen und gesundheitliche Zusatzkosten deutlich höher lagen als erwartet. Erst nach einer grundlegenden Überarbeitung des Budgets konnte der dauerhafte Aufenthalt finanziell abgesichert werden.</w:t>
      </w:r>
    </w:p>
    <w:p w14:paraId="7188B014" w14:textId="77777777" w:rsidR="00EA1518" w:rsidRDefault="00EA1518" w:rsidP="00EA1518">
      <w:r>
        <w:t>Verlass dich nicht auf Durchschnittswerte. Kalkuliere mit regionalen Daten für deinen konkreten Zielort.</w:t>
      </w:r>
    </w:p>
    <w:p w14:paraId="23D7D8D7" w14:textId="77777777" w:rsidR="00EA1518" w:rsidRDefault="00EA1518" w:rsidP="00EA1518">
      <w:r>
        <w:rPr>
          <w:rFonts w:ascii="Calibri" w:eastAsia="Calibri" w:hAnsi="Calibri"/>
          <w:b/>
          <w:color w:val="1B3A4B"/>
          <w:sz w:val="26"/>
        </w:rPr>
        <w:t>Praxisbeispiel 4: Erfolgreiche Integration in Neuseeland</w:t>
      </w:r>
    </w:p>
    <w:p w14:paraId="2AA68766" w14:textId="77777777" w:rsidR="00EA1518" w:rsidRDefault="00EA1518" w:rsidP="00EA1518">
      <w:r>
        <w:rPr>
          <w:rFonts w:ascii="Calibri" w:eastAsia="Calibri" w:hAnsi="Calibri"/>
        </w:rPr>
        <w:t>Nach ihrer Einwanderung konzentrierte sich eine Familie zunächst ausschließlich auf Wohnung, Schule und Arbeit. Soziale Kontakte wurden kaum aufgebaut.</w:t>
      </w:r>
    </w:p>
    <w:p w14:paraId="51A51EFB" w14:textId="77777777" w:rsidR="00EA1518" w:rsidRDefault="00EA1518" w:rsidP="00EA1518">
      <w:r>
        <w:rPr>
          <w:rFonts w:ascii="Calibri" w:eastAsia="Calibri" w:hAnsi="Calibri"/>
        </w:rPr>
        <w:t>Erst durch den Beitritt zu Sportvereinen, Elterninitiativen und lokalen Veranstaltungen entwickelte sich innerhalb weniger Monate ein soziales Netzwerk.</w:t>
      </w:r>
    </w:p>
    <w:p w14:paraId="46A27599" w14:textId="77777777" w:rsidR="00EA1518" w:rsidRDefault="00EA1518" w:rsidP="00EA1518">
      <w:r>
        <w:t>Wichtigste Erkenntnis: Integration beginnt nicht automatisch nach der Einreise. Sie verlangt, dass du am gesellschaftlichen Leben mitmachst.</w:t>
      </w:r>
    </w:p>
    <w:p w14:paraId="6186566E" w14:textId="77777777" w:rsidR="00EA1518" w:rsidRDefault="00EA1518" w:rsidP="00EA1518">
      <w:bookmarkStart w:id="7" w:name="integration_REV112"/>
      <w:r>
        <w:rPr>
          <w:rFonts w:ascii="Calibri" w:eastAsia="Calibri" w:hAnsi="Calibri"/>
          <w:b/>
          <w:color w:val="1B3A4B"/>
          <w:sz w:val="32"/>
        </w:rPr>
        <w:t>Integration und langfristige Lebensplanung</w:t>
      </w:r>
      <w:bookmarkEnd w:id="7"/>
    </w:p>
    <w:p w14:paraId="79AEB0B8" w14:textId="77777777" w:rsidR="00EA1518" w:rsidRDefault="00EA1518" w:rsidP="00EA1518">
      <w:r>
        <w:t>Die Länderpfade behandeln Freunde, Kulturschock, Familie und Alltag im Einzelnen. Für die USA stehen die Details in den Kapiteln 32 und 33.</w:t>
      </w:r>
    </w:p>
    <w:p w14:paraId="270D8A43" w14:textId="77777777" w:rsidR="00B8323E" w:rsidRDefault="00B8323E">
      <w:pPr>
        <w:spacing w:line="240" w:lineRule="auto"/>
        <w:rPr>
          <w:rFonts w:ascii="Calibri" w:eastAsia="Calibri" w:hAnsi="Calibri"/>
          <w:b/>
          <w:color w:val="1B3A4B"/>
          <w:sz w:val="32"/>
        </w:rPr>
      </w:pPr>
      <w:bookmarkStart w:id="8" w:name="fehler20_REV112"/>
      <w:r>
        <w:rPr>
          <w:rFonts w:ascii="Calibri" w:eastAsia="Calibri" w:hAnsi="Calibri"/>
          <w:b/>
          <w:color w:val="1B3A4B"/>
          <w:sz w:val="32"/>
        </w:rPr>
        <w:br w:type="page"/>
      </w:r>
    </w:p>
    <w:p w14:paraId="3DBE7F3A" w14:textId="41319AD4" w:rsidR="00EA1518" w:rsidRPr="00B8323E" w:rsidRDefault="00EA1518" w:rsidP="00B8323E">
      <w:pPr>
        <w:jc w:val="center"/>
        <w:rPr>
          <w:color w:val="215E99" w:themeColor="text2" w:themeTint="BF"/>
        </w:rPr>
      </w:pPr>
      <w:r w:rsidRPr="00B8323E">
        <w:rPr>
          <w:rFonts w:ascii="Calibri" w:eastAsia="Calibri" w:hAnsi="Calibri"/>
          <w:b/>
          <w:color w:val="215E99" w:themeColor="text2" w:themeTint="BF"/>
          <w:sz w:val="32"/>
        </w:rPr>
        <w:lastRenderedPageBreak/>
        <w:t>Die 20 häufigsten Auswanderungsfehler</w:t>
      </w:r>
      <w:bookmarkEnd w:id="8"/>
    </w:p>
    <w:p w14:paraId="50239BA0" w14:textId="77777777" w:rsidR="00EA1518" w:rsidRDefault="00EA1518" w:rsidP="00EA1518">
      <w:r>
        <w:rPr>
          <w:rFonts w:ascii="Calibri" w:eastAsia="Calibri" w:hAnsi="Calibri"/>
          <w:b/>
          <w:color w:val="1B3A4B"/>
          <w:sz w:val="26"/>
        </w:rPr>
        <w:t>Fehler 1: Zu wenig finanzielle Rücklagen</w:t>
      </w:r>
    </w:p>
    <w:p w14:paraId="011634E0" w14:textId="77777777" w:rsidR="00EA1518" w:rsidRDefault="00EA1518" w:rsidP="00EA1518">
      <w:r>
        <w:rPr>
          <w:rFonts w:ascii="Calibri" w:eastAsia="Calibri" w:hAnsi="Calibri"/>
        </w:rPr>
        <w:t>Viele rechnen Flug, erste Miete und Umzug. Offen bleiben Kaution, Wartezeit bis zum ersten Gehalt, Versicherungslücke, Auto und ein schlechterer Wechselkurs. Eine Rücklage, die am pünktlichen Lohn hängt, ist keine Rücklage.</w:t>
      </w:r>
    </w:p>
    <w:p w14:paraId="4BF7307E" w14:textId="77777777" w:rsidR="00EA1518" w:rsidRDefault="00EA1518" w:rsidP="00EA1518">
      <w:r>
        <w:rPr>
          <w:rFonts w:ascii="Calibri" w:eastAsia="Calibri" w:hAnsi="Calibri"/>
        </w:rPr>
        <w:t>So vermeidest du den Fehler: Rechne sechs bis zwölf Monate unvermeidbare Kosten am Zielort. Führe Notfallgeld getrennt. Kündige erst, wenn diese Reserve auf dem Konto liegt, nicht nur auf dem Papier.</w:t>
      </w:r>
    </w:p>
    <w:p w14:paraId="650C37AD" w14:textId="77777777" w:rsidR="00EA1518" w:rsidRDefault="00EA1518" w:rsidP="00EA1518">
      <w:r>
        <w:rPr>
          <w:rFonts w:ascii="Calibri" w:eastAsia="Calibri" w:hAnsi="Calibri"/>
          <w:b/>
          <w:color w:val="1B3A4B"/>
          <w:sz w:val="26"/>
        </w:rPr>
        <w:t>Fehler 2: Lebenshaltungskosten unterschätzt</w:t>
      </w:r>
    </w:p>
    <w:p w14:paraId="20C0CE5A" w14:textId="77777777" w:rsidR="00EA1518" w:rsidRDefault="00EA1518" w:rsidP="00EA1518">
      <w:r>
        <w:rPr>
          <w:rFonts w:ascii="Calibri" w:eastAsia="Calibri" w:hAnsi="Calibri"/>
        </w:rPr>
        <w:t>Ein Landesdurchschnitt ist kein Budget für deine Stadt. Miete, Krankenversicherung, Betreuung und Fahrtkosten unterscheiden sich innerhalb eines Landes stärker als zwischen den Ländern.</w:t>
      </w:r>
    </w:p>
    <w:p w14:paraId="1FB918C1" w14:textId="77777777" w:rsidR="00EA1518" w:rsidRDefault="00EA1518" w:rsidP="00EA1518">
      <w:r>
        <w:rPr>
          <w:rFonts w:ascii="Calibri" w:eastAsia="Calibri" w:hAnsi="Calibri"/>
        </w:rPr>
        <w:t>So vermeidest du den Fehler: Hole Mietangebote und Versicherungszahlen für zwei oder drei konkrete Orte ein. Rechne ein normales und ein teures Jahr. Rechenannahme, kein Fall: Sechs Monate Reserve reichen nicht, wenn die Jobsuche neun Monate dauert. Die Differenz ist der Betrag, der einen Notverkauf verhindert.</w:t>
      </w:r>
    </w:p>
    <w:p w14:paraId="1AF77796" w14:textId="77777777" w:rsidR="00EA1518" w:rsidRDefault="00EA1518" w:rsidP="00EA1518">
      <w:r>
        <w:rPr>
          <w:rFonts w:ascii="Calibri" w:eastAsia="Calibri" w:hAnsi="Calibri"/>
          <w:b/>
          <w:color w:val="1B3A4B"/>
          <w:sz w:val="26"/>
        </w:rPr>
        <w:t>Fehler 3: Das falsche Visum</w:t>
      </w:r>
    </w:p>
    <w:p w14:paraId="22B3764F" w14:textId="77777777" w:rsidR="00EA1518" w:rsidRDefault="00EA1518" w:rsidP="00EA1518">
      <w:r>
        <w:rPr>
          <w:rFonts w:ascii="Calibri" w:eastAsia="Calibri" w:hAnsi="Calibri"/>
        </w:rPr>
        <w:t>Ein Stellenangebot, eine Einladung oder ein Punktewert ist noch keine Genehmigung. Der Weg muss zu Pass, Alter, Beruf, Familie und Arbeitsform passen. Touristenstatus erlaubt die Arbeit nicht.</w:t>
      </w:r>
    </w:p>
    <w:p w14:paraId="59CE6CBF" w14:textId="77777777" w:rsidR="00EA1518" w:rsidRDefault="00EA1518" w:rsidP="00EA1518">
      <w:r>
        <w:t>So vermeidest du den Fehler: Schreibe Kategorie, fehlenden Nachweis und zuständige Behörde auf, bevor du kündigst. Rechenannahme, kein Fall: Wer nach einem US-Angebot kündigt, bevor die Petition trägt, bleibt ohne Einkommen, wenn die Bearbeitung sich zieht oder der Arbeitgeber die Unterstützung zurückzieht.</w:t>
      </w:r>
    </w:p>
    <w:p w14:paraId="5F2EB021" w14:textId="77777777" w:rsidR="00EA1518" w:rsidRDefault="00EA1518" w:rsidP="00EA1518">
      <w:r>
        <w:rPr>
          <w:rFonts w:ascii="Calibri" w:eastAsia="Calibri" w:hAnsi="Calibri"/>
          <w:b/>
          <w:color w:val="1B3A4B"/>
          <w:sz w:val="26"/>
        </w:rPr>
        <w:t>Fehler 4: Dokumente zu spät</w:t>
      </w:r>
    </w:p>
    <w:p w14:paraId="1D27CC8A" w14:textId="77777777" w:rsidR="00EA1518" w:rsidRDefault="00EA1518" w:rsidP="00EA1518">
      <w:r>
        <w:rPr>
          <w:rFonts w:ascii="Calibri" w:eastAsia="Calibri" w:hAnsi="Calibri"/>
        </w:rPr>
        <w:t>Führungszeugnis, Urkunden, Apostille und beglaubigte Übersetzung haben eigene Fristen. Ein Antrag ohne das verlangte Papier bleibt liegen.</w:t>
      </w:r>
    </w:p>
    <w:p w14:paraId="1ADE88DA" w14:textId="77777777" w:rsidR="00EA1518" w:rsidRDefault="00EA1518" w:rsidP="00EA1518">
      <w:r>
        <w:rPr>
          <w:rFonts w:ascii="Calibri" w:eastAsia="Calibri" w:hAnsi="Calibri"/>
        </w:rPr>
        <w:lastRenderedPageBreak/>
        <w:t>So vermeidest du den Fehler: Bestelle Pässe und Führungszeugnis, sobald der Weg feststeht. Apostille und Übersetzung nur dort, wo die Stelle sie verlangt. Lege Kopien an zwei geschützten Orten ab.</w:t>
      </w:r>
    </w:p>
    <w:p w14:paraId="6634C7F1" w14:textId="77777777" w:rsidR="00EA1518" w:rsidRDefault="00EA1518" w:rsidP="00EA1518">
      <w:r>
        <w:rPr>
          <w:rFonts w:ascii="Calibri" w:eastAsia="Calibri" w:hAnsi="Calibri"/>
          <w:b/>
          <w:color w:val="1B3A4B"/>
          <w:sz w:val="26"/>
        </w:rPr>
        <w:t>Fehler 5: Anerkennung nicht geprüft</w:t>
      </w:r>
    </w:p>
    <w:p w14:paraId="11E763F6" w14:textId="77777777" w:rsidR="00EA1518" w:rsidRDefault="00EA1518" w:rsidP="00EA1518">
      <w:r>
        <w:rPr>
          <w:rFonts w:ascii="Calibri" w:eastAsia="Calibri" w:hAnsi="Calibri"/>
        </w:rPr>
        <w:t>Eine deutsche Ausbildung ist nicht automatisch die Berufserlaubnis. Einwanderung und Zulassung sind zwei Verfahren, oft bei zwei Stellen.</w:t>
      </w:r>
    </w:p>
    <w:p w14:paraId="74F28E0F" w14:textId="77777777" w:rsidR="00EA1518" w:rsidRDefault="00EA1518" w:rsidP="00EA1518">
      <w:r>
        <w:t>So vermeidest du den Fehler: Öffne die Seite der Zulassungsstelle, bevor du den Abflug planst. Notiere Dauer, Gebühr und fehlende Nachweise. Bei reglementierten Berufen ist das der erste Schritt, nicht der letzte.</w:t>
      </w:r>
    </w:p>
    <w:p w14:paraId="1840D069" w14:textId="77777777" w:rsidR="00EA1518" w:rsidRDefault="00EA1518" w:rsidP="00EA1518">
      <w:r>
        <w:rPr>
          <w:rFonts w:ascii="Calibri" w:eastAsia="Calibri" w:hAnsi="Calibri"/>
          <w:b/>
          <w:color w:val="1B3A4B"/>
          <w:sz w:val="26"/>
        </w:rPr>
        <w:t>Fehler 6: Sprachkenntnisse überschätzt</w:t>
      </w:r>
    </w:p>
    <w:p w14:paraId="09880279" w14:textId="77777777" w:rsidR="00EA1518" w:rsidRDefault="00EA1518" w:rsidP="00EA1518">
      <w:r>
        <w:rPr>
          <w:rFonts w:ascii="Calibri" w:eastAsia="Calibri" w:hAnsi="Calibri"/>
        </w:rPr>
        <w:t>Urlaubsenglisch trägt Small Talk, selten den Behördentermin oder das Fachgespräch. Ein guter Sprachtest hilft im Punktesystem, ersetzt aber nicht den Alltag.</w:t>
      </w:r>
    </w:p>
    <w:p w14:paraId="41D38385" w14:textId="77777777" w:rsidR="00EA1518" w:rsidRDefault="00EA1518" w:rsidP="00EA1518">
      <w:r>
        <w:rPr>
          <w:rFonts w:ascii="Calibri" w:eastAsia="Calibri" w:hAnsi="Calibri"/>
        </w:rPr>
        <w:t>So vermeidest du den Fehler: Prüfe den verlangten Test und das Niveau für deinen Beruf. Übe Formulare und ein echtes Gespräch, nicht nur Serien.</w:t>
      </w:r>
    </w:p>
    <w:p w14:paraId="6A695B8E" w14:textId="77777777" w:rsidR="00EA1518" w:rsidRDefault="00EA1518" w:rsidP="00EA1518">
      <w:r>
        <w:rPr>
          <w:rFonts w:ascii="Calibri" w:eastAsia="Calibri" w:hAnsi="Calibri"/>
          <w:b/>
          <w:color w:val="1B3A4B"/>
          <w:sz w:val="26"/>
        </w:rPr>
        <w:t>Fehler 7: Steuerfolgen ignoriert</w:t>
      </w:r>
    </w:p>
    <w:p w14:paraId="66EA5969" w14:textId="77777777" w:rsidR="00EA1518" w:rsidRDefault="00EA1518" w:rsidP="00EA1518">
      <w:r>
        <w:rPr>
          <w:rFonts w:ascii="Calibri" w:eastAsia="Calibri" w:hAnsi="Calibri"/>
        </w:rPr>
        <w:t>Wegzug beendet nicht jede deutsche Pflicht. In den USA kann die Steuerpflicht an der Green Card hängen, auch nach dem Auszug. Die anderen Länder knüpfen sie meist an die Ansässigkeit, besteuern aber Einkünfte aus dem Land weiter.</w:t>
      </w:r>
    </w:p>
    <w:p w14:paraId="4774F087" w14:textId="77777777" w:rsidR="00EA1518" w:rsidRDefault="00EA1518" w:rsidP="00EA1518">
      <w:r>
        <w:rPr>
          <w:rFonts w:ascii="Calibri" w:eastAsia="Calibri" w:hAnsi="Calibri"/>
        </w:rPr>
        <w:t>So vermeidest du den Fehler: Lass Wegzug, Depot, Rente und das Zielland vor der Abmeldung von einer Steuerfachperson prüfen. Trenne Visum und Steuerstatus.</w:t>
      </w:r>
    </w:p>
    <w:p w14:paraId="6C3C4DA5" w14:textId="77777777" w:rsidR="00EA1518" w:rsidRDefault="00EA1518" w:rsidP="00EA1518">
      <w:r>
        <w:rPr>
          <w:rFonts w:ascii="Calibri" w:eastAsia="Calibri" w:hAnsi="Calibri"/>
          <w:b/>
          <w:color w:val="1B3A4B"/>
          <w:sz w:val="26"/>
        </w:rPr>
        <w:t>Fehler 8: Krankenversicherung und Gesundheitskosten</w:t>
      </w:r>
    </w:p>
    <w:p w14:paraId="607BB4A4" w14:textId="77777777" w:rsidR="00EA1518" w:rsidRDefault="00EA1518" w:rsidP="00EA1518">
      <w:r>
        <w:rPr>
          <w:rFonts w:ascii="Calibri" w:eastAsia="Calibri" w:hAnsi="Calibri"/>
        </w:rPr>
        <w:t>Zwischen deutscher Kasse und Zielsystem liegt oft eine Lücke. In den USA zahlt eine Police nicht jede Rechnung. In Australien gibt es für Deutsche kein automatisches Medicare.</w:t>
      </w:r>
    </w:p>
    <w:p w14:paraId="04CDE19B" w14:textId="77777777" w:rsidR="00EA1518" w:rsidRDefault="00EA1518" w:rsidP="00EA1518">
      <w:r>
        <w:rPr>
          <w:rFonts w:ascii="Calibri" w:eastAsia="Calibri" w:hAnsi="Calibri"/>
        </w:rPr>
        <w:t>So vermeidest du den Fehler: Kläre schriftlich, ab wann der Schutz gilt, was privat bleibt und welche Police die Lücke schließt. Rechne Selbstbehalt und Jahreshöchstbetrag mit, nicht nur den Monatsbeitrag.</w:t>
      </w:r>
    </w:p>
    <w:p w14:paraId="6954AB9B" w14:textId="77777777" w:rsidR="00EA1518" w:rsidRDefault="00EA1518" w:rsidP="00EA1518">
      <w:r>
        <w:rPr>
          <w:rFonts w:ascii="Calibri" w:eastAsia="Calibri" w:hAnsi="Calibri"/>
          <w:b/>
          <w:color w:val="1B3A4B"/>
          <w:sz w:val="26"/>
        </w:rPr>
        <w:lastRenderedPageBreak/>
        <w:t>Fehler 9: Arbeitsmarkt nicht geprüft</w:t>
      </w:r>
    </w:p>
    <w:p w14:paraId="70485144" w14:textId="77777777" w:rsidR="00EA1518" w:rsidRDefault="00EA1518" w:rsidP="00EA1518">
      <w:r>
        <w:rPr>
          <w:rFonts w:ascii="Calibri" w:eastAsia="Calibri" w:hAnsi="Calibri"/>
        </w:rPr>
        <w:t>Ein Mangelberuf auf einer Liste ist keine Stelle und keine Lizenz. Gehalt, Sponsor und Region entscheiden, ob der Weg trägt.</w:t>
      </w:r>
    </w:p>
    <w:p w14:paraId="2162967D" w14:textId="77777777" w:rsidR="00EA1518" w:rsidRDefault="00EA1518" w:rsidP="00EA1518">
      <w:r>
        <w:rPr>
          <w:rFonts w:ascii="Calibri" w:eastAsia="Calibri" w:hAnsi="Calibri"/>
        </w:rPr>
        <w:t>So vermeidest du den Fehler: Lies aktuelle Anzeigen in der Zielregion. Prüfe, ob der Arbeitgeber den Visaweg wirklich sponsert. Trenne Listenplatz und Jobzusage.</w:t>
      </w:r>
    </w:p>
    <w:p w14:paraId="5E340BC1" w14:textId="77777777" w:rsidR="00EA1518" w:rsidRDefault="00EA1518" w:rsidP="00EA1518">
      <w:r>
        <w:rPr>
          <w:rFonts w:ascii="Calibri" w:eastAsia="Calibri" w:hAnsi="Calibri"/>
          <w:b/>
          <w:color w:val="1B3A4B"/>
          <w:sz w:val="26"/>
        </w:rPr>
        <w:t>Fehler 10: Miete und Kauf falsch kalkuliert</w:t>
      </w:r>
    </w:p>
    <w:p w14:paraId="0DB3DCDC" w14:textId="77777777" w:rsidR="00EA1518" w:rsidRDefault="00EA1518" w:rsidP="00EA1518">
      <w:r>
        <w:rPr>
          <w:rFonts w:ascii="Calibri" w:eastAsia="Calibri" w:hAnsi="Calibri"/>
        </w:rPr>
        <w:t>Der Kaufpreis ist nicht die Monatslast. Kaution, Nebenkosten, Versicherung, Grundsteuer und Fahrt zum Arbeitsplatz fehlen oft. Küstenlagen tragen zusätzliche Risiken.</w:t>
      </w:r>
    </w:p>
    <w:p w14:paraId="482C8D0F" w14:textId="77777777" w:rsidR="00EA1518" w:rsidRDefault="00EA1518" w:rsidP="00EA1518">
      <w:r>
        <w:rPr>
          <w:rFonts w:ascii="Calibri" w:eastAsia="Calibri" w:hAnsi="Calibri"/>
        </w:rPr>
        <w:t>So vermeidest du den Fehler: Erst mieten und Pendelweg testen. Vergleiche Endmiete inklusive Nebenkosten. Beim Kauf Versicherung, Hochwasser und laufende Hauskosten extra rechnen.</w:t>
      </w:r>
    </w:p>
    <w:p w14:paraId="702C4792" w14:textId="77777777" w:rsidR="00EA1518" w:rsidRDefault="00EA1518" w:rsidP="00EA1518">
      <w:r>
        <w:rPr>
          <w:rFonts w:ascii="Calibri" w:eastAsia="Calibri" w:hAnsi="Calibri"/>
          <w:b/>
          <w:color w:val="1B3A4B"/>
          <w:sz w:val="26"/>
        </w:rPr>
        <w:t>Fehler 11: Partner oder Kinder nicht einbezogen</w:t>
      </w:r>
    </w:p>
    <w:p w14:paraId="6DC2A50C" w14:textId="77777777" w:rsidR="00EA1518" w:rsidRDefault="00EA1518" w:rsidP="00EA1518">
      <w:r>
        <w:rPr>
          <w:rFonts w:ascii="Calibri" w:eastAsia="Calibri" w:hAnsi="Calibri"/>
        </w:rPr>
        <w:t>Widerstand zu Hause ist ein häufiger Abbruchgrund, auch wenn die Zahlen aus der Entsendungsforschung stammen und nicht aus der privaten Auswanderung. Ein Kind ersetzt keinen eigenen Status des Partners.</w:t>
      </w:r>
    </w:p>
    <w:p w14:paraId="5F42A4AF" w14:textId="77777777" w:rsidR="00EA1518" w:rsidRDefault="00EA1518" w:rsidP="00EA1518">
      <w:r>
        <w:rPr>
          <w:rFonts w:ascii="Calibri" w:eastAsia="Calibri" w:hAnsi="Calibri"/>
        </w:rPr>
        <w:t>So vermeidest du den Fehler: Kläre Arbeitsrecht, Schule, Sorgerecht und Zustimmung zur Ausreise mit allen, die mitziehen. Ein Stiefkind erhält durch Heirat nicht automatisch ein Visum.</w:t>
      </w:r>
    </w:p>
    <w:p w14:paraId="1AB4BA00" w14:textId="77777777" w:rsidR="00EA1518" w:rsidRDefault="00EA1518" w:rsidP="00EA1518">
      <w:r>
        <w:rPr>
          <w:rFonts w:ascii="Calibri" w:eastAsia="Calibri" w:hAnsi="Calibri"/>
          <w:b/>
          <w:color w:val="1B3A4B"/>
          <w:sz w:val="26"/>
        </w:rPr>
        <w:t>Fehler 12: Kein Notfallplan</w:t>
      </w:r>
    </w:p>
    <w:p w14:paraId="22503F1C" w14:textId="77777777" w:rsidR="00EA1518" w:rsidRDefault="00EA1518" w:rsidP="00EA1518">
      <w:r>
        <w:rPr>
          <w:rFonts w:ascii="Calibri" w:eastAsia="Calibri" w:hAnsi="Calibri"/>
        </w:rPr>
        <w:t>Visaverzug, Jobverlust, Krankheit oder ein Wechselkurs können den Abflug verschieben. Ohne Alternative wird aus einer Wartezeit eine Kündigung im falschen Moment.</w:t>
      </w:r>
    </w:p>
    <w:p w14:paraId="7B91D5FB" w14:textId="77777777" w:rsidR="00EA1518" w:rsidRDefault="00EA1518" w:rsidP="00EA1518">
      <w:r>
        <w:rPr>
          <w:rFonts w:ascii="Calibri" w:eastAsia="Calibri" w:hAnsi="Calibri"/>
        </w:rPr>
        <w:t>So vermeidest du den Fehler: Lege für Visaverzug, Jobverlust und Krankheit je einen nächsten Schritt fest: Geld, Wohnung in Deutschland, Rückflug. Prüfe den Plan erneut, wenn sich der Bescheid verschiebt.</w:t>
      </w:r>
    </w:p>
    <w:p w14:paraId="24CB02F5" w14:textId="77777777" w:rsidR="00EA1518" w:rsidRDefault="00EA1518" w:rsidP="00EA1518">
      <w:r>
        <w:rPr>
          <w:rFonts w:ascii="Calibri" w:eastAsia="Calibri" w:hAnsi="Calibri"/>
          <w:b/>
          <w:color w:val="1B3A4B"/>
          <w:sz w:val="26"/>
        </w:rPr>
        <w:t>Fehler 13: In Deutschland zu früh gekündigt</w:t>
      </w:r>
    </w:p>
    <w:p w14:paraId="1B3D45C0" w14:textId="77777777" w:rsidR="00EA1518" w:rsidRDefault="00EA1518" w:rsidP="00EA1518">
      <w:r>
        <w:rPr>
          <w:rFonts w:ascii="Calibri" w:eastAsia="Calibri" w:hAnsi="Calibri"/>
        </w:rPr>
        <w:t>Antrag eingereicht heißt nicht genehmigt. Eine nicht erstattbare Buchung vor dem Bescheid macht den Zeitplan starr.</w:t>
      </w:r>
    </w:p>
    <w:p w14:paraId="18A99AF0" w14:textId="77777777" w:rsidR="00EA1518" w:rsidRDefault="00EA1518" w:rsidP="00EA1518">
      <w:r>
        <w:rPr>
          <w:rFonts w:ascii="Calibri" w:eastAsia="Calibri" w:hAnsi="Calibri"/>
        </w:rPr>
        <w:lastRenderedPageBreak/>
        <w:t>So vermeidest du den Fehler: Kündige Arbeit und Wohnung erst, wenn Status, Arbeitserlaubnis und Datum belastbar sind. Flexible Fristen schlagen einen frühen Endtermin.</w:t>
      </w:r>
    </w:p>
    <w:p w14:paraId="3DA9A7E7" w14:textId="77777777" w:rsidR="00EA1518" w:rsidRDefault="00EA1518" w:rsidP="00EA1518">
      <w:r>
        <w:rPr>
          <w:rFonts w:ascii="Calibri" w:eastAsia="Calibri" w:hAnsi="Calibri"/>
          <w:b/>
          <w:color w:val="1B3A4B"/>
          <w:sz w:val="26"/>
        </w:rPr>
        <w:t>Fehler 14: Behördenzeiten unterschätzt</w:t>
      </w:r>
    </w:p>
    <w:p w14:paraId="309B2408" w14:textId="77777777" w:rsidR="00EA1518" w:rsidRDefault="00EA1518" w:rsidP="00EA1518">
      <w:r>
        <w:rPr>
          <w:rFonts w:ascii="Calibri" w:eastAsia="Calibri" w:hAnsi="Calibri"/>
        </w:rPr>
        <w:t>Bearbeitungszeiten sind Orientierung, keine Zusage. Anerkennung, Sicherheitsprüfung und Familienfälle dauern oft länger als der Visumantrag.</w:t>
      </w:r>
    </w:p>
    <w:p w14:paraId="4AC21BF3" w14:textId="77777777" w:rsidR="00EA1518" w:rsidRDefault="00EA1518" w:rsidP="00EA1518">
      <w:r>
        <w:t>So vermeidest du den Fehler: Plane rückwärts und lege den Puffer auf den langsamsten Schritt, nicht auf den schnellsten. Prüfe die aktuelle Behördenzeit vor der Kündigung erneut.</w:t>
      </w:r>
    </w:p>
    <w:p w14:paraId="13B71957" w14:textId="77777777" w:rsidR="00EA1518" w:rsidRDefault="00EA1518" w:rsidP="00EA1518">
      <w:r>
        <w:rPr>
          <w:rFonts w:ascii="Calibri" w:eastAsia="Calibri" w:hAnsi="Calibri"/>
          <w:b/>
          <w:color w:val="1B3A4B"/>
          <w:sz w:val="26"/>
        </w:rPr>
        <w:t>Fehler 15: Soziale Isolation</w:t>
      </w:r>
    </w:p>
    <w:p w14:paraId="7253CCD5" w14:textId="77777777" w:rsidR="00EA1518" w:rsidRDefault="00EA1518" w:rsidP="00EA1518">
      <w:r>
        <w:rPr>
          <w:rFonts w:ascii="Calibri" w:eastAsia="Calibri" w:hAnsi="Calibri"/>
        </w:rPr>
        <w:t>Arbeit und Wohnung ersetzen keinen Kreis. Alleinstehende, mitziehende Partner ohne Stelle und Eltern kleiner Kinder sind besonders gefährdet.</w:t>
      </w:r>
    </w:p>
    <w:p w14:paraId="13E60A5B" w14:textId="77777777" w:rsidR="00EA1518" w:rsidRDefault="00EA1518" w:rsidP="00EA1518">
      <w:r>
        <w:t>So vermeidest du den Fehler: Suche vor dem Umzug eine konkrete Anlaufstelle: Verein, Gemeinde, Elterninitiative oder Berufsnetz. Nach sechs Monaten prüfe, ob du jemanden ohne Anlass anrufen kannst.</w:t>
      </w:r>
    </w:p>
    <w:p w14:paraId="7B280C03" w14:textId="77777777" w:rsidR="00EA1518" w:rsidRDefault="00EA1518" w:rsidP="00EA1518">
      <w:r>
        <w:rPr>
          <w:rFonts w:ascii="Calibri" w:eastAsia="Calibri" w:hAnsi="Calibri"/>
          <w:b/>
          <w:color w:val="1B3A4B"/>
          <w:sz w:val="26"/>
        </w:rPr>
        <w:t>Fehler 16: Kulturelle Unterschiede</w:t>
      </w:r>
    </w:p>
    <w:p w14:paraId="4A61CFD1" w14:textId="77777777" w:rsidR="00EA1518" w:rsidRDefault="00EA1518" w:rsidP="00EA1518">
      <w:r>
        <w:rPr>
          <w:rFonts w:ascii="Calibri" w:eastAsia="Calibri" w:hAnsi="Calibri"/>
        </w:rPr>
        <w:t>Der erste Konflikt ist oft nicht die Sprache, sondern Takt, Direktheit, Termin und Hierarchie. Wer nur den Urlaub kennt, liest den Alltag falsch.</w:t>
      </w:r>
    </w:p>
    <w:p w14:paraId="256E612A" w14:textId="77777777" w:rsidR="00EA1518" w:rsidRDefault="00EA1518" w:rsidP="00EA1518">
      <w:r>
        <w:t>So vermeidest du den Fehler: Lies ungeschönte Berichte und sprich mit Leuten, die dort leben. Trenne Gesetz und Gewohnheit. Das Länderkapitel zu Alltag und Kulturschock ist Pflicht, nicht Anhang.</w:t>
      </w:r>
    </w:p>
    <w:p w14:paraId="169252BD" w14:textId="77777777" w:rsidR="00EA1518" w:rsidRDefault="00EA1518" w:rsidP="00EA1518">
      <w:r>
        <w:rPr>
          <w:rFonts w:ascii="Calibri" w:eastAsia="Calibri" w:hAnsi="Calibri"/>
          <w:b/>
          <w:color w:val="1B3A4B"/>
          <w:sz w:val="26"/>
        </w:rPr>
        <w:t>Fehler 17: Berufliches Netzwerk vernachlässigt</w:t>
      </w:r>
    </w:p>
    <w:p w14:paraId="067CE545" w14:textId="77777777" w:rsidR="00EA1518" w:rsidRDefault="00EA1518" w:rsidP="00EA1518">
      <w:r>
        <w:rPr>
          <w:rFonts w:ascii="Calibri" w:eastAsia="Calibri" w:hAnsi="Calibri"/>
        </w:rPr>
        <w:t>Viele Stellen laufen über Kontakte. Ein Profil ohne Aufenthaltsrecht führt trotzdem nicht in den Job.</w:t>
      </w:r>
    </w:p>
    <w:p w14:paraId="00743BEC" w14:textId="77777777" w:rsidR="00EA1518" w:rsidRDefault="00EA1518" w:rsidP="00EA1518">
      <w:r>
        <w:rPr>
          <w:rFonts w:ascii="Calibri" w:eastAsia="Calibri" w:hAnsi="Calibri"/>
        </w:rPr>
        <w:t>So vermeidest du den Fehler: Pflege vor der Abreise zwei oder drei Gespräche in der Zielbranche. Prüfe parallel, ob der Status die Arbeit erlaubt.</w:t>
      </w:r>
    </w:p>
    <w:p w14:paraId="062B7486" w14:textId="77777777" w:rsidR="00EA1518" w:rsidRDefault="00EA1518" w:rsidP="00EA1518">
      <w:r>
        <w:rPr>
          <w:rFonts w:ascii="Calibri" w:eastAsia="Calibri" w:hAnsi="Calibri"/>
          <w:b/>
          <w:color w:val="1B3A4B"/>
          <w:sz w:val="26"/>
        </w:rPr>
        <w:t>Fehler 18: Zu hohe Erwartungen</w:t>
      </w:r>
    </w:p>
    <w:p w14:paraId="4C21FD77" w14:textId="77777777" w:rsidR="00EA1518" w:rsidRDefault="00EA1518" w:rsidP="00EA1518">
      <w:r>
        <w:rPr>
          <w:rFonts w:ascii="Calibri" w:eastAsia="Calibri" w:hAnsi="Calibri"/>
        </w:rPr>
        <w:lastRenderedPageBreak/>
        <w:t>Film, zwei Wochen Ferien und ein Bruttogehalt ergeben kein Lebensbild. Unerwartete Schwierigkeiten belasten stärker als eingeplante.</w:t>
      </w:r>
    </w:p>
    <w:p w14:paraId="4F0599D3" w14:textId="77777777" w:rsidR="00EA1518" w:rsidRDefault="00EA1518" w:rsidP="00EA1518">
      <w:r>
        <w:rPr>
          <w:rFonts w:ascii="Calibri" w:eastAsia="Calibri" w:hAnsi="Calibri"/>
        </w:rPr>
        <w:t>So vermeidest du den Fehler: Schreibe vor dem Abflug drei konkrete Nachteile des Zielorts auf und einen Ausgleich. Bewerte den Ort nicht im ersten Kulturschock als gescheitert.</w:t>
      </w:r>
    </w:p>
    <w:p w14:paraId="24EB1B35" w14:textId="77777777" w:rsidR="00EA1518" w:rsidRDefault="00EA1518" w:rsidP="00EA1518">
      <w:r>
        <w:rPr>
          <w:rFonts w:ascii="Calibri" w:eastAsia="Calibri" w:hAnsi="Calibri"/>
          <w:b/>
          <w:color w:val="1B3A4B"/>
          <w:sz w:val="26"/>
        </w:rPr>
        <w:t>Fehler 19: Daueraufenthalt und Staatsbürgerschaft nicht mitgedacht</w:t>
      </w:r>
    </w:p>
    <w:p w14:paraId="6A7F74C7" w14:textId="77777777" w:rsidR="00EA1518" w:rsidRDefault="00EA1518" w:rsidP="00EA1518">
      <w:r>
        <w:rPr>
          <w:rFonts w:ascii="Calibri" w:eastAsia="Calibri" w:hAnsi="Calibri"/>
        </w:rPr>
        <w:t>Ein befristetes Visum ist kein Daueraufenthalt. Staatsbürgerschaft, Steuerpflicht und der deutsche Pass sind eigene Verfahren. Ein Kind, das im Land geboren wird, gibt den Eltern nicht automatisch Status.</w:t>
      </w:r>
    </w:p>
    <w:p w14:paraId="36AFDCCC" w14:textId="77777777" w:rsidR="00EA1518" w:rsidRDefault="00EA1518" w:rsidP="00EA1518">
      <w:r>
        <w:t>So vermeidest du den Fehler: Trenne Aufenthalt, Steuer und Pass. Lies die Fristen im Länderkapitel, bevor du Eigentum oder Rente auf ein Land festlegst.</w:t>
      </w:r>
    </w:p>
    <w:p w14:paraId="13B6442C" w14:textId="77777777" w:rsidR="00EA1518" w:rsidRDefault="00EA1518" w:rsidP="00EA1518">
      <w:r>
        <w:rPr>
          <w:rFonts w:ascii="Calibri" w:eastAsia="Calibri" w:hAnsi="Calibri"/>
          <w:b/>
          <w:color w:val="1B3A4B"/>
          <w:sz w:val="26"/>
        </w:rPr>
        <w:t>Fehler 20: Kein Rückweg</w:t>
      </w:r>
    </w:p>
    <w:p w14:paraId="5261F917" w14:textId="77777777" w:rsidR="00EA1518" w:rsidRDefault="00EA1518" w:rsidP="00EA1518">
      <w:r>
        <w:rPr>
          <w:rFonts w:ascii="Calibri" w:eastAsia="Calibri" w:hAnsi="Calibri"/>
        </w:rPr>
        <w:t>Rückkehr ist kein Scheitern. Teuer wird sie, wenn Konto, Schule, Versicherung und Wohnung nicht mehr anschlussfähig sind.</w:t>
      </w:r>
    </w:p>
    <w:p w14:paraId="139DCE89" w14:textId="77777777" w:rsidR="00EA1518" w:rsidRDefault="00EA1518" w:rsidP="00EA1518">
      <w:r>
        <w:t>So vermeidest du den Fehler: Halte Vollmacht, Zustelladresse und Zugang zum deutschen Konto schriftlich fest. Prüfe Krankenkasse, Kindergeld und Schule für den Fall der Rückkehr, bevor du abfliegst.</w:t>
      </w:r>
    </w:p>
    <w:p w14:paraId="280915D1" w14:textId="77777777" w:rsidR="00EA1518" w:rsidRDefault="00EA1518" w:rsidP="00EA1518">
      <w:r>
        <w:rPr>
          <w:rFonts w:ascii="Calibri" w:eastAsia="Calibri" w:hAnsi="Calibri"/>
          <w:b/>
          <w:color w:val="1B3A4B"/>
          <w:sz w:val="26"/>
        </w:rPr>
        <w:t>Zusammenfassung</w:t>
      </w:r>
    </w:p>
    <w:p w14:paraId="7F96C7AB" w14:textId="77777777" w:rsidR="00EA1518" w:rsidRDefault="00EA1518" w:rsidP="00EA1518">
      <w:r>
        <w:rPr>
          <w:rFonts w:ascii="Calibri" w:eastAsia="Calibri" w:hAnsi="Calibri"/>
        </w:rPr>
        <w:t>Die meisten gescheiterten Planungen scheitern nicht an einem einzelnen Großproblem, sondern an mehreren kleinen Fehlentscheidungen. Wer den Aufenthaltsweg, die Reserve, die rechtlichen Folgen und die Integration prüft, erkennt diese Fehler früher. Eine belastbare Quote gescheiterter privater Auswanderungen gibt es nicht.</w:t>
      </w:r>
    </w:p>
    <w:p w14:paraId="27EFE65A" w14:textId="77777777" w:rsidR="00EA1518" w:rsidRDefault="00EA1518">
      <w:pPr>
        <w:spacing w:line="240" w:lineRule="auto"/>
        <w:rPr>
          <w:rFonts w:ascii="Amazon Ember" w:eastAsia="Amazon Ember" w:hAnsi="Amazon Ember" w:cs="Amazon Ember"/>
          <w:b/>
          <w:bCs/>
          <w:color w:val="0000FF"/>
          <w:sz w:val="36"/>
          <w:szCs w:val="36"/>
        </w:rPr>
      </w:pPr>
      <w:r>
        <w:rPr>
          <w:rFonts w:ascii="Amazon Ember" w:eastAsia="Amazon Ember" w:hAnsi="Amazon Ember" w:cs="Amazon Ember"/>
          <w:color w:val="0000FF"/>
          <w:sz w:val="36"/>
          <w:szCs w:val="36"/>
        </w:rPr>
        <w:br w:type="page"/>
      </w:r>
    </w:p>
    <w:p w14:paraId="7820C170" w14:textId="5676D5AB" w:rsidR="001F7233" w:rsidRDefault="00000000">
      <w:pPr>
        <w:pStyle w:val="Heading2"/>
        <w:keepNext/>
        <w:spacing w:line="341" w:lineRule="auto"/>
        <w:jc w:val="center"/>
      </w:pPr>
      <w:r>
        <w:rPr>
          <w:rFonts w:ascii="Amazon Ember" w:eastAsia="Amazon Ember" w:hAnsi="Amazon Ember" w:cs="Amazon Ember"/>
          <w:color w:val="0000FF"/>
          <w:sz w:val="36"/>
          <w:szCs w:val="36"/>
        </w:rPr>
        <w:lastRenderedPageBreak/>
        <w:t>Bist du überhaupt bereit dafür?</w:t>
      </w:r>
      <w:bookmarkEnd w:id="6"/>
    </w:p>
    <w:p w14:paraId="1BA9DDBA" w14:textId="77777777" w:rsidR="001F7233" w:rsidRDefault="00000000">
      <w:pPr>
        <w:spacing w:after="140"/>
      </w:pPr>
      <w:r>
        <w:t>Die drängendste Frage ist nicht das Land. Es ist die Frage, ob du überhaupt bereit für diesen Schritt bist, egal wohin er am Ende führt. Das betrifft deine finanzielle Lage, deinen Beruf, deine Familie und deine Fähigkeit, mit Unsicherheit zu leben.</w:t>
      </w:r>
    </w:p>
    <w:p w14:paraId="5EABDBBF" w14:textId="77777777" w:rsidR="001F7233" w:rsidRDefault="00000000">
      <w:r>
        <w:t>Die gemeinsamen Schritte auf deutscher Seite findest du im Kapitel „Deutschland vor dem Abflug“. Die zusätzlichen Anforderungen stehen im jeweiligen Länderpfad.</w:t>
      </w:r>
    </w:p>
    <w:p w14:paraId="021A0A8D" w14:textId="77777777" w:rsidR="001F7233" w:rsidRDefault="00000000">
      <w:r>
        <w:rPr>
          <w:b/>
        </w:rPr>
        <w:t xml:space="preserve">KURZ GESAGT: </w:t>
      </w:r>
    </w:p>
    <w:p w14:paraId="3C1386BC" w14:textId="77777777" w:rsidR="001F7233" w:rsidRDefault="00000000">
      <w:r>
        <w:t>• Die Frage „Bin ich bereit?“ kommt vor der Frage „Wohin?“. Sie betrifft alle vier Zielländer gleichermaßen.</w:t>
      </w:r>
    </w:p>
    <w:p w14:paraId="5424A706" w14:textId="77777777" w:rsidR="001F7233" w:rsidRDefault="00000000">
      <w:r>
        <w:t>• Die Literatur zu Firmenentsendungen nennt acht Faktoren, die dort mit Anpassung zusammenhängen: Finanzen, Risikotoleranz, berufliche Übertragbarkeit, Familie, Sprache, frühere Auslandserfahrung, soziales Netz, Erwartungsmanagement. Das ist Entsendungsliteratur, keine Erhebung über private Auswanderer.</w:t>
      </w:r>
    </w:p>
    <w:p w14:paraId="1D288206" w14:textId="77777777" w:rsidR="001F7233" w:rsidRDefault="00000000">
      <w:r>
        <w:t>• Die oft zitierte Zahl, wonach 25 bis 40 % aller Auswanderer scheitern, ist ein widerlegter Mythos ohne belastbare Quelle.</w:t>
      </w:r>
    </w:p>
    <w:p w14:paraId="3610E8C9" w14:textId="77777777" w:rsidR="001F7233" w:rsidRDefault="00000000">
      <w:r>
        <w:t>• Die acht Punkte sind eine Gesprächsliste, kein Test mit Punkten. Ein Warnsignal heißt „hier genauer hinschauen“, nicht „lass es bleiben“.</w:t>
      </w:r>
    </w:p>
    <w:p w14:paraId="41BF413C" w14:textId="77777777" w:rsidR="001F7233" w:rsidRDefault="00000000">
      <w:r>
        <w:t>• Am Ende weißt du, wo du stehst. Die Länderwahl selbst folgt im nächsten Kapitel.</w:t>
      </w:r>
    </w:p>
    <w:p w14:paraId="613668F2" w14:textId="77777777" w:rsidR="001F7233" w:rsidRDefault="001F7233">
      <w:pPr>
        <w:spacing w:line="220" w:lineRule="exact"/>
      </w:pPr>
    </w:p>
    <w:p w14:paraId="7F64F7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diese Frage vor der Länderwahl steht</w:t>
      </w:r>
    </w:p>
    <w:p w14:paraId="5F66F0E9" w14:textId="77777777" w:rsidR="001F7233" w:rsidRDefault="00000000">
      <w:pPr>
        <w:spacing w:after="140"/>
      </w:pPr>
      <w:r>
        <w:t xml:space="preserve">Dieses Buch gliedert sich in einen gemeinsamen Teil für alle vier Zielländer und vier eigene Länder-Teile für die vier Zielländer. Die meisten Auswanderungsratgeber steigen direkt bei der </w:t>
      </w:r>
      <w:r>
        <w:lastRenderedPageBreak/>
        <w:t>Visumskategorie ein – Formular, Frist, Gebühr. Wichtig, aber das überspringt eine Frage, die dir keine Länderverwaltung stellen kann: Bist du, unabhängig vom Zielland, überhaupt in der Verfassung für diesen Schritt?</w:t>
      </w:r>
    </w:p>
    <w:p w14:paraId="0B34FB3B" w14:textId="77777777" w:rsidR="001F7233" w:rsidRDefault="00000000">
      <w:pPr>
        <w:spacing w:after="140"/>
      </w:pPr>
      <w:r>
        <w:t>Die Literatur zu bezahlten Auslandsentsendungen – vor allem aus Personalpsychologie und Migrationsökonomie – hat Faktoren beschrieben, die in diesem engen Feld mit Anpassung zusammenhängen. Das ist Entsendungsliteratur, nicht eine Studie über Menschen, die auf eigene Rechnung auswandern. Keiner der Faktoren ist für sich ein Ausschlusskriterium oder eine Garantie. Zusammengenommen ergeben sie eine Liste, die du durchgehen kannst, bevor du dich mit H-1B-Lotterien, Punktesystemen oder Mangelberufslisten beschäftigst. Dieses Kapitel räumt vorher mit der bekanntesten Falle auf: einer Zahl, die es so nie gegeben hat.</w:t>
      </w:r>
    </w:p>
    <w:p w14:paraId="0A96BF15" w14:textId="77777777" w:rsidR="001F7233" w:rsidRDefault="00000000">
      <w:pPr>
        <w:spacing w:after="140"/>
      </w:pPr>
      <w:r>
        <w:t>Egal ob du allein ziehst, mit Partner oder mit Kindern im Schulalter: Die acht Faktoren gelten unabhängig davon, welches der vier Zielländer am Ende auf deiner Liste steht. Das nächste Kapitel vergleicht die vier Länder entlang objektiver Kriterien wie Einwanderungssystem, Gesundheitsversorgung und Steuerlast. Dieses Kapitel fragt nach etwas anderem, das keine Behörde und keine Scorecard beantworten kann: Passt der Schritt an sich zu deinem Leben, so wie es gerade ist?</w:t>
      </w:r>
    </w:p>
    <w:p w14:paraId="542D48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einer ehrlichen Bestandsaufnahme</w:t>
      </w:r>
    </w:p>
    <w:p w14:paraId="683F1445" w14:textId="77777777" w:rsidR="001F7233" w:rsidRDefault="00000000">
      <w:r>
        <w:rPr>
          <w:b/>
        </w:rPr>
        <w:t>Plus: Deckt blinde Flecken auf, bevor sie zu teuren Überraschungen werden</w:t>
      </w:r>
    </w:p>
    <w:p w14:paraId="56F98324" w14:textId="77777777" w:rsidR="001F7233" w:rsidRDefault="00000000">
      <w:r>
        <w:rPr>
          <w:b/>
        </w:rPr>
        <w:t xml:space="preserve">Minus: </w:t>
      </w:r>
      <w:r>
        <w:t>Ersetzt keine rechtliche, steuerliche oder psychologische Fachberatung</w:t>
      </w:r>
    </w:p>
    <w:p w14:paraId="3D28E162" w14:textId="77777777" w:rsidR="001F7233" w:rsidRDefault="00000000">
      <w:r>
        <w:rPr>
          <w:b/>
        </w:rPr>
        <w:t>Plus: Schafft eine gemeinsame Gesprächsgrundlage für Partner und Familie</w:t>
      </w:r>
    </w:p>
    <w:p w14:paraId="645B3641" w14:textId="77777777" w:rsidR="001F7233" w:rsidRDefault="00000000">
      <w:r>
        <w:rPr>
          <w:b/>
        </w:rPr>
        <w:lastRenderedPageBreak/>
        <w:t xml:space="preserve">Minus: </w:t>
      </w:r>
      <w:r>
        <w:t>Ein niedriger Wert kann kurzfristig verunsichern, wenn man ihn falsch liest</w:t>
      </w:r>
    </w:p>
    <w:p w14:paraId="1A3D4AA9" w14:textId="77777777" w:rsidR="001F7233" w:rsidRDefault="00000000">
      <w:r>
        <w:rPr>
          <w:b/>
        </w:rPr>
        <w:t>Plus: Nimmt einer vagen Angst die Kontur und macht sie konkret bearbeitbar</w:t>
      </w:r>
    </w:p>
    <w:p w14:paraId="3C65F037" w14:textId="77777777" w:rsidR="001F7233" w:rsidRDefault="00000000">
      <w:r>
        <w:rPr>
          <w:b/>
        </w:rPr>
        <w:t xml:space="preserve">Minus: </w:t>
      </w:r>
      <w:r>
        <w:t>Kein validierter psychometrischer Test, sondern eine strukturierte Selbstauskunft</w:t>
      </w:r>
    </w:p>
    <w:p w14:paraId="2DBD3803" w14:textId="77777777" w:rsidR="001F7233" w:rsidRDefault="00000000">
      <w:r>
        <w:rPr>
          <w:b/>
        </w:rPr>
        <w:t>Plus: Lässt sich beliebig oft wiederholen, ohne Kosten oder Anmeldung</w:t>
      </w:r>
    </w:p>
    <w:p w14:paraId="4F1A9040" w14:textId="77777777" w:rsidR="001F7233" w:rsidRDefault="00000000">
      <w:r>
        <w:rPr>
          <w:b/>
        </w:rPr>
        <w:t xml:space="preserve">Minus: </w:t>
      </w:r>
      <w:r>
        <w:t>Ehrliche Antworten setzen voraus, dass du dir selbst nichts vormachst</w:t>
      </w:r>
    </w:p>
    <w:p w14:paraId="491CB3D4" w14:textId="77777777" w:rsidR="001F7233" w:rsidRDefault="001F7233">
      <w:pPr>
        <w:spacing w:line="180" w:lineRule="exact"/>
      </w:pPr>
    </w:p>
    <w:p w14:paraId="6D2B97EA" w14:textId="77777777" w:rsidR="001F7233" w:rsidRDefault="00000000">
      <w:pPr>
        <w:pStyle w:val="Heading3"/>
        <w:keepNext/>
        <w:spacing w:line="341" w:lineRule="auto"/>
        <w:jc w:val="center"/>
      </w:pPr>
      <w:r>
        <w:t>MYTHENCHECK: Die angebliche Scheiterquote von 25 bis 40 %</w:t>
      </w:r>
    </w:p>
    <w:p w14:paraId="3C6FEC49" w14:textId="77777777" w:rsidR="001F7233" w:rsidRDefault="00000000">
      <w:r>
        <w:t>Behauptung: Ein Viertel bis zwei Fünftel aller Auswanderer scheitern. Prüfmaßstab: Wichtig ist, ob diese Zahl tatsächlich private Auswanderung misst. Die folgenden Absätze zeigen Herkunft, Grenzen und die praktisch sinnvollere Alternative: die eigenen Risikofaktoren prüfen.</w:t>
      </w:r>
    </w:p>
    <w:p w14:paraId="2CC88529" w14:textId="77777777" w:rsidR="001F7233" w:rsidRDefault="00000000">
      <w:pPr>
        <w:spacing w:after="140"/>
      </w:pPr>
      <w:r>
        <w:t>Wer sich mit Auswandern beschäftigt, stößt früher oder später auf eine Zahl, die sich hartnäckig hält: 25 bis 40 % aller Auswanderer würden scheitern und vorzeitig zurückkehren. Sie taucht in Foren, Ratgebern und gelegentlich auch in seriös wirkenden Artikeln auf, meist ohne Quellenangabe oder mit einem vagen Verweis auf „Studien“.</w:t>
      </w:r>
    </w:p>
    <w:p w14:paraId="23A94B2A" w14:textId="77777777" w:rsidR="001F7233" w:rsidRDefault="00000000">
      <w:pPr>
        <w:spacing w:after="140"/>
      </w:pPr>
      <w:r>
        <w:t>Die Migrationsforscherin Anne-Wil Harzing ist dieser Zahl in den 1990er-Jahren nachgegangen. Sie wurde in einer 1979 erschienenen, selbst unbelegten Publikation zweier Unternehmensberater fündig – dem einzigen auffindbaren Ursprung. Seither wurde die Zahl in Fachartikeln und Ratgebern immer wieder zitiert, ohne dass jemand sie neu geprüft hätte. Das ist ein klassischer Fall von Zitierketten, die sich gegenseitig scheinbar bestätigen, ohne dass am Anfang je eine echte Erhebung stand.</w:t>
      </w:r>
    </w:p>
    <w:p w14:paraId="30B558DC" w14:textId="77777777" w:rsidR="001F7233" w:rsidRDefault="00000000">
      <w:pPr>
        <w:spacing w:after="140"/>
      </w:pPr>
      <w:r>
        <w:lastRenderedPageBreak/>
        <w:t>Belastbarer, aber deutlich enger gefasst, sind Umfragen unter Unternehmen zu ihren entsandten Fach- und Führungskräften. Danach werden familiäre Anpassungsprobleme als Grund für rund ein Drittel der vorzeitig abgebrochenen Auslandsentsendungen genannt. Das betrifft aber nur bezahlte Firmenentsendungen mit Rückkehrgarantie, nicht die freiwillige, private Auswanderung, um die es in diesem Buch geht. Zudem sind die zugrunde liegenden Erhebungen inzwischen ein Jahrzehnt oder älter.</w:t>
      </w:r>
    </w:p>
    <w:p w14:paraId="381EB827" w14:textId="77777777" w:rsidR="001F7233" w:rsidRDefault="00000000">
      <w:pPr>
        <w:spacing w:after="140"/>
      </w:pPr>
      <w:r>
        <w:t>Für die ehrliche Bilanz bedeutet das: Es gibt schlicht keine verlässliche Zahl dafür, wie viele private Auswanderer scheitern oder was „Scheitern“ überhaupt genau bedeutet. Eine vorzeitige Rückkehr aus finanzieller Not ist etwas anderes als eine bewusste, gut vorbereitete Rückkehr nach zwei erfüllten Jahren im Ausland. Diese Unsicherheit ist selbst eine nützliche Information. Sie verschiebt den Blick weg von einer angsteinflößenden oder falsch beruhigenden Pseudo-Statistik hin zu den tatsächlich prüfbaren Faktoren in deinem eigenen Leben.</w:t>
      </w:r>
    </w:p>
    <w:p w14:paraId="0D8B8DE8" w14:textId="77777777" w:rsidR="001F7233" w:rsidRDefault="00000000">
      <w:r>
        <w:rPr>
          <w:b/>
        </w:rPr>
        <w:t xml:space="preserve">MERKE: </w:t>
      </w:r>
    </w:p>
    <w:p w14:paraId="3DCFB9AD" w14:textId="77777777" w:rsidR="001F7233" w:rsidRDefault="00000000">
      <w:r>
        <w:t>• Es gibt keine verlässliche Zahl dafür, wie viele Auswanderer scheitern. Was zählt, ist nicht eine zitierte Statistik, sondern deine eigene, ehrliche Einschätzung der acht Faktoren in diesem Kapitel.</w:t>
      </w:r>
    </w:p>
    <w:p w14:paraId="6512E4C2" w14:textId="77777777" w:rsidR="001F7233" w:rsidRDefault="001F7233">
      <w:pPr>
        <w:spacing w:line="220" w:lineRule="exact"/>
      </w:pPr>
    </w:p>
    <w:p w14:paraId="20DEC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Acht Faktoren, ohne Punktzahl</w:t>
      </w:r>
    </w:p>
    <w:p w14:paraId="1DB28785" w14:textId="77777777" w:rsidR="001F7233" w:rsidRDefault="00000000">
      <w:pPr>
        <w:spacing w:after="140"/>
      </w:pPr>
      <w:r>
        <w:t>Die folgende Liste fasst acht Faktoren zusammen, die in der Entsendungsliteratur wiederholt mit Anpassung oder mit Abbruch in Verbindung stehen. Geh sie mit der Person durch, die mitzieht. Trag keine Zahl ein. Schreib neben jeden Punkt entweder „geklärt“ oder die eine Aufgabe, die noch fehlt. Ein offener Punkt ist kein Abbruchgrund. Er ist die Arbeitsliste.</w:t>
      </w:r>
    </w:p>
    <w:p w14:paraId="6505C7FD" w14:textId="77777777" w:rsidR="001F7233" w:rsidRDefault="00000000">
      <w:pPr>
        <w:pStyle w:val="ListParagraph"/>
        <w:numPr>
          <w:ilvl w:val="0"/>
          <w:numId w:val="3"/>
        </w:numPr>
        <w:spacing w:after="60"/>
      </w:pPr>
      <w:r>
        <w:rPr>
          <w:b/>
          <w:bCs/>
        </w:rPr>
        <w:t>Finanzielle Rücklage.</w:t>
      </w:r>
      <w:r>
        <w:t xml:space="preserve"> Hast du mehrere Monatsausgaben am Zielort plus die Umzugskosten zurückgelegt, unabhängig vom </w:t>
      </w:r>
      <w:r>
        <w:lastRenderedPageBreak/>
        <w:t xml:space="preserve">ersten Gehalt? </w:t>
      </w:r>
      <w:r>
        <w:rPr>
          <w:i/>
          <w:iCs/>
        </w:rPr>
        <w:t>Warnsignal:</w:t>
      </w:r>
      <w:r>
        <w:t xml:space="preserve"> Die Rücklage hängt vollständig vom pünktlichen ersten Gehaltseingang im Ausland ab.</w:t>
      </w:r>
    </w:p>
    <w:p w14:paraId="29D62A79" w14:textId="77777777" w:rsidR="001F7233" w:rsidRDefault="00000000">
      <w:pPr>
        <w:pStyle w:val="ListParagraph"/>
        <w:numPr>
          <w:ilvl w:val="0"/>
          <w:numId w:val="1"/>
        </w:numPr>
        <w:spacing w:after="60"/>
      </w:pPr>
      <w:r>
        <w:rPr>
          <w:b/>
          <w:bCs/>
        </w:rPr>
        <w:t>Risikotoleranz.</w:t>
      </w:r>
      <w:r>
        <w:t xml:space="preserve"> Wie gehst du mit Plänen um, die sich kurzfristig ändern? </w:t>
      </w:r>
      <w:r>
        <w:rPr>
          <w:i/>
          <w:iCs/>
        </w:rPr>
        <w:t>Warnsignal:</w:t>
      </w:r>
      <w:r>
        <w:t xml:space="preserve"> Schon kleinere Planänderungen im Alltag belasten dich stark.</w:t>
      </w:r>
    </w:p>
    <w:p w14:paraId="18283D93" w14:textId="77777777" w:rsidR="001F7233" w:rsidRDefault="00000000">
      <w:pPr>
        <w:pStyle w:val="ListParagraph"/>
        <w:numPr>
          <w:ilvl w:val="0"/>
          <w:numId w:val="1"/>
        </w:numPr>
        <w:spacing w:after="60"/>
      </w:pPr>
      <w:r>
        <w:rPr>
          <w:b/>
          <w:bCs/>
        </w:rPr>
        <w:t>Berufliche Übertragbarkeit. Weißt du, welche Stelle deinen Abschluss oder deine Zulassung prüft, und hast du ihre Seite geöffnet? Warnsignal: Das Verfahren deines Berufs hast du noch nicht geprüft.</w:t>
      </w:r>
    </w:p>
    <w:p w14:paraId="5ACEED2B" w14:textId="77777777" w:rsidR="001F7233" w:rsidRDefault="00000000">
      <w:pPr>
        <w:pStyle w:val="ListParagraph"/>
        <w:numPr>
          <w:ilvl w:val="0"/>
          <w:numId w:val="1"/>
        </w:numPr>
        <w:spacing w:after="60"/>
      </w:pPr>
      <w:r>
        <w:rPr>
          <w:b/>
          <w:bCs/>
        </w:rPr>
        <w:t>Zustimmung von Partner und Kindern.</w:t>
      </w:r>
      <w:r>
        <w:t xml:space="preserve"> Steht die ganze Familie hinter dem Plan, nicht nur du allein? </w:t>
      </w:r>
      <w:r>
        <w:rPr>
          <w:i/>
          <w:iCs/>
        </w:rPr>
        <w:t>Warnsignal:</w:t>
      </w:r>
      <w:r>
        <w:t xml:space="preserve"> Partner oder ältere Kinder sind unentschlossen oder dagegen.</w:t>
      </w:r>
    </w:p>
    <w:p w14:paraId="4F6D7060" w14:textId="77777777" w:rsidR="001F7233" w:rsidRDefault="00000000">
      <w:pPr>
        <w:pStyle w:val="ListParagraph"/>
        <w:numPr>
          <w:ilvl w:val="0"/>
          <w:numId w:val="1"/>
        </w:numPr>
        <w:spacing w:after="60"/>
      </w:pPr>
      <w:r>
        <w:rPr>
          <w:b/>
          <w:bCs/>
        </w:rPr>
        <w:t>Sprachniveau.</w:t>
      </w:r>
      <w:r>
        <w:t xml:space="preserve"> Reicht dein Englisch für Behördengänge und Fachjargon, nicht nur für Small Talk im Urlaub? </w:t>
      </w:r>
      <w:r>
        <w:rPr>
          <w:i/>
          <w:iCs/>
        </w:rPr>
        <w:t>Warnsignal:</w:t>
      </w:r>
      <w:r>
        <w:t xml:space="preserve"> Schon Behördendeutsch bereitet dir auf Deutsch Mühe.</w:t>
      </w:r>
    </w:p>
    <w:p w14:paraId="347CDFFA" w14:textId="77777777" w:rsidR="001F7233" w:rsidRDefault="00000000">
      <w:pPr>
        <w:pStyle w:val="ListParagraph"/>
        <w:numPr>
          <w:ilvl w:val="0"/>
          <w:numId w:val="1"/>
        </w:numPr>
        <w:spacing w:after="60"/>
      </w:pPr>
      <w:r>
        <w:rPr>
          <w:b/>
          <w:bCs/>
        </w:rPr>
        <w:t>Frühere Auslandserfahrung.</w:t>
      </w:r>
      <w:r>
        <w:t xml:space="preserve"> Hast du schon einmal mehrere Monate am Stück im Ausland gelebt, gearbeitet oder studiert? </w:t>
      </w:r>
      <w:r>
        <w:rPr>
          <w:i/>
          <w:iCs/>
        </w:rPr>
        <w:t>Warnsignal:</w:t>
      </w:r>
      <w:r>
        <w:t xml:space="preserve"> Kein Bezugspunkt dafür, wie sich Monate fern der Heimat anfühlen.</w:t>
      </w:r>
    </w:p>
    <w:p w14:paraId="35A95023" w14:textId="77777777" w:rsidR="001F7233" w:rsidRDefault="00000000">
      <w:pPr>
        <w:pStyle w:val="ListParagraph"/>
        <w:numPr>
          <w:ilvl w:val="0"/>
          <w:numId w:val="1"/>
        </w:numPr>
        <w:spacing w:after="60"/>
      </w:pPr>
      <w:r>
        <w:rPr>
          <w:b/>
          <w:bCs/>
        </w:rPr>
        <w:t>Soziales Unterstützungsnetz.</w:t>
      </w:r>
      <w:r>
        <w:t xml:space="preserve"> Kennst du bereits jemanden vor Ort oder eine Community, digital oder persönlich? </w:t>
      </w:r>
      <w:r>
        <w:rPr>
          <w:i/>
          <w:iCs/>
        </w:rPr>
        <w:t>Warnsignal:</w:t>
      </w:r>
      <w:r>
        <w:t xml:space="preserve"> Keine einzige Verbindung zum Zielland oder zu bestehenden Communitys.</w:t>
      </w:r>
    </w:p>
    <w:p w14:paraId="3B743225" w14:textId="77777777" w:rsidR="001F7233" w:rsidRDefault="00000000">
      <w:pPr>
        <w:pStyle w:val="ListParagraph"/>
        <w:numPr>
          <w:ilvl w:val="0"/>
          <w:numId w:val="1"/>
        </w:numPr>
        <w:spacing w:after="60"/>
      </w:pPr>
      <w:r>
        <w:rPr>
          <w:b/>
          <w:bCs/>
        </w:rPr>
        <w:t>Erwartungsmanagement.</w:t>
      </w:r>
      <w:r>
        <w:t xml:space="preserve"> Stützt sich deine Vorstellung vom Alltag auf Recherche, oder vor allem auf Filme und Urlaubserinnerungen? </w:t>
      </w:r>
      <w:r>
        <w:rPr>
          <w:i/>
          <w:iCs/>
        </w:rPr>
        <w:t>Warnsignal:</w:t>
      </w:r>
      <w:r>
        <w:t xml:space="preserve"> Deine Erwartung speist sich hauptsächlich aus zwei Wochen Ferienreise.</w:t>
      </w:r>
    </w:p>
    <w:p w14:paraId="73B490B4" w14:textId="77777777" w:rsidR="001F7233" w:rsidRDefault="001F7233">
      <w:pPr>
        <w:spacing w:line="120" w:lineRule="exact"/>
      </w:pPr>
    </w:p>
    <w:p w14:paraId="71202C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Finanzielle Rücklage und Risikotoleranz</w:t>
      </w:r>
    </w:p>
    <w:p w14:paraId="7A531066" w14:textId="77777777" w:rsidR="001F7233" w:rsidRDefault="00000000">
      <w:pPr>
        <w:spacing w:after="140"/>
      </w:pPr>
      <w:r>
        <w:t>Für die finanzielle Rücklage gibt es keine amtliche deutsche Empfehlung. Weder das Auswärtige Amt noch das Bundesverwaltungsamt nennen eine feste Zahl. Rechne mit mehreren Monatsausgaben am Zielort, dazu die Umzugskosten und lass einen Puffer für einen schlechteren Wechselkurs. Eine Blog-Summe ist keine Norm.</w:t>
      </w:r>
    </w:p>
    <w:p w14:paraId="5FA91BCE" w14:textId="77777777" w:rsidR="001F7233" w:rsidRDefault="00000000">
      <w:r>
        <w:rPr>
          <w:b/>
        </w:rPr>
        <w:t xml:space="preserve">ACHTUNG: </w:t>
      </w:r>
    </w:p>
    <w:p w14:paraId="759C8653" w14:textId="77777777" w:rsidR="001F7233" w:rsidRDefault="00000000">
      <w:r>
        <w:t>• Rechne nicht mit fremden Blog-Beispielsummen, sondern mit deiner eigenen Zielort-Kalkulation: Miete, Krankenversicherung, Kaution, Erstausstattung und die erste Zeit ohne Einkommen, falls sich der Jobstart verzögert. Eine Rücklage, die von einem pünktlichen ersten Gehalt abhängt, ist keine Rücklage.</w:t>
      </w:r>
    </w:p>
    <w:p w14:paraId="10DA0BDA" w14:textId="77777777" w:rsidR="001F7233" w:rsidRDefault="001F7233">
      <w:pPr>
        <w:spacing w:line="220" w:lineRule="exact"/>
      </w:pPr>
    </w:p>
    <w:p w14:paraId="18055AAD" w14:textId="77777777" w:rsidR="001F7233" w:rsidRDefault="00000000">
      <w:pPr>
        <w:spacing w:after="140"/>
      </w:pPr>
      <w:r>
        <w:t>Eine eigene Rechnung geht so: Nimm die erwartete Monatsmiete am Zielort und addiere die geschätzten monatlichen Lebenshaltungskosten für deine Haushaltsgröße. Multipliziere die Summe mit mehreren Monaten, nicht mit einer Blog-Vorgabe. Addiere Flüge, Transport, Kaution und Erstausstattung. Das Ergebnis ist keine amtlich geprüfte Zahl. Es steht auf deinen Zahlen, nicht auf den Kosten eines unbekannten Beispiels in einer anderen Stadt.</w:t>
      </w:r>
    </w:p>
    <w:p w14:paraId="20746655" w14:textId="77777777" w:rsidR="001F7233" w:rsidRDefault="00000000">
      <w:pPr>
        <w:spacing w:after="140"/>
      </w:pPr>
      <w:r>
        <w:t>Risikotoleranz lässt sich weder trainieren noch moralisch bewerten. In der Entsendungsliteratur gilt sie als relativ stabiler Zug. Menschen mit höherer Risikoaversion zeigen dort im Schnitt eine geringere Umzugsbereitschaft. Diese Frage ist kein Eignungstest. Wie reagierst du, wenn ein Plan durcheinandergerät? Wer Unsicherheit schlecht verträgt, kann trotzdem auswandern und sollte bei Zielort und Vorbereitung mehr Struktur einplanen.</w:t>
      </w:r>
    </w:p>
    <w:p w14:paraId="2C86894C" w14:textId="77777777" w:rsidR="001F7233" w:rsidRDefault="00000000">
      <w:r>
        <w:t xml:space="preserve">ENTSCHEIDUNGSPUNKT: Ist dein Beruf am Zielort reglementiert oder lizenzpflichtig? Wenn ja, kläre die passende Anerkennungs- </w:t>
      </w:r>
      <w:r>
        <w:lastRenderedPageBreak/>
        <w:t>oder Zulassungsstelle vor Kündigung und endgültiger Zeitplanung. Wenn nein, konzentriere dich zuerst auf Arbeitsmarkt, Aufenthaltsweg und nachweisbare Berufserfahrung.</w:t>
      </w:r>
    </w:p>
    <w:p w14:paraId="404DE7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Berufliche Übertragbarkeit und Sprachniveau</w:t>
      </w:r>
    </w:p>
    <w:p w14:paraId="07C4555D" w14:textId="77777777" w:rsidR="001F7233" w:rsidRDefault="00000000">
      <w:pPr>
        <w:spacing w:after="140"/>
      </w:pPr>
      <w:r>
        <w:t>Von allen acht Faktoren ist die berufliche Übertragbarkeit am objektivsten prüfbar und wird trotzdem am häufigsten nur „gefühlt“ statt recherchiert. Ob ein Abschluss oder eine Berufszulassung im Zielland anerkannt wird und wie lange das Verfahren dauert, ist eine der am besten belegten Stellschrauben für den Erfolg nach der Migration. Wie groß dieser Hebel sein kann, zeigt eine Studie zu einer deutschen Anerkennungsreform für Zuwanderer aus Nicht-EU-Staaten. Sie erhöhte den Anteil anerkannter ausländischer Qualifikationen um 15 %, die Beschäftigung in reglementierten Berufen um 18,6 % und die Löhne in diesen Berufen um 4 %. Die Studie betrifft zwar den umgekehrten Weg. Zuwanderung nach Deutschland –, zeigt aber, wie stark formale Anerkennung wirkt, in welche Richtung auch immer man wandert. Die konkreten Anerkennungsstellen für die vier Zielländer findest du im jeweiligen Länder-Teil. Hier zählt nur, dir ehrlich einzugestehen, ob du das schon geprüft hast.</w:t>
      </w:r>
    </w:p>
    <w:p w14:paraId="120B88FC" w14:textId="77777777" w:rsidR="001F7233" w:rsidRDefault="00000000">
      <w:pPr>
        <w:spacing w:after="140"/>
      </w:pPr>
      <w:r>
        <w:t xml:space="preserve">Da alle vier Zielländer überwiegend englischsprachig sind, betrifft Sprachniveau hier selten die Fremdsprachigkeit an sich, sondern Nuancen: Fachjargon, Amtsenglisch, Alltagsidiome, ironische Untertöne. Mehrere Studien zeigen, dass gute Kenntnisse der Landessprache mit leichterem sozialem Einleben und weniger Kommunikationsstress zusammenhängen, aber nur schwach mit beruflicher Leistung oder Jobzufriedenheit. Ein gutes Fach-Englisch schützt dich also nicht davor, dich beim Elternabend oder beim Small Talk am Gartenzaun erst einmal fremd zu fühlen. Umgekehrt </w:t>
      </w:r>
      <w:r>
        <w:lastRenderedPageBreak/>
        <w:t>sagt ein holpriger erster Small Talk nichts über deine berufliche Eignung aus.</w:t>
      </w:r>
    </w:p>
    <w:p w14:paraId="5F92E7DD" w14:textId="77777777" w:rsidR="001F7233" w:rsidRDefault="00000000">
      <w:pPr>
        <w:spacing w:after="140"/>
      </w:pPr>
      <w:r>
        <w:t>Für die berufliche Übertragbarkeit lohnt sich als erster Schritt eine gezielte Suche nach der passenden Anerkennungsstelle für deinen Beruf im wahrscheinlichsten Zielland. Bei reglementierten Berufen wie Medizin, Pflege, Lehramt oder bestimmten Ingenieursberufen gibt es fast immer eine eigene Prüfbehörde mit eigenem Verfahren und eigener Bearbeitungszeit. Bei vielen anderen Berufen zählt der Abschluss selbst weniger als die nachweisbare Berufserfahrung. Notiere dir, ob eine Anerkennung meist möglich ist. Die Dauer steht auf der Seite der Stelle, nicht in diesem Kapitel. Lies sie, bevor du die Zeitplanung des Länder-Teils ernst nimmst.</w:t>
      </w:r>
    </w:p>
    <w:p w14:paraId="21D5EB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 Kinder und das soziale Netz</w:t>
      </w:r>
    </w:p>
    <w:p w14:paraId="26BBE5AF" w14:textId="77777777" w:rsidR="001F7233" w:rsidRDefault="00000000">
      <w:pPr>
        <w:spacing w:after="140"/>
      </w:pPr>
      <w:r>
        <w:t>Kein Faktor wird in der Forschung zu Auslandsentsendungen so oft genannt wie die Familie. In Befragungen von Unternehmen ist Widerstand des Partners oder der Partnerin der mit Abstand häufigste Grund, ein Auslandsangebot abzulehnen. Noch vor Gehalt oder Karrierebedenken. Das heißt nicht „Familie dagegen gleich Scheitern“. Partner können durch aktiven Aufbau eines eigenen sozialen Netzes am Zielort auch stabilisierend wirken. Die Forschungslage zum tatsächlichen Nettoeffekt gilt selbst unter Fachleuten als uneinheitlich. Wichtig ist, die Zustimmung nicht stillschweigend vorauszusetzen, sondern aktiv einzuholen. Von jedem, der mitzieht, samt älterer Kinder.</w:t>
      </w:r>
    </w:p>
    <w:p w14:paraId="11673EA6" w14:textId="77777777" w:rsidR="001F7233" w:rsidRDefault="00000000">
      <w:r>
        <w:rPr>
          <w:b/>
        </w:rPr>
        <w:t xml:space="preserve">ACHTUNG: </w:t>
      </w:r>
    </w:p>
    <w:p w14:paraId="40DB1223" w14:textId="77777777" w:rsidR="001F7233" w:rsidRDefault="00000000">
      <w:r>
        <w:t>• Die zitierten Zahlen zu Partnerwiderstand und Abbruchgründen stammen fast nur aus Befragungen zu bezahlten Firmenentsendungen mit Rückkehrgarantie, nicht aus Studien zu freiwilliger Privatauswanderung. Die Übertragung ist plausibel – bei einer Auswanderung auf eigenes finanzielles Risiko, ohne das Sicherheitsnetz eines Konzerns, wiegt Familienzustimmung eher noch schwerer, nicht leichter.</w:t>
      </w:r>
    </w:p>
    <w:p w14:paraId="2F53AC85" w14:textId="77777777" w:rsidR="001F7233" w:rsidRDefault="001F7233">
      <w:pPr>
        <w:spacing w:line="220" w:lineRule="exact"/>
      </w:pPr>
    </w:p>
    <w:p w14:paraId="380E420F" w14:textId="77777777" w:rsidR="001F7233" w:rsidRDefault="00000000">
      <w:pPr>
        <w:spacing w:after="140"/>
      </w:pPr>
      <w:r>
        <w:t>Ein verwandter Faktor ist das soziale Unterstützungsnetz. In der Entsendungsliteratur wird emotionale und praktische Unterstützung durch Familie, Freunde oder eine Community am Zielort als Schutz gegen Einsamkeit beschrieben. Das muss beim Start kein bestehender Freundeskreis vor Ort sein. Ein Online-Netzwerk, ein erster Kontakt über den künftigen Arbeitgeber oder eine Kirchengemeinde zählen bereits. Wer hier niemanden hat, sollte den Punkt vor dem Umzug angehen, nicht erst danach.</w:t>
      </w:r>
    </w:p>
    <w:p w14:paraId="160907D4" w14:textId="77777777" w:rsidR="001F7233" w:rsidRDefault="00000000">
      <w:pPr>
        <w:spacing w:after="140"/>
      </w:pPr>
      <w:r>
        <w:t>Für das Gespräch mit Partner oder Familie helfen vier konkrete Fragen mehr als ein allgemeines „Seid ihr dabei?“:</w:t>
      </w:r>
    </w:p>
    <w:p w14:paraId="737E0357" w14:textId="77777777" w:rsidR="001F7233" w:rsidRDefault="00000000">
      <w:pPr>
        <w:pStyle w:val="ListParagraph"/>
        <w:numPr>
          <w:ilvl w:val="0"/>
          <w:numId w:val="1"/>
        </w:numPr>
        <w:spacing w:after="60"/>
      </w:pPr>
      <w:r>
        <w:t>Was würde dir am Zielort am meisten fehlen und wie könnten wir das ausgleichen oder ersetzen?</w:t>
      </w:r>
    </w:p>
    <w:p w14:paraId="44530AB4" w14:textId="77777777" w:rsidR="001F7233" w:rsidRDefault="00000000">
      <w:pPr>
        <w:pStyle w:val="ListParagraph"/>
        <w:numPr>
          <w:ilvl w:val="0"/>
          <w:numId w:val="1"/>
        </w:numPr>
        <w:spacing w:after="60"/>
      </w:pPr>
      <w:r>
        <w:t>Woran würdest du in einem Jahr erkennen, dass sich der Umzug für dich persönlich gelohnt hat?</w:t>
      </w:r>
    </w:p>
    <w:p w14:paraId="40CE7D06" w14:textId="77777777" w:rsidR="001F7233" w:rsidRDefault="00000000">
      <w:pPr>
        <w:pStyle w:val="ListParagraph"/>
        <w:numPr>
          <w:ilvl w:val="0"/>
          <w:numId w:val="1"/>
        </w:numPr>
        <w:spacing w:after="60"/>
      </w:pPr>
      <w:r>
        <w:t>Welcher Teil dieses Plans macht dir am meisten Sorgen, auch wenn er dir albern vorkommt?</w:t>
      </w:r>
    </w:p>
    <w:p w14:paraId="4C9F1CA8" w14:textId="77777777" w:rsidR="001F7233" w:rsidRDefault="00000000">
      <w:pPr>
        <w:pStyle w:val="ListParagraph"/>
        <w:numPr>
          <w:ilvl w:val="0"/>
          <w:numId w:val="1"/>
        </w:numPr>
        <w:spacing w:after="60"/>
      </w:pPr>
      <w:r>
        <w:t>Was bräuchtest du, damit aus einem Zögern eine klare Zustimmung wird?</w:t>
      </w:r>
    </w:p>
    <w:p w14:paraId="0F1B2BD5" w14:textId="77777777" w:rsidR="001F7233" w:rsidRDefault="001F7233">
      <w:pPr>
        <w:spacing w:line="120" w:lineRule="exact"/>
      </w:pPr>
    </w:p>
    <w:p w14:paraId="206D32D8" w14:textId="77777777" w:rsidR="001F7233" w:rsidRDefault="00000000">
      <w:pPr>
        <w:spacing w:after="140"/>
      </w:pPr>
      <w:r>
        <w:t>Diese Fragen ersetzen keine ausführliche Aussprache. Sie holen aber aus einem diffusen Bauchgefühl etwas Konkretes heraus, worüber sich reden lässt. Das gilt für den Partner ebenso wie für ein Kind ab etwa zwölf Jahren, das seine Bedenken sonst leicht herunterschluckt, um niemanden zu enttäuschen.</w:t>
      </w:r>
    </w:p>
    <w:p w14:paraId="18443F3E" w14:textId="77777777" w:rsidR="001F7233" w:rsidRDefault="00000000">
      <w:pPr>
        <w:pStyle w:val="Heading3"/>
      </w:pPr>
      <w:r>
        <w:t>Kinder, Geburtsort und frühere Beziehungen</w:t>
      </w:r>
    </w:p>
    <w:p w14:paraId="0D3AFEE6" w14:textId="77777777" w:rsidR="001F7233" w:rsidRDefault="00000000">
      <w:r>
        <w:t xml:space="preserve">Ein Kind kann eine Partnerschaft im Alltag belegen, ersetzt aber weder den Partnerantrag noch die Aufenthaltsvoraussetzungen. In Australien gilt die Zwölf-Monats-Regel für de-facto-Beziehungen meist auch bei einem gemeinsamen Kind. Eine registrierte Beziehung oder andere eng begrenzte Ausnahmen können die Frist entfallen lassen. Prüfe den konkreten Fall bei Home Affairs. Kinder </w:t>
      </w:r>
      <w:r>
        <w:lastRenderedPageBreak/>
        <w:t>aus früheren Beziehungen müssen offengelegt und je nach Visum einbezogen oder untersucht werden, auch wenn sie nicht mitreisen. Sorge- und Aufenthaltsbestimmungsrecht, erforderliche Zustimmung des anderen Elternteils und mögliche Gerichtsbeschlüsse vor Antragstellung klären.</w:t>
      </w:r>
    </w:p>
    <w:p w14:paraId="2B517B13" w14:textId="77777777" w:rsidR="001F7233" w:rsidRDefault="00000000">
      <w:r>
        <w:t>Ein Stiefkind erhält durch die Heirat nicht automatisch einen Aufenthaltsstatus. Alle vier Länder haben jedoch je nach Alter, Abhängigkeit, Sorgerecht und Visum eigene Wege, ein Stief- oder Partnerkind in einen Antrag einzubeziehen. Bei Geburt während eines laufenden Verfahrens die Behörde informieren. Geburtsort verleiht in Kanada und den USA meist Staatsbürgerschaft, mit gesetzlichen Ausnahmen. Australien und Neuseeland knüpfen sie an den Status eines Elternteils oder besondere Aufenthaltsregeln. Auch ein dort geborenes Kind verschafft den Eltern kein Aufenthaltsrecht. Die Details und aktuellen Regeln stehen in den jeweiligen Familienabschnitten. Ein kanadisches Kind kann seine Eltern bei erfüllten Voraussetzungen meist ab 18 sponsern, ein US-Kind erst ab 21. Das verschafft den Eltern bis dahin keinen eigenen Status.</w:t>
      </w:r>
    </w:p>
    <w:p w14:paraId="6FEB403F" w14:textId="77777777" w:rsidR="001F7233" w:rsidRDefault="00000000">
      <w:pPr>
        <w:pStyle w:val="Heading3"/>
      </w:pPr>
      <w:r>
        <w:t>Junge Elternschaft, eigene Pläne und Unterstützung</w:t>
      </w:r>
    </w:p>
    <w:p w14:paraId="2F0CA181" w14:textId="77777777" w:rsidR="001F7233" w:rsidRDefault="00000000">
      <w:r>
        <w:t>Ein Kind kann früher kommen als geplant. Es verändert Zeit, Einkommen, Ausbildung, Partnerschaft und Wohnort; es muss Lebenspläne nicht beenden, aber der Umzugsplan darf keine unsichtbare Betreuung durch den anderen Elternteil oder die Großeltern voraussetzen. Rechne mit tatsächlichen Betreuungszeiten und -kosten, besprecht Ausbildung und Arbeit beider Eltern und klärt vor dem Umzug Sorgerecht und Zustimmung zur Ausreise. Wer den größeren Teil der Betreuung übernimmt, sollte den möglichen Lohn nach Kinderbetreuung, Fahrtkosten und Arbeitszeiten betrachten, nicht nur das Bruttogehalt. Ein verlässliches Netz und ein eigener Bildungs- oder Berufsplan sind wichtiger als die Annahme, nach der Geburt werde sich alles von selbst sortieren.</w:t>
      </w:r>
    </w:p>
    <w:p w14:paraId="129CAC01" w14:textId="77777777" w:rsidR="001F7233" w:rsidRDefault="00000000">
      <w:pPr>
        <w:pStyle w:val="Heading3"/>
      </w:pPr>
      <w:r>
        <w:lastRenderedPageBreak/>
        <w:t>Nebenjobs für Kinder und Jugendliche</w:t>
      </w:r>
    </w:p>
    <w:p w14:paraId="1F7F698C" w14:textId="77777777" w:rsidR="001F7233" w:rsidRDefault="00000000">
      <w:r>
        <w:t>Das gehört nicht zur Frage, ob du bereit bist. Es steht hier, weil Familien es vor der Länderwahl oft falsch als Einkommen einplanen. Die Regel bleibt: erst örtliches Mindestalter und Aufenthaltsstatus prüfen, dann den Job. Typische Einstiege sind Babysitten, Nachhilfe, Hunde ausführen, Rasen mähen, Erntehilfe, Zeitungen oder Flyer austragen und später Arbeit im Laden, Café, Schwimmbad oder Ferienlager. Ob eine Tätigkeit als gelegentliche Nachbarschaftshilfe oder als Beschäftigung gilt, hängt von Regelmäßigkeit, Bezahlung und lokalem Recht ab. Eine allgemeingültige Mindestalterzahl gibt es nicht. In den USA erlaubt Bundesrecht viele nichtlandwirtschaftliche Jobs meist ab 14, aber nur in ungefährlichen Tätigkeiten und mit engen Schulzeitgrenzen: 14- und 15-Jährige dürfen an Schultagen höchstens drei Stunden und pro Schulwoche 18 Stunden arbeiten; Bundesstaaten können strenger sein. Australien regelt Mindestalter, erlaubte Tätigkeiten und Arbeitszeiten überwiegend nach Staat oder Territorium; Junior-Löhne gelten häufig. Kanada regelt Alter, Stunden und gefährliche Arbeiten weitgehend provinziell. Das Bundesrecht gilt nur für bestimmte Branchen und setzt dort meist 18 Jahre als Mindestalter. In Neuseeland müssen Beschäftigte bis 15 außer der Schulzeit arbeiten. Unter-16-Jährige haben keinen gesetzlichen Mindestlohn, aber Schul-, Nachtarbeits- und Arbeitsplatzregeln gelten. Prüfe vor der ersten Schicht das örtliche Mindestalter, erlaubte Aufgaben, Stunden, Lohn und ob der Aufenthaltsstatus des Kindes Arbeit erlaubt. Einkaufswagen gegen Münzen zurückzubringen ist wegen Verkehr und geringem Ertrag meist kein vernünftiger Einkommensplan. Ein formeller Cart-Attendant-Job ist etwas anderes und muss die örtlichen Alters-, Lohn- und Sicherheitsregeln einhalten.</w:t>
      </w:r>
    </w:p>
    <w:p w14:paraId="7600E8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Frühere Erfahrung und Erwartungsmanagement</w:t>
      </w:r>
    </w:p>
    <w:p w14:paraId="1BEE76EE" w14:textId="77777777" w:rsidR="001F7233" w:rsidRDefault="00000000">
      <w:pPr>
        <w:spacing w:after="140"/>
      </w:pPr>
      <w:r>
        <w:t>„Ich habe ja schon mal ein Auslandssemester gemacht, das wird schon“. Dieser Gedanke ist verbreitet, aber nur teilweise durch Forschung gedeckt. Eine Meta-Analyse mehrerer Studien fand frühere Auslandserfahrung insgesamt als eher schwachen Prädiktor für die generelle Anpassung im Ausland. Allerdings zeigte sich ein klarerer, wenn auch moderater Effekt auf die Anpassung im Job und im täglichen Umgang mit anderen. Ihr größter nachweisbarer Nutzen liegt woanders: Sie unterstützt vor allem eines, realistische statt idealisierte Erwartungen zu bilden und das führt zum letzten, vielleicht wichtigsten Faktor.</w:t>
      </w:r>
    </w:p>
    <w:p w14:paraId="26554621" w14:textId="77777777" w:rsidR="001F7233" w:rsidRDefault="00000000">
      <w:pPr>
        <w:spacing w:after="140"/>
      </w:pPr>
      <w:r>
        <w:t>Die Theorie der erfüllten Erwartungen aus der Organisationspsychologie zeigt, auf Auslandsaufenthalte übertragen, einen klaren Zusammenhang: Je mehr sich die tatsächliche Erfahrung mit der vorherigen Erwartung deckt, desto höher fallen Zufriedenheit und Anpassung aus. Wichtig ist nicht die Erwartung an sich, sondern die Richtung des Fehlers. Unerwartet hohe Schwierigkeiten belasten psychisch deutlich stärker als Schwierigkeiten, mit denen von vornherein gerechnet wurde. Wer sich also vorab bewusst mit den unschönen Seiten des Ziellandes beschäftigt: bürokratischen Hürden, Einsamkeitsphasen, einem holprigen ersten Jahr –, ist am Ende besser dran als jemand, der sich nur Hochglanzbilder ausgemalt hat.</w:t>
      </w:r>
    </w:p>
    <w:p w14:paraId="30702646" w14:textId="77777777" w:rsidR="001F7233" w:rsidRDefault="00000000">
      <w:pPr>
        <w:spacing w:after="140"/>
      </w:pPr>
      <w:r>
        <w:t>Realistische Erwartungen entstehen durch konkrete Arbeit: ungeschönte Erfahrungsberichte lesen, mit Menschen sprechen, die schon dort leben und wo machbar das Zielland abseits des Urlaubsprogramms sehen. Ein Wocheneinkauf und ein Behördengang sagen oft mehr als eine Woche Sightseeing.</w:t>
      </w:r>
    </w:p>
    <w:p w14:paraId="59790D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Liste bedeutet</w:t>
      </w:r>
    </w:p>
    <w:p w14:paraId="140582DE" w14:textId="77777777" w:rsidR="001F7233" w:rsidRDefault="00000000">
      <w:pPr>
        <w:spacing w:after="140"/>
      </w:pPr>
      <w:r>
        <w:t>Die Liste ist kein Test. Ein geprüftes Verfahren für private Auswanderer aus Deutschland gibt es hier nicht. Die Quellen stammen größtenteils aus der Personalauswahl für Firmenentsendungen. Nützlich ist die Liste, weil sie acht Punkte an einem Ort versammelt, die sonst leicht übersehen werden.</w:t>
      </w:r>
    </w:p>
    <w:p w14:paraId="327A37D2" w14:textId="77777777" w:rsidR="001F7233" w:rsidRDefault="00000000">
      <w:pPr>
        <w:spacing w:after="140"/>
      </w:pPr>
      <w:r>
        <w:t>Zwei oder drei offene Punkte sind kein Grund, den Plan zu begraben. Sie sind Aufgaben. Problematisch wird es, wenn Finanzen, Familienzustimmung und Erwartungsmanagement zugleich offen sind und du keinen nächsten Schritt hast.</w:t>
      </w:r>
    </w:p>
    <w:p w14:paraId="15BC3D79" w14:textId="77777777" w:rsidR="001F7233" w:rsidRDefault="00000000">
      <w:pPr>
        <w:spacing w:after="140"/>
      </w:pPr>
      <w:r>
        <w:t>Geh die Liste an drei Zeitpunkten noch einmal durch, ohne eine Punktzahl:</w:t>
      </w:r>
    </w:p>
    <w:p w14:paraId="718EF7B0" w14:textId="77777777" w:rsidR="001F7233" w:rsidRDefault="00000000">
      <w:pPr>
        <w:pStyle w:val="ListParagraph"/>
        <w:numPr>
          <w:ilvl w:val="0"/>
          <w:numId w:val="1"/>
        </w:numPr>
        <w:spacing w:after="60"/>
      </w:pPr>
      <w:r>
        <w:t>Nach der ersten Recherche zu Visum, Beruf und Zielort.</w:t>
      </w:r>
    </w:p>
    <w:p w14:paraId="14C105A3" w14:textId="77777777" w:rsidR="001F7233" w:rsidRDefault="00000000">
      <w:pPr>
        <w:pStyle w:val="ListParagraph"/>
        <w:numPr>
          <w:ilvl w:val="0"/>
          <w:numId w:val="1"/>
        </w:numPr>
        <w:spacing w:after="60"/>
      </w:pPr>
      <w:r>
        <w:t>Nach einem konkreten Jobangebot oder einer Einladung zur Antragstellung.</w:t>
      </w:r>
    </w:p>
    <w:p w14:paraId="4C020ADE" w14:textId="77777777" w:rsidR="001F7233" w:rsidRDefault="00000000">
      <w:pPr>
        <w:pStyle w:val="ListParagraph"/>
        <w:numPr>
          <w:ilvl w:val="0"/>
          <w:numId w:val="1"/>
        </w:numPr>
        <w:spacing w:after="60"/>
      </w:pPr>
      <w:r>
        <w:t>Einige Monate vor dem geplanten Abflug, wenn Rücklage, Wohnungssuche und Familienlage noch einmal halten müssen.</w:t>
      </w:r>
    </w:p>
    <w:p w14:paraId="0567B986" w14:textId="77777777" w:rsidR="001F7233" w:rsidRDefault="001F7233">
      <w:pPr>
        <w:spacing w:line="120" w:lineRule="exact"/>
      </w:pPr>
    </w:p>
    <w:p w14:paraId="7744F91B" w14:textId="77777777" w:rsidR="001F7233" w:rsidRDefault="00000000">
      <w:pPr>
        <w:spacing w:after="140"/>
      </w:pPr>
      <w:r>
        <w:t>Wenn die Rücklage zwischen zwei Durchgängen schmilzt, ist das ein stärkeres Signal als ein einzelner offener Punkt am Anfang.</w:t>
      </w:r>
    </w:p>
    <w:p w14:paraId="2C158030" w14:textId="77777777" w:rsidR="001F7233" w:rsidRDefault="00000000">
      <w:r>
        <w:rPr>
          <w:b/>
        </w:rPr>
        <w:t xml:space="preserve">SPARTIPP: </w:t>
      </w:r>
    </w:p>
    <w:p w14:paraId="4FE3832F" w14:textId="77777777" w:rsidR="001F7233" w:rsidRDefault="00000000">
      <w:r>
        <w:t>• Bevor du einen kostenpflichtigen privaten Auswanderungsberater beauftragst, nutze die kostenlose Erstberatung des Raphaelswerks e. V., eines vom Bundesverwaltungsamt zertifizierten Fachverbands der Caritas mit langer Tradition. Der Online-Fragebogen „Auswanderungslotse“ liefert eine erste, unverbindliche Orientierung. Er ersetzt keine rechtliche oder steuerliche Beratung, ist aber ein guter, gebührenfreier erster Schritt.</w:t>
      </w:r>
    </w:p>
    <w:p w14:paraId="662C826E" w14:textId="77777777" w:rsidR="001F7233" w:rsidRDefault="001F7233">
      <w:pPr>
        <w:spacing w:line="220" w:lineRule="exact"/>
      </w:pPr>
    </w:p>
    <w:p w14:paraId="5494A66D" w14:textId="77777777" w:rsidR="001F7233" w:rsidRDefault="00000000">
      <w:r>
        <w:t xml:space="preserve">Aufgabenlisten-Logik: JETZT = Recherche oder Vorbereitung; VOR DEM ANTRAG = Voraussetzungen und Nachweise. VOR DER KÜNDIGUNG = Status, Beruf und Finanzierung belastbar klären. VOR </w:t>
      </w:r>
      <w:r>
        <w:lastRenderedPageBreak/>
        <w:t>DEM FLUG = operative Abreise- und Ankunftsschritte. Der Masterplan bündelt diese Ebenen später als Ausführungsschicht.</w:t>
      </w:r>
    </w:p>
    <w:p w14:paraId="65C19616" w14:textId="77777777" w:rsidR="001F7233" w:rsidRDefault="00000000">
      <w:r>
        <w:rPr>
          <w:b/>
        </w:rPr>
        <w:t>Heimatflüge nach Deutschland: Preis, Punkte und Meilen</w:t>
      </w:r>
    </w:p>
    <w:p w14:paraId="4EA7B8D0" w14:textId="77777777" w:rsidR="001F7233" w:rsidRDefault="00000000">
      <w:r>
        <w:t>Suche zuerst mit flexiblen Reisedaten und mehreren Abflug- und Zielflughäfen, nutze Kalender und Preisdiagramm und aktiviere Preisalarme für feste Daten oder flexible Strecken. Vergleiche den Gesamtpreis samt Gepäck, Sitzplatz, Zahlungsgebühr, Umstieg und Anreise zum Flughafen; Google Flights deckt nicht jeden Anbieter ab. Prüfe den Endpreis danach direkt bei der Airline und buche dort, wenn Preis und Bedingungen vergleichbar sind. Separate Tickets können günstiger wirken, lassen dich bei Verspätung aber selbst für einen verpassten Anschluss einstehen und erfordern oft erneute Gepäckaufgabe. Plane lange Puffer oder vermeide Selbstumstiege. Es gibt keinen verlässlichen Wochentag oder pauschalen Vorlauf, der für jede Route den niedrigsten Preis garantiert. Orientiere dich an Preisverlauf, Saison und deinen festen Terminen. Quellen: support.google.com/travel/answer/2475306; support.google.com/travel/answer/6235879.</w:t>
      </w:r>
    </w:p>
    <w:p w14:paraId="1369CF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D57417F" w14:textId="77777777" w:rsidR="001F7233" w:rsidRDefault="00000000">
      <w:pPr>
        <w:pStyle w:val="ListParagraph"/>
      </w:pPr>
      <w:r>
        <w:t>Gemeinsame Checkliste „Deutschland vor dem Abflug“ abgeschlossen; offene Punkte und schriftliche Bestätigungen dokumentiert.</w:t>
      </w:r>
    </w:p>
    <w:p w14:paraId="77788F88" w14:textId="77777777" w:rsidR="001F7233" w:rsidRDefault="00000000">
      <w:pPr>
        <w:pStyle w:val="ListParagraph"/>
      </w:pPr>
      <w:r>
        <w:t>US-Visum, Konsulatstermin und Arbeitsbeginn schriftlich aufeinander abgestimmt.</w:t>
      </w:r>
    </w:p>
    <w:p w14:paraId="672751E9" w14:textId="77777777" w:rsidR="001F7233" w:rsidRDefault="00000000">
      <w:pPr>
        <w:pStyle w:val="ListParagraph"/>
      </w:pPr>
      <w:r>
        <w:t>Beginn der Krankenversicherung im Zielland und eine mögliche Übergangsdeckung schriftlich geklärt.</w:t>
      </w:r>
    </w:p>
    <w:p w14:paraId="6A7E3B12" w14:textId="77777777" w:rsidR="001F7233" w:rsidRDefault="00000000">
      <w:pPr>
        <w:pStyle w:val="ListParagraph"/>
      </w:pPr>
      <w:r>
        <w:t>Bei der deutschen Bank schriftlich geklärt, ob das Konto bei einem Wohnsitz im Zielland weitergeführt werden kann.</w:t>
      </w:r>
    </w:p>
    <w:p w14:paraId="07AD232B" w14:textId="77777777" w:rsidR="001F7233" w:rsidRDefault="00000000">
      <w:pPr>
        <w:pStyle w:val="ListParagraph"/>
      </w:pPr>
      <w:r>
        <w:t>Zustelladresse und bevollmächtigte Kontaktperson für deutsche Schreiben festgelegt.</w:t>
      </w:r>
    </w:p>
    <w:p w14:paraId="182AE5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40A92CFA" w14:textId="77777777" w:rsidR="001F7233" w:rsidRDefault="00000000">
      <w:pPr>
        <w:pStyle w:val="ListParagraph"/>
        <w:numPr>
          <w:ilvl w:val="0"/>
          <w:numId w:val="1"/>
        </w:numPr>
        <w:spacing w:after="60"/>
      </w:pPr>
      <w:r>
        <w:t>Auswärtiges Amt — Fragenkatalog „Ich möchte aus Deutschland auswandern“ (</w:t>
      </w:r>
      <w:hyperlink r:id="rId14">
        <w:r w:rsidR="001F7233">
          <w:rPr>
            <w:color w:val="0563C1"/>
            <w:u w:val="single"/>
          </w:rPr>
          <w:t>auswaertiges-amt.de</w:t>
        </w:r>
      </w:hyperlink>
      <w:r>
        <w:t>)</w:t>
      </w:r>
    </w:p>
    <w:p w14:paraId="352F482A" w14:textId="77777777" w:rsidR="001F7233" w:rsidRDefault="00000000">
      <w:pPr>
        <w:pStyle w:val="ListParagraph"/>
        <w:numPr>
          <w:ilvl w:val="0"/>
          <w:numId w:val="1"/>
        </w:numPr>
        <w:spacing w:after="60"/>
      </w:pPr>
      <w:r>
        <w:t>Bundesverwaltungsamt — Checkliste für die Auswanderung, Basiswissen für den Schritt ins Ausland (</w:t>
      </w:r>
      <w:hyperlink r:id="rId15">
        <w:r w:rsidR="001F7233">
          <w:rPr>
            <w:color w:val="0563C1"/>
            <w:u w:val="single"/>
          </w:rPr>
          <w:t>bva.bund.de</w:t>
        </w:r>
      </w:hyperlink>
      <w:r>
        <w:t>)</w:t>
      </w:r>
    </w:p>
    <w:p w14:paraId="71F048D3" w14:textId="77777777" w:rsidR="001F7233" w:rsidRDefault="00000000">
      <w:pPr>
        <w:pStyle w:val="ListParagraph"/>
        <w:numPr>
          <w:ilvl w:val="0"/>
          <w:numId w:val="1"/>
        </w:numPr>
        <w:spacing w:after="60"/>
      </w:pPr>
      <w:r>
        <w:t>Raphaelswerk e. V. — Beratung Auswanderung, Auswanderungslotse (</w:t>
      </w:r>
      <w:hyperlink r:id="rId16">
        <w:r w:rsidR="001F7233">
          <w:rPr>
            <w:color w:val="0563C1"/>
            <w:u w:val="single"/>
          </w:rPr>
          <w:t>raphaelswerk.de</w:t>
        </w:r>
      </w:hyperlink>
      <w:r>
        <w:t>)</w:t>
      </w:r>
    </w:p>
    <w:p w14:paraId="2A26B121" w14:textId="77777777" w:rsidR="001F7233" w:rsidRPr="00EA1518" w:rsidRDefault="00000000">
      <w:pPr>
        <w:pStyle w:val="ListParagraph"/>
        <w:numPr>
          <w:ilvl w:val="0"/>
          <w:numId w:val="1"/>
        </w:numPr>
        <w:spacing w:after="60"/>
        <w:rPr>
          <w:lang w:val="en-US"/>
        </w:rPr>
      </w:pPr>
      <w:r w:rsidRPr="00EA1518">
        <w:rPr>
          <w:lang w:val="en-US"/>
        </w:rPr>
        <w:t>Harzing, A.-W. — The Persistent Myth of High Expatriate Failure Rates (</w:t>
      </w:r>
      <w:hyperlink r:id="rId17">
        <w:r w:rsidR="001F7233" w:rsidRPr="00EA1518">
          <w:rPr>
            <w:color w:val="0563C1"/>
            <w:u w:val="single"/>
            <w:lang w:val="en-US"/>
          </w:rPr>
          <w:t>harzing.com</w:t>
        </w:r>
      </w:hyperlink>
      <w:r w:rsidRPr="00EA1518">
        <w:rPr>
          <w:lang w:val="en-US"/>
        </w:rPr>
        <w:t>)</w:t>
      </w:r>
    </w:p>
    <w:p w14:paraId="2965F6D0" w14:textId="77777777" w:rsidR="001F7233" w:rsidRDefault="00000000">
      <w:pPr>
        <w:pStyle w:val="ListParagraph"/>
        <w:numPr>
          <w:ilvl w:val="0"/>
          <w:numId w:val="1"/>
        </w:numPr>
        <w:spacing w:after="60"/>
      </w:pPr>
      <w:r>
        <w:t>IZA Institute of Labor Economics — Discussion Paper 17444 zur beruflichen Anerkennung (</w:t>
      </w:r>
      <w:hyperlink r:id="rId18">
        <w:r w:rsidR="001F7233">
          <w:rPr>
            <w:color w:val="0563C1"/>
            <w:u w:val="single"/>
          </w:rPr>
          <w:t>iza.org</w:t>
        </w:r>
      </w:hyperlink>
      <w:r>
        <w:t>)</w:t>
      </w:r>
    </w:p>
    <w:p w14:paraId="47BA4967" w14:textId="77777777" w:rsidR="001F7233" w:rsidRDefault="001F7233">
      <w:pPr>
        <w:spacing w:line="120" w:lineRule="exact"/>
      </w:pPr>
    </w:p>
    <w:p w14:paraId="509EC4F7" w14:textId="77777777" w:rsidR="001F7233" w:rsidRPr="00EA1518" w:rsidRDefault="00000000">
      <w:pPr>
        <w:pStyle w:val="ListParagraph"/>
        <w:rPr>
          <w:lang w:val="en-US"/>
        </w:rPr>
      </w:pPr>
      <w:r w:rsidRPr="00EA1518">
        <w:rPr>
          <w:lang w:val="en-US"/>
        </w:rPr>
        <w:t>U.S. Department of Labor — Child labor rules for nonagricultural occupations (</w:t>
      </w:r>
      <w:hyperlink r:id="rId19">
        <w:r w:rsidR="001F7233" w:rsidRPr="00EA1518">
          <w:rPr>
            <w:rStyle w:val="Hyperlink"/>
            <w:lang w:val="en-US"/>
          </w:rPr>
          <w:t>dol.gov/agencies/whd/child-labor/nonagriculture</w:t>
        </w:r>
      </w:hyperlink>
      <w:r w:rsidRPr="00EA1518">
        <w:rPr>
          <w:lang w:val="en-US"/>
        </w:rPr>
        <w:t>)</w:t>
      </w:r>
    </w:p>
    <w:p w14:paraId="75F71BAF" w14:textId="77777777" w:rsidR="001F7233" w:rsidRPr="00EA1518" w:rsidRDefault="00000000">
      <w:pPr>
        <w:pStyle w:val="ListParagraph"/>
        <w:rPr>
          <w:lang w:val="en-US"/>
        </w:rPr>
      </w:pPr>
      <w:r w:rsidRPr="00EA1518">
        <w:rPr>
          <w:lang w:val="en-US"/>
        </w:rPr>
        <w:t>Fair Work Ombudsman — Minimum working age by state or territory; young workers and students (</w:t>
      </w:r>
      <w:hyperlink r:id="rId20">
        <w:r w:rsidR="001F7233" w:rsidRPr="00EA1518">
          <w:rPr>
            <w:rStyle w:val="Hyperlink"/>
            <w:lang w:val="en-US"/>
          </w:rPr>
          <w:t>fairwork.gov.au/find-help-for/young-workers-and-students</w:t>
        </w:r>
      </w:hyperlink>
      <w:r w:rsidRPr="00EA1518">
        <w:rPr>
          <w:lang w:val="en-US"/>
        </w:rPr>
        <w:t>)</w:t>
      </w:r>
    </w:p>
    <w:p w14:paraId="23EDEE41" w14:textId="77777777" w:rsidR="001F7233" w:rsidRPr="00EA1518" w:rsidRDefault="00000000">
      <w:pPr>
        <w:pStyle w:val="ListParagraph"/>
        <w:rPr>
          <w:lang w:val="en-US"/>
        </w:rPr>
      </w:pPr>
      <w:r w:rsidRPr="00EA1518">
        <w:rPr>
          <w:lang w:val="en-US"/>
        </w:rPr>
        <w:t>Government of Canada — Federal labour standards, including minimum age in federally regulated workplaces (</w:t>
      </w:r>
      <w:hyperlink r:id="rId21" w:history="1">
        <w:r w:rsidR="001F7233" w:rsidRPr="00EA1518">
          <w:rPr>
            <w:rStyle w:val="Hyperlink"/>
            <w:lang w:val="en-US"/>
          </w:rPr>
          <w:t>canada.ca/en/services/jobs/workplace/federal-labour-standards/pay-deductions.html</w:t>
        </w:r>
      </w:hyperlink>
      <w:r w:rsidRPr="00EA1518">
        <w:rPr>
          <w:lang w:val="en-US"/>
        </w:rPr>
        <w:t>)</w:t>
      </w:r>
    </w:p>
    <w:p w14:paraId="79D9F9D1" w14:textId="77777777" w:rsidR="001F7233" w:rsidRPr="00EA1518" w:rsidRDefault="00000000">
      <w:pPr>
        <w:pStyle w:val="ListParagraph"/>
        <w:rPr>
          <w:lang w:val="en-US"/>
        </w:rPr>
      </w:pPr>
      <w:r w:rsidRPr="00EA1518">
        <w:rPr>
          <w:lang w:val="en-US"/>
        </w:rPr>
        <w:t>Employment New Zealand — Hiring young people, school hours and minimum wage (</w:t>
      </w:r>
      <w:hyperlink r:id="rId22">
        <w:r w:rsidR="001F7233" w:rsidRPr="00EA1518">
          <w:rPr>
            <w:rStyle w:val="Hyperlink"/>
            <w:lang w:val="en-US"/>
          </w:rPr>
          <w:t>employment.govt.nz/starting-employment/hiring/hiring-young-people</w:t>
        </w:r>
      </w:hyperlink>
      <w:r w:rsidRPr="00EA1518">
        <w:rPr>
          <w:lang w:val="en-US"/>
        </w:rPr>
        <w:t>)</w:t>
      </w:r>
    </w:p>
    <w:p w14:paraId="3A51CEB2" w14:textId="77777777" w:rsidR="001F7233" w:rsidRDefault="00000000">
      <w:r>
        <w:t>• Quellen- und Datenstand: September 2026; Redaktionsschluss: Oktober 2026. Die zitierten Forschungsergebnisse sind Momentaufnahmen einzelner Studien, keine abschließenden Wahrheiten und stammen größtenteils aus der Forschung zu Firmenentsendungen, nicht zu freiwilliger Privatauswanderung. Die genannten Anlaufstellen können ihr Angebot ändern. Prüfe vor einer Beratung die aktuellen Angaben auf den jeweiligen Webseiten.</w:t>
      </w:r>
    </w:p>
    <w:p w14:paraId="6F736198" w14:textId="77777777" w:rsidR="001F7233" w:rsidRDefault="00000000">
      <w:pPr>
        <w:spacing w:line="220" w:lineRule="exact"/>
      </w:pPr>
      <w:r>
        <w:br w:type="page"/>
      </w:r>
    </w:p>
    <w:p w14:paraId="387409BE" w14:textId="77777777" w:rsidR="001F7233" w:rsidRDefault="00000000">
      <w:pPr>
        <w:pStyle w:val="Heading2"/>
        <w:keepNext/>
        <w:spacing w:line="341" w:lineRule="auto"/>
        <w:jc w:val="center"/>
      </w:pPr>
      <w:bookmarkStart w:id="9" w:name="t0002"/>
      <w:r>
        <w:rPr>
          <w:rFonts w:ascii="Amazon Ember" w:eastAsia="Amazon Ember" w:hAnsi="Amazon Ember" w:cs="Amazon Ember"/>
          <w:color w:val="0000FF"/>
          <w:sz w:val="36"/>
          <w:szCs w:val="36"/>
        </w:rPr>
        <w:lastRenderedPageBreak/>
        <w:t>Welches Land passt zu dir?</w:t>
      </w:r>
      <w:bookmarkEnd w:id="9"/>
    </w:p>
    <w:p w14:paraId="56A68BDF" w14:textId="77777777" w:rsidR="001F7233" w:rsidRDefault="00000000">
      <w:r>
        <w:t>Arbeitsreihenfolge: 1. Aufenthaltsrecht und Berufszugang. 2. Partner, Kinder und zwingende Familienbedingungen. 3. Tragfähiges Netto-Budget. 4. Erst danach Klima, Landschaft, Community und persönliches Lebensgefühl. Ein weicher Vorteil rettet keinen Kandidaten, der an einem harten Filter scheitert.</w:t>
      </w:r>
    </w:p>
    <w:p w14:paraId="4E50DFA6" w14:textId="77777777" w:rsidR="001F7233" w:rsidRDefault="00000000">
      <w:pPr>
        <w:spacing w:after="140"/>
      </w:pPr>
      <w:r>
        <w:t>Du hast im vorigen Kapitel die acht Punkte deiner persönlichen Bestandsaufnahme geprüft. Deine Familie steht hinter dem Plan, deine Rücklage ist kalkuliert und trotzdem weißt du noch nicht, welches der vier Zielländer es werden soll. Viele Leser entscheiden diese Frage aus dem Bauch heraus: Ein Freund lebt schon dort, ein Film hat einen bestimmten Ort geprägt, das Klima klingt verlockend. Das ist kein schlechter Startpunkt, aber ein unvollständiger. Dieses Kapitel legt die wichtigsten strukturellen Unterschiede zwischen den vier Ländern offen und gibt dir ein Werkzeug an die Hand, deine eigenen Prioritäten systematisch dagegenzuhalten.</w:t>
      </w:r>
    </w:p>
    <w:p w14:paraId="0FA0C3E4" w14:textId="77777777" w:rsidR="001F7233" w:rsidRDefault="00000000">
      <w:r>
        <w:rPr>
          <w:b/>
        </w:rPr>
        <w:t xml:space="preserve">KURZ GESAGT: </w:t>
      </w:r>
    </w:p>
    <w:p w14:paraId="2587BA7A" w14:textId="77777777" w:rsidR="001F7233" w:rsidRDefault="00000000">
      <w:r>
        <w:t>• Die vier Länder unterscheiden sich stärker, als die gemeinsame Sprache Englisch vermuten lässt: Einwanderungssystem, Gesundheitssystem und Besteuerungsprinzip sind grundverschieden.</w:t>
      </w:r>
    </w:p>
    <w:p w14:paraId="63099A15" w14:textId="77777777" w:rsidR="001F7233" w:rsidRDefault="00000000">
      <w:r>
        <w:t>• USA: Sponsoring durch den Arbeitgeber oder eine Lotterie, kein Punktesystem. Kanada, Australien und Neuseeland: Punktesysteme mit einer kalkulierbaren Mindestschwelle.</w:t>
      </w:r>
    </w:p>
    <w:p w14:paraId="02690793" w14:textId="77777777" w:rsidR="001F7233" w:rsidRDefault="00000000">
      <w:r>
        <w:t>Der wichtigste steuerliche Kontrast: US-Staatsbürger und US-Steuerresidenten müssen meist ihr weltweites Einkommen melden. Eine Steuerresidentin oder ein Steuerresident kann auch ohne US-Pass entstehen, etwa durch Green Card oder Substantial-Presence-Test. Kanada, Australien und Neuseeland knüpfen die Besteuerung meist an steuerliche Ansässigkeit, besteuern aber manchmal weiterhin Einkommen aus Quellen im jeweiligen Land.</w:t>
      </w:r>
    </w:p>
    <w:p w14:paraId="1254541E" w14:textId="77777777" w:rsidR="001F7233" w:rsidRDefault="00000000">
      <w:r>
        <w:lastRenderedPageBreak/>
        <w:t>• Die vier kurzen Listen am Ende ordnen Fakten. Sie sind kein Ranking, das das Ankunfts- oder Gesundheitskapitel schlägt.</w:t>
      </w:r>
    </w:p>
    <w:p w14:paraId="482BC1D7" w14:textId="77777777" w:rsidR="001F7233" w:rsidRDefault="00000000">
      <w:r>
        <w:t>• Dieses Kapitel ist ein Startpunkt zur Eingrenzung, keine endgültige Entscheidung. Für die Tiefe gehst du danach in den passenden Länder-Teil.</w:t>
      </w:r>
    </w:p>
    <w:p w14:paraId="51B835C3" w14:textId="77777777" w:rsidR="001F7233" w:rsidRDefault="001F7233">
      <w:pPr>
        <w:spacing w:line="220" w:lineRule="exact"/>
      </w:pPr>
    </w:p>
    <w:p w14:paraId="22F35FD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Einwanderungssysteme, ein grundsätzlicher Unterschied</w:t>
      </w:r>
    </w:p>
    <w:p w14:paraId="6DAFB6EE" w14:textId="77777777" w:rsidR="001F7233" w:rsidRDefault="00000000">
      <w:pPr>
        <w:spacing w:after="140"/>
      </w:pPr>
      <w:r>
        <w:rPr>
          <w:i/>
          <w:iCs/>
        </w:rPr>
        <w:t>Kanada, Australien und Neuseeland haben strukturell verwandte Einwanderungssysteme: Alle drei arbeiten mit einem Punktesystem, das auf ein australisches Modell aus den 1980er-Jahren zurückgeht. Du sammelst Punkte für Alter, Sprachtest, Berufserfahrung und Ausbildung und musst eine Mindestschwelle erreichen, um zur Antragstellung eingeladen zu werden. Bei Kanada läuft das über Express Entry mit seinem Comprehensive Ranking System, bei Australien über die General Skilled Migration mit ihren nummerierten Subclasses, bei Neuseeland über die Skilled Migrant Category. Neuseeland ergänzt das um die Green List, eine Mangelberufe-Liste, deren Angehörige unter bestimmten Voraussetzungen ganz ohne Punktesystem direkt einen Antrag auf Daueraufenthalt stellen können.</w:t>
      </w:r>
    </w:p>
    <w:p w14:paraId="0909B8C8" w14:textId="77777777" w:rsidR="001F7233" w:rsidRDefault="00000000">
      <w:pPr>
        <w:spacing w:after="140"/>
      </w:pPr>
      <w:r>
        <w:t>Die USA folgen einem meist anderen Modell: Es gibt kein allgemeines Punktesystem für die Einwanderung. Viele Wege setzen eine Petition eines Arbeitgebers oder Familienangehörigen voraus. Die Diversity Visa Lottery ist ein gesonderter Weg, dessen Teilnahme unter anderem von Geburtsland und jährlicher Länderliste abhängt. Beim H-1B müssen Arbeitgeber für quotenpflichtige Fälle zunächst eine Registrierung einreichen. Seit der Auswahlrunde für FY 2027 ist die Auswahl lohngewichtet: Je nach Lohnstufe wird eine Person ein bis vier Mal in die Auswahl einbezogen. Das ist eine gewichtete Zufallsauswahl, kein Punktetest, der die Visumberechtigung ersetzt. Eine Auswahl ist keine Visumsgenehmigung.</w:t>
      </w:r>
    </w:p>
    <w:p w14:paraId="55028EEC" w14:textId="77777777" w:rsidR="001F7233" w:rsidRDefault="00000000">
      <w:pPr>
        <w:spacing w:after="140"/>
      </w:pPr>
      <w:r>
        <w:lastRenderedPageBreak/>
        <w:t>Faktenbeispiel FY 2027: Eine Registrierung auf Lohnstufe I erhält eine Auswahlchance, auf Lohnstufe II zwei, auf Level III drei und auf Level IV vier Einträge. Das ist eine gewichtete Zufallsauswahl. Sie ersetzt weder die Voraussetzungen für H-1B noch die Petition: „Selected“ bedeutet nur, dass der Arbeitgeber einen Antrag einreichen darf; es ist keine Genehmigung.</w:t>
      </w:r>
    </w:p>
    <w:p w14:paraId="5E31CB66" w14:textId="77777777" w:rsidR="001F7233" w:rsidRDefault="00000000">
      <w:pPr>
        <w:spacing w:after="140"/>
      </w:pPr>
      <w:r>
        <w:t>Das heißt nicht, dass die drei Punktesysteme ein Selbstläufer wären. Die Mindestschwellen steigen tendenziell mit der Nachfrage. Wer heute mit einem Score knapp über der gesetzlichen Mindestpunktzahl rechnet, kann in einem Jahr trotzdem leer ausgehen, weil andere Bewerber im selben Zeitraum mehr Punkte mitbringen. Der Unterschied zum US-Modell ist also nicht „sicher gegen unsicher“, sondern „im Voraus kalkulierbar gegen kaum kalkulierbar“. Bei Kanada, Australien und Neuseeland kannst du deinen Score schon heute mit den offiziellen Rechnern ermitteln und gezielt daran arbeiten (Sprachtest wiederholen, zusätzliche Berufserfahrung sammeln). Bei der US-Lotterie hilft das nicht, dort zählt bei gleicher Qualifikation der Zufall.</w:t>
      </w:r>
    </w:p>
    <w:p w14:paraId="3754F5D3" w14:textId="77777777" w:rsidR="001F7233" w:rsidRDefault="00000000">
      <w:r>
        <w:rPr>
          <w:b/>
        </w:rPr>
        <w:t xml:space="preserve">MERKE: </w:t>
      </w:r>
    </w:p>
    <w:p w14:paraId="51677D76" w14:textId="77777777" w:rsidR="001F7233" w:rsidRDefault="00000000">
      <w:r>
        <w:t>• Für Leser mit einem klar kalkulierbaren Profil – gutem Sprachtest, anerkanntem Abschluss, relevanter Berufserfahrung, sind Kanada, Australien und Neuseeland tendenziell besser im Voraus einschätzbar als der US-Weg. Wer dagegen bereits ein konkretes Jobangebot eines US-Arbeitgebers hat, sollte sich davon nicht abschrecken lassen: Ein bestehendes Angebot verschiebt die Rechnung erheblich.</w:t>
      </w:r>
    </w:p>
    <w:p w14:paraId="0A450198" w14:textId="77777777" w:rsidR="001F7233" w:rsidRDefault="001F7233">
      <w:pPr>
        <w:spacing w:line="220" w:lineRule="exact"/>
      </w:pPr>
    </w:p>
    <w:p w14:paraId="145AE303" w14:textId="77777777" w:rsidR="001F7233" w:rsidRDefault="00000000">
      <w:pPr>
        <w:pStyle w:val="Heading3"/>
      </w:pPr>
      <w:r>
        <w:t>Qualität prüfen: Belege, Passung und Beschwerdeweg</w:t>
      </w:r>
    </w:p>
    <w:p w14:paraId="7DC3A5CE" w14:textId="77777777" w:rsidR="001F7233" w:rsidRDefault="00000000">
      <w:r>
        <w:t xml:space="preserve">Bei Schule, Lehrkraft, Arzt, Handwerker, Betreuung oder Arbeitgeber hilft ein einziges Ranking wenig. Prüfe zuerst die Zulassung/Akkreditierung, wenn der Beruf reguliert ist. Vergleiche danach mehrere unabhängige Hinweise und konkrete Ergebnisse, passend zur eigenen Lage. Bei Schulen zählen Einzugsgebiet, </w:t>
      </w:r>
      <w:r>
        <w:lastRenderedPageBreak/>
        <w:t>Lernfortschritt im Kontext, Betreuung, Sicherheit, Klassengröße und der Besuch vor Ort. Eine Rangliste sagt nicht, ob die Schule zu deinem Kind passt. Bei Lehrkräften und Dienstleistern frage nach Qualifikation, Referenzen, klarer Leistung und Kosten. Bei Menschen bewerte beobachtbares Verhalten über Zeit: Verlässlichkeit, Respekt vor Grenzen, Umgang mit Fehlern und Referenzen, nicht Herkunft oder ein sympathisches Erstgespräch. Verträge, Zuständigkeit und ein realistischer Beschwerdeweg gehören zur Qualitätsprüfung. Bei Warnsignalen wie Druck zu Vorauszahlung, verweigerter Lizenz, unklaren Bedingungen oder Versprechen ohne Beleg: stoppen und unabhängig nachprüfen.</w:t>
      </w:r>
    </w:p>
    <w:p w14:paraId="55BCC7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Punktesystem gegen Sponsoring</w:t>
      </w:r>
    </w:p>
    <w:p w14:paraId="462FD0B2" w14:textId="77777777" w:rsidR="001F7233" w:rsidRDefault="00000000">
      <w:r>
        <w:rPr>
          <w:b/>
        </w:rPr>
        <w:t>Plus: Punktesysteme lassen sich mit offiziellen Rechnern selbst simulieren, lange vor der Antragstellung</w:t>
      </w:r>
    </w:p>
    <w:p w14:paraId="33660DBD" w14:textId="77777777" w:rsidR="001F7233" w:rsidRDefault="00000000">
      <w:r>
        <w:rPr>
          <w:b/>
        </w:rPr>
        <w:t xml:space="preserve">Minus: </w:t>
      </w:r>
      <w:r>
        <w:t>Mindestschwellen steigen mit der Nachfrage und sind nicht garantiert stabil</w:t>
      </w:r>
    </w:p>
    <w:p w14:paraId="6D29D3AA" w14:textId="77777777" w:rsidR="001F7233" w:rsidRDefault="00000000">
      <w:r>
        <w:rPr>
          <w:b/>
        </w:rPr>
        <w:t>Plus: US-Sponsoring braucht keinen Mindest-Score, nur einen Arbeitgeber, der dich will</w:t>
      </w:r>
    </w:p>
    <w:p w14:paraId="78AA0FF3" w14:textId="77777777" w:rsidR="001F7233" w:rsidRDefault="00000000">
      <w:r>
        <w:rPr>
          <w:b/>
        </w:rPr>
        <w:t xml:space="preserve">Minus: </w:t>
      </w:r>
      <w:r>
        <w:t>Die US-Lotterie bleibt Zufall, selbst bei optimaler Qualifikation</w:t>
      </w:r>
    </w:p>
    <w:p w14:paraId="2F32CC66" w14:textId="77777777" w:rsidR="001F7233" w:rsidRDefault="00000000">
      <w:r>
        <w:rPr>
          <w:b/>
        </w:rPr>
        <w:t>Plus: Ein Jobangebot kann den gesamten US-Weg erheblich beschleunigen</w:t>
      </w:r>
    </w:p>
    <w:p w14:paraId="4AD826EB" w14:textId="77777777" w:rsidR="001F7233" w:rsidRDefault="00000000">
      <w:r>
        <w:rPr>
          <w:b/>
        </w:rPr>
        <w:t>Minus: Punktesysteme belohnen vor allem junge, gut ausgebildete Einzelpersonen stärker als ältere Bewerber oder Familien mit nur einem Hauptverdiener.</w:t>
      </w:r>
    </w:p>
    <w:p w14:paraId="6159D23F" w14:textId="77777777" w:rsidR="001F7233" w:rsidRDefault="00000000">
      <w:r>
        <w:rPr>
          <w:b/>
        </w:rPr>
        <w:t>Plus: Familienangehörige haben in den USA einen eigenen, etablierten Weg</w:t>
      </w:r>
    </w:p>
    <w:p w14:paraId="4DE3A2A9" w14:textId="77777777" w:rsidR="001F7233" w:rsidRDefault="00000000">
      <w:r>
        <w:rPr>
          <w:b/>
        </w:rPr>
        <w:t xml:space="preserve">Minus: </w:t>
      </w:r>
      <w:r>
        <w:t>Ein fehlender Score-Faktor (etwa das Alter) lässt sich bei Punktesystemen kaum kurzfristig ausgleichen</w:t>
      </w:r>
    </w:p>
    <w:p w14:paraId="30E41D30" w14:textId="77777777" w:rsidR="001F7233" w:rsidRDefault="001F7233">
      <w:pPr>
        <w:spacing w:line="180" w:lineRule="exact"/>
      </w:pPr>
    </w:p>
    <w:p w14:paraId="3A4094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dauert es bis zum unbefristeten Aufenthaltstitel?</w:t>
      </w:r>
    </w:p>
    <w:p w14:paraId="5A90B8F2" w14:textId="77777777" w:rsidR="001F7233" w:rsidRDefault="00000000">
      <w:pPr>
        <w:spacing w:after="140"/>
      </w:pPr>
      <w:r>
        <w:rPr>
          <w:i/>
          <w:iCs/>
        </w:rPr>
        <w:t>Für Deutsche mit den gängigen beruflichen Kategorien liegen die groben Richtwerte (Datenstand September 2026, geprüft im Oktober 2026) bei: USA über die Kategorien EB-1 oder National Interest Waiver rund 1–2,5 Jahre. Über EB-2 oder EB-3 mit vorgeschaltetem Arbeitsmarktverfahren sind es eher 2,5–4,5 Jahre. Kanada bearbeitet Anträge nach Einladung meist innerhalb von rund 6 Monaten, wobei die Wartezeit bis zur Einladung selbst vom eigenen Punktescore abhängt. Australien braucht bei der unabhängigen Kategorie in der Hälfte der Fälle rund 6 Monate, in 9 von 10 Fällen bis zu 15 Monate. Bei der staatlich nominierten Variante ist es meist etwas weniger, zuzüglich 4–14 Wochen für die Nominierung selbst. Neuseeland ist bei der regulären Kategorie mit rund 2–4 Monaten am schnellsten, bei der Green List rund 6–10 Monate.</w:t>
      </w:r>
    </w:p>
    <w:p w14:paraId="7D140B2E" w14:textId="77777777" w:rsidR="001F7233" w:rsidRDefault="00000000">
      <w:r>
        <w:rPr>
          <w:b/>
        </w:rPr>
        <w:t xml:space="preserve">ACHTUNG: </w:t>
      </w:r>
    </w:p>
    <w:p w14:paraId="04FDD9CD" w14:textId="77777777" w:rsidR="001F7233" w:rsidRDefault="00000000">
      <w:r>
        <w:t>• Diese Zeiten ändern sich schnell und hängen stark von deiner konkreten Kategorie ab. Behandle sie als grobe Orientierung, nicht als Zusage. Die aktuellen, verlässlichen Werte findest du im jeweiligen Länder-Teil und auf den offiziellen Behördenseiten.</w:t>
      </w:r>
    </w:p>
    <w:p w14:paraId="19994B24" w14:textId="77777777" w:rsidR="001F7233" w:rsidRDefault="001F7233">
      <w:pPr>
        <w:spacing w:line="220" w:lineRule="exact"/>
      </w:pPr>
    </w:p>
    <w:p w14:paraId="28E46A5D" w14:textId="77777777" w:rsidR="001F7233" w:rsidRDefault="00000000">
      <w:pPr>
        <w:spacing w:after="140"/>
      </w:pPr>
      <w:r>
        <w:rPr>
          <w:i/>
          <w:iCs/>
        </w:rPr>
        <w:t>Im Visa Bulletin für Oktober 2026 war EB-1 für die Kategorie „All Chargeability Areas Except Those Listed“ current. Die Final Action Dates lagen bei EB-2 auf dem 1. Januar 2025 und bei EB-3 auf dem 15. Mai 2024. Das sind monatliche Stichtage, keine verlässliche Prognose der individuellen Wartezeit. Sie können sich vorwärts oder rückwärts bewegen. Prüfe vor dem I-485-Antrag die aktuelle Tabelle und die von USCIS für diesen Monat freigegebene Filing-Chart.</w:t>
      </w:r>
    </w:p>
    <w:p w14:paraId="5DD133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Gesundheitssystem: vier verschiedene Modelle</w:t>
      </w:r>
    </w:p>
    <w:p w14:paraId="3DBCF3EC" w14:textId="77777777" w:rsidR="001F7233" w:rsidRDefault="00000000">
      <w:pPr>
        <w:spacing w:after="140"/>
      </w:pPr>
      <w:r>
        <w:t>Kaum ein Bereich unterscheidet sich zwischen den vier Ländern so grundlegend wie die Gesundheitsversorgung und kaum einer weicht so stark vom gewohnten deutschen System ab. Die USA haben kein universelles System. Die Mehrheit ist über den Arbeitgeber versichert, dazu kommen staatliche Programme für Ältere und Einkommensschwache sowie ein offener Markt für den Direktkauf einer Police. Ein Teil der Bevölkerung bleibt schlicht unversichert. Wer in die USA zieht, muss sich aktiv und meist zügig selbst um Versicherungsschutz kümmern.</w:t>
      </w:r>
    </w:p>
    <w:p w14:paraId="14E68445" w14:textId="77777777" w:rsidR="001F7233" w:rsidRDefault="00000000">
      <w:pPr>
        <w:spacing w:after="140"/>
      </w:pPr>
      <w:r>
        <w:t>Kanada und Neuseeland liegen näher am Gefühl einer öffentlichen Grundversorgung: in Kanada von der Provinz verwaltet, in Neuseeland über die staatliche Gesundheitsbehörde, oft an die Visumsdauer geknüpft. Zahnmedizin, Augenheilkunde und Medikamente sind in Kanada je nach Provinz nur teilweise erstattet. Australien ist kein automatisches Medicare für jeden Einreisenden. Permanent Residents bekommen Medicare. Die meisten befristeten Visa bekommen es nicht. Ein Gegenseitigkeitsabkommen mit Deutschland gibt es nicht. Das steht im australischen Ankunfts- und Gesundheitskapitel.</w:t>
      </w:r>
    </w:p>
    <w:p w14:paraId="6A6D153E" w14:textId="77777777" w:rsidR="001F7233" w:rsidRDefault="00000000">
      <w:pPr>
        <w:spacing w:after="140"/>
      </w:pPr>
      <w:r>
        <w:t>Details zu Wartezeiten gehören in das Gesundheitskapitel des Landes. Sie unterscheiden sich zu stark für eine gemeinsame Punktzahl.</w:t>
      </w:r>
    </w:p>
    <w:p w14:paraId="75D4E4FB" w14:textId="77777777" w:rsidR="001F7233" w:rsidRPr="00EA1518" w:rsidRDefault="00000000">
      <w:pPr>
        <w:spacing w:after="140"/>
        <w:rPr>
          <w:lang w:val="en-US"/>
        </w:rPr>
      </w:pPr>
      <w:r>
        <w:t xml:space="preserve">Langzeitpflege ist ein eigener Zugangs- und Kostencheck, nicht automatisch Teil der öffentlichen Krankenversicherung. Die deutsche Pflegeversicherung zahlt ihre Leistungen bei dauerhaftem Wohnsitz außerhalb der EU, des EWR und der Schweiz meist nicht einfach weiter. Versicherungsstatus, mögliche Weiterversicherung und Ausnahmen klärst du vor dem Wegzug mit Pflegekasse und DVKA. In den USA deckt Medicare gewöhnliche dauerhafte Hilfe bei </w:t>
      </w:r>
      <w:r>
        <w:lastRenderedPageBreak/>
        <w:t xml:space="preserve">Waschen, Anziehen und Alltag nicht. Medicaid kann je nach Bundesstaat und Anspruchsvoraussetzungen helfen. In Kanada regeln Provinz und Territorium Zugang und Eigenanteile, häufig getrennt nach Pflege und Unterkunft. In Australien hängen Beiträge für stationäre Altenpflege seit 1. November 2025 vom Übergangsregime und einer Einkommens- und Vermögensprüfung ab. In Neuseeland kann die Residential Care Subsidy nach Pflegebedarf sowie Einkommens- und Vermögensprüfung helfen. Die Vermögensgrenze für Alleinstehende ab 65 liegt seit 1. Juli 2026 bei 300.811 NZD. Vor der Länderentscheidung vergleichst du deshalb Anspruchsvoraussetzungen, Wartezeit, häusliche Hilfe, Unterkunftskosten und private Rücklage für genau die Region und den Aufenthaltsstatus (BMG/DVKA. </w:t>
      </w:r>
      <w:r w:rsidRPr="00EA1518">
        <w:rPr>
          <w:lang w:val="en-US"/>
        </w:rPr>
        <w:t>Medicare.gov und Medicaid.gov; jeweilige Provinz; My Aged Care; Work and Income NZ).</w:t>
      </w:r>
    </w:p>
    <w:p w14:paraId="03615BE3" w14:textId="77777777" w:rsidR="001F7233" w:rsidRDefault="00000000">
      <w:pPr>
        <w:spacing w:after="140"/>
      </w:pPr>
      <w:r>
        <w:t>Wer eine öffentliche Grundversorgung will, liest zuerst das Gesundheitskapitel von Kanada oder Neuseeland, nicht eine Zeile in dieser Übersicht. Wer nach Australien will, klärt das Visum, bevor er Medicare einplant. Wer in die USA zieht, behandelt die Krankenversicherung als eigenen Punkt direkt nach der Zusage. Das Kapitel im USA-Teil zeigt den Ablauf.</w:t>
      </w:r>
    </w:p>
    <w:p w14:paraId="490EB9C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Steuerlast und das Besteuerungsprinzip</w:t>
      </w:r>
    </w:p>
    <w:p w14:paraId="54F8F3FC" w14:textId="77777777" w:rsidR="001F7233" w:rsidRDefault="00000000">
      <w:pPr>
        <w:spacing w:after="140"/>
      </w:pPr>
      <w:r>
        <w:t>Ein Steuerkeil ist eine Vergleichsgröße, kein persönliches Nettogehalt. Datenjahr, Haushaltstyp, Familienleistungen und die Einbeziehung regionaler Steuern unterscheiden sich. Baue deshalb kein Vier-Länder-Ranking aus gemischten Jahrgängen. Rechne für jedes Zielland denselben Haushalt, dasselbe Bruttogehalt und eine konkrete Region durch. Die Länder-Steuerkapitel nennen die passenden Quellen und Grenzen der Rechnung.</w:t>
      </w:r>
    </w:p>
    <w:p w14:paraId="6DB4E056" w14:textId="77777777" w:rsidR="001F7233" w:rsidRDefault="00000000">
      <w:pPr>
        <w:spacing w:after="140"/>
      </w:pPr>
      <w:r>
        <w:rPr>
          <w:i/>
          <w:iCs/>
        </w:rPr>
        <w:t xml:space="preserve">Kanada, Australien und Neuseeland knüpfen die Besteuerung meist an steuerliche Ansässigkeit: Steuerresidenten müssen typischerweise </w:t>
      </w:r>
      <w:r>
        <w:rPr>
          <w:i/>
          <w:iCs/>
        </w:rPr>
        <w:lastRenderedPageBreak/>
        <w:t>weltweites Einkommen angeben. Nichtresidenten können weiterhin auf dort erzieltes Einkommen steuerpflichtig sein. Die USA besteuern US-Staatsbürger auch bei dauerhaftem Leben im Ausland auf weltweites Einkommen. Auch werden Nicht-US-Staatsbürger für US-Steuerzwecke resident, wenn sie den Green-Card-Test oder den Substantial-Presence-Test erfüllen. Visa- und Steuerstatus sind daher getrennt zu prüfen. Bei Wegzug kann die US-Pflicht fortbestehen, bis die Green Card wirksam aufgegeben oder der steuerliche Status nach den einschlägigen Regeln beendet wurde.</w:t>
      </w:r>
    </w:p>
    <w:p w14:paraId="4F0F429F" w14:textId="77777777" w:rsidR="001F7233" w:rsidRDefault="00000000">
      <w:pPr>
        <w:spacing w:after="140"/>
      </w:pPr>
      <w:r>
        <w:t>Verbreiteter Irrtum: Wer die USA nach Jahren wieder verlässt, sei damit automatisch aus der US-Steuerpflicht heraus. Tatsächlich bleibt sie bestehen, bis der Status formell aufgegeben wird. Das erfordert ein eigenes Verfahren mit Gebühren und Papierkram, das der USA-Teil dieses Buches im Detail behandelt.</w:t>
      </w:r>
    </w:p>
    <w:p w14:paraId="177B9F83" w14:textId="77777777" w:rsidR="001F7233" w:rsidRDefault="00000000">
      <w:r>
        <w:rPr>
          <w:b/>
        </w:rPr>
        <w:t xml:space="preserve">MERKE: </w:t>
      </w:r>
    </w:p>
    <w:p w14:paraId="7CA31E95" w14:textId="77777777" w:rsidR="001F7233" w:rsidRDefault="00000000">
      <w:r>
        <w:t>Die USA besteuern US-Staatsbürger auch bei Auslandswohnsitz auf weltweites Einkommen. Auch Nicht-US-Staatsbürger können in den USA steuerlich resident werden. Die drei anderen Zielländer verwenden meist Ansässigkeitsregeln und können Nichtresidenten weiterhin auf örtliche Einkünfte besteuern.</w:t>
      </w:r>
    </w:p>
    <w:p w14:paraId="18D92A99" w14:textId="77777777" w:rsidR="001F7233" w:rsidRDefault="001F7233">
      <w:pPr>
        <w:spacing w:line="220" w:lineRule="exact"/>
      </w:pPr>
    </w:p>
    <w:p w14:paraId="5E43FB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und Wohnort</w:t>
      </w:r>
    </w:p>
    <w:p w14:paraId="711F1D71" w14:textId="77777777" w:rsidR="001F7233" w:rsidRDefault="00000000">
      <w:r>
        <w:t>Ein nationaler Lebenshaltungskostenindex ist kein Monatsbudget für deine Familie. Anbieter nutzen unterschiedliche Warenkörbe und Erhebungsmethoden. Ein gemeinsamer Länderwert kann die Unterschiede zwischen Städten, Haushalten und Leistungsansprüchen verdecken. Deshalb gibt es hier kein Ranglistenergebnis.</w:t>
      </w:r>
    </w:p>
    <w:p w14:paraId="51B96692" w14:textId="77777777" w:rsidR="001F7233" w:rsidRDefault="00000000">
      <w:r>
        <w:t xml:space="preserve">Vergleiche zwei oder drei konkrete Regionen mit denselben Annahmen: verfügbares Nettoeinkommen, Miete oder laufende Hauskosten, Nebenkosten, Lebensmittel, Mobilität, Gesundheit, Kinderbetreuung, Versicherungen, Steuern und Rücklagen. Nutze </w:t>
      </w:r>
      <w:r>
        <w:lastRenderedPageBreak/>
        <w:t>lokale Mietangebote und die jeweils aktuellen Quellen, statt Landesdurchschnitte als persönliche Kosten zu lesen.</w:t>
      </w:r>
    </w:p>
    <w:p w14:paraId="50A0C5E1" w14:textId="77777777" w:rsidR="001F7233" w:rsidRDefault="00000000">
      <w:r>
        <w:t xml:space="preserve">Für die eigene Monatsrechnung gibt es in </w:t>
      </w:r>
      <w:hyperlink w:anchor="anhang_e">
        <w:r w:rsidR="001F7233">
          <w:rPr>
            <w:rStyle w:val="Hyperlink"/>
          </w:rPr>
          <w:t>Anhang E</w:t>
        </w:r>
      </w:hyperlink>
      <w:r>
        <w:t xml:space="preserve"> eine Budgetübersicht. Prüfe medizinische Absicherung und regionale Abgaben zusätzlich im Länderpfad; sie lassen sich nicht durch einen allgemeinen Kostenindex ersetzen.</w:t>
      </w:r>
    </w:p>
    <w:p w14:paraId="42D43695" w14:textId="77777777" w:rsidR="001F7233" w:rsidRDefault="00000000">
      <w:pPr>
        <w:pStyle w:val="Heading3"/>
      </w:pPr>
      <w:r>
        <w:t>Küste, Strand und Einkauf in Laufweite</w:t>
      </w:r>
    </w:p>
    <w:p w14:paraId="623ED6E8" w14:textId="77777777" w:rsidR="001F7233" w:rsidRDefault="00000000">
      <w:r>
        <w:t>Der Traum ist oft kein Haus direkt am Sand, sondern ein Alltag, in dem Strand, Supermarkt, Apotheke und ein Café ohne lange Autofahrt erreichbar sind. Zeichne deshalb echte Wege in einer Karten-App ein: zehn Minuten zu Fuß auf einer ebenen Straße sind etwas anderes als zehn Minuten Luftlinie über einen Hang oder eine Schnellstraße. „Whole Foods“ ist dabei ein Beispiel, kein Wohnortkriterium; prüfe die Geschäfte, die es am Ziel tatsächlich gibt. In Australien können das Coles oder Woolworths sein, in Neuseeland etwa New World oder Pak’nSave. Zähle auch Arzt, Schule, ÖPNV, Parkplatz und Arbeitsweg dazu.</w:t>
      </w:r>
    </w:p>
    <w:p w14:paraId="1FC767E3" w14:textId="77777777" w:rsidR="001F7233" w:rsidRDefault="00000000">
      <w:r>
        <w:t>Die Preisordnung zeigt, warum der Strandwunsch ein eigenes Budget braucht. Die Beispiele sind einzelne Ortsangaben, keine vergleichbare Länderstatistik:</w:t>
      </w:r>
    </w:p>
    <w:p w14:paraId="3FE92EA1" w14:textId="77777777" w:rsidR="001F7233" w:rsidRDefault="00000000">
      <w:pPr>
        <w:pStyle w:val="ListParagraph"/>
      </w:pPr>
      <w:r>
        <w:t>• Laguna Beach (Kalifornien) — alle Wohnformen; Medianverkaufspreis 3.334.793 USD; drei Monate bis August 2026. Quelle: Redfin, Laguna Beach.</w:t>
      </w:r>
    </w:p>
    <w:p w14:paraId="6FAEB50C" w14:textId="77777777" w:rsidR="001F7233" w:rsidRPr="00EA1518" w:rsidRDefault="00000000">
      <w:pPr>
        <w:pStyle w:val="ListParagraph"/>
        <w:rPr>
          <w:lang w:val="en-US"/>
        </w:rPr>
      </w:pPr>
      <w:r>
        <w:t xml:space="preserve">• Sydney Inner City/Eastern Suburbs — Häuser; Medianpreis 2,55 Mio. </w:t>
      </w:r>
      <w:r w:rsidRPr="00EA1518">
        <w:rPr>
          <w:lang w:val="en-US"/>
        </w:rPr>
        <w:t>AUD im Septemberquartal 2026. North Bondi: 3,035 Mio. AUD. Quelle: Domain, Sydney.</w:t>
      </w:r>
    </w:p>
    <w:p w14:paraId="1C64700B" w14:textId="77777777" w:rsidR="001F7233" w:rsidRDefault="00000000">
      <w:pPr>
        <w:pStyle w:val="ListParagraph"/>
      </w:pPr>
      <w:r>
        <w:t>• West Vancouver — freistehende Häuser; Benchmark 2.822.900 CAD im September 2026. Quelle: Greater Vancouver REALTORS.</w:t>
      </w:r>
    </w:p>
    <w:p w14:paraId="542B1203" w14:textId="77777777" w:rsidR="001F7233" w:rsidRDefault="00000000">
      <w:pPr>
        <w:pStyle w:val="ListParagraph"/>
      </w:pPr>
      <w:r>
        <w:t>• Devonport (Auckland) — Drei-Schlafzimmer-Haus; durchschnittlicher Preis 1.635.625 NZD und Wochenmiete 863 NZD im September 2026. Quelle: Barfoot &amp; Thompson, Auckland.</w:t>
      </w:r>
    </w:p>
    <w:p w14:paraId="135EE9E4" w14:textId="77777777" w:rsidR="001F7233" w:rsidRDefault="00000000">
      <w:r>
        <w:lastRenderedPageBreak/>
        <w:t>Die Währungen, Zeiträume und Kennzahlen unterscheiden sich. Die Werte sind nicht direkt vergleichbar und ergeben kein Länderranking.</w:t>
      </w:r>
    </w:p>
    <w:p w14:paraId="3B3F796A" w14:textId="77777777" w:rsidR="001F7233" w:rsidRDefault="00000000">
      <w:r>
        <w:t>Rechne vom gesicherten Nettoeinkommen und den tatsächlichen Angeboten aus, nicht von erwarteter Wertsteigerung. Prüfe zuerst eine Mietwohnung für einige Monate. Vergleiche dann eine zweite Reihe von Orten: die Nachbarschaft hinter dem Küstenstreifen, einen kleineren Ort mit Bahn oder Bus zum Strand oder einen weiter entfernten Wohnort mit besserem Arbeitsmarkt. Vor dem Kauf kommen zusätzlich Versicherung, Sturmflut, Hochwasser, Küstenerosion, Waldbrand je nach Region, Salzschäden und mögliche Sonderumlagen in die Rechnung. Wenn Strand und Einkauf nur mit zwei Autos funktionieren, kaufst du keinen Fußweg, sondern eine Aussicht.</w:t>
      </w:r>
    </w:p>
    <w:p w14:paraId="0D21AA15" w14:textId="77777777" w:rsidR="001F7233" w:rsidRDefault="00000000">
      <w:pPr>
        <w:pStyle w:val="Heading3"/>
      </w:pPr>
      <w:bookmarkStart w:id="10" w:name="deutschland_ausland_kosten"/>
      <w:r>
        <w:t>Alltagskosten: Was Deutschland abfedert und was im Zielland extra anfällt</w:t>
      </w:r>
      <w:bookmarkEnd w:id="10"/>
    </w:p>
    <w:p w14:paraId="5F86A18C" w14:textId="77777777" w:rsidR="001F7233" w:rsidRDefault="00000000">
      <w:r>
        <w:t>Einzelpreise täuschen. Für einen fairen Vergleich brauchst du den Jahresbetrag für denselben Haushalt und denselben Lebensstil. Manche Kosten sind in Deutschland über Beiträge, öffentliche Angebote oder günstige Grundversorgung verteilt; anderswo landen sie direkter auf deiner Rechnung. Auch innerhalb eines Landes unterscheiden sich Stadt, Visum und Vertrag.</w:t>
      </w:r>
    </w:p>
    <w:p w14:paraId="4AF0615C" w14:textId="77777777" w:rsidR="001F7233" w:rsidRDefault="00000000">
      <w:r>
        <w:rPr>
          <w:b/>
        </w:rPr>
        <w:t xml:space="preserve">Benzin und Mobilität. </w:t>
      </w:r>
      <w:r>
        <w:t xml:space="preserve">Benzinpreise schwanken über Wochen und Regionen. Rechne mit Jahreskilometern und Verbrauch; addiere Auto, Versicherung, Reparaturen, Parken und Maut. In vielen Orten ist das Auto nötig, weil Wege weit und Nahverkehr dünn sind. Eigene Förderung mit Öl oder Gas garantiert keinen niedrigen Benzinpreis: Rohstoffe werden international gehandelt; Raffineriekapazität, Transport, Wechselkurs, Steuern, Abgaben, Wettbewerb und Saison wirken ebenfalls auf den Preis an der Zapfsäule. Deshalb können Preise auch in Förder- und Exportländern stark schwanken. Vergleiche mehrere Wochen und benachbarte Regionen, nicht nur zwei einzelne Tage. Ein hoher Preis allein beweist keinen Wucher. </w:t>
      </w:r>
      <w:r>
        <w:lastRenderedPageBreak/>
        <w:t>Bei auffälligen Preisabständen dokumentiere Ort, Datum und Preis und prüfe die zuständige Verbraucher- oder Wettbewerbsbehörde.</w:t>
      </w:r>
    </w:p>
    <w:p w14:paraId="02D3D6AD" w14:textId="77777777" w:rsidR="001F7233" w:rsidRDefault="00000000">
      <w:r>
        <w:rPr>
          <w:b/>
        </w:rPr>
        <w:t xml:space="preserve">Gesundheit. </w:t>
      </w:r>
      <w:r>
        <w:t>Die deutsche gesetzliche Krankenversicherung kostet Beiträge, schützt aber vor vielen direkten Rechnungen. In den USA ist selbst eine gute Police nicht gleichbedeutend mit „alles bezahlt“: Für ACA-Marketplace-Pläne ist der Höchstbetrag für gedeckte Leistungen im Netzwerk 2026 auf 10.600 US-Dollar pro Person oder 21.200 US-Dollar pro Familie begrenzt. Monatsbeiträge, nicht gedeckte Leistungen und Versorgung außerhalb des Netzwerks zählen nicht zu dieser Grenze. Prüfe deshalb Prämie, Selbstbehalt und jährliches Out-of-Pocket-Maximum zusammen. In allen Zielländern klärst du zusätzlich, ob dein Visum Zugang zum öffentlichen System eröffnet.</w:t>
      </w:r>
    </w:p>
    <w:p w14:paraId="13DF4C92" w14:textId="77777777" w:rsidR="001F7233" w:rsidRDefault="00000000">
      <w:r>
        <w:rPr>
          <w:b/>
        </w:rPr>
        <w:t xml:space="preserve">Studium. </w:t>
      </w:r>
      <w:r>
        <w:t>An staatlichen Hochschulen in Deutschland fallen für Bachelor- und die meisten aufeinanderfolgenden Masterstudiengänge in der Regel keine Studiengebühren an; der Semesterbeitrag bleibt, und es gibt Ausnahmen. In den USA betrugen die durchschnittlichen veröffentlichten Studiengebühren 2025/26 pro Jahr 11.950 US-Dollar für öffentliche Vierjahreshochschulen mit In-State-Status, 31.880 US-Dollar für Out-of-State-Studierende und 45.000 US-Dollar an privaten gemeinnützigen Hochschulen. Das sind Listenpreise vor möglicher Förderung; Wohnkosten kommen hinzu. Status und Gebühren für konkrete Hochschule und Studiengang prüfen.</w:t>
      </w:r>
    </w:p>
    <w:p w14:paraId="78892679" w14:textId="77777777" w:rsidR="001F7233" w:rsidRDefault="00000000">
      <w:r>
        <w:rPr>
          <w:b/>
        </w:rPr>
        <w:t xml:space="preserve">Kinderbetreuung und Hilfe im Haushalt. </w:t>
      </w:r>
      <w:r>
        <w:t>Kita, Nachmittagsbetreuung, Babysitter, Nachhilfe, Reinigung, Gartenpflege und Reparaturen können aus kleinen Einzelbeträgen einen großen Jahresposten machen. Hole lokale Angebote ein und frage, ob Anfahrt, Material, Gebühren, Trinkgeld und gesetzliche Arbeitgeberkosten enthalten sind. Beschäftigst du Hilfe direkt, prüfe Anmeldung, Steuer und Versicherung im passenden Länderabschnitt.</w:t>
      </w:r>
    </w:p>
    <w:p w14:paraId="4095F1F5" w14:textId="77777777" w:rsidR="001F7233" w:rsidRDefault="00000000">
      <w:r>
        <w:rPr>
          <w:b/>
        </w:rPr>
        <w:t xml:space="preserve">Die brauchbare Vergleichsrechnung. </w:t>
      </w:r>
      <w:r>
        <w:t xml:space="preserve">Nimm dieselbe Haushaltsgröße und dieselbe Region. Addiere nicht nur Miete und Supermarkt, sondern auch Gesundheit, Bildung, Betreuung, Mobilität </w:t>
      </w:r>
      <w:r>
        <w:lastRenderedPageBreak/>
        <w:t>und bezahlte Dienstleistungen. Verwende für schwankende Preise aktuelle Ortswerte und rechne mindestens ein normales und ein teures Jahr durch. Ein niedriger Preis an einer einzelnen Kasse ist noch keine niedrigen Lebenshaltungskosten.</w:t>
      </w:r>
    </w:p>
    <w:p w14:paraId="53702389" w14:textId="77777777" w:rsidR="001F7233" w:rsidRDefault="00000000">
      <w:r>
        <w:rPr>
          <w:b/>
        </w:rPr>
        <w:t xml:space="preserve">Quellen: </w:t>
      </w:r>
      <w:hyperlink r:id="rId23">
        <w:r w:rsidR="001F7233">
          <w:rPr>
            <w:rStyle w:val="Hyperlink"/>
          </w:rPr>
          <w:t>EIA</w:t>
        </w:r>
      </w:hyperlink>
      <w:r>
        <w:t xml:space="preserve"> · </w:t>
      </w:r>
      <w:hyperlink r:id="rId24">
        <w:r w:rsidR="001F7233">
          <w:rPr>
            <w:rStyle w:val="Hyperlink"/>
          </w:rPr>
          <w:t>EIA zu Preisbewegungen</w:t>
        </w:r>
      </w:hyperlink>
      <w:r>
        <w:t xml:space="preserve"> · </w:t>
      </w:r>
      <w:hyperlink r:id="rId25">
        <w:r w:rsidR="001F7233">
          <w:rPr>
            <w:rStyle w:val="Hyperlink"/>
          </w:rPr>
          <w:t>HealthCare.gov</w:t>
        </w:r>
      </w:hyperlink>
      <w:r>
        <w:t xml:space="preserve"> · </w:t>
      </w:r>
      <w:hyperlink r:id="rId26">
        <w:r w:rsidR="001F7233">
          <w:rPr>
            <w:rStyle w:val="Hyperlink"/>
          </w:rPr>
          <w:t>DAAD zu Studienkosten</w:t>
        </w:r>
      </w:hyperlink>
      <w:r>
        <w:t xml:space="preserve"> · </w:t>
      </w:r>
      <w:hyperlink r:id="rId27">
        <w:r w:rsidR="001F7233">
          <w:rPr>
            <w:rStyle w:val="Hyperlink"/>
          </w:rPr>
          <w:t>College Board, College-Kosten 2025</w:t>
        </w:r>
      </w:hyperlink>
    </w:p>
    <w:p w14:paraId="10102F51" w14:textId="77777777" w:rsidR="001F7233" w:rsidRDefault="00000000">
      <w:r>
        <w:t xml:space="preserve">Wohnform-Check: Mieten, kaufen, bauen, HOA, Grundstück, Küste und Lage. Die ausführliche US-Prüfung steht im Wohnkapitel.  ·  </w:t>
      </w:r>
      <w:hyperlink w:anchor="Wohnform_Check_USA">
        <w:r w:rsidR="001F7233">
          <w:rPr>
            <w:color w:val="0563C1"/>
            <w:u w:val="single"/>
          </w:rPr>
          <w:t>Zum Wohnform-Check</w:t>
        </w:r>
      </w:hyperlink>
    </w:p>
    <w:p w14:paraId="57F3E3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Distanz, Flugzeit und Zeitverschiebung</w:t>
      </w:r>
    </w:p>
    <w:p w14:paraId="425E603B" w14:textId="77777777" w:rsidR="001F7233" w:rsidRDefault="00000000">
      <w:pPr>
        <w:spacing w:after="140"/>
      </w:pPr>
      <w:r>
        <w:t>Ein Faktor, der bei der Entscheidung leicht untergeht, weil er sich nicht in eine Tabelle mit Gehältern und Steuern packen lässt: wie weit weg du tatsächlich sein wirst. Kanada liegt von den drei neuen Zielländern am nächsten an Deutschland. Toronto in rund 8 Stunden Flugzeit, Vancouver in etwas über 10. Die USA liegen je nach Küste ähnlich nah bis etwas weiter entfernt: Ostküstenstädte in rund 8–9 Stunden, die Westküste in rund 11 Stunden, jeweils meist als Direktflug. Australien und Neuseeland sind ohne Nonstop-Verbindung ab Deutschland erreichbar. Nach Sydney vergehen inklusive Zwischenstopp knapp 20 Stunden, nach Auckland rund 24 Stunden.</w:t>
      </w:r>
    </w:p>
    <w:p w14:paraId="399E8416" w14:textId="77777777" w:rsidR="001F7233" w:rsidRDefault="00000000">
      <w:pPr>
        <w:spacing w:after="140"/>
      </w:pPr>
      <w:r>
        <w:t>Australien ist nicht das fernste der vier Länder. Auckland liegt weiter als Sydney: rund 24 Stunden Reisezeit gegen knapp 20 nach Sydney, jeweils mit Zwischenstopp. Die Zeitverschiebung verstärkt das. Die USA und Kanada liegen, je nach Zeitzone, 6–9 Stunden hinter Deutschland. Australien liegt 8–9 Stunden voraus, Neuseeland 11–12 Stunden, nahezu eine Tag-Nacht-Umkehr. Für einen Anruf bei pflegebedürftigen Eltern ist das Erreichbarkeit, kein Stimmungsbild.</w:t>
      </w:r>
    </w:p>
    <w:p w14:paraId="113E12DE" w14:textId="77777777" w:rsidR="001F7233" w:rsidRDefault="00000000">
      <w:pPr>
        <w:pStyle w:val="Heading3"/>
      </w:pPr>
      <w:bookmarkStart w:id="11" w:name="density_countries"/>
      <w:r>
        <w:t>Wie viele Menschen leben dort – und wie weit auseinander?</w:t>
      </w:r>
      <w:bookmarkEnd w:id="11"/>
    </w:p>
    <w:p w14:paraId="15667E15" w14:textId="77777777" w:rsidR="001F7233" w:rsidRDefault="00000000">
      <w:r>
        <w:lastRenderedPageBreak/>
        <w:t>Bevölkerungszahl und Dichte geben einen ersten Eindruck. Sie erklären aber nicht, wie belebt dein Viertel ist. Die Dichtewerte stammen aus den jeweils genannten Zählungen; die Jahre sind nicht identisch. Deutschland liegt zum Vergleich bei rund 240 Einwohnern je km² (2023).</w:t>
      </w:r>
    </w:p>
    <w:p w14:paraId="17FF9E49" w14:textId="77777777" w:rsidR="001F7233" w:rsidRDefault="00000000">
      <w:pPr>
        <w:pStyle w:val="ListParagraph"/>
      </w:pPr>
      <w:r>
        <w:t xml:space="preserve">• USA: rund 341,8 Millionen Einwohner (Schätzung für 1. Juli 2025); 93,8 Menschen je Quadratmeile oder 36,2 je km² (Zählung 2020). Landesweit wirkt das dünn, doch Küstenstädte und viele Vororte sind dicht besiedelt. </w:t>
      </w:r>
      <w:hyperlink r:id="rId28">
        <w:r w:rsidR="001F7233">
          <w:rPr>
            <w:color w:val="0563C1"/>
            <w:u w:val="single"/>
          </w:rPr>
          <w:t>US Census Bureau: Bevölkerung und Dichte</w:t>
        </w:r>
      </w:hyperlink>
    </w:p>
    <w:p w14:paraId="446801E7" w14:textId="77777777" w:rsidR="001F7233" w:rsidRDefault="00000000">
      <w:pPr>
        <w:pStyle w:val="ListParagraph"/>
      </w:pPr>
      <w:r>
        <w:t xml:space="preserve">• Kanada: rund 41,7 Millionen Einwohner (1. Juli 2025); 4,2 je km² oder 10,9 je Quadratmeile (Zählung 2021). Die große Fläche drückt den Landeswert. Die meisten Menschen leben nahe der US-Grenze; außerhalb der Zentren können Wege zu Arbeit, Arzt und Einkauf lang sein. </w:t>
      </w:r>
      <w:hyperlink r:id="rId29">
        <w:r w:rsidR="001F7233">
          <w:rPr>
            <w:color w:val="0563C1"/>
            <w:u w:val="single"/>
          </w:rPr>
          <w:t>Statistics Canada: Bevölkerung 2025</w:t>
        </w:r>
      </w:hyperlink>
      <w:r>
        <w:t xml:space="preserve">; </w:t>
      </w:r>
      <w:hyperlink r:id="rId30">
        <w:r w:rsidR="001F7233">
          <w:rPr>
            <w:color w:val="0563C1"/>
            <w:u w:val="single"/>
          </w:rPr>
          <w:t>Zensusprofil und Dichte</w:t>
        </w:r>
      </w:hyperlink>
    </w:p>
    <w:p w14:paraId="651DDB46" w14:textId="77777777" w:rsidR="001F7233" w:rsidRDefault="00000000">
      <w:pPr>
        <w:pStyle w:val="ListParagraph"/>
      </w:pPr>
      <w:r>
        <w:t xml:space="preserve">• Australien: rund 27,6 Millionen Einwohner (30. Juni 2025); 3,6 je km² oder 9,3 je Quadratmeile (2024/25). Die Menschen leben vor allem in wenigen großen Küstenräumen. Auf dem Land bedeutet die geringe Dichte oft längere Fahrten und weniger Nahverkehr, nicht automatisch günstiges Wohnen. </w:t>
      </w:r>
      <w:hyperlink r:id="rId31">
        <w:r w:rsidR="001F7233">
          <w:rPr>
            <w:color w:val="0563C1"/>
            <w:u w:val="single"/>
          </w:rPr>
          <w:t>Australian Bureau of Statistics: Bevölkerung und Dichte</w:t>
        </w:r>
      </w:hyperlink>
      <w:r>
        <w:t xml:space="preserve">; </w:t>
      </w:r>
      <w:hyperlink r:id="rId32">
        <w:r w:rsidR="001F7233">
          <w:rPr>
            <w:color w:val="0563C1"/>
            <w:u w:val="single"/>
          </w:rPr>
          <w:t>Regionale Bevölkerung</w:t>
        </w:r>
      </w:hyperlink>
    </w:p>
    <w:p w14:paraId="4571FCE6" w14:textId="77777777" w:rsidR="001F7233" w:rsidRDefault="00000000">
      <w:pPr>
        <w:pStyle w:val="ListParagraph"/>
      </w:pPr>
      <w:r>
        <w:t xml:space="preserve">• Neuseeland: rund 5,32 Millionen Einwohner (30. Juni 2025); 18,9 je km² (Zählung 2023), etwa 49 je Quadratmeile. Rund drei Viertel der Bevölkerung leben auf der Nordinsel. Außerhalb der Städte können Schule, Krankenhaus und Einkauf weit auseinanderliegen. </w:t>
      </w:r>
      <w:hyperlink r:id="rId33">
        <w:r w:rsidR="001F7233">
          <w:rPr>
            <w:color w:val="0563C1"/>
            <w:u w:val="single"/>
          </w:rPr>
          <w:t>Stats NZ: Bevölkerungsschätzung 2025</w:t>
        </w:r>
      </w:hyperlink>
      <w:r>
        <w:t xml:space="preserve">; </w:t>
      </w:r>
      <w:hyperlink r:id="rId34">
        <w:r w:rsidR="001F7233">
          <w:rPr>
            <w:color w:val="0563C1"/>
            <w:u w:val="single"/>
          </w:rPr>
          <w:t>Stats NZ: Zensus 2023</w:t>
        </w:r>
      </w:hyperlink>
      <w:r>
        <w:t xml:space="preserve">; </w:t>
      </w:r>
      <w:hyperlink r:id="rId35">
        <w:r w:rsidR="001F7233">
          <w:rPr>
            <w:color w:val="0563C1"/>
            <w:u w:val="single"/>
          </w:rPr>
          <w:t>EHINZ: Dichte</w:t>
        </w:r>
      </w:hyperlink>
    </w:p>
    <w:p w14:paraId="40FFCFAF" w14:textId="77777777" w:rsidR="001F7233" w:rsidRDefault="00000000">
      <w:r>
        <w:t>Für die Wohnortwahl zählt der konkrete Ort. Prüfe Pendelzeit, Bus- und Bahnangebot, Gehwege sowie die Entfernung zu Arzt, Schule, Einkauf und Flughafen. Ein niedriger Landesdurchschnitt sagt weder, dass Grundstücke billig sind, noch dass Nachbarn weit weg wohnen.</w:t>
      </w:r>
    </w:p>
    <w:p w14:paraId="30CF3508" w14:textId="77777777" w:rsidR="001F7233" w:rsidRDefault="00000000">
      <w:r>
        <w:t>Länderwerte sortieren, Regionen entscheiden</w:t>
      </w:r>
    </w:p>
    <w:p w14:paraId="18324030" w14:textId="77777777" w:rsidR="001F7233" w:rsidRDefault="00000000">
      <w:r>
        <w:t xml:space="preserve">Dasselbe Prinzip gilt nicht nur für Kosten: Sicherheit, Schulqualität, Versicherung, Pendeln, Klima und teilweise Gehalt unterscheiden </w:t>
      </w:r>
      <w:r>
        <w:lastRenderedPageBreak/>
        <w:t>sich innerhalb eines Landes so stark, dass die konkrete Region die spätere Entscheidungsebene ist. Der Ländervergleich grenzt ein; der Regional- oder Stadtvergleich entscheidet.</w:t>
      </w:r>
    </w:p>
    <w:p w14:paraId="5AD52177" w14:textId="77777777" w:rsidR="001F7233" w:rsidRDefault="00000000">
      <w:r>
        <w:t>Politik, Sprache und gesellschaftliches Umfeld</w:t>
      </w:r>
    </w:p>
    <w:p w14:paraId="3D71BCA1" w14:textId="77777777" w:rsidR="001F7233" w:rsidRDefault="00000000">
      <w:r>
        <w:t>USA. Die Republikanische Partei steht im amerikanischen Parteienspektrum im Allgemeinen rechts von der Demokratischen Partei. Republikanisch geprägte Regionen sind typischerweise konservativer, demokratisch geprägte eher liberaler oder progressiver. Diese Achse lässt sich nicht eins zu eins auf deutsche Parteien übertragen. CDU/CSU, FDP, SPD, Grüne, Linke und AfD haben keine exakten amerikanischen Gegenstücke. Nutze rot und blau höchstens als ersten Filter und prüfe danach Stadt, Vorort und County, weil sich Großstadt und ländlicher Raum innerhalb desselben Bundesstaats deutlich unterscheiden können.</w:t>
      </w:r>
    </w:p>
    <w:p w14:paraId="4F5E43A1" w14:textId="77777777" w:rsidR="001F7233" w:rsidRDefault="00000000">
      <w:r>
        <w:t>Kanada. Auf Bundesebene stehen die Conservatives rechts von den Liberals; die NDP steht weiter links. Für die Ortswahl reicht diese Achse aber nicht. Provinz und Sprache können wichtiger sein. Besonders Québec ist französisch geprägt. Wenn du kaum Französisch sprichst, prüfe vor der Wahl des Zielorts, wie viel Französisch Beruf, Behördenkontakt und Alltag verlangen. Es gibt zugleich französischsprachige Gemeinschaften außerhalb Québecs und englischsprachige Gemeinschaften in Québecs.</w:t>
      </w:r>
    </w:p>
    <w:p w14:paraId="6E555AD7" w14:textId="77777777" w:rsidR="001F7233" w:rsidRDefault="00000000">
      <w:r>
        <w:t>Australien. Labor ist die große Kraft der Mitte-links-Seite, die Liberal-National Coalition steht Mitte-rechts bis rechts, die Greens weiter links. Für deutsche Leser ist der Name Liberal eine mögliche Falle: Die Liberal Party gehört in Australien zur Mitte-rechts-Seite und ist politisch nicht einfach mit den US-Demokraten oder einer deutschen Partei gleichzusetzen. Auch hier zählen Bundesstaat, Stadt sowie städtischer oder ländlicher Raum.</w:t>
      </w:r>
    </w:p>
    <w:p w14:paraId="5B8AE4C3" w14:textId="77777777" w:rsidR="001F7233" w:rsidRDefault="00000000">
      <w:r>
        <w:t xml:space="preserve">Neuseeland. Labour steht Mitte-links, National Mitte-rechts. Die Greens stehen weiter links; ACT verbindet eine kleinere Staatsrolle und wirtschaftsliberale oder libertäre Positionen, New Zealand First nationalistische und sozial konservative Positionen. Das Mehrparteiensystem passt deshalb noch weniger in ein </w:t>
      </w:r>
      <w:r>
        <w:lastRenderedPageBreak/>
        <w:t>amerikanisches Rot-Blau-Schema. Prüfe den konkreten Ort und die Themen, die deinen Alltag betreffen.</w:t>
      </w:r>
    </w:p>
    <w:p w14:paraId="7A76F403" w14:textId="77777777" w:rsidR="001F7233" w:rsidRDefault="00000000">
      <w:r>
        <w:t>KURZ GESAGT: Erst muss ein Land rechtlich, beruflich und finanziell passen. Danach prüfst du die konkrete Region auf Sprache, Politik und gesellschaftliches Umfeld. Parteifarben sind ein Suchfilter, kein Ersatz für den Regionalvergleich.</w:t>
      </w:r>
    </w:p>
    <w:p w14:paraId="407C1BDD" w14:textId="77777777" w:rsidR="001F7233" w:rsidRDefault="00000000">
      <w:r>
        <w:t>Leben nach Feierabend</w:t>
      </w:r>
    </w:p>
    <w:p w14:paraId="7445C207" w14:textId="77777777" w:rsidR="001F7233" w:rsidRDefault="00000000">
      <w:r>
        <w:t>Ein gutes Visum und ein gutes Gehalt reichen nicht, wenn der Alltag außer der Arbeit nicht zu dir passt. Prüfe deshalb vor der Ortswahl, was du heute nach Feierabend und am Wochenende tatsächlich gern machst: Live-Musik, Konzerte, Theater, Museen, Kino, Restaurants und Bars, Sport, Wandern und Natur, Vereine, Ehrenamt, Kirche oder andere Religionsgemeinschaften sowie Aktivitäten mit Kindern. Dabei ist die konkrete Stadt oder Region meist wichtiger als ein nationales Klischee. Eine Metropole, ein Vorort und eine ländliche Region desselben Landes können völlig verschiedene Freizeit- und Gemeinschaftsangebote haben.</w:t>
      </w:r>
    </w:p>
    <w:p w14:paraId="33317118" w14:textId="77777777" w:rsidR="001F7233" w:rsidRDefault="00000000">
      <w:r>
        <w:t>Auch Essen gehört zum Alltag: Uber Eats ist in den die vier Zielländer vertreten, aber nicht in jeder Stadt und nicht mit denselben Restaurants. Pho und andere vertraute Küchen findest du eher in vielfältigen Stadtteilen; prüfe die Angebote am konkreten Wohnort. Lieferapps sind bequem, kosten mit Aufschlägen aber meist mehr als Abholung oder Essen vor Ort. Für Hundehalter: The Farmer's Dog liefert laut eigener Versandinformation nur in die zusammenhängenden 48 US-Bundesstaaten. Plane bei einem Umzug ins Ausland eine passende lokale Alternative mit dem Tierarzt; Fleisch- oder Milchbestandteile im Tierfutter unterliegen besonders in Australien und Neuseeland strengen Einfuhrregeln. Quellen: https://www.thefarmersdog.com/faq; https://www.ubereats.com/gb/location</w:t>
      </w:r>
    </w:p>
    <w:p w14:paraId="0ACC6496" w14:textId="77777777" w:rsidR="001F7233" w:rsidRDefault="00000000">
      <w:r>
        <w:t xml:space="preserve">Kirchen und Religionsgemeinschaften gehören dabei nicht nur für religiöse Menschen in den Vergleich. Wer seinen Glauben aktiv lebt, sollte Konfession, Gemeindegröße, Sprache und Entfernung prüfen. Wer Religion für seinen Alltag nicht braucht, behandelt diesen Punkt einfach wie jedes andere freiwillige Freizeitangebot. Wichtig ist, ob </w:t>
      </w:r>
      <w:r>
        <w:lastRenderedPageBreak/>
        <w:t>du vor Ort realistische Wege findest, neue Kontakte außerhalb des Arbeitsplatzes aufzubauen.</w:t>
      </w:r>
    </w:p>
    <w:p w14:paraId="5E3B912D" w14:textId="77777777" w:rsidR="001F7233" w:rsidRDefault="00000000">
      <w:pPr>
        <w:pStyle w:val="Heading3"/>
      </w:pPr>
      <w:r>
        <w:t>Nationalparks, Regionalparks und Schutzgebiete</w:t>
      </w:r>
    </w:p>
    <w:p w14:paraId="2E3D5E84" w14:textId="77777777" w:rsidR="001F7233" w:rsidRPr="00EA1518" w:rsidRDefault="00000000">
      <w:pPr>
        <w:rPr>
          <w:lang w:val="en-US"/>
        </w:rPr>
      </w:pPr>
      <w:r>
        <w:t xml:space="preserve">Nationalpark ist kein einheitliches Freizeitprodukt. In den USA unterscheiden sich National Park Service, State Parks, National Forests und BLM-Flächen bei Eintritt, Camping und Sammelregeln. Kanada hat neben Parks Canada eigene Provinz- und Territorialparks. In Australien werden Schutzgebiete von Bund, Bundesstaaten und Territorien verwaltet; Eintritt und Reservierungen unterscheiden sich. In Neuseeland sind viele DOC-Wege weiterhin ohne Eintritt zugänglich, während Great-Walk-Hütten, Campingplätze und gefragte Strecken gebucht und bezahlt werden. Zugangsentgelte für internationale Besucher an einzelnen stark besuchten DOC-Orten werden vorbereitet; die Regierung treibt 2026 die Umsetzung voran. Vor dem Ausflug die konkrete Parkseite auf Gebühren, Tageskontingente, Camping, Hunde, Feuer, Drohnen, Straßensperren, Wetter und Mobilfunk prüfen. Ein Parkpass deckt nicht automatisch Camping oder geführte Touren ab. </w:t>
      </w:r>
      <w:r w:rsidRPr="00EA1518">
        <w:rPr>
          <w:lang w:val="en-US"/>
        </w:rPr>
        <w:t>DOC-Stand: https://www.doc.govt.nz/get-involved/have-your-say/all-consultations/2026-consultations/international-visitor-access-charges/</w:t>
      </w:r>
    </w:p>
    <w:p w14:paraId="035FA867" w14:textId="77777777" w:rsidR="001F7233" w:rsidRDefault="00000000">
      <w:r>
        <w:t xml:space="preserve">Höhlen, Dinosaurier und Archäologie lassen sich als geführter Besuch, Museum, Rangerprogramm oder genehmigte Mitmachgrabung erleben. Wildhöhlen sind kein improvisierter Spaziergang: Wasser, Dunkelheit, Absturzstellen, empfindliche Formationen und fehlender Empfang können eine Rettung nötig machen. Fossilien, Artefakte, Höhlenformationen und kulturelle Objekte bleiben am Fundort; Graben, Metalldetektor und Mitnehmen können verboten sein. Bei Aboriginal-, First-Nations- und Māori-Stätten gelten zusätzliche kulturelle Zugangsregeln. Außerhalb von Schutzgebieten solltest du zuerst Grundeigentum, Sammelrecht und Ausfuhrregeln klären. Einstiege: USA NPS https://www.nps.gov/planyourvisit/ und </w:t>
      </w:r>
      <w:r>
        <w:lastRenderedPageBreak/>
        <w:t>https://www.nps.gov/subjects/fossils/; Kanada https://parks.canada.ca/; Australien https://parksaustralia.gov.au/ plus State-/Territory-Parkdienst; Neuseeland https://www.doc.govt.nz/parks-and-recreation/.</w:t>
      </w:r>
    </w:p>
    <w:p w14:paraId="07CC1E9C" w14:textId="77777777" w:rsidR="001F7233" w:rsidRDefault="00000000">
      <w:r>
        <w:t>KURZ GESAGT: Frage nicht nur „Wo bekomme ich Arbeit?“, sondern auch „Wo finde ich nach der Arbeit die Menschen und Aktivitäten, die mir wichtig sind?“.</w:t>
      </w:r>
    </w:p>
    <w:p w14:paraId="3CBEFA13" w14:textId="77777777" w:rsidR="001F7233" w:rsidRDefault="00000000">
      <w:r>
        <w:t>Nach dem Umzug: Alltag und Zugehörigkeit</w:t>
      </w:r>
    </w:p>
    <w:p w14:paraId="058C759C" w14:textId="77777777" w:rsidR="001F7233" w:rsidRDefault="00000000">
      <w:r>
        <w:t>Diese Fragen sind kein Länder-Ranking. Nutze sie nach der Ankunft: Baue einen sozialen Kreis über Arbeit hinaus auf und prüfe nach sechs Monaten, ob du Menschen ohne Anlass anrufen kannst, einen Ort hast, an dem man dich kennt und eine regelmäßige Aktivität gefunden hast. Wenn nicht, plane konkrete Routinen, bevor du den Ort oder das Land als gescheitert bewertest.</w:t>
      </w:r>
    </w:p>
    <w:p w14:paraId="788898D1" w14:textId="77777777" w:rsidR="001F7233" w:rsidRDefault="00000000">
      <w:r>
        <w:t>Bei der Ortswahl reichen zunächst praktische Suchfragen: Welche Vereine, religiösen Gemeinden, Kulturangebote und Einkaufsmöglichkeiten sind für deinen Alltag wichtig und wie weit sind sie von Wohnung und Arbeit entfernt? Prüfe das für die konkrete Region mit aktuellen Karten, Census-Daten und lokalen Angeboten.</w:t>
      </w:r>
    </w:p>
    <w:p w14:paraId="2B5B7E24" w14:textId="77777777" w:rsidR="001F7233" w:rsidRDefault="00000000">
      <w:r>
        <w:t>Arbeit, Karriere, Urlaub und Ruhestand</w:t>
      </w:r>
    </w:p>
    <w:p w14:paraId="7002FA6D" w14:textId="77777777" w:rsidR="001F7233" w:rsidRDefault="00000000">
      <w:r>
        <w:t>Auch das Verhältnis zur Arbeit gehört zur Länderwahl. Vergleiche nicht nur Gehalt und Steuer, sondern Arbeitszeit, Arbeitsplatzsicherheit, Aufstiegschancen, Arbeitgeberwechsel, bezahlten Urlaub und die Frage, wie stark Beruf und Privatleben im eigenen Umfeld voneinander getrennt werden. Solche Erfahrungen hängen stark von Branche, Arbeitgeber, Einkommen und Region ab. Das Buch behandelt deshalb gesetzliche Regeln und konkrete Arbeitsbedingungen getrennt von kulturellen Eindrücken.</w:t>
      </w:r>
    </w:p>
    <w:p w14:paraId="3D4E0F26" w14:textId="77777777" w:rsidR="001F7233" w:rsidRDefault="00000000">
      <w:r>
        <w:t xml:space="preserve">USA. Für deutsche Auswanderer ist der wichtigste strukturelle Unterschied beim Urlaub: Auf Bundesebene gibt es keinen gesetzlichen Anspruch auf bezahlten Jahresurlaub. Urlaub ist daher stärker Teil des konkreten Arbeitsvertrags und des Arbeitgeberpakets. Das macht den Arbeitgebervergleich besonders wichtig. Wer Karriere und Einkommen stark priorisiert, sollte </w:t>
      </w:r>
      <w:r>
        <w:lastRenderedPageBreak/>
        <w:t>zugleich prüfen, welchen Preis ein Angebot bei Freizeit, Absicherung und Familienzeit hat.</w:t>
      </w:r>
    </w:p>
    <w:p w14:paraId="76A7FFD7" w14:textId="77777777" w:rsidR="001F7233" w:rsidRDefault="00000000">
      <w:r>
        <w:t>Kanada. Urlaub und Arbeitsrecht hängen stärker von Provinz oder Territorium und teilweise vom bundesrechtlich geregelten Beschäftigungsbereich ab. Deshalb nicht von einem einzigen „kanadischen“ Urlaubsmodell ausgehen. Bei der Karrierewahl zählen auch Provinz, Berufszulassung und Sprache, besonders in Québec.</w:t>
      </w:r>
    </w:p>
    <w:p w14:paraId="260ECF8C" w14:textId="77777777" w:rsidR="001F7233" w:rsidRDefault="00000000">
      <w:r>
        <w:t>Australien und Neuseeland. Beide Länder setzen für berechtigte Beschäftigte einen gesetzlichen Mindestanspruch von vier Wochen bezahltem Jahresurlaub. Das macht sie strukturell anders als die USA, sagt aber noch nichts darüber aus, wie dein konkretes Team tatsächlich mit Überstunden, Erreichbarkeit oder längeren Reisen umgeht. Arbeitsvertrag und Arbeitgeberkultur bleiben eine eigene Prüfung.</w:t>
      </w:r>
    </w:p>
    <w:p w14:paraId="213CEBD4" w14:textId="77777777" w:rsidR="001F7233" w:rsidRDefault="00000000">
      <w:r>
        <w:rPr>
          <w:b/>
        </w:rPr>
        <w:t>Kündigungsschutz im Ländervergleich</w:t>
      </w:r>
    </w:p>
    <w:p w14:paraId="392FDFCF" w14:textId="77777777" w:rsidR="001F7233" w:rsidRDefault="00000000">
      <w:r>
        <w:t>USA. At-will ist die Grundregel: Eine Kündigung braucht meist weder einen Grund noch eine allgemeine gesetzliche Frist. Diskriminierung, Vergeltung, bestimmte Vertragszusagen und weitere gesetzliche Ausnahmen bleiben verboten. Verhandle Schutz und Abfindung, statt sie aus dem deutschen Arbeitsrecht vorauszusetzen.</w:t>
      </w:r>
    </w:p>
    <w:p w14:paraId="7CA9E016" w14:textId="77777777" w:rsidR="001F7233" w:rsidRDefault="00000000">
      <w:r>
        <w:t>Kanada. Die Mindestfristen und Zahlungen hängen von Provinz oder Territorium oder vom bundesrechtlichen Zuständigkeitsbereich ab. Common-law-Ansprüche können darüber hinausgehen; Arbeitsvertrag und anwendbares Recht müssen zusammen gelesen werden.</w:t>
      </w:r>
    </w:p>
    <w:p w14:paraId="1C06AEAB" w14:textId="77777777" w:rsidR="001F7233" w:rsidRDefault="00000000">
      <w:r>
        <w:t>Australien. Schutz vor unfairer Kündigung gilt nur für berechtigte Beschäftigte: typischerweise nach sechs Monaten, bei Kleinbetrieben nach zwölf Monaten, außerdem gelten weitere Voraussetzungen. Die Antragsfrist beträgt 21 Tage. Gesetzliche Kündigungsfrist und Redundancy Pay sind davon getrennte Ansprüche.</w:t>
      </w:r>
    </w:p>
    <w:p w14:paraId="4767A791" w14:textId="77777777" w:rsidR="001F7233" w:rsidRDefault="00000000">
      <w:r>
        <w:t xml:space="preserve">Neuseeland. Eine Kündigung muss meist sachlich gerechtfertigt und fair durchgeführt sein. Eine Personal Grievance wegen ungerechtfertigter Kündigung muss meist binnen 90 Tagen erhoben werden. Eine gültige Trial Period von bis zu 90 Tagen nimmt diesen </w:t>
      </w:r>
      <w:r>
        <w:lastRenderedPageBreak/>
        <w:t>Schutz für die Kündigung teilweise weg, ist aber für Beschäftigte auf einem Accredited Employer Work Visa (AEWV) nicht zulässig.</w:t>
      </w:r>
    </w:p>
    <w:p w14:paraId="6E945085" w14:textId="77777777" w:rsidR="001F7233" w:rsidRDefault="00000000">
      <w:r>
        <w:t>Für die Entscheidung zählt nicht nur, wie schnell gekündigt werden kann, sondern ob du Anspruch auf Frist, Zahlung oder ein Verfahren hast. Hängt dein Visum am Arbeitgeber, plane Jobverlust zugleich als Aufenthalts- und Einkommensrisiko. Die Länderkapitel erklären Voraussetzungen, Fristen und die passenden Stellen.</w:t>
      </w:r>
    </w:p>
    <w:p w14:paraId="4AE1FF45" w14:textId="77777777" w:rsidR="001F7233" w:rsidRPr="00EA1518" w:rsidRDefault="00000000">
      <w:pPr>
        <w:rPr>
          <w:lang w:val="en-US"/>
        </w:rPr>
      </w:pPr>
      <w:r>
        <w:t xml:space="preserve">Offizielle Einstiege: EEOC (eeoc.gov/prohibited-employment-policiespractices); Kanada, Ontario-Beispiel (ontario.ca/document/employment-standard-act-policy-and-interpretation-manual/part-xv-termination-and-severance-employment). </w:t>
      </w:r>
      <w:r w:rsidRPr="00EA1518">
        <w:rPr>
          <w:lang w:val="en-US"/>
        </w:rPr>
        <w:t>Fair Work Commission (fwc.gov.au/overview-unfair-dismissal). Employment New Zealand (employment.govt.nz/resolving-problems/how-to-resolve-problems/personal-grievances. Trial Periods: employment.govt.nz/starting-employment/hiring/trial-periods).</w:t>
      </w:r>
    </w:p>
    <w:p w14:paraId="5B0AC4C5" w14:textId="77777777" w:rsidR="001F7233" w:rsidRDefault="00000000">
      <w:r>
        <w:t>Ruhestand. Trenne drei Fragen: Ab wann kannst du eine staatliche Leistung beziehen? Wann kannst du es dir finanziell leisten, weniger oder gar nicht mehr zu arbeiten? Und wo möchtest du dann tatsächlich leben? Das sind nicht dieselben Fragen. Wer über Jahrzehnte zwischen Deutschland und einem Zielland arbeitet, sollte Renten- und Sozialversicherungsansprüche, private Vorsorge, Krankenversicherung, Steuern und einen möglichen späteren Wohnsitz zusammen betrachten. Ein gesetzliches Rentenalter beschreibt nicht automatisch das Alter, in dem Menschen tatsächlich aus dem Beruf ausscheiden.</w:t>
      </w:r>
    </w:p>
    <w:p w14:paraId="472B9714" w14:textId="77777777" w:rsidR="001F7233" w:rsidRDefault="00000000">
      <w:r>
        <w:t>MERKE: Karriere ist nicht nur Gehalt, Urlaub nicht nur eine Zahl von Tagen und Ruhestand nicht nur ein Alter. Vergleiche das Gesamtpaket aus Zeit, Sicherheit, Entwicklungsmöglichkeiten, Familie, Freizeit und finanzieller Vorsorge.</w:t>
      </w:r>
    </w:p>
    <w:p w14:paraId="6E4FA81D" w14:textId="77777777" w:rsidR="001F7233" w:rsidRDefault="00000000">
      <w:r>
        <w:t>Haus bezahlt, Ruhestand finanziert: eine Planungsrechnung</w:t>
      </w:r>
    </w:p>
    <w:p w14:paraId="00F1562D" w14:textId="77777777" w:rsidR="001F7233" w:rsidRDefault="00000000">
      <w:r>
        <w:t xml:space="preserve">Für die Entscheidung zwischen Ländern und Regionen brauchst du keine magische Vermögenszahl, sondern drei getrennte Töpfe: das Kapital bis zum schuldenfreien Wohnen, das Kapital für laufende Ausgaben im Ruhestand und eine Reserve für Überraschungen. </w:t>
      </w:r>
      <w:r>
        <w:lastRenderedPageBreak/>
        <w:t>Rechne in der Währung des späteren Alltags und mit Preisen der konkreten Stadt oder Region, nicht mit einem Landesdurchschnitt.</w:t>
      </w:r>
    </w:p>
    <w:p w14:paraId="4583B6B7" w14:textId="77777777" w:rsidR="001F7233" w:rsidRDefault="00000000">
      <w:r>
        <w:t>1. Wohnen bis schuldenfrei. Rechne Kaufpreis plus Kaufnebenkosten, notwendige Renovierung und Einrichtung sowie die Finanzierungskosten, die bis zur vollständigen Tilgung entstehen. Ziehe nur Eigenkapital ab, das du tatsächlich für den Kauf einsetzen willst. Danach beginnt die zweite Rechnung: Auch ein schuldenfreies Haus kostet weiter Geld. Plane Grund- oder Kommunalabgaben, Gebäudeversicherung, laufende Reparaturen, Energie und Wasser sowie falls nötig HOA-, Condo-, Strata- oder Body-Corporate-Gebühren ein.</w:t>
      </w:r>
    </w:p>
    <w:p w14:paraId="6905776D" w14:textId="77777777" w:rsidR="001F7233" w:rsidRDefault="00000000">
      <w:r>
        <w:t>2. Jährlicher Bedarf im Ruhestand. Stelle ein realistisches Jahresbudget nach Tilgung des Hauses auf: Wohnen, Lebensmittel, Auto oder Nahverkehr, Reisen nach Deutschland, Freizeit, Versicherungen, Gesundheit, Steuern und größere unregelmäßige Ausgaben. Ziehe davon nur verlässliche laufende Einnahmen ab, etwa gesetzliche oder betriebliche Renten oder die jeweiligen staatlichen Altersleistungen. Die Differenz muss aus deinem Vermögen kommen.</w:t>
      </w:r>
    </w:p>
    <w:p w14:paraId="11C379F3" w14:textId="77777777" w:rsidR="001F7233" w:rsidRDefault="00000000">
      <w:r>
        <w:t>3. Kapitalbedarf als Szenario, nicht als Versprechen. Eine einfache Planungsrechnung lautet: jährliche Finanzierungslücke geteilt durch die angenommene Entnahmerate. Beispiel: Fehlen dir pro Jahr 30.000, ergeben 4 Prozent rechnerisch 750.000; bei 3,5 Prozent rund 857.000. Bei 40.000 Jahreslücke ergeben 4 Prozent 1.000.000, bei 50.000 1.250.000 und bei 60.000 1.500.000. Das sind Rechenbeispiele, keine Garantie. Rendite, Inflation, Steuern, Lebensdauer und schlechte Börsenjahre können das Ergebnis verändern.</w:t>
      </w:r>
    </w:p>
    <w:p w14:paraId="132A2198" w14:textId="77777777" w:rsidR="001F7233" w:rsidRDefault="00000000">
      <w:r>
        <w:t>4. Reserve. Halte einen eigenen Puffer für größere Reparaturen, Ersatz eines Autos, Selbstbehalte, Zahnarzt, Umzug, Familiennotfälle und eine ungeplante Rückkehr nach Deutschland. Wer im Ruhestand zwischen zwei Ländern pendeln will, kalkuliert auch zwei Haushalte, Flüge, Währungsrisiko und die Frage, welche Krankenversicherung an welchem Aufenthaltsort greift.</w:t>
      </w:r>
    </w:p>
    <w:p w14:paraId="52576E2E" w14:textId="77777777" w:rsidR="001F7233" w:rsidRDefault="00000000">
      <w:r>
        <w:lastRenderedPageBreak/>
        <w:t>5. Das Alter ist nicht die Zahl. Trenne den frühesten Leistungsbeginn einer staatlichen Rente von deinem persönlichen Zeitpunkt finanzieller Unabhängigkeit. Wichtig ist, ob Haus, laufende Einnahmen, Vermögen, Krankenversicherung und Steuern zusammen funktionieren. Wer im Ausland in Rente gehen will, prüft außerdem Aufenthaltsrecht, medizinische Versorgung und Steuerpflicht. Bei einem späteren Wechsel des Wohnlands muss die Rechnung neu gemacht werden.</w:t>
      </w:r>
    </w:p>
    <w:p w14:paraId="7F2AA9C2" w14:textId="77777777" w:rsidR="001F7233" w:rsidRDefault="00000000">
      <w:r>
        <w:t>Länderspezifisch prüfen. USA: Krankenversicherung und medizinische Eigenkosten ausdrücklich mitrechnen. Medicare ist für Menschen ab 65 gedacht, deckt Gesundheitskosten außer der USA aber meist nicht ab. Kanada: Provinz, Zugang zum jeweiligen Gesundheitssystem und laufende Wohnkosten am konkreten Ort prüfen. Australien und Neuseeland: ebenfalls Zugang zum Gesundheitssystem, Altersleistungen, Steuern und lokale Immobilienkosten getrennt vom Kaufpreis rechnen. In allen vier Ländern gilt: Eigentum und Aufenthaltsrecht sind zwei verschiedene Fragen und müssen separat geprüft werden.</w:t>
      </w:r>
    </w:p>
    <w:p w14:paraId="22BF6985" w14:textId="77777777" w:rsidR="001F7233" w:rsidRDefault="00000000">
      <w:r>
        <w:t>DEINE RECHNUNG</w:t>
      </w:r>
    </w:p>
    <w:p w14:paraId="243FD87A" w14:textId="77777777" w:rsidR="001F7233" w:rsidRDefault="00000000">
      <w:r>
        <w:t>• Zielort und gewünschte Wohnform festgelegt</w:t>
      </w:r>
    </w:p>
    <w:p w14:paraId="40608CE6" w14:textId="77777777" w:rsidR="001F7233" w:rsidRDefault="00000000">
      <w:r>
        <w:t>• Gesamtkosten bis zum schuldenfreien Haus kalkuliert</w:t>
      </w:r>
    </w:p>
    <w:p w14:paraId="530A1F75" w14:textId="77777777" w:rsidR="001F7233" w:rsidRDefault="00000000">
      <w:r>
        <w:t>• laufende Kosten des schuldenfreien Hauses pro Jahr kalkuliert</w:t>
      </w:r>
    </w:p>
    <w:p w14:paraId="4665A56B" w14:textId="77777777" w:rsidR="001F7233" w:rsidRDefault="00000000">
      <w:r>
        <w:t>• realistisches Jahresbudget im Ruhestand angesetzt</w:t>
      </w:r>
    </w:p>
    <w:p w14:paraId="4487D283" w14:textId="77777777" w:rsidR="001F7233" w:rsidRDefault="00000000">
      <w:r>
        <w:t>• verlässliche Renten und andere Dauereinnahmen abgezogen</w:t>
      </w:r>
    </w:p>
    <w:p w14:paraId="29A3C0DC" w14:textId="77777777" w:rsidR="001F7233" w:rsidRDefault="00000000">
      <w:r>
        <w:t>• verbleibende Jahreslücke mit mehreren Entnahmeszenarien gerechnet</w:t>
      </w:r>
    </w:p>
    <w:p w14:paraId="0A2A8686" w14:textId="77777777" w:rsidR="001F7233" w:rsidRDefault="00000000">
      <w:r>
        <w:t>• separate Notfall- und Rückkehrreserve vorgesehen</w:t>
      </w:r>
    </w:p>
    <w:p w14:paraId="1C778AEA" w14:textId="77777777" w:rsidR="001F7233" w:rsidRDefault="00000000">
      <w:r>
        <w:t>• Krankenversicherung, Steuern und Aufenthaltsrecht für den Ruhestand geprüft</w:t>
      </w:r>
    </w:p>
    <w:p w14:paraId="3118EA62" w14:textId="77777777" w:rsidR="001F7233" w:rsidRDefault="00000000">
      <w:r>
        <w:t>• Rechnung für mindestens zwei konkrete Regionen statt nur für das Land wiederholt</w:t>
      </w:r>
    </w:p>
    <w:p w14:paraId="23E46DFF" w14:textId="77777777" w:rsidR="001F7233" w:rsidRDefault="00000000">
      <w:r>
        <w:t xml:space="preserve">KURZ GESAGT: Die nützlichste Zielzahl ist nicht „eine Million“. Sie lautet: schuldenfreies Wohnen plus genügend investierbares Vermögen für die jährliche Finanzierungslücke plus Reserve. Erst </w:t>
      </w:r>
      <w:r>
        <w:lastRenderedPageBreak/>
        <w:t>mit dieser Rechnung kannst du zwei Regionen sinnvoll danach vergleichen, wo du früher oder sicherer finanziell unabhängig wirst.</w:t>
      </w:r>
    </w:p>
    <w:p w14:paraId="0D5C92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 und Landschaft</w:t>
      </w:r>
    </w:p>
    <w:p w14:paraId="336EE691" w14:textId="77777777" w:rsidR="001F7233" w:rsidRDefault="00000000">
      <w:pPr>
        <w:spacing w:after="140"/>
      </w:pPr>
      <w:r>
        <w:t>Beim Klima gibt es kein objektiv „besseres“ Land, nur die Frage, was zu dir passt. Die USA bieten auf einer einzigen Landmasse fast jedes Klima der Welt, von subtropisch im Südosten über trockene Wüste im Südwesten bis kontinental-kalt im Norden. Die Wahl des Bundesstaats entscheidet hier mehr als die Wahl des Landes. Kanada ist überwiegend kalt-kontinental mit langen, deutlich strengeren Wintern als in Deutschland, mit Ausnahme der milderen Pazifikküste um Vancouver. Australien ist im Landesinneren größtenteils trocken bis wüstenhaft, tropisch im Norden. Dort, wo die meisten Einwanderer tatsächlich leben – an den Küsten um Sydney, Melbourne und Perth –, herrscht dagegen ein gemäßigtes bis mediterranes Klima. Neuseeland ist durchgehend gemäßigt-ozeanisch, mild und regenreich, mit spürbar weniger Extremen als die anderen drei Länder. Wer harte, verlässliche Winter mit Schnee vermisst, findet sie eher in Kanada oder in den nördlichen und höher gelegenen US-Bundesstaaten als in Australien oder Neuseeland. Wer im Gegenteil möglichst nie wieder einen deutschen Novembernieselregen erleben will, sollte genauer hinschauen: Sowohl die neuseeländische Nordinsel als auch weite Teile Kanadas sind selbst dafür bekannt, ziemlich viel Regen abzubekommen.</w:t>
      </w:r>
    </w:p>
    <w:p w14:paraId="40901D1F" w14:textId="77777777" w:rsidR="001F7233" w:rsidRDefault="00000000">
      <w:r>
        <w:t>Klima 2050+: Nicht nur heutiges Wetter prüfen</w:t>
      </w:r>
    </w:p>
    <w:p w14:paraId="73B9FCEF" w14:textId="77777777" w:rsidR="001F7233" w:rsidRDefault="00000000">
      <w:r>
        <w:t>Wenn du ein Haus für Jahrzehnte kaufst, reicht der heutige Klimadurchschnitt nicht. Prüfe auch, welche Risiken sich über deine geplante Wohndauer verändern können. Dazu gehören Hitze und Hitzewellen, Dürre und Wasserverfügbarkeit, Wald- und Buschbrand, Starkregen und Flussüberschwemmung, tropische Stürme, Küstenerosion und Meeresspiegelanstieg. Welche Gefahren relevant sind, hängt stark vom konkreten Grundstück und seiner Umgebung ab.</w:t>
      </w:r>
    </w:p>
    <w:p w14:paraId="41295263" w14:textId="77777777" w:rsidR="001F7233" w:rsidRDefault="00000000">
      <w:r>
        <w:lastRenderedPageBreak/>
        <w:t>Für Küstenlagen ist der Meeresspiegel kein abstrakter Weltmittelwert. NASA stellt auf Basis des IPCC AR6 regionale Projektionen von 2020 bis 2150 für verschiedene Zukunftsszenarien bereit. Ein Punkt im Ozean kann ausgewählt werden, um die Projektion für diese Lage zu sehen. Der IPCC weist zugleich darauf hin, dass steigender Meeresspiegel zusammen mit Hochwasser, Sturm und Überflutung Küsten- und Inselgemeinden zunehmend gefährdet und dass Schutz- und Anpassungsmaßnahmen Grenzen haben.</w:t>
      </w:r>
    </w:p>
    <w:p w14:paraId="694A79A7" w14:textId="77777777" w:rsidR="001F7233" w:rsidRDefault="00000000">
      <w:r>
        <w:t>Prüfe deshalb vor Kauf oder langfristiger Bindung nicht nur, ob das Haus heute am Wasser schön liegt. Prüfe Höhe über dem Meer, lokale Überflutungs- und Evakuierungskarten, Küstenerosion, Entwässerung, Versicherbarkeit und Versicherungsprämien, frühere Schäden, Zufahrtswege bei Extremwetter und geplante kommunale Schutzmaßnahmen. Bei Feuerregionen gilt dasselbe Prinzip für Brandgefahrenkarten, Vegetation, Evakuierungswege und Versicherbarkeit. Bei Hitze für Kühlung, Stromkosten, Verschattung und Belastung im Alter.</w:t>
      </w:r>
    </w:p>
    <w:p w14:paraId="6929E5C4" w14:textId="77777777" w:rsidR="001F7233" w:rsidRDefault="00000000">
      <w:r>
        <w:t>USA und Kanada decken so große Klimazonen ab, dass der Staat oder die Provinz allein zu grob ist. Australien verlangt je nach Region besonders genaue Prüfung von Hitze, Dürre, Buschbrand, Starkregen, Zyklonen und Küstenrisiken. In Neuseeland kommen neben Klimafolgen regionale Naturgefahren hinzu, die separat geprüft werden müssen. Der entscheidende Maßstab bleibt die konkrete Adresse und nicht das Image des Landes.</w:t>
      </w:r>
    </w:p>
    <w:p w14:paraId="076071D7" w14:textId="77777777" w:rsidR="001F7233" w:rsidRDefault="00000000">
      <w:r>
        <w:t>Denke außerdem an dein zukünftiges Alter. Ein Klima, das mit 35 attraktiv wirkt, kann mit 75 schwieriger werden. Hitze, Rauch, Eis und Schnee, steile Wege, lange Autofahrten und wiederkehrende Evakuierungen haben dann vielleicht ein anderes Gewicht. Wenn das Haus zugleich dein Ruhestandsplan ist, gehört Klimarisiko deshalb in dieselbe Rechnung wie Hypothek, Versicherung und Gesundheitsversorgung.</w:t>
      </w:r>
    </w:p>
    <w:p w14:paraId="19FBEC38" w14:textId="77777777" w:rsidR="001F7233" w:rsidRDefault="00000000">
      <w:r>
        <w:t>ZUM ABHAKEN</w:t>
      </w:r>
    </w:p>
    <w:p w14:paraId="70A1F323" w14:textId="77777777" w:rsidR="001F7233" w:rsidRDefault="00000000">
      <w:r>
        <w:t>• Klimarisiken für die konkrete Adresse geprüft, nicht nur den Jahresdurchschnitt der nächsten Großstadt</w:t>
      </w:r>
    </w:p>
    <w:p w14:paraId="0FF97AE8" w14:textId="77777777" w:rsidR="001F7233" w:rsidRDefault="00000000">
      <w:r>
        <w:lastRenderedPageBreak/>
        <w:t>• Bei Küstennähe regionale Meeresspiegel- und Überflutungsszenarien angesehen</w:t>
      </w:r>
    </w:p>
    <w:p w14:paraId="70ECCD0D" w14:textId="77777777" w:rsidR="001F7233" w:rsidRDefault="00000000">
      <w:r>
        <w:t>• Feuer-, Sturm-, Flut- und Evakuierungsrisiken passend zur Region geprüft</w:t>
      </w:r>
    </w:p>
    <w:p w14:paraId="47836375" w14:textId="77777777" w:rsidR="001F7233" w:rsidRDefault="00000000">
      <w:r>
        <w:t>• Versicherbarkeit und heutige Prämie vor dem Kauf geklärt</w:t>
      </w:r>
    </w:p>
    <w:p w14:paraId="168B6389" w14:textId="77777777" w:rsidR="001F7233" w:rsidRDefault="00000000">
      <w:r>
        <w:t>• Wasser, Kühlung, Heizung und mögliche Extremwetterkosten ins Langzeitbudget aufgenommen</w:t>
      </w:r>
    </w:p>
    <w:p w14:paraId="7C76450D" w14:textId="77777777" w:rsidR="001F7233" w:rsidRDefault="00000000">
      <w:r>
        <w:t>• Überlegt, ob der Ort auch im höheren Alter noch praktikabel ist</w:t>
      </w:r>
    </w:p>
    <w:p w14:paraId="6043EC19" w14:textId="77777777" w:rsidR="001F7233" w:rsidRDefault="00000000">
      <w:r>
        <w:t>KURZ GESAGT: Bei einem 20- oder 30-jährigen Wohnplan kaufst du nicht nur das heutige Klima. Du kaufst auch einen Teil des zukünftigen Risikos dieser Adresse.</w:t>
      </w:r>
    </w:p>
    <w:p w14:paraId="28C555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groß ist die deutsche Community vor Ort?</w:t>
      </w:r>
    </w:p>
    <w:p w14:paraId="357FF199" w14:textId="77777777" w:rsidR="001F7233" w:rsidRDefault="00000000">
      <w:pPr>
        <w:spacing w:after="140"/>
      </w:pPr>
      <w:r>
        <w:t xml:space="preserve">Ein weicher, aber für viele Auswanderer spürbarer Faktor ist, wie viele Deutsche bereits im Zielland leben. Das ist ein möglicher Anknüpfungspunkt für die ersten Monate, aber kein Ersatz für die Integration vor Ort. Die verfügbaren Zahlen sind allerdings mit Vorsicht zu lesen, weil jedes Land etwas anderes zählt. In den USA lebten 2024 rund 519.200 Personen mit deutscher Staatsangehörigkeit, wobei die Zuzüge aus Deutschland zuletzt auf den niedrigsten Stand seit 20 Jahren gefallen sind. Für Australien zählte der Zensus 2021 knapp 108.000 in Deutschland geborene Personen. Für Kanada kursiert eine Zahl von rund 126.500 Personen deutscher Staatsangehörigkeit oder Herkunft, aus einer nicht direkt amtlich geprüften Sekundärquelle. Für Neuseeland gibt es keine belastbare aktuelle Zahl. Ältere Erhebungen und kursierende Schätzungen widersprechen sich zu stark, um zitiert zu werden. Nimm diesen Punkt als groben Anhaltspunkt, nicht als entscheidendes Kriterium. Eine große deutsche Community vor Ort kann den Einstieg erleichtern, ersetzt aber weder eigene </w:t>
      </w:r>
      <w:r>
        <w:lastRenderedPageBreak/>
        <w:t>Sprachkenntnisse noch echte Freundschaften mit Menschen aus dem Zielland.</w:t>
      </w:r>
    </w:p>
    <w:p w14:paraId="086440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eine gute Nachricht vorweg</w:t>
      </w:r>
    </w:p>
    <w:p w14:paraId="0910A70D" w14:textId="77777777" w:rsidR="001F7233" w:rsidRDefault="00000000">
      <w:pPr>
        <w:spacing w:after="140"/>
      </w:pPr>
      <w:r>
        <w:t>Ein Punkt, der viele Leser beunruhigt, bevor sie ihn recherchiert haben, lässt sich schnell klären. Seit der Reform des deutschen Staatsangehörigkeitsrechts im Juni 2024 führt eine Einbürgerung in den eines der vier Zielländer nicht mehr automatisch zum Verlust der deutschen Staatsangehörigkeit. Eine vorherige Beibehaltungsgenehmigung ist nicht mehr nötig. Alle vier Zielländer erlauben Mehrstaatigkeit ausdrücklich und verlangen bei der eigenen Einbürgerung keinen wirksamen Verzicht auf die bisherige Staatsangehörigkeit. In dieser Frage unterscheiden sich die vier Länder also kaum – ein beruhigender Gleichstand, kein Auswahlkriterium. Den konkreten Weg zur jeweiligen Staatsbürgerschaft beschreibt der Länder-Teil deines Wunschlandes.</w:t>
      </w:r>
    </w:p>
    <w:p w14:paraId="5EE55E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kurze Listen, kein Ranking</w:t>
      </w:r>
    </w:p>
    <w:p w14:paraId="20688C2E" w14:textId="77777777" w:rsidR="001F7233" w:rsidRDefault="00000000">
      <w:pPr>
        <w:spacing w:after="140"/>
      </w:pPr>
      <w:r>
        <w:t>Diese Listen fassen die Fakten von oben. Sie vergeben keine Punktzahl von 1 bis 5. Eine Summe aus gemischten OECD-Jahren, einem nutzergenerierten Kostenindex und einer Gesundheitszeile würde das Ankunftskapitel überstimmen. Die Liste dient der Orientierung; die ausführliche Einordnung steht im jeweiligen Fachkapitel.</w:t>
      </w:r>
    </w:p>
    <w:p w14:paraId="65D69574" w14:textId="77777777" w:rsidR="001F7233" w:rsidRDefault="00000000">
      <w:pPr>
        <w:spacing w:after="140"/>
      </w:pPr>
      <w:r>
        <w:t xml:space="preserve">Hast du schon ein Jobangebot, ändert das die Planbarkeit. Ohne Angebot ist der US-Weg Lose und Sponsoring, der Weg der drei anderen Länder ein Punktesystem mit beweglicher Schwelle. Mit Angebot liest du zuerst den Arbeitsweg dieses Landes, statt dieser Übersicht. Ein US-Angebot macht die Lotterie nicht zu einem Punktesystem. Es macht sie zu einem konkreten Antrag. Ein Angebot </w:t>
      </w:r>
      <w:r>
        <w:lastRenderedPageBreak/>
        <w:t>in Kanada, Australien oder Neuseeland ersetzt nicht die Lizenz, wenn der Beruf geschützt ist.</w:t>
      </w:r>
    </w:p>
    <w:p w14:paraId="74306DB0" w14:textId="77777777" w:rsidR="001F7233" w:rsidRDefault="00000000">
      <w:pPr>
        <w:spacing w:after="140"/>
      </w:pPr>
      <w:r>
        <w:rPr>
          <w:b/>
          <w:bCs/>
        </w:rPr>
        <w:t>USA</w:t>
      </w:r>
    </w:p>
    <w:p w14:paraId="00ECDE05" w14:textId="77777777" w:rsidR="001F7233" w:rsidRDefault="00000000">
      <w:pPr>
        <w:pStyle w:val="ListParagraph"/>
        <w:numPr>
          <w:ilvl w:val="0"/>
          <w:numId w:val="1"/>
        </w:numPr>
        <w:spacing w:after="60"/>
      </w:pPr>
      <w:r>
        <w:t>Planbarkeit: ohne Angebot niedrig, mit Angebot ein eigener Antrag. Lies das H-1B-Kapitel und den Masterplan, nicht über eine Punktzahl.</w:t>
      </w:r>
    </w:p>
    <w:p w14:paraId="1A0E1AA5" w14:textId="77777777" w:rsidR="001F7233" w:rsidRDefault="00000000">
      <w:pPr>
        <w:pStyle w:val="ListParagraph"/>
        <w:numPr>
          <w:ilvl w:val="0"/>
          <w:numId w:val="1"/>
        </w:numPr>
        <w:spacing w:after="60"/>
      </w:pPr>
      <w:r>
        <w:t>Gesundheit: keine automatische Absicherung. Für die konkrete Planung: Gesundheitskapitel des USA-Teils.</w:t>
      </w:r>
    </w:p>
    <w:p w14:paraId="2A20E198" w14:textId="77777777" w:rsidR="001F7233" w:rsidRDefault="00000000">
      <w:pPr>
        <w:pStyle w:val="ListParagraph"/>
        <w:numPr>
          <w:ilvl w:val="0"/>
          <w:numId w:val="1"/>
        </w:numPr>
        <w:spacing w:after="60"/>
      </w:pPr>
      <w:r>
        <w:t>Steuerkeil: 30,1 % (OECD 2024). US-Staatsbürger und Steuerresidenten melden grundsätzlich weltweites Einkommen; Nichtresidenten versteuern im Allgemeinen US-Quelleneinkommen.</w:t>
      </w:r>
    </w:p>
    <w:p w14:paraId="4A7B454B" w14:textId="77777777" w:rsidR="001F7233" w:rsidRDefault="00000000">
      <w:pPr>
        <w:pStyle w:val="ListParagraph"/>
        <w:numPr>
          <w:ilvl w:val="0"/>
          <w:numId w:val="1"/>
        </w:numPr>
        <w:spacing w:after="60"/>
      </w:pPr>
      <w:r>
        <w:t>Distanz: Ostküste näher, Westküste weiter. Nicht das fernste Land.</w:t>
      </w:r>
    </w:p>
    <w:p w14:paraId="761E31DC" w14:textId="77777777" w:rsidR="001F7233" w:rsidRDefault="001F7233">
      <w:pPr>
        <w:spacing w:line="120" w:lineRule="exact"/>
      </w:pPr>
    </w:p>
    <w:p w14:paraId="7F6BC4BF" w14:textId="77777777" w:rsidR="001F7233" w:rsidRDefault="00000000">
      <w:pPr>
        <w:spacing w:after="140"/>
      </w:pPr>
      <w:r>
        <w:rPr>
          <w:b/>
          <w:bCs/>
        </w:rPr>
        <w:t>Kanada</w:t>
      </w:r>
    </w:p>
    <w:p w14:paraId="6467CF17" w14:textId="77777777" w:rsidR="001F7233" w:rsidRDefault="00000000">
      <w:pPr>
        <w:pStyle w:val="ListParagraph"/>
        <w:numPr>
          <w:ilvl w:val="0"/>
          <w:numId w:val="1"/>
        </w:numPr>
        <w:spacing w:after="60"/>
      </w:pPr>
      <w:r>
        <w:t>Planbarkeit: Punktesystem, die Einladung hängt am Score. Ein Angebot kann einen anderen Weg öffnen. Lies den Arbeitsweg.</w:t>
      </w:r>
    </w:p>
    <w:p w14:paraId="7D80A15C" w14:textId="77777777" w:rsidR="001F7233" w:rsidRDefault="00000000">
      <w:pPr>
        <w:pStyle w:val="ListParagraph"/>
        <w:numPr>
          <w:ilvl w:val="0"/>
          <w:numId w:val="1"/>
        </w:numPr>
        <w:spacing w:after="60"/>
      </w:pPr>
      <w:r>
        <w:t>Gesundheit: öffentlich, aber Provinzsache. Wartefristen stehen im Ankunftskapitel, in der vertiefenden Stelle.</w:t>
      </w:r>
    </w:p>
    <w:p w14:paraId="4ABB37DD" w14:textId="77777777" w:rsidR="001F7233" w:rsidRDefault="00000000">
      <w:pPr>
        <w:pStyle w:val="ListParagraph"/>
        <w:numPr>
          <w:ilvl w:val="0"/>
          <w:numId w:val="1"/>
        </w:numPr>
        <w:spacing w:after="60"/>
      </w:pPr>
      <w:r>
        <w:t>Steuerkeil: 32,0 % (OECD 2024). Nicht mit dem neuseeländischen Jahrgang 2025 in eine Note pressen.</w:t>
      </w:r>
    </w:p>
    <w:p w14:paraId="0B5AF36D" w14:textId="77777777" w:rsidR="001F7233" w:rsidRDefault="00000000">
      <w:pPr>
        <w:pStyle w:val="ListParagraph"/>
        <w:numPr>
          <w:ilvl w:val="0"/>
          <w:numId w:val="1"/>
        </w:numPr>
        <w:spacing w:after="60"/>
      </w:pPr>
      <w:r>
        <w:t>Distanz: unter den vier am nächsten. Toronto kürzer als Vancouver.</w:t>
      </w:r>
    </w:p>
    <w:p w14:paraId="3B3963C8" w14:textId="77777777" w:rsidR="001F7233" w:rsidRDefault="001F7233">
      <w:pPr>
        <w:spacing w:line="120" w:lineRule="exact"/>
      </w:pPr>
    </w:p>
    <w:p w14:paraId="23B5B890" w14:textId="77777777" w:rsidR="001F7233" w:rsidRDefault="00000000">
      <w:pPr>
        <w:spacing w:after="140"/>
      </w:pPr>
      <w:r>
        <w:rPr>
          <w:b/>
          <w:bCs/>
        </w:rPr>
        <w:t>Australien</w:t>
      </w:r>
    </w:p>
    <w:p w14:paraId="0D763C0A" w14:textId="77777777" w:rsidR="001F7233" w:rsidRDefault="00000000">
      <w:pPr>
        <w:pStyle w:val="ListParagraph"/>
        <w:numPr>
          <w:ilvl w:val="0"/>
          <w:numId w:val="1"/>
        </w:numPr>
        <w:spacing w:after="60"/>
      </w:pPr>
      <w:r>
        <w:t>Planbarkeit: Punktesystem oder Arbeitgeber. Ein Angebot ändert den Weg. Die Lizenz ist ein zweiter Vorgang.</w:t>
      </w:r>
    </w:p>
    <w:p w14:paraId="0BEA094D" w14:textId="77777777" w:rsidR="001F7233" w:rsidRDefault="00000000">
      <w:pPr>
        <w:pStyle w:val="ListParagraph"/>
        <w:numPr>
          <w:ilvl w:val="0"/>
          <w:numId w:val="1"/>
        </w:numPr>
        <w:spacing w:after="60"/>
      </w:pPr>
      <w:r>
        <w:t xml:space="preserve">Gesundheit: nur mit dem richtigen Visum. Permanent Residents bekommen Medicare. Die meisten befristeten Visa nicht. Kein Gegenseitigkeitsabkommen mit Deutschland. Für die konkrete </w:t>
      </w:r>
      <w:r>
        <w:lastRenderedPageBreak/>
        <w:t>Entscheidung gilt die ausführliche Einordnung im Ankunftskapitel.</w:t>
      </w:r>
    </w:p>
    <w:p w14:paraId="2C739542" w14:textId="77777777" w:rsidR="001F7233" w:rsidRDefault="00000000">
      <w:pPr>
        <w:pStyle w:val="ListParagraph"/>
        <w:numPr>
          <w:ilvl w:val="0"/>
          <w:numId w:val="1"/>
        </w:numPr>
        <w:spacing w:after="60"/>
      </w:pPr>
      <w:r>
        <w:t>Steuerkeil: 29,6 % (OECD 2024).</w:t>
      </w:r>
    </w:p>
    <w:p w14:paraId="6931C6FC" w14:textId="77777777" w:rsidR="001F7233" w:rsidRDefault="00000000">
      <w:pPr>
        <w:pStyle w:val="ListParagraph"/>
        <w:numPr>
          <w:ilvl w:val="0"/>
          <w:numId w:val="1"/>
        </w:numPr>
        <w:spacing w:after="60"/>
      </w:pPr>
      <w:r>
        <w:t>Distanz: weit, mit Zwischenstopp. Sydney ist nicht weiter als Auckland.</w:t>
      </w:r>
    </w:p>
    <w:p w14:paraId="35ABB2B9" w14:textId="77777777" w:rsidR="001F7233" w:rsidRDefault="001F7233">
      <w:pPr>
        <w:spacing w:line="120" w:lineRule="exact"/>
      </w:pPr>
    </w:p>
    <w:p w14:paraId="16F442BE" w14:textId="77777777" w:rsidR="001F7233" w:rsidRDefault="00000000">
      <w:pPr>
        <w:spacing w:after="140"/>
      </w:pPr>
      <w:r>
        <w:rPr>
          <w:b/>
          <w:bCs/>
        </w:rPr>
        <w:t>Neuseeland</w:t>
      </w:r>
    </w:p>
    <w:p w14:paraId="33B13D34" w14:textId="77777777" w:rsidR="001F7233" w:rsidRDefault="00000000">
      <w:pPr>
        <w:pStyle w:val="ListParagraph"/>
        <w:numPr>
          <w:ilvl w:val="0"/>
          <w:numId w:val="1"/>
        </w:numPr>
        <w:spacing w:after="60"/>
      </w:pPr>
      <w:r>
        <w:t>Planbarkeit: Punktesystem, Green List oder Arbeitgeber. Ein Angebot ändert den Weg. Die Registrierung ist davon getrennt.</w:t>
      </w:r>
    </w:p>
    <w:p w14:paraId="3185C6FD" w14:textId="77777777" w:rsidR="001F7233" w:rsidRDefault="00000000">
      <w:pPr>
        <w:pStyle w:val="ListParagraph"/>
        <w:numPr>
          <w:ilvl w:val="0"/>
          <w:numId w:val="1"/>
        </w:numPr>
        <w:spacing w:after="60"/>
      </w:pPr>
      <w:r>
        <w:t>Gesundheit: öffentlich, oft an die Visumsdauer gebunden. Für die konkrete Planung: Gesundheitskapitel.</w:t>
      </w:r>
    </w:p>
    <w:p w14:paraId="742F9C3E" w14:textId="77777777" w:rsidR="001F7233" w:rsidRDefault="00000000">
      <w:pPr>
        <w:pStyle w:val="ListParagraph"/>
        <w:numPr>
          <w:ilvl w:val="0"/>
          <w:numId w:val="1"/>
        </w:numPr>
        <w:spacing w:after="60"/>
      </w:pPr>
      <w:r>
        <w:t>Steuerkeil: 20,8 % (OECD 2026, Datenjahr 2025; alleinstehend, Durchschnittslohn, ohne Kinder).</w:t>
      </w:r>
    </w:p>
    <w:p w14:paraId="6189E989" w14:textId="77777777" w:rsidR="001F7233" w:rsidRDefault="00000000">
      <w:pPr>
        <w:pStyle w:val="ListParagraph"/>
        <w:numPr>
          <w:ilvl w:val="0"/>
          <w:numId w:val="1"/>
        </w:numPr>
        <w:spacing w:after="60"/>
      </w:pPr>
      <w:r>
        <w:t>Distanz: das fernste der vier. Auckland weiter als Sydney, größere Zeitverschiebung.</w:t>
      </w:r>
    </w:p>
    <w:p w14:paraId="02D12615" w14:textId="77777777" w:rsidR="001F7233" w:rsidRDefault="001F7233">
      <w:pPr>
        <w:spacing w:line="120" w:lineRule="exact"/>
      </w:pPr>
    </w:p>
    <w:p w14:paraId="2CAEAA07" w14:textId="77777777" w:rsidR="001F7233" w:rsidRDefault="00000000">
      <w:pPr>
        <w:spacing w:after="140"/>
      </w:pPr>
      <w:r>
        <w:t>Klima bleibt ohne Punkt. Lies das Wohnkapitel der Stadt, die du meinst. Ein Jobangebot, Familie vor Ort oder ein geschützter Beruf gehören in die Liste als eigene Zeile, die du selbst streichst oder behältst. Das Land, das du danach noch lesen willst, verdient das Ankunftskapitel, nicht eine Summe.</w:t>
      </w:r>
    </w:p>
    <w:p w14:paraId="43BDA3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du dich zwischen zwei Ländern nicht entscheiden kannst</w:t>
      </w:r>
    </w:p>
    <w:p w14:paraId="5D33E8CF" w14:textId="77777777" w:rsidR="001F7233" w:rsidRDefault="00000000">
      <w:pPr>
        <w:spacing w:after="140"/>
      </w:pPr>
      <w:r>
        <w:t xml:space="preserve">Wenn zwei Länder danach noch beide lesbar sind, ist das kein Rechenfehler. Drei Fragen helfen. Erstens: In welchem Länder-Teil siehst du den nächsten konkreten Schritt, ein Formular, eine Stadt, eine Behörde? Zweitens: Kennst du jemanden dort, mit dem du ehrlich sprechen kannst, bevor du dich festlegst? Drittens: Welches Ergebnis überrascht dich, und welche Priorität hast du deshalb zu leicht genommen? Ein Jobangebot in nur einem Land oder ein </w:t>
      </w:r>
      <w:r>
        <w:lastRenderedPageBreak/>
        <w:t>einfacheres Anerkennungsverfahren beendet das Patt oft ohne jede Punktzahl.</w:t>
      </w:r>
    </w:p>
    <w:p w14:paraId="2B77475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der vier Länder passt zu dir, wenn die Tabelle schweigt</w:t>
      </w:r>
    </w:p>
    <w:p w14:paraId="19F86491" w14:textId="77777777" w:rsidR="001F7233" w:rsidRDefault="00000000">
      <w:pPr>
        <w:spacing w:after="140"/>
      </w:pPr>
      <w:r>
        <w:t>Die Listen oben beschreiben Systeme. Diese fünf Fragen schneiden danach weg, was zu dir nicht passt. Sie verhindern, dass eine Liste ein Land rettet, das an einer einzigen Tatsache scheitert. Für die konkrete Entscheidung gehst du danach in das Ankunftskapitel.</w:t>
      </w:r>
    </w:p>
    <w:p w14:paraId="6936DC99" w14:textId="77777777" w:rsidR="001F7233" w:rsidRDefault="00000000">
      <w:pPr>
        <w:spacing w:after="140"/>
      </w:pPr>
      <w:r>
        <w:rPr>
          <w:b/>
          <w:bCs/>
        </w:rPr>
        <w:t>Reglementierter Beruf.</w:t>
      </w:r>
      <w:r>
        <w:t xml:space="preserve"> Willst du als Ärztin, Pfleger, Lehrerin, Ingenieurin mit Unterschriftsrecht oder in einem lizenzierten Gewerk arbeiten, ist das Visum der kürzere Vorgang. Die USA behandeln die Lizenz in Kapitel </w:t>
      </w:r>
      <w:hyperlink w:anchor="k19">
        <w:r w:rsidR="001F7233">
          <w:t>19</w:t>
        </w:r>
      </w:hyperlink>
      <w:r>
        <w:t>. Kanada, Australien und Neuseeland haben je ein Kapitel zur Anerkennung deutscher Berufsabschlüsse. Wenn du den deutschen Titel in den ersten Monaten brauchst, ist keines der vier Länder ein schneller Weg. Ein Land, in dem du in der Zwischenzeit nur eine nicht geschützte Tätigkeit findest, kann trotzdem passen. Eine eigene Praxis im ersten Jahr passt nicht.</w:t>
      </w:r>
    </w:p>
    <w:p w14:paraId="78B9D62F" w14:textId="77777777" w:rsidR="001F7233" w:rsidRDefault="00000000">
      <w:pPr>
        <w:spacing w:after="140"/>
      </w:pPr>
      <w:r>
        <w:rPr>
          <w:b/>
          <w:bCs/>
        </w:rPr>
        <w:t>Sprache.</w:t>
      </w:r>
      <w:r>
        <w:t xml:space="preserve"> Englisch trägt die USA, Australien, Neuseeland und den größten Teil Kanadas. Québec verlangt für geschützte Berufe und oft für den Alltag Französisch. Wer das nicht mitbringt und Montréal als Selbstverständlichkeit plant, plant an der Provinz vorbei. Ein Sprachtest fürs Visum ist keine Lizenz und kein Alltag.</w:t>
      </w:r>
    </w:p>
    <w:p w14:paraId="0C5ACBE7" w14:textId="77777777" w:rsidR="001F7233" w:rsidRDefault="00000000">
      <w:r>
        <w:t>Kanada-Hinweis: Québec ist deshalb kein bloßer weiterer englischsprachiger Provinzpfad. Wenn Französisch für dich eine harte Grenze ist, behandle die Sprache genauso wie Berufszulassung oder Aufenthaltsrecht als Ausschlusskriterium und prüfe den konkreten Zielort, bevor du Québec in die engere Wahl nimmst.</w:t>
      </w:r>
    </w:p>
    <w:p w14:paraId="124D1617" w14:textId="77777777" w:rsidR="001F7233" w:rsidRDefault="00000000">
      <w:pPr>
        <w:spacing w:after="140"/>
      </w:pPr>
      <w:r>
        <w:rPr>
          <w:b/>
          <w:bCs/>
        </w:rPr>
        <w:t xml:space="preserve">Familie. Wer in eines Tages bei pflegebedürftigen Eltern sein muss, sortiert Australien und Neuseeland aus. Auckland ist </w:t>
      </w:r>
      <w:r>
        <w:rPr>
          <w:b/>
          <w:bCs/>
        </w:rPr>
        <w:lastRenderedPageBreak/>
        <w:t>dabei weiter als Sydney. Die Flugzeit steht weiter oben in diesem Kapitel. Sie ist Erreichbarkeit. Kanada und die Ostküste der USA bleiben anstrengend. Sie sind kein Tagesverlust durch die Datumsgrenze.</w:t>
      </w:r>
    </w:p>
    <w:p w14:paraId="32553A89" w14:textId="77777777" w:rsidR="001F7233" w:rsidRDefault="00000000">
      <w:pPr>
        <w:spacing w:after="140"/>
      </w:pPr>
      <w:r>
        <w:rPr>
          <w:b/>
          <w:bCs/>
        </w:rPr>
        <w:t>Zeit. Ein Working-Holiday-Visum ist ein befristetes Reinschnuppern, kein Umzug. Die Altersgrenze hängt am Programm. Subclass 417 für deutsche Pässe nach Australien ist nicht das Germany Working Holiday Visa nach Neuseeland. Beide Grenzen stehen auf der Behördenseite des jeweiligen Programms. Wer darüber liegt, hat diesen Seiteneingang nicht und sollte ihn nicht aus dem anderen Land importieren.</w:t>
      </w:r>
    </w:p>
    <w:p w14:paraId="0AB36CDE" w14:textId="77777777" w:rsidR="001F7233" w:rsidRDefault="00000000">
      <w:pPr>
        <w:spacing w:after="140"/>
      </w:pPr>
      <w:r>
        <w:rPr>
          <w:b/>
          <w:bCs/>
        </w:rPr>
        <w:t>Klima. Wer einen harten, langen Winter nicht will, sollte Kanada und den Norden der USA nur mit einer konkreten Stadt prüfen, nicht als Land. Wer Buschfeuer, Zyklon oder Erdbeben nicht einplanen will, sollte die Kapitel zu Wohnen und Sicherheit lesen, bevor die Länderliste Australien oder Neuseeland nach vorn schiebt. Eine Klimazeile mit Punktzahl gibt es nicht.</w:t>
      </w:r>
    </w:p>
    <w:p w14:paraId="206444FC" w14:textId="77777777" w:rsidR="001F7233" w:rsidRDefault="00000000">
      <w:r>
        <w:rPr>
          <w:b/>
        </w:rPr>
        <w:t xml:space="preserve">MERKE: </w:t>
      </w:r>
    </w:p>
    <w:p w14:paraId="41B74433" w14:textId="77777777" w:rsidR="001F7233" w:rsidRDefault="00000000">
      <w:r>
        <w:t>• Ein Land, das beim Steuerkeil gut aussieht und bei Beruf, Sprache oder Familie scheitert, ist der falsche Kandidat. Streich ihn. Eine Liste hat dagegen kein Vetorecht.</w:t>
      </w:r>
    </w:p>
    <w:p w14:paraId="2EC02B66" w14:textId="77777777" w:rsidR="001F7233" w:rsidRDefault="001F7233">
      <w:pPr>
        <w:spacing w:line="220" w:lineRule="exact"/>
      </w:pPr>
    </w:p>
    <w:p w14:paraId="1D4DBD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dieser Vergleich nicht ersetzt</w:t>
      </w:r>
    </w:p>
    <w:p w14:paraId="4A7906D9" w14:textId="77777777" w:rsidR="001F7233" w:rsidRDefault="00000000">
      <w:pPr>
        <w:spacing w:after="140"/>
      </w:pPr>
      <w:r>
        <w:t>Diese Übersicht ist bewusst grob. Sie kann kein konkretes Jobangebot, keine bereits dort lebende Familie und keine sehr persönliche Präferenz ersetzen. Sie ist ein Startpunkt zur Eingrenzung auf ein oder zwei Favoriten, nicht das letzte Wort.</w:t>
      </w:r>
    </w:p>
    <w:p w14:paraId="20088495" w14:textId="77777777" w:rsidR="001F7233" w:rsidRDefault="00000000">
      <w:pPr>
        <w:spacing w:after="140"/>
      </w:pPr>
      <w:r>
        <w:t xml:space="preserve">Wenn du mit Partner oder Familie liest, streicht jeder zuerst für sich. Ein Unterschied bei Beruf oder Familie wiegt mehr als eine </w:t>
      </w:r>
      <w:r>
        <w:lastRenderedPageBreak/>
        <w:t>gemeinsame Summe. Es gibt keine zweite Spalte und keine Multiplikation.</w:t>
      </w:r>
    </w:p>
    <w:p w14:paraId="01D30221" w14:textId="77777777" w:rsidR="001F7233" w:rsidRDefault="00000000">
      <w:r>
        <w:rPr>
          <w:b/>
        </w:rPr>
        <w:t>ZUM ABHAKEN</w:t>
      </w:r>
    </w:p>
    <w:p w14:paraId="17054FBB" w14:textId="77777777" w:rsidR="001F7233" w:rsidRDefault="00000000">
      <w:pPr>
        <w:pStyle w:val="Heading3"/>
        <w:keepNext/>
        <w:spacing w:line="341" w:lineRule="auto"/>
        <w:jc w:val="center"/>
      </w:pPr>
      <w:r>
        <w:t>Entscheidungspunkt: Vom Favoriten zum belastbaren Plan</w:t>
      </w:r>
    </w:p>
    <w:p w14:paraId="41D08510" w14:textId="77777777" w:rsidR="001F7233" w:rsidRDefault="00000000">
      <w:r>
        <w:t>• Aufenthalt: Den offiziellen Einwanderungsweg, die Voraussetzungen und die Rechte des Partners anhand der passenden Behörde geprüft.</w:t>
      </w:r>
    </w:p>
    <w:p w14:paraId="778D9645" w14:textId="77777777" w:rsidR="001F7233" w:rsidRDefault="00000000">
      <w:r>
        <w:t>• Beruf: Berufszulassung oder Anerkennung getrennt vom Visum geprüft; zuständige Stelle, Unterlagen und voraussichtlichen Zeitbedarf notiert.</w:t>
      </w:r>
    </w:p>
    <w:p w14:paraId="0DCABEA5" w14:textId="77777777" w:rsidR="001F7233" w:rsidRDefault="00000000">
      <w:r>
        <w:t>• Familie und Gesundheit: Geklärt, ab wann Versicherungsschutz gilt, welche Wartezeiten oder Ausschlüsse gelten und wie Kinderbetreuung und Schule am Zielort erreichbar sind.</w:t>
      </w:r>
    </w:p>
    <w:p w14:paraId="360070DF" w14:textId="77777777" w:rsidR="001F7233" w:rsidRDefault="00000000">
      <w:r>
        <w:t>• Budget: Für dieselbe Zielregion ein vorsichtiges Monats- und Jahresbudget mit Nettoeinkommen, Wohnen, Gesundheit, Betreuung, Mobilität, Steuern, Flügen und Rücklage erstellt.</w:t>
      </w:r>
    </w:p>
    <w:p w14:paraId="49F6E5F1" w14:textId="77777777" w:rsidR="001F7233" w:rsidRDefault="00000000">
      <w:r>
        <w:t>• Fallback: Festgehalten, was bei verzögerter oder abgelehnter Einladung, Visumerteilung, Berufszulassung oder Wohnung passiert. Laufende Verträge erst nach gesichertem Status und Übergangsplan beenden.</w:t>
      </w:r>
    </w:p>
    <w:p w14:paraId="1FE01A9B" w14:textId="77777777" w:rsidR="001F7233" w:rsidRDefault="00000000">
      <w:r>
        <w:t>• Die fünf Fragen zu Beruf, Sprache, Familie, Zeit und Klima beantwortet und unpassende Länder gestrichen</w:t>
      </w:r>
    </w:p>
    <w:p w14:paraId="73696DCB" w14:textId="77777777" w:rsidR="001F7233" w:rsidRDefault="00000000">
      <w:r>
        <w:t>• Die vier Länderlisten gelesen, ohne eine Punktzahl zu bilden</w:t>
      </w:r>
    </w:p>
    <w:p w14:paraId="2EA5FB82" w14:textId="77777777" w:rsidR="001F7233" w:rsidRDefault="00000000">
      <w:r>
        <w:t>• Ankunfts- und Gesundheitskapitel des Favoriten gegen die Liste gehalten</w:t>
      </w:r>
    </w:p>
    <w:p w14:paraId="30AE8052" w14:textId="77777777" w:rsidR="001F7233" w:rsidRDefault="00000000">
      <w:r>
        <w:t>• Jobangebot, Familie oder Freunde vor Ort als eigene Frage notiert</w:t>
      </w:r>
    </w:p>
    <w:p w14:paraId="317D9851" w14:textId="77777777" w:rsidR="001F7233" w:rsidRDefault="00000000">
      <w:r>
        <w:t>• Besteuerungsprinzip des jeweiligen Favoriten verstanden, besonders bei den USA</w:t>
      </w:r>
    </w:p>
    <w:p w14:paraId="3A491CB0" w14:textId="77777777" w:rsidR="001F7233" w:rsidRDefault="00000000">
      <w:r>
        <w:t>• Ein bis zwei Favoriten festgelegt</w:t>
      </w:r>
    </w:p>
    <w:p w14:paraId="21DE6DCC" w14:textId="77777777" w:rsidR="001F7233" w:rsidRDefault="00000000">
      <w:r>
        <w:t>• Entsprechenden Länder-Teil dieses Buches vollständig gelesen, bevor eine Entscheidung fällt</w:t>
      </w:r>
    </w:p>
    <w:p w14:paraId="6D26E720" w14:textId="77777777" w:rsidR="001F7233" w:rsidRDefault="001F7233">
      <w:pPr>
        <w:spacing w:line="220" w:lineRule="exact"/>
      </w:pPr>
    </w:p>
    <w:p w14:paraId="087DA3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6F3362F" w14:textId="77777777" w:rsidR="001F7233" w:rsidRDefault="001F7233">
      <w:pPr>
        <w:pStyle w:val="ListParagraph"/>
        <w:numPr>
          <w:ilvl w:val="0"/>
          <w:numId w:val="1"/>
        </w:numPr>
        <w:spacing w:after="60"/>
      </w:pPr>
      <w:hyperlink r:id="rId36">
        <w:r>
          <w:rPr>
            <w:color w:val="0563C1"/>
            <w:u w:val="single"/>
          </w:rPr>
          <w:t>OECD, Taxing Wages 2026 (Vergleich und Methoden)</w:t>
        </w:r>
      </w:hyperlink>
      <w:r>
        <w:t xml:space="preserve">; </w:t>
      </w:r>
      <w:hyperlink r:id="rId37">
        <w:r>
          <w:rPr>
            <w:color w:val="0563C1"/>
            <w:u w:val="single"/>
          </w:rPr>
          <w:t>Neuseeland, Country Note 2026</w:t>
        </w:r>
      </w:hyperlink>
    </w:p>
    <w:p w14:paraId="4B727BA5" w14:textId="77777777" w:rsidR="001F7233" w:rsidRDefault="001F7233">
      <w:pPr>
        <w:pStyle w:val="ListParagraph"/>
        <w:numPr>
          <w:ilvl w:val="0"/>
          <w:numId w:val="1"/>
        </w:numPr>
        <w:spacing w:after="60"/>
      </w:pPr>
      <w:hyperlink r:id="rId38">
        <w:r>
          <w:rPr>
            <w:color w:val="0563C1"/>
            <w:u w:val="single"/>
          </w:rPr>
          <w:t>Bundesministerium der Justiz, Staatsangehörigkeitsgesetz</w:t>
        </w:r>
      </w:hyperlink>
    </w:p>
    <w:p w14:paraId="01FE493A" w14:textId="77777777" w:rsidR="001F7233" w:rsidRDefault="001F7233">
      <w:pPr>
        <w:pStyle w:val="ListParagraph"/>
        <w:numPr>
          <w:ilvl w:val="0"/>
          <w:numId w:val="1"/>
        </w:numPr>
        <w:spacing w:after="60"/>
      </w:pPr>
      <w:hyperlink r:id="rId39">
        <w:r>
          <w:rPr>
            <w:color w:val="0563C1"/>
            <w:u w:val="single"/>
          </w:rPr>
          <w:t>IRCC, Express Entry: Verfahren und Programme</w:t>
        </w:r>
      </w:hyperlink>
    </w:p>
    <w:p w14:paraId="134BF936" w14:textId="77777777" w:rsidR="001F7233" w:rsidRPr="00EA1518" w:rsidRDefault="001F7233">
      <w:pPr>
        <w:pStyle w:val="ListParagraph"/>
        <w:numPr>
          <w:ilvl w:val="0"/>
          <w:numId w:val="1"/>
        </w:numPr>
        <w:spacing w:after="60"/>
        <w:rPr>
          <w:lang w:val="en-US"/>
        </w:rPr>
      </w:pPr>
      <w:hyperlink r:id="rId40">
        <w:r w:rsidRPr="00EA1518">
          <w:rPr>
            <w:color w:val="0563C1"/>
            <w:u w:val="single"/>
            <w:lang w:val="en-US"/>
          </w:rPr>
          <w:t>Australian Department of Home Affairs, SkillSelect: Expression of Interest</w:t>
        </w:r>
      </w:hyperlink>
    </w:p>
    <w:p w14:paraId="64A43681" w14:textId="77777777" w:rsidR="001F7233" w:rsidRPr="00EA1518" w:rsidRDefault="001F7233">
      <w:pPr>
        <w:pStyle w:val="ListParagraph"/>
        <w:numPr>
          <w:ilvl w:val="0"/>
          <w:numId w:val="1"/>
        </w:numPr>
        <w:spacing w:after="60"/>
        <w:rPr>
          <w:lang w:val="en-US"/>
        </w:rPr>
      </w:pPr>
      <w:hyperlink r:id="rId41">
        <w:r w:rsidRPr="00EA1518">
          <w:rPr>
            <w:color w:val="0563C1"/>
            <w:u w:val="single"/>
            <w:lang w:val="en-US"/>
          </w:rPr>
          <w:t>Immigration New Zealand, Skilled Migrant Category Resident Visa</w:t>
        </w:r>
      </w:hyperlink>
      <w:r w:rsidRPr="00EA1518">
        <w:rPr>
          <w:lang w:val="en-US"/>
        </w:rPr>
        <w:t xml:space="preserve">; </w:t>
      </w:r>
      <w:hyperlink r:id="rId42">
        <w:r w:rsidRPr="00EA1518">
          <w:rPr>
            <w:color w:val="0563C1"/>
            <w:u w:val="single"/>
            <w:lang w:val="en-US"/>
          </w:rPr>
          <w:t>Immigration New Zealand, Green List roles</w:t>
        </w:r>
      </w:hyperlink>
    </w:p>
    <w:p w14:paraId="0ACBD1F3" w14:textId="77777777" w:rsidR="001F7233" w:rsidRPr="00EA1518" w:rsidRDefault="001F7233">
      <w:pPr>
        <w:spacing w:line="120" w:lineRule="exact"/>
        <w:rPr>
          <w:lang w:val="en-US"/>
        </w:rPr>
      </w:pPr>
    </w:p>
    <w:p w14:paraId="48421E02" w14:textId="77777777" w:rsidR="001F7233" w:rsidRDefault="00000000">
      <w:r>
        <w:t>• Quellen- und Datenstand: September 2026; Redaktionsschluss: Oktober 2026. Bearbeitungszeiten, Steuersätze und Lebenshaltungskosten ändern sich häufig und teils kurzfristig. Die genannten Werte sind Richtwerte zum Zeitpunkt der Recherche. Prüfe vor einer Entscheidung die aktuellen Angaben im jeweiligen Länder-Teil und auf den offiziellen Behördenseiten.</w:t>
      </w:r>
    </w:p>
    <w:p w14:paraId="2B861E8D" w14:textId="77777777" w:rsidR="001F7233" w:rsidRDefault="00000000">
      <w:pPr>
        <w:spacing w:line="220" w:lineRule="exact"/>
      </w:pPr>
      <w:r>
        <w:br w:type="page"/>
      </w:r>
    </w:p>
    <w:p w14:paraId="534EC94F" w14:textId="77777777" w:rsidR="001F7233" w:rsidRDefault="00000000">
      <w:pPr>
        <w:pStyle w:val="Heading2"/>
        <w:keepNext/>
        <w:spacing w:line="341" w:lineRule="auto"/>
        <w:jc w:val="center"/>
      </w:pPr>
      <w:bookmarkStart w:id="12" w:name="t0003"/>
      <w:r>
        <w:rPr>
          <w:rFonts w:ascii="Amazon Ember" w:eastAsia="Amazon Ember" w:hAnsi="Amazon Ember" w:cs="Amazon Ember"/>
          <w:color w:val="0000FF"/>
          <w:sz w:val="36"/>
          <w:szCs w:val="36"/>
        </w:rPr>
        <w:lastRenderedPageBreak/>
        <w:t>Deutschland vor dem Abflug</w:t>
      </w:r>
      <w:bookmarkEnd w:id="12"/>
    </w:p>
    <w:p w14:paraId="108DBD7C" w14:textId="77777777" w:rsidR="001F7233" w:rsidRDefault="00000000">
      <w:r>
        <w:t>Dieses Kapitel bündelt die Vorbereitung auf deutscher Seite für alle vier Zielländer. Die USA-</w:t>
      </w:r>
      <w:hyperlink w:anchor="k16">
        <w:r w:rsidR="001F7233">
          <w:t>Kapitel 16</w:t>
        </w:r>
      </w:hyperlink>
      <w:r>
        <w:t xml:space="preserve"> bis 19 ergänzen ausschließlich Anforderungen und Schnittstellen, die durch US-Verfahren entstehen. Ob du nach Michigan, Toronto, Melbourne oder Christchurch gehst: Deutschland lässt dich nicht mit dem Boardingpass los. Kläre deshalb vor der Ausreise Melderegister, Verträge, Versicherungen, Rente und Dokumente. Die zusätzlichen Anforderungen deines Ziellands findest du im jeweiligen Länderpfad.</w:t>
      </w:r>
    </w:p>
    <w:p w14:paraId="28AAF319" w14:textId="77777777" w:rsidR="001F7233" w:rsidRDefault="00000000">
      <w:r>
        <w:rPr>
          <w:b/>
        </w:rPr>
        <w:t xml:space="preserve">KURZ GESAGT: </w:t>
      </w:r>
    </w:p>
    <w:p w14:paraId="413CD0A3" w14:textId="77777777" w:rsidR="001F7233" w:rsidRDefault="00000000">
      <w:r>
        <w:t>• Kündige Wohnung und Job erst, wenn das Visum wirklich steht. Ein vorbereiteter Ordner ersetzt keine Zusage.</w:t>
      </w:r>
    </w:p>
    <w:p w14:paraId="551CCCCA" w14:textId="77777777" w:rsidR="001F7233" w:rsidRDefault="00000000">
      <w:r>
        <w:t>• Die Abmeldung beim Bürgeramt ist deutsches Melderecht. Sie gilt für jedes der vier Zielländer gleich.</w:t>
      </w:r>
    </w:p>
    <w:p w14:paraId="4CE9377A" w14:textId="77777777" w:rsidR="001F7233" w:rsidRDefault="00000000">
      <w:r>
        <w:t>• Die gesetzliche Krankenkasse und die Rente reisen nicht als EU-Karte mit. Frag die Kasse und die Deutsche Rentenversicherung, bevor du Beiträge stoppst.</w:t>
      </w:r>
    </w:p>
    <w:p w14:paraId="2A0211D9" w14:textId="77777777" w:rsidR="001F7233" w:rsidRDefault="00000000">
      <w:r>
        <w:t>• Eine Apostille ist kein Automatismus. Australien verlangt sie beim Führungszeugnis oft, Kanada und Neuseeland meist nicht.</w:t>
      </w:r>
    </w:p>
    <w:p w14:paraId="2C737319" w14:textId="77777777" w:rsidR="001F7233" w:rsidRDefault="00000000">
      <w:r>
        <w:t>• Pässe, Urkunden und Zeugnisse gehören ins Handgepäck. Der Container ist kein Archiv.</w:t>
      </w:r>
    </w:p>
    <w:p w14:paraId="64134193" w14:textId="77777777" w:rsidR="001F7233" w:rsidRDefault="001F7233">
      <w:pPr>
        <w:spacing w:line="220" w:lineRule="exact"/>
      </w:pPr>
    </w:p>
    <w:p w14:paraId="51C786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Reihenfolge, nicht die Angst</w:t>
      </w:r>
    </w:p>
    <w:p w14:paraId="6E8A9373" w14:textId="77777777" w:rsidR="001F7233" w:rsidRDefault="00000000">
      <w:pPr>
        <w:spacing w:after="140"/>
      </w:pPr>
      <w:r>
        <w:t>Leg die Kontoauszüge der letzten zwölf Monate neben eine Tabelle: Vertrag, Frist, letzter sinnvoller Kündigungstag, schriftliche Bestätigung. Was am längsten läuft, kommt zuerst auf die Liste. Was du nicht verlieren darfst, kommt nicht auf die Kündigungsliste. Dazu gehören ein deutsches Girokonto, die Steuer-ID und eine ladungsfähige Postadresse bei einer Person, der du vertraust.</w:t>
      </w:r>
    </w:p>
    <w:p w14:paraId="55479917" w14:textId="77777777" w:rsidR="001F7233" w:rsidRDefault="00000000">
      <w:r>
        <w:rPr>
          <w:b/>
        </w:rPr>
        <w:t xml:space="preserve">ACHTUNG: </w:t>
      </w:r>
    </w:p>
    <w:p w14:paraId="36C8DA01" w14:textId="77777777" w:rsidR="001F7233" w:rsidRDefault="00000000">
      <w:r>
        <w:lastRenderedPageBreak/>
        <w:t>• Wohnung und Arbeitsvertrag kündigst du nicht auf Verdacht. Scheitert das Visum, bist du die Stelle los und die Miete läuft noch. Ein Aufhebungsvertrag ist Verhandlung, kein Anspruch.</w:t>
      </w:r>
    </w:p>
    <w:p w14:paraId="52601940" w14:textId="77777777" w:rsidR="001F7233" w:rsidRDefault="001F7233">
      <w:pPr>
        <w:spacing w:line="220" w:lineRule="exact"/>
      </w:pPr>
    </w:p>
    <w:p w14:paraId="4BB591A1" w14:textId="77777777" w:rsidR="001F7233" w:rsidRDefault="00000000">
      <w:r>
        <w:rPr>
          <w:b/>
        </w:rPr>
        <w:t xml:space="preserve">MERKE: </w:t>
      </w:r>
    </w:p>
    <w:p w14:paraId="0FA09E1D" w14:textId="77777777" w:rsidR="001F7233" w:rsidRDefault="00000000">
      <w:r>
        <w:t>• Jede Kündigung braucht eine schriftliche Bestätigung. Ohne sie kannst du später weder den Tag noch den Zugang beweisen.</w:t>
      </w:r>
    </w:p>
    <w:p w14:paraId="1FDE8319" w14:textId="77777777" w:rsidR="001F7233" w:rsidRDefault="001F7233">
      <w:pPr>
        <w:spacing w:line="220" w:lineRule="exact"/>
      </w:pPr>
    </w:p>
    <w:p w14:paraId="365811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w:t>
      </w:r>
    </w:p>
    <w:p w14:paraId="6B9B974C" w14:textId="77777777" w:rsidR="001F7233" w:rsidRDefault="00000000">
      <w:pPr>
        <w:spacing w:after="140"/>
      </w:pPr>
      <w:r>
        <w:t xml:space="preserve">Wer aus einer Wohnung in Deutschland auszieht und keine neue Wohnung im Inland bezieht, muss sich innerhalb von zwei Wochen nach dem Auszug bei der Meldebehörde abmelden (§ 17 Abs. 2 Bundesmeldegesetz). Früher als eine Woche vor dem Auszug geht es nicht. Wer die Frist versäumt, begeht eine Ordnungswidrigkeit. Die Höhe des Bußgelds steht im Bundesmeldegesetz auf </w:t>
      </w:r>
      <w:hyperlink r:id="rId43">
        <w:r w:rsidR="001F7233">
          <w:rPr>
            <w:color w:val="0563C1"/>
            <w:u w:val="single"/>
          </w:rPr>
          <w:t>gesetze-im-internet.de</w:t>
        </w:r>
      </w:hyperlink>
      <w:r>
        <w:t>. Termin, Online-Formular und Vollmacht regelt deine Kommune.</w:t>
      </w:r>
    </w:p>
    <w:p w14:paraId="4B083BE4" w14:textId="77777777" w:rsidR="001F7233" w:rsidRDefault="00000000">
      <w:pPr>
        <w:spacing w:after="140"/>
      </w:pPr>
      <w:r>
        <w:t>Lass dir eine Abmeldebescheinigung geben und kopiere sie. Beitragsservice, Krankenkasse und Finanzamt verlangen sie oft, auch wenn das Gesetz sie nicht als Formular vorschreibt.</w:t>
      </w:r>
    </w:p>
    <w:p w14:paraId="15EE6848" w14:textId="77777777" w:rsidR="001F7233" w:rsidRDefault="00000000">
      <w:pPr>
        <w:spacing w:after="140"/>
      </w:pPr>
      <w:r>
        <w:t>Eine Wohnung, die du behältst, kann die Abmeldepflicht entfallen lassen. Sie kann zugleich Steuer, Krankenkasse und Kindergeld anders stellen. Entscheide das vor dem Flug. Eine Scheinadresse bei Freunden, an der du nicht wohnst, ist keine Lösung. Wer so eine Adresse hergibt, riskiert ein eigenes Bußgeld. Die Höhe steht im Bundesmeldegesetz.</w:t>
      </w:r>
    </w:p>
    <w:p w14:paraId="76234C73" w14:textId="77777777" w:rsidR="001F7233" w:rsidRDefault="00000000">
      <w:pPr>
        <w:spacing w:after="140"/>
      </w:pPr>
      <w:r>
        <w:t xml:space="preserve">Der Rundfunkbeitrag endet nicht durch eine Kündigung des Vertrags, sondern durch die Abmeldung der Wohnung auf </w:t>
      </w:r>
      <w:hyperlink r:id="rId44">
        <w:r w:rsidR="001F7233">
          <w:rPr>
            <w:color w:val="0563C1"/>
            <w:u w:val="single"/>
          </w:rPr>
          <w:t>rundfunkbeitrag.de</w:t>
        </w:r>
      </w:hyperlink>
      <w:r>
        <w:t>. Die Beitragsnummer steht auf dem Bescheid. Die erforderlichen Nachweise findest du auf der offiziellen Seite zur Abmeldung einer Wohnung beim Beitragsservice.</w:t>
      </w:r>
    </w:p>
    <w:p w14:paraId="4338BDC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Verträge, die weiter abbuchen</w:t>
      </w:r>
    </w:p>
    <w:p w14:paraId="72D47731" w14:textId="77777777" w:rsidR="001F7233" w:rsidRDefault="00000000">
      <w:pPr>
        <w:spacing w:after="140"/>
      </w:pPr>
      <w:r>
        <w:t>Handy, Strom, Fitnessstudio, Versicherungen und Streaming enden nicht am Flughafen. Melde den Wegfall des versicherten Risikos der Versicherung schriftlich. Ob ein Sonderkündigungsrecht für Handy oder Strom auch bei einem Umzug ins Ausland greift, ist offen. Schreib der Stelle, leg die Abmeldebescheinigung bei und rechne mit Kulanz, nicht mit einem Automatismus.</w:t>
      </w:r>
    </w:p>
    <w:p w14:paraId="5BED8A16" w14:textId="77777777" w:rsidR="001F7233" w:rsidRDefault="00000000">
      <w:r>
        <w:rPr>
          <w:b/>
        </w:rPr>
        <w:t>Mietwohnung</w:t>
      </w:r>
    </w:p>
    <w:p w14:paraId="42D74E6D" w14:textId="77777777" w:rsidR="001F7233" w:rsidRDefault="00000000">
      <w:r>
        <w:rPr>
          <w:b/>
        </w:rPr>
        <w:t xml:space="preserve">Frist: </w:t>
      </w:r>
      <w:r>
        <w:t>drei Monate; Zugang bis zum dritten Werktag des Monats (§ 573c BGB)</w:t>
      </w:r>
    </w:p>
    <w:p w14:paraId="58E87CAB" w14:textId="77777777" w:rsidR="001F7233" w:rsidRDefault="00000000">
      <w:r>
        <w:rPr>
          <w:b/>
        </w:rPr>
        <w:t xml:space="preserve">Beim Umzug ins Ausland: </w:t>
      </w:r>
      <w:r>
        <w:t>kein Sonderkündigungsrecht</w:t>
      </w:r>
    </w:p>
    <w:p w14:paraId="6A039A7D" w14:textId="77777777" w:rsidR="001F7233" w:rsidRDefault="00000000">
      <w:r>
        <w:rPr>
          <w:b/>
        </w:rPr>
        <w:t>Arbeitsvertrag</w:t>
      </w:r>
    </w:p>
    <w:p w14:paraId="274A9C9B" w14:textId="77777777" w:rsidR="001F7233" w:rsidRDefault="00000000">
      <w:r>
        <w:rPr>
          <w:b/>
        </w:rPr>
        <w:t xml:space="preserve">Frist: </w:t>
      </w:r>
      <w:r>
        <w:t>vier Wochen zum 15. oder zum Monatsende; in der Probezeit zwei Wochen; nur schriftlich (§§ 622, 623 BGB)</w:t>
      </w:r>
    </w:p>
    <w:p w14:paraId="7466AF10" w14:textId="77777777" w:rsidR="001F7233" w:rsidRDefault="00000000">
      <w:r>
        <w:rPr>
          <w:b/>
        </w:rPr>
        <w:t xml:space="preserve">Beim Umzug ins Ausland: </w:t>
      </w:r>
      <w:r>
        <w:t>ein früheres Ende nur per Aufhebungsvertrag</w:t>
      </w:r>
    </w:p>
    <w:p w14:paraId="2256E0F7" w14:textId="77777777" w:rsidR="001F7233" w:rsidRDefault="00000000">
      <w:r>
        <w:rPr>
          <w:b/>
        </w:rPr>
        <w:t>Handy und Internet</w:t>
      </w:r>
    </w:p>
    <w:p w14:paraId="7A0129C9" w14:textId="77777777" w:rsidR="001F7233" w:rsidRDefault="00000000">
      <w:r>
        <w:rPr>
          <w:b/>
        </w:rPr>
        <w:t xml:space="preserve">Frist: </w:t>
      </w:r>
      <w:r>
        <w:t>nach der Mindestlaufzeit ein Monat (§ 56 TKG)</w:t>
      </w:r>
    </w:p>
    <w:p w14:paraId="19ACFDDB" w14:textId="77777777" w:rsidR="001F7233" w:rsidRDefault="00000000">
      <w:r>
        <w:rPr>
          <w:b/>
        </w:rPr>
        <w:t xml:space="preserve">Beim Umzug ins Ausland: </w:t>
      </w:r>
      <w:r>
        <w:t>Sonderkündigung nach § 60 TKG nur, wenn der Anbieter am neuen Wohnort nicht leistet. Ob das fürs Ausland gilt, ist offen</w:t>
      </w:r>
    </w:p>
    <w:p w14:paraId="1C937B86" w14:textId="77777777" w:rsidR="001F7233" w:rsidRDefault="00000000">
      <w:r>
        <w:rPr>
          <w:b/>
        </w:rPr>
        <w:t>Strom und Gas, Grundversorgung</w:t>
      </w:r>
    </w:p>
    <w:p w14:paraId="60F689A9" w14:textId="77777777" w:rsidR="001F7233" w:rsidRDefault="00000000">
      <w:r>
        <w:rPr>
          <w:b/>
        </w:rPr>
        <w:t xml:space="preserve">Frist: </w:t>
      </w:r>
      <w:r>
        <w:t>zwei Wochen</w:t>
      </w:r>
    </w:p>
    <w:p w14:paraId="6D0C0B42" w14:textId="77777777" w:rsidR="001F7233" w:rsidRDefault="00000000">
      <w:r>
        <w:rPr>
          <w:b/>
        </w:rPr>
        <w:t xml:space="preserve">Beim Umzug ins Ausland: </w:t>
      </w:r>
      <w:r>
        <w:t>keine eigene Auslandsregel</w:t>
      </w:r>
    </w:p>
    <w:p w14:paraId="0218CE47" w14:textId="77777777" w:rsidR="001F7233" w:rsidRDefault="00000000">
      <w:r>
        <w:rPr>
          <w:b/>
        </w:rPr>
        <w:t>Strom und Gas, Sondervertrag</w:t>
      </w:r>
    </w:p>
    <w:p w14:paraId="0CAE3178" w14:textId="77777777" w:rsidR="001F7233" w:rsidRDefault="00000000">
      <w:r>
        <w:rPr>
          <w:b/>
        </w:rPr>
        <w:t xml:space="preserve">Frist: </w:t>
      </w:r>
      <w:r>
        <w:t>sechs Wochen bei Wohnsitzwechsel (§ 41b EnWG)</w:t>
      </w:r>
    </w:p>
    <w:p w14:paraId="11AC7A80" w14:textId="77777777" w:rsidR="001F7233" w:rsidRDefault="00000000">
      <w:r>
        <w:rPr>
          <w:b/>
        </w:rPr>
        <w:t xml:space="preserve">Beim Umzug ins Ausland: </w:t>
      </w:r>
      <w:r>
        <w:t>ob das fürs Ausland gilt, ist offen</w:t>
      </w:r>
    </w:p>
    <w:p w14:paraId="20E449EC" w14:textId="77777777" w:rsidR="001F7233" w:rsidRDefault="00000000">
      <w:r>
        <w:rPr>
          <w:b/>
        </w:rPr>
        <w:t>Rundfunkbeitrag</w:t>
      </w:r>
    </w:p>
    <w:p w14:paraId="70F4AD9F" w14:textId="77777777" w:rsidR="001F7233" w:rsidRDefault="00000000">
      <w:r>
        <w:rPr>
          <w:b/>
        </w:rPr>
        <w:t xml:space="preserve">Frist: </w:t>
      </w:r>
      <w:r>
        <w:t>keine Kündigung, sondern Abmeldung der Wohnung</w:t>
      </w:r>
    </w:p>
    <w:p w14:paraId="75B5AEDF" w14:textId="77777777" w:rsidR="001F7233" w:rsidRDefault="00000000">
      <w:r>
        <w:rPr>
          <w:b/>
        </w:rPr>
        <w:t xml:space="preserve">Beim Umzug ins Ausland: </w:t>
      </w:r>
      <w:r>
        <w:t>rundfunkbeitrag.de, Beitragsnummer vom Bescheid</w:t>
      </w:r>
    </w:p>
    <w:p w14:paraId="56029E37" w14:textId="77777777" w:rsidR="001F7233" w:rsidRDefault="00000000">
      <w:r>
        <w:rPr>
          <w:b/>
        </w:rPr>
        <w:t>Haftpflicht, Hausrat, Rechtsschutz</w:t>
      </w:r>
    </w:p>
    <w:p w14:paraId="3D7C91E7" w14:textId="77777777" w:rsidR="001F7233" w:rsidRDefault="00000000">
      <w:r>
        <w:rPr>
          <w:b/>
        </w:rPr>
        <w:lastRenderedPageBreak/>
        <w:t xml:space="preserve">Frist: </w:t>
      </w:r>
      <w:r>
        <w:t>nach dem Vertrag; den Wegfall des Risikos sofort melden (§ 80 VVG)</w:t>
      </w:r>
    </w:p>
    <w:p w14:paraId="6EF6104D" w14:textId="77777777" w:rsidR="001F7233" w:rsidRDefault="00000000">
      <w:r>
        <w:rPr>
          <w:b/>
        </w:rPr>
        <w:t xml:space="preserve">Beim Umzug ins Ausland: </w:t>
      </w:r>
      <w:r>
        <w:t>zum Übergabetag beenden, nicht Wochen davor</w:t>
      </w:r>
    </w:p>
    <w:p w14:paraId="70DC3B74" w14:textId="77777777" w:rsidR="001F7233" w:rsidRDefault="00000000">
      <w:r>
        <w:rPr>
          <w:b/>
        </w:rPr>
        <w:t>Freiwillige gesetzliche Krankenversicherung</w:t>
      </w:r>
    </w:p>
    <w:p w14:paraId="4BE1B71E" w14:textId="77777777" w:rsidR="001F7233" w:rsidRDefault="00000000">
      <w:r>
        <w:rPr>
          <w:b/>
        </w:rPr>
        <w:t xml:space="preserve">Frist: </w:t>
      </w:r>
      <w:r>
        <w:t>endet nicht von selbst (§ 191 SGB V)</w:t>
      </w:r>
    </w:p>
    <w:p w14:paraId="2D3ADBFB" w14:textId="77777777" w:rsidR="001F7233" w:rsidRDefault="00000000">
      <w:r>
        <w:rPr>
          <w:b/>
        </w:rPr>
        <w:t xml:space="preserve">Beim Umzug ins Ausland: </w:t>
      </w:r>
      <w:r>
        <w:t>Ende oder Anwartschaft nur schriftlich von deiner Kasse</w:t>
      </w:r>
    </w:p>
    <w:p w14:paraId="4615FD1B" w14:textId="77777777" w:rsidR="001F7233" w:rsidRDefault="001F7233">
      <w:pPr>
        <w:spacing w:line="180" w:lineRule="exact"/>
      </w:pPr>
    </w:p>
    <w:p w14:paraId="549BD53E" w14:textId="77777777" w:rsidR="001F7233" w:rsidRDefault="00000000">
      <w:pPr>
        <w:spacing w:after="140"/>
      </w:pPr>
      <w:r>
        <w:t>Kindergeld: Wohnsitz oder gewöhnlicher Aufenthalt in Deutschland ist ein wichtiger Anknüpfungspunkt, aber der Wegzug beendet den Anspruch nicht automatisch. Deutsche Staatsangehörige mit Wohnsitz im Ausland können weiter anspruchsberechtigt sein, wenn sie in Deutschland unbeschränkt steuerpflichtig sind oder dort als beschränkt Steuerpflichtige sozialversicherungspflichtig beschäftigt sind. Andere Fallgruppen haben eigene Voraussetzungen. Melde den Wegzug der Familienkasse und lass deinen Anspruch schriftlich prüfen (Bundesagentur für Arbeit: Kindergeld im Ausland, arbeitsagentur.de/familie-und-kinder/infos-rund-um-kindergeld/kindergeld-ausland). Elterngeld setzt ebenfalls einen Wohnsitz oder gewöhnlichen Aufenthalt in Deutschland voraus. Kläre den Wegzug gesondert mit der Elterngeldstelle. Den aktuellen Monatsbetrag nennt die Familienkasse; dieses Kapitel druckt ihn nicht.</w:t>
      </w:r>
    </w:p>
    <w:p w14:paraId="79507C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 nicht stilllegen, bevor du gefragt hast</w:t>
      </w:r>
    </w:p>
    <w:p w14:paraId="1FC8C197" w14:textId="77777777" w:rsidR="001F7233" w:rsidRDefault="00000000">
      <w:pPr>
        <w:spacing w:after="140"/>
      </w:pPr>
      <w:r>
        <w:t>Die Deutsche Rentenversicherung führt dein Konto weiter, auch wenn du nicht mehr in Deutschland arbeitest. Was sich ändert, ist die Frage, ob du freiwillig weiterzahlst, ob Zeiten im Zielland angerechnet werden und wohin später die Post geht.</w:t>
      </w:r>
    </w:p>
    <w:p w14:paraId="73B786C2" w14:textId="77777777" w:rsidR="001F7233" w:rsidRDefault="00000000">
      <w:pPr>
        <w:spacing w:after="140"/>
      </w:pPr>
      <w:r>
        <w:lastRenderedPageBreak/>
        <w:t xml:space="preserve">Ein Sozialversicherungsabkommen mit einem der vier Länder gilt nicht automatisch für die anderen drei. Die Deutsche Rentenversicherung sagt dir, was das Abkommen deines Ziellandes deckt. Lies das auf </w:t>
      </w:r>
      <w:hyperlink r:id="rId45">
        <w:r w:rsidR="001F7233">
          <w:rPr>
            <w:color w:val="0563C1"/>
            <w:u w:val="single"/>
          </w:rPr>
          <w:t>deutsche-rentenversicherung.de</w:t>
        </w:r>
      </w:hyperlink>
      <w:r>
        <w:t>, bevor du freiwillige Beiträge kündigst oder weiterzahlst. Freiwillige Beiträge sind für Deutsche auch aus dem Ausland möglich. Die Zahlung für ein Jahr muss bis zum 31. März des Folgejahres eingehen. Den aktuellen Beitrag nennt die DRV. Die US-Besteuerung der Rente steht nur im USA-Teil. Für Kanada, Australien und Neuseeland bleibt die deutsche Frage hier.</w:t>
      </w:r>
    </w:p>
    <w:p w14:paraId="62B9B690" w14:textId="77777777" w:rsidR="001F7233" w:rsidRDefault="00000000">
      <w:r>
        <w:t>ACHTUNG: Kläre vor dem Umzug mit der Deutschen Rentenversicherung, welche Folgen der Wegzug für deinen Versicherungsverlauf hat und ob freiwillige Beiträge in deinem Fall sinnvoll sind.</w:t>
      </w:r>
    </w:p>
    <w:p w14:paraId="099D9658" w14:textId="77777777" w:rsidR="001F7233" w:rsidRDefault="00000000">
      <w:pPr>
        <w:pStyle w:val="Heading3"/>
        <w:keepNext/>
        <w:spacing w:line="341" w:lineRule="auto"/>
        <w:jc w:val="center"/>
      </w:pPr>
      <w:bookmarkStart w:id="13" w:name="idx_Riester"/>
      <w:r>
        <w:rPr>
          <w:rFonts w:ascii="Amazon Ember" w:eastAsia="Amazon Ember" w:hAnsi="Amazon Ember" w:cs="Amazon Ember"/>
          <w:color w:val="0000FF"/>
          <w:sz w:val="36"/>
          <w:szCs w:val="36"/>
        </w:rPr>
        <w:t>Riester und das Depot</w:t>
      </w:r>
      <w:bookmarkEnd w:id="13"/>
    </w:p>
    <w:p w14:paraId="7D9D7440" w14:textId="77777777" w:rsidR="001F7233" w:rsidRDefault="00000000">
      <w:pPr>
        <w:spacing w:after="140"/>
      </w:pPr>
      <w:r>
        <w:t>Ein bestehender Riester-Vertrag läuft in der Ansparphase weiter. Ob beim späteren Rentenbeginn außerhalb der EU oder des EWR Zulagen zurückfließen, sagt der Anbieter. Frag ihn, bevor du kündigst. Ein normales Aktien- oder ETF-Depot ist nicht die Wegzugsteuer nach § 6 AStG. Die gilt für Unternehmensanteile ab einem Prozent. Ob die Bank das Depot bei einem Wohnsitz im Ausland weiterführt, fragst du schriftlich, bevor du verkaufst. Verkauf nicht auf Verdacht.</w:t>
      </w:r>
    </w:p>
    <w:p w14:paraId="1C81A3A1" w14:textId="77777777" w:rsidR="001F7233" w:rsidRDefault="00000000">
      <w:r>
        <w:rPr>
          <w:b/>
        </w:rPr>
        <w:t xml:space="preserve">ACHTUNG: </w:t>
      </w:r>
    </w:p>
    <w:p w14:paraId="346F0C04" w14:textId="77777777" w:rsidR="001F7233" w:rsidRDefault="001F7233">
      <w:pPr>
        <w:spacing w:line="220" w:lineRule="exact"/>
      </w:pPr>
    </w:p>
    <w:p w14:paraId="232CB5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053F4E48" w14:textId="77777777" w:rsidR="001F7233" w:rsidRDefault="00000000">
      <w:pPr>
        <w:spacing w:after="140"/>
      </w:pPr>
      <w:r>
        <w:t xml:space="preserve">Die Europäische Krankenversicherungskarte gilt nicht in den USA, in Kanada, in Australien oder in Neuseeland. Die Pflichtmitgliedschaft als Arbeitnehmer endet mit dem letzten Arbeitstag. Eine freiwillige Mitgliedschaft endet nicht von selbst mit dem Auszug (§ 191 SGB V). </w:t>
      </w:r>
      <w:r>
        <w:lastRenderedPageBreak/>
        <w:t>Kündige sie nur, wenn deine Krankenkasse das Ende schriftlich bestätigt. Frage deine Krankenkasse schriftlich nach Angebot, Bedingungen und Beitrag einer Anwartschaft für deinen Auslandsaufenthalt.</w:t>
      </w:r>
    </w:p>
    <w:p w14:paraId="68AACD43" w14:textId="77777777" w:rsidR="001F7233" w:rsidRDefault="00000000">
      <w:pPr>
        <w:spacing w:after="140"/>
      </w:pPr>
      <w:r>
        <w:t>Bis das Zielland dich aufnimmt, brauchst du eine eigene Übergangsversicherung. Wann das ist, steht nicht in diesem Kapitel. In Ontario kann es schnell gehen, in anderen kanadischen Provinzen gibt es eine Wartezeit. In Australien hängt Medicare am Aufenthaltstitel, und Deutschland hat dort kein Gegenseitigkeitsabkommen. In Neuseeland hängt der öffentliche Zugang an der Visumsdauer. Die Gesundheitskapitel der Länder sagen, welche Police du ab dem Landetag brauchst. Kauf sie so, dass sie am Abflugtag schon gilt, nicht erst nach der ersten Fiebernacht.</w:t>
      </w:r>
    </w:p>
    <w:p w14:paraId="7B916A83" w14:textId="77777777" w:rsidR="001F7233" w:rsidRDefault="00000000">
      <w:pPr>
        <w:pStyle w:val="Heading3"/>
        <w:keepNext/>
        <w:spacing w:line="341" w:lineRule="auto"/>
        <w:jc w:val="center"/>
      </w:pPr>
      <w:bookmarkStart w:id="14" w:name="idx_Apostille"/>
      <w:r>
        <w:rPr>
          <w:rFonts w:ascii="Amazon Ember" w:eastAsia="Amazon Ember" w:hAnsi="Amazon Ember" w:cs="Amazon Ember"/>
          <w:color w:val="0000FF"/>
          <w:sz w:val="36"/>
          <w:szCs w:val="36"/>
        </w:rPr>
        <w:t>Apostille: nur dort, wo die Stelle sie will</w:t>
      </w:r>
      <w:bookmarkEnd w:id="14"/>
    </w:p>
    <w:p w14:paraId="14B0285E" w14:textId="77777777" w:rsidR="001F7233" w:rsidRDefault="00000000">
      <w:pPr>
        <w:spacing w:after="140"/>
      </w:pPr>
      <w:r>
        <w:t xml:space="preserve">Eine Apostille bestätigt, dass ein deutsches Papier echt ist. Sie übersetzt es nicht, und sie ersetzt keine Berufszulassung. Für Bundesurkunden ist oft das Bundesamt für Auswärtige Angelegenheiten zuständig. Bestell die Apostille so, wie die Behörde es auf </w:t>
      </w:r>
      <w:hyperlink r:id="rId46">
        <w:r w:rsidR="001F7233">
          <w:rPr>
            <w:color w:val="0563C1"/>
            <w:u w:val="single"/>
          </w:rPr>
          <w:t>bfaa.diplo.de</w:t>
        </w:r>
      </w:hyperlink>
      <w:r>
        <w:t xml:space="preserve"> beschreibt. Ein nachträgliches Anheften ist nicht überall vorgesehen.</w:t>
      </w:r>
    </w:p>
    <w:p w14:paraId="45094C87" w14:textId="77777777" w:rsidR="001F7233" w:rsidRDefault="00000000">
      <w:r>
        <w:rPr>
          <w:b/>
        </w:rPr>
        <w:t>USA</w:t>
      </w:r>
    </w:p>
    <w:p w14:paraId="10C9C198" w14:textId="77777777" w:rsidR="001F7233" w:rsidRDefault="00000000">
      <w:r>
        <w:rPr>
          <w:b/>
        </w:rPr>
        <w:t xml:space="preserve">Führungszeugnis, typisch: </w:t>
      </w:r>
      <w:r>
        <w:t>Nur wenn die US-Stelle sie ausdrücklich verlangt</w:t>
      </w:r>
    </w:p>
    <w:p w14:paraId="2714A2F0" w14:textId="77777777" w:rsidR="001F7233" w:rsidRDefault="00000000">
      <w:r>
        <w:rPr>
          <w:b/>
        </w:rPr>
        <w:t xml:space="preserve">Wo du das prüfst: </w:t>
      </w:r>
      <w:r>
        <w:t>die Stelle, die das Papier haben will</w:t>
      </w:r>
    </w:p>
    <w:p w14:paraId="5DBB85EF" w14:textId="77777777" w:rsidR="001F7233" w:rsidRDefault="00000000">
      <w:r>
        <w:rPr>
          <w:b/>
        </w:rPr>
        <w:t>Kanada</w:t>
      </w:r>
    </w:p>
    <w:p w14:paraId="7E0E1D3A" w14:textId="77777777" w:rsidR="001F7233" w:rsidRDefault="00000000">
      <w:r>
        <w:rPr>
          <w:b/>
        </w:rPr>
        <w:t xml:space="preserve">Führungszeugnis, typisch: </w:t>
      </w:r>
      <w:r>
        <w:t>In der Regel ohne Apostille. Ältere, nur deutschsprachige Zeugnisse brauchen eine Übersetzung</w:t>
      </w:r>
    </w:p>
    <w:p w14:paraId="7E84407D" w14:textId="77777777" w:rsidR="001F7233" w:rsidRDefault="00000000">
      <w:r>
        <w:rPr>
          <w:b/>
        </w:rPr>
        <w:t xml:space="preserve">Wo du das prüfst: </w:t>
      </w:r>
      <w:r>
        <w:t>Kanada: Antrag, Konsulat, Kosten</w:t>
      </w:r>
    </w:p>
    <w:p w14:paraId="32AAF685" w14:textId="77777777" w:rsidR="001F7233" w:rsidRDefault="00000000">
      <w:r>
        <w:rPr>
          <w:b/>
        </w:rPr>
        <w:t>Australien</w:t>
      </w:r>
    </w:p>
    <w:p w14:paraId="63C01093" w14:textId="77777777" w:rsidR="001F7233" w:rsidRDefault="00000000">
      <w:r>
        <w:rPr>
          <w:b/>
        </w:rPr>
        <w:lastRenderedPageBreak/>
        <w:t xml:space="preserve">Führungszeugnis, typisch: </w:t>
      </w:r>
      <w:r>
        <w:t>Apostille oft nötig, und sie wird mit dem Zeugnis zusammen beantragt</w:t>
      </w:r>
    </w:p>
    <w:p w14:paraId="5A48C373" w14:textId="77777777" w:rsidR="001F7233" w:rsidRDefault="00000000">
      <w:r>
        <w:rPr>
          <w:b/>
        </w:rPr>
        <w:t xml:space="preserve">Wo du das prüfst: </w:t>
      </w:r>
      <w:r>
        <w:t>Australien: Antrag, Konsulat, Kosten</w:t>
      </w:r>
    </w:p>
    <w:p w14:paraId="347EE9C5" w14:textId="77777777" w:rsidR="001F7233" w:rsidRDefault="00000000">
      <w:r>
        <w:rPr>
          <w:b/>
        </w:rPr>
        <w:t>Neuseeland</w:t>
      </w:r>
    </w:p>
    <w:p w14:paraId="03DAFFFD" w14:textId="77777777" w:rsidR="001F7233" w:rsidRDefault="00000000">
      <w:r>
        <w:rPr>
          <w:b/>
        </w:rPr>
        <w:t xml:space="preserve">Führungszeugnis, typisch: </w:t>
      </w:r>
      <w:r>
        <w:t>In der Regel ohne Apostille, dafür eine englische Übersetzung</w:t>
      </w:r>
    </w:p>
    <w:p w14:paraId="039B4316" w14:textId="77777777" w:rsidR="001F7233" w:rsidRDefault="00000000">
      <w:r>
        <w:rPr>
          <w:b/>
        </w:rPr>
        <w:t xml:space="preserve">Wo du das prüfst: </w:t>
      </w:r>
      <w:r>
        <w:t>Neuseeland: Antrag, Konsulat, Kosten</w:t>
      </w:r>
    </w:p>
    <w:p w14:paraId="766962FA" w14:textId="77777777" w:rsidR="001F7233" w:rsidRDefault="001F7233">
      <w:pPr>
        <w:spacing w:line="180" w:lineRule="exact"/>
      </w:pPr>
    </w:p>
    <w:p w14:paraId="440715AB" w14:textId="77777777" w:rsidR="001F7233" w:rsidRDefault="00000000">
      <w:pPr>
        <w:spacing w:after="140"/>
      </w:pPr>
      <w:r>
        <w:t xml:space="preserve">Das Führungszeugnis selbst kommt vom Bundesamt für Justiz. Die Gebühr und die Frist stehen auf </w:t>
      </w:r>
      <w:hyperlink r:id="rId47">
        <w:r w:rsidR="001F7233">
          <w:rPr>
            <w:color w:val="0563C1"/>
            <w:u w:val="single"/>
          </w:rPr>
          <w:t>bundesjustizamt.de</w:t>
        </w:r>
      </w:hyperlink>
      <w:r>
        <w:t>.</w:t>
      </w:r>
    </w:p>
    <w:p w14:paraId="5ED71CE8" w14:textId="77777777" w:rsidR="001F7233" w:rsidRDefault="00000000">
      <w:pPr>
        <w:spacing w:after="140"/>
      </w:pPr>
      <w:r>
        <w:t>Zeugnisse, Diplome und die Frage, ob du als Ärztin, Pfleger, Lehrer, Ingenieurin oder im Handwerk arbeiten darfst, sind ein anderes Verfahren. Für die USA steht es in Kapitel </w:t>
      </w:r>
      <w:hyperlink w:anchor="k19">
        <w:r w:rsidR="001F7233">
          <w:t>19</w:t>
        </w:r>
      </w:hyperlink>
      <w:r>
        <w:t>. Für die drei anderen Länder steht es im jeweiligen Kapitel zur Anerkennung deutscher Berufsabschlüsse. Ein Visum ist keine Berufserlaubnis.</w:t>
      </w:r>
    </w:p>
    <w:p w14:paraId="7D7CDDAC" w14:textId="77777777" w:rsidR="001F7233" w:rsidRDefault="00000000">
      <w:pPr>
        <w:pStyle w:val="Heading3"/>
        <w:keepNext/>
        <w:spacing w:line="341" w:lineRule="auto"/>
        <w:jc w:val="center"/>
      </w:pPr>
      <w:r>
        <w:t>Dokumente, Elektrogeräte und Haustiere vorbereiten</w:t>
      </w:r>
    </w:p>
    <w:p w14:paraId="3A51172E" w14:textId="77777777" w:rsidR="001F7233" w:rsidRDefault="00000000">
      <w:pPr>
        <w:pStyle w:val="Heading4"/>
      </w:pPr>
      <w:r>
        <w:t>Dokumente im Handgepäck</w:t>
      </w:r>
    </w:p>
    <w:p w14:paraId="53F317C0" w14:textId="77777777" w:rsidR="001F7233" w:rsidRDefault="00000000">
      <w:pPr>
        <w:spacing w:after="140"/>
      </w:pPr>
      <w:r>
        <w:t>Originale, die du in der ersten Woche brauchst, fliegen in der Kabine: Pässe, Visumsbescheid, Urkunden, Zeugnisse, Führungszeugnis, Impfnachweise, Arbeitsvertrag. Scans liegen verschlüsselt in einer Cloud und noch einmal bei der Vertrauensperson in Deutschland. Der Container kann Wochen später kommen, und er kann von der Biosicherheitskontrolle festgehalten werden.</w:t>
      </w:r>
    </w:p>
    <w:p w14:paraId="2FE30B00" w14:textId="77777777" w:rsidR="001F7233" w:rsidRDefault="00000000">
      <w:pPr>
        <w:pStyle w:val="Heading4"/>
      </w:pPr>
      <w:r>
        <w:t>Möbel und Elektrogeräte</w:t>
      </w:r>
    </w:p>
    <w:p w14:paraId="3429C835" w14:textId="77777777" w:rsidR="001F7233" w:rsidRDefault="00000000">
      <w:pPr>
        <w:spacing w:after="140"/>
      </w:pPr>
      <w:r>
        <w:t>Die Spannung ist der einzige Punkt, den du nicht dreimal neu lernen musst. Die USA und Kanada liegen bei etwa 120 Volt. Deutsche Geräte brauchen dort oft einen anderen Stecker und sind nicht immer dafür gebaut. Australien und Neuseeland liegen bei etwa 230 bis 240 Volt, wie Deutschland. Es bleibt ein anderer Stecker. Ob sich der Umzug der Möbel lohnt, entscheidet das Ankunftskapitel des Landes, nicht eine allgemeine Liste.</w:t>
      </w:r>
    </w:p>
    <w:p w14:paraId="41F25E7D" w14:textId="77777777" w:rsidR="001F7233" w:rsidRDefault="00000000">
      <w:pPr>
        <w:pStyle w:val="Heading4"/>
      </w:pPr>
      <w:r>
        <w:lastRenderedPageBreak/>
        <w:t>Haustiere: frühzeitig vorbereiten</w:t>
      </w:r>
    </w:p>
    <w:p w14:paraId="0A1FB4F5" w14:textId="77777777" w:rsidR="001F7233" w:rsidRDefault="00000000">
      <w:pPr>
        <w:spacing w:after="140"/>
      </w:pPr>
      <w:r>
        <w:t>Hund und Katze gehören nicht in denselben Karton wie die Apostille. Kanada ist für das eigene erwachsene Haustier vor allem ein Impfzeugnis. Australien und Neuseeland erfordern Genehmigung, Bluttest und Quarantäne mit monatelangem Vorlauf. Prüfe die Anforderungen bereits während der Vorbereitung, nicht erst kurz vor dem Flug. Nutze dafür den Abschnitt zur Haustiereinreise im gewählten Länderpfad und die dort genannten offiziellen Quellen; die zuständigen Behörden heißen CFIA, DAFF und MPI.</w:t>
      </w:r>
    </w:p>
    <w:p w14:paraId="7D6DE2C8" w14:textId="77777777" w:rsidR="001F7233" w:rsidRDefault="00000000">
      <w:pPr>
        <w:pStyle w:val="Heading3"/>
      </w:pPr>
      <w:r>
        <w:t>Deutsche Staatsangehörigkeit behalten: aktuelle Regel</w:t>
      </w:r>
    </w:p>
    <w:p w14:paraId="7BA2134E" w14:textId="77777777" w:rsidR="001F7233" w:rsidRDefault="00000000">
      <w:r>
        <w:t>Der Umzug lässt die deutsche Staatsangehörigkeit nicht verfallen. Seit 27. Juni 2024 führt auch der auf Antrag erworbene ausländische Pass meist nicht mehr zum Verlust. Eine Beibehaltungsgenehmigung ist dafür nicht nötig. Das gilt nicht rückwirkend: Wer vor dem Stichtag eingebürgert wurde und dadurch die deutsche Staatsangehörigkeit verlor, muss den Einzelfall klären. Seltene Verlustgründe bleiben, etwa freiwilliger Streitkräfteeintritt ohne erforderliche Zustimmung bei doppelter Staatsangehörigkeit, konkrete Teilnahme an terroristischen Kampfhandlungen oder ausdrücklicher Verzicht. Bei Alt- oder Zweifelsfällen: Auslandsvertretung/Bundesverwaltungsamt fragen.</w:t>
      </w:r>
    </w:p>
    <w:p w14:paraId="13CB92E5" w14:textId="77777777" w:rsidR="001F7233" w:rsidRDefault="00000000">
      <w:pPr>
        <w:pStyle w:val="Heading3"/>
      </w:pPr>
      <w:r>
        <w:t>Krieg und Krisen: vorbereiten, nicht Sicherheit versprechen</w:t>
      </w:r>
    </w:p>
    <w:p w14:paraId="03CF22E7" w14:textId="77777777" w:rsidR="001F7233" w:rsidRDefault="00000000">
      <w:r>
        <w:t xml:space="preserve">Kein Zielland ist eine Garantie gegen Krieg, Naturkatastrophen, Grenzschließung oder ausgefallene Flüge. Prüfe vor dem Umzug und danach die aktuellen Hinweise des Auswärtigen Amts und die Warnmeldungen vor Ort. Als deutscher Staatsangehöriger kannst du dich unabhängig vom Land und der Aufenthaltsdauer freiwillig in ELEFAND eintragen. Halte Adresse, Telefonnummer und Notfallkontakte aktuell. Lege Kopien von Pass, Visa, Versicherungen </w:t>
      </w:r>
      <w:r>
        <w:lastRenderedPageBreak/>
        <w:t>und wichtigen Nummern getrennt ab, vereinbare einen Familienkontakt und plane Medikamente, Wasser, Bargeld und einen Ausweichweg für einige Tage. Eine Zehnjahresration im Gartenbunker ist keine normale Umzugsvorsorge: Wasser, Abwasser, Luft, Strom, Medikamente, Wartung und Baugenehmigung sind schwieriger als das Stapeln von Konservendosen. Richte dich nach lokalen Warnungen und den Empfehlungen für den eigenen Haushalt. Ein Vorrat für mehrere Tage und ein realistischer Kommunikationsplan sind der vernünftige Anfang. Konsularische Registrierung ist keine Evakuierungszusage. USA-spezifische Registrierungspflichten behandelt Kapitel 40.</w:t>
      </w:r>
    </w:p>
    <w:p w14:paraId="3C7AA4E0" w14:textId="77777777" w:rsidR="001F7233" w:rsidRDefault="00000000">
      <w:pPr>
        <w:pStyle w:val="Heading3"/>
        <w:keepNext/>
        <w:spacing w:line="341" w:lineRule="auto"/>
        <w:jc w:val="center"/>
      </w:pPr>
      <w:r>
        <w:t>Vier vermeidbare Fehler</w:t>
      </w:r>
    </w:p>
    <w:p w14:paraId="4813FE9D" w14:textId="77777777" w:rsidR="001F7233" w:rsidRDefault="00000000">
      <w:r>
        <w:t>1. Fehler: Nur die gemeinsame Deutschland-Liste abarbeiten und zusätzliche Anforderungen des Ziellands übersehen. Besser: Zuerst die gemeinsame Liste, danach die landesspezifischen Aufgaben und Fristen prüfen.</w:t>
      </w:r>
    </w:p>
    <w:p w14:paraId="421BB3B0" w14:textId="77777777" w:rsidR="001F7233" w:rsidRDefault="00000000">
      <w:r>
        <w:t>2. Fehler: Abmeldung, Rente und Krankenversicherung erst nach dem Abflug klären. Besser: Vor der Ausreise mit den zuständigen Stellen klären, was endet, was weiterläuft und welche Nachweise nötig sind. Wohnung und Arbeitsvertrag nicht auf Verdacht kündigen.</w:t>
      </w:r>
    </w:p>
    <w:p w14:paraId="3BC93AEF" w14:textId="77777777" w:rsidR="001F7233" w:rsidRDefault="00000000">
      <w:r>
        <w:t>3. Fehler: Apostillen vorsorglich für sämtliche Dokumente bestellen. Besser: Erst prüfen, welche Dokumente die empfangende Stelle verlangt und ob Apostille oder Übersetzung nötig ist.</w:t>
      </w:r>
    </w:p>
    <w:p w14:paraId="31E6AE0E" w14:textId="77777777" w:rsidR="001F7233" w:rsidRDefault="00000000">
      <w:r>
        <w:t>4. Fehler: Unersetzliche Originale in den Container geben oder Dokumente nur an einem Ort aufbewahren. Besser: Benötigte Originale im Handgepäck mitnehmen und verschlüsselte Sicherungskopien getrennt aufbewahren.</w:t>
      </w:r>
    </w:p>
    <w:p w14:paraId="79B010A5" w14:textId="77777777" w:rsidR="001F7233" w:rsidRDefault="001F7233">
      <w:pPr>
        <w:spacing w:line="180" w:lineRule="exact"/>
      </w:pPr>
    </w:p>
    <w:p w14:paraId="727B87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810A389" w14:textId="77777777" w:rsidR="001F7233" w:rsidRDefault="00000000">
      <w:pPr>
        <w:spacing w:after="140"/>
      </w:pPr>
      <w:r>
        <w:t>Schreib die Vertragsliste an einem Abend. Frag die Rentenversicherung nach dem Abkommen für genau dein Zielland. Frag die Krankenkasse nach dem Ende der Mitgliedschaft und der Lücke bis zur Aufnahme im Zielland. Bestell Führungszeugnis und, nur wenn das Zielland sie will, die Apostille. Lies danach das Anerkennungskapitel deines Berufs, bevor du kündigst.</w:t>
      </w:r>
    </w:p>
    <w:p w14:paraId="015E6E5A" w14:textId="77777777" w:rsidR="001F7233" w:rsidRDefault="00000000">
      <w:r>
        <w:t>• Vertragsliste aus zwölf Monaten Kontoauszügen, mit Frist und Bestätigung</w:t>
      </w:r>
    </w:p>
    <w:p w14:paraId="1EBC3349" w14:textId="77777777" w:rsidR="001F7233" w:rsidRDefault="00000000">
      <w:r>
        <w:t>• Wohnung und Job noch nicht gekündigt, solange das Visum nicht steht</w:t>
      </w:r>
    </w:p>
    <w:p w14:paraId="35084107" w14:textId="77777777" w:rsidR="001F7233" w:rsidRDefault="00000000">
      <w:r>
        <w:t>• Abmeldung beim Bürgeramt zeitlich nach der kommunalen Seite geplant, Bescheinigung kopiert</w:t>
      </w:r>
    </w:p>
    <w:p w14:paraId="18B36FCA" w14:textId="77777777" w:rsidR="001F7233" w:rsidRDefault="00000000">
      <w:r>
        <w:t xml:space="preserve">• Rundfunkbeitrag über </w:t>
      </w:r>
      <w:hyperlink r:id="rId48">
        <w:r w:rsidR="001F7233">
          <w:rPr>
            <w:color w:val="0563C1"/>
            <w:u w:val="single"/>
          </w:rPr>
          <w:t>rundfunkbeitrag.de</w:t>
        </w:r>
      </w:hyperlink>
      <w:r>
        <w:t xml:space="preserve"> abgemeldet, nicht nur „irgendwie gekündigt“</w:t>
      </w:r>
    </w:p>
    <w:p w14:paraId="36D46A18" w14:textId="77777777" w:rsidR="001F7233" w:rsidRDefault="00000000">
      <w:r>
        <w:t>• Deutsche Rentenversicherung gefragt, ob für dieses eine Zielland ein Abkommen gilt und was es deckt</w:t>
      </w:r>
    </w:p>
    <w:p w14:paraId="0DF6E46A" w14:textId="77777777" w:rsidR="001F7233" w:rsidRDefault="00000000">
      <w:r>
        <w:t>• Krankenkasse schriftlich zum Ende oder zur Anwartschaft befragt, Übergangsversicherung ab Abflugtag</w:t>
      </w:r>
    </w:p>
    <w:p w14:paraId="53A56F74" w14:textId="77777777" w:rsidR="001F7233" w:rsidRDefault="00000000">
      <w:r>
        <w:t>• Familienkasse über den Wegzug informiert, falls Kindergeld oder Elterngeld läuft</w:t>
      </w:r>
    </w:p>
    <w:p w14:paraId="0CB190C8" w14:textId="77777777" w:rsidR="001F7233" w:rsidRDefault="00000000">
      <w:r>
        <w:t>• Apostille nur für die Dokumente bestellt, die das Zielland in seinem Antragskapitel nennt</w:t>
      </w:r>
    </w:p>
    <w:p w14:paraId="130C01C1" w14:textId="77777777" w:rsidR="001F7233" w:rsidRDefault="00000000">
      <w:r>
        <w:t>• Bei reglementiertem Beruf das Anerkennungskapitel gelesen, nicht nur das Visakapitel</w:t>
      </w:r>
    </w:p>
    <w:p w14:paraId="4EAC0C53" w14:textId="77777777" w:rsidR="001F7233" w:rsidRDefault="00000000">
      <w:r>
        <w:t>• Originale im Handgepäck, Scans bei einer Vertrauensperson, deutsches Konto und Steuer-ID behalten</w:t>
      </w:r>
    </w:p>
    <w:p w14:paraId="3961A35F" w14:textId="77777777" w:rsidR="001F7233" w:rsidRDefault="001F7233">
      <w:pPr>
        <w:spacing w:line="220" w:lineRule="exact"/>
      </w:pPr>
    </w:p>
    <w:p w14:paraId="71C53778" w14:textId="77777777" w:rsidR="001F7233" w:rsidRDefault="00000000">
      <w:pPr>
        <w:pStyle w:val="Heading3"/>
      </w:pPr>
      <w:r>
        <w:t>Deinen Rückweg mitplanen</w:t>
      </w:r>
    </w:p>
    <w:p w14:paraId="35EDED22" w14:textId="77777777" w:rsidR="001F7233" w:rsidRDefault="00000000">
      <w:r>
        <w:t xml:space="preserve">Prüfe bei jedem Favoriten schon vor dem Umzug vier Rückkehrfragen: Was passiert mit deinem Aufenthaltsstatus? Welche finanziellen Verpflichtungen bleiben? Was geschieht mit </w:t>
      </w:r>
      <w:r>
        <w:lastRenderedPageBreak/>
        <w:t>Rente und Vorsorge? Wie schnell könntest du Wohnung, Schule oder Betreuung in Deutschland wieder organisieren? Die deutsche Rückkehrseite steht im folgenden Kapitel; länderspezifische Folgen bleiben im jeweiligen Länder-Teil.</w:t>
      </w:r>
    </w:p>
    <w:p w14:paraId="03AEF2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99E52E4" w14:textId="77777777" w:rsidR="001F7233" w:rsidRDefault="00000000">
      <w:pPr>
        <w:pStyle w:val="ListParagraph"/>
        <w:numPr>
          <w:ilvl w:val="0"/>
          <w:numId w:val="1"/>
        </w:numPr>
        <w:spacing w:after="60"/>
      </w:pPr>
      <w:r>
        <w:t xml:space="preserve">Bundesmeldegesetz, im Wortlaut: </w:t>
      </w:r>
      <w:hyperlink r:id="rId49">
        <w:r w:rsidR="001F7233">
          <w:rPr>
            <w:color w:val="0563C1"/>
            <w:u w:val="single"/>
          </w:rPr>
          <w:t>gesetze-im-internet.de</w:t>
        </w:r>
      </w:hyperlink>
    </w:p>
    <w:p w14:paraId="79DED735" w14:textId="77777777" w:rsidR="001F7233" w:rsidRDefault="00000000">
      <w:pPr>
        <w:pStyle w:val="ListParagraph"/>
        <w:numPr>
          <w:ilvl w:val="0"/>
          <w:numId w:val="1"/>
        </w:numPr>
        <w:spacing w:after="60"/>
      </w:pPr>
      <w:r>
        <w:t xml:space="preserve">Deutsche Rentenversicherung, Abkommensländer und Beratung vor dem Umzug: </w:t>
      </w:r>
      <w:hyperlink r:id="rId50">
        <w:r w:rsidR="001F7233">
          <w:rPr>
            <w:color w:val="0563C1"/>
            <w:u w:val="single"/>
          </w:rPr>
          <w:t>deutsche-rentenversicherung.de</w:t>
        </w:r>
      </w:hyperlink>
    </w:p>
    <w:p w14:paraId="74F2F90C" w14:textId="77777777" w:rsidR="001F7233" w:rsidRDefault="00000000">
      <w:pPr>
        <w:pStyle w:val="ListParagraph"/>
        <w:numPr>
          <w:ilvl w:val="0"/>
          <w:numId w:val="1"/>
        </w:numPr>
        <w:spacing w:after="60"/>
      </w:pPr>
      <w:r>
        <w:t xml:space="preserve">Rundfunkbeitrag, Abmeldung einer Wohnung: </w:t>
      </w:r>
      <w:hyperlink r:id="rId51">
        <w:r w:rsidR="001F7233">
          <w:rPr>
            <w:color w:val="0563C1"/>
            <w:u w:val="single"/>
          </w:rPr>
          <w:t>rundfunkbeitrag.de</w:t>
        </w:r>
      </w:hyperlink>
    </w:p>
    <w:p w14:paraId="284937AC" w14:textId="77777777" w:rsidR="001F7233" w:rsidRDefault="00000000">
      <w:pPr>
        <w:pStyle w:val="ListParagraph"/>
        <w:numPr>
          <w:ilvl w:val="0"/>
          <w:numId w:val="1"/>
        </w:numPr>
        <w:spacing w:after="60"/>
      </w:pPr>
      <w:r>
        <w:t xml:space="preserve">Bundesamt für Auswärtige Angelegenheiten, Apostille: </w:t>
      </w:r>
      <w:hyperlink r:id="rId52">
        <w:r w:rsidR="001F7233">
          <w:rPr>
            <w:color w:val="0563C1"/>
            <w:u w:val="single"/>
          </w:rPr>
          <w:t>bfaa.diplo.de</w:t>
        </w:r>
      </w:hyperlink>
    </w:p>
    <w:p w14:paraId="1BE99422" w14:textId="77777777" w:rsidR="001F7233" w:rsidRDefault="00000000">
      <w:pPr>
        <w:pStyle w:val="ListParagraph"/>
        <w:numPr>
          <w:ilvl w:val="0"/>
          <w:numId w:val="1"/>
        </w:numPr>
        <w:spacing w:after="60"/>
      </w:pPr>
      <w:r>
        <w:t xml:space="preserve">Bundesamt für Justiz, Führungszeugnis: </w:t>
      </w:r>
      <w:hyperlink r:id="rId53">
        <w:r w:rsidR="001F7233">
          <w:rPr>
            <w:color w:val="0563C1"/>
            <w:u w:val="single"/>
          </w:rPr>
          <w:t>bundesjustizamt.de</w:t>
        </w:r>
      </w:hyperlink>
    </w:p>
    <w:p w14:paraId="6AE49D3D" w14:textId="77777777" w:rsidR="001F7233" w:rsidRDefault="00000000">
      <w:pPr>
        <w:pStyle w:val="ListParagraph"/>
        <w:numPr>
          <w:ilvl w:val="0"/>
          <w:numId w:val="1"/>
        </w:numPr>
        <w:spacing w:after="60"/>
      </w:pPr>
      <w:r>
        <w:t xml:space="preserve">Familienkasse: </w:t>
      </w:r>
      <w:hyperlink r:id="rId54">
        <w:r w:rsidR="001F7233">
          <w:rPr>
            <w:color w:val="0563C1"/>
            <w:u w:val="single"/>
          </w:rPr>
          <w:t>arbeitsagentur.de</w:t>
        </w:r>
      </w:hyperlink>
    </w:p>
    <w:p w14:paraId="5F711289" w14:textId="77777777" w:rsidR="001F7233" w:rsidRDefault="001F7233">
      <w:pPr>
        <w:spacing w:line="120" w:lineRule="exact"/>
      </w:pPr>
    </w:p>
    <w:p w14:paraId="0FE108D5" w14:textId="77777777" w:rsidR="001F7233" w:rsidRDefault="00000000">
      <w:pPr>
        <w:pStyle w:val="ListParagraph"/>
      </w:pPr>
      <w:r>
        <w:t xml:space="preserve">Auswärtiges Amt — Krisenvorsorgeliste ELEFAND: auswaertiges-amt.de/de/ReiseUndSicherheit/elefand; Selective Service — who must register: </w:t>
      </w:r>
      <w:hyperlink r:id="rId55">
        <w:r w:rsidR="001F7233">
          <w:rPr>
            <w:rStyle w:val="Hyperlink"/>
          </w:rPr>
          <w:t>sss.gov/register/who-needs-to-register/</w:t>
        </w:r>
      </w:hyperlink>
      <w:r>
        <w:t xml:space="preserve">; FEMA — household emergency kit: </w:t>
      </w:r>
      <w:hyperlink r:id="rId56">
        <w:r w:rsidR="001F7233">
          <w:rPr>
            <w:rStyle w:val="Hyperlink"/>
          </w:rPr>
          <w:t>ready.gov/kit</w:t>
        </w:r>
      </w:hyperlink>
    </w:p>
    <w:p w14:paraId="471C9EE8" w14:textId="77777777" w:rsidR="001F7233" w:rsidRDefault="00000000">
      <w:pPr>
        <w:pStyle w:val="ListParagraph"/>
      </w:pPr>
      <w:r>
        <w:t>Auswärtiges Amt — Staatsangehörigkeitsrecht seit 27.06.2024: auswaertiges-amt.de/de/2664214-2664214; StAG: gesetze-im-internet.de/stag/</w:t>
      </w:r>
    </w:p>
    <w:p w14:paraId="300907B8" w14:textId="77777777" w:rsidR="001F7233" w:rsidRDefault="00000000">
      <w:r>
        <w:t>• Quellen- und Datenstand: September 2026; Redaktionsschluss: Oktober 2026. Fristen der Meldebehörde und die Liste der Abkommensländer ändern sich. Beträge stehen auf der genannten Behördenzeile, nicht hier. Die USA-Kapitel verweisen für diese deutschen Schritte hierher.</w:t>
      </w:r>
    </w:p>
    <w:p w14:paraId="6579E4B9" w14:textId="77777777" w:rsidR="001F7233" w:rsidRDefault="00000000">
      <w:pPr>
        <w:spacing w:line="220" w:lineRule="exact"/>
      </w:pPr>
      <w:r>
        <w:br w:type="page"/>
      </w:r>
    </w:p>
    <w:p w14:paraId="104886F8" w14:textId="77777777" w:rsidR="001F7233" w:rsidRDefault="00000000">
      <w:pPr>
        <w:pStyle w:val="Heading2"/>
        <w:keepNext/>
        <w:spacing w:line="341" w:lineRule="auto"/>
        <w:jc w:val="center"/>
      </w:pPr>
      <w:bookmarkStart w:id="15" w:name="t0004"/>
      <w:r>
        <w:rPr>
          <w:rFonts w:ascii="Amazon Ember" w:eastAsia="Amazon Ember" w:hAnsi="Amazon Ember" w:cs="Amazon Ember"/>
          <w:color w:val="0000FF"/>
          <w:sz w:val="36"/>
          <w:szCs w:val="36"/>
        </w:rPr>
        <w:lastRenderedPageBreak/>
        <w:t>Die Rückkehr nach Deutschland</w:t>
      </w:r>
      <w:bookmarkEnd w:id="15"/>
    </w:p>
    <w:p w14:paraId="496E91F0" w14:textId="77777777" w:rsidR="001F7233" w:rsidRDefault="00000000">
      <w:r>
        <w:t>Hier steht die gemeinsame deutsche Rückkehrseite.</w:t>
      </w:r>
    </w:p>
    <w:p w14:paraId="31E186B8" w14:textId="77777777" w:rsidR="001F7233" w:rsidRDefault="00000000">
      <w:r>
        <w:t>Eine Rückkehr ist ein Umzug, kein Urteil.</w:t>
      </w:r>
    </w:p>
    <w:p w14:paraId="33FA1537" w14:textId="77777777" w:rsidR="001F7233" w:rsidRDefault="00000000">
      <w:r>
        <w:t>Redaktionsstand: Oktober 2026. Gebühren, Beiträge und Steuersätze können sich ändern. Prüfe die verlinkte Behörden- oder Anbieterseite vor Zahlung, Antrag oder Kündigung. Diese Seite ist keine Beratung.</w:t>
      </w:r>
    </w:p>
    <w:p w14:paraId="1C0CA6B0" w14:textId="77777777" w:rsidR="001F7233" w:rsidRDefault="001F7233">
      <w:pPr>
        <w:spacing w:line="220" w:lineRule="exact"/>
      </w:pPr>
    </w:p>
    <w:p w14:paraId="2C638142" w14:textId="77777777" w:rsidR="001F7233" w:rsidRDefault="00000000">
      <w:r>
        <w:rPr>
          <w:b/>
        </w:rPr>
        <w:t xml:space="preserve">KURZ GESAGT: </w:t>
      </w:r>
    </w:p>
    <w:p w14:paraId="00629A38" w14:textId="77777777" w:rsidR="001F7233" w:rsidRDefault="00000000">
      <w:r>
        <w:t>• Kläre vor dem Rückflug, auf welcher Grundlage du in Deutschland wieder krankenversichert wirst. Der folgende Abschnitt unterscheidet die relevanten Rückkehrkonstellationen.</w:t>
      </w:r>
    </w:p>
    <w:p w14:paraId="61C316A1" w14:textId="77777777" w:rsidR="001F7233" w:rsidRDefault="00000000">
      <w:r>
        <w:t>• Melde dich nach dem Einzug innerhalb von zwei Wochen an. Prüfe deinen Kindergeldanspruch und kläre mit der Familienkasse, welcher Antrag und welche Nachweise erforderlich sind.</w:t>
      </w:r>
    </w:p>
    <w:p w14:paraId="144818DA" w14:textId="77777777" w:rsidR="001F7233" w:rsidRDefault="00000000">
      <w:r>
        <w:t>• Deutsche Rentenzeiten bleiben. Welches Abkommen dazuzählt, sagt die Deutsche Rentenversicherung für genau das Land, aus dem du kommst.</w:t>
      </w:r>
    </w:p>
    <w:p w14:paraId="2CEE1673" w14:textId="77777777" w:rsidR="001F7233" w:rsidRDefault="00000000">
      <w:r>
        <w:t xml:space="preserve">• Übersiedlungsgut kann zollfrei sein, wenn Aufenthalt und Besitzdauer stimmen. Die Regeln stehen auf </w:t>
      </w:r>
      <w:hyperlink r:id="rId57">
        <w:r w:rsidR="001F7233">
          <w:rPr>
            <w:color w:val="0563C1"/>
            <w:u w:val="single"/>
          </w:rPr>
          <w:t>zoll.de</w:t>
        </w:r>
      </w:hyperlink>
      <w:r>
        <w:t>.</w:t>
      </w:r>
    </w:p>
    <w:p w14:paraId="44DFF68B" w14:textId="77777777" w:rsidR="001F7233" w:rsidRDefault="00000000">
      <w:r>
        <w:t>• Eine Wohnung, die du in Deutschland behältst und nutzen willst, kann dich wieder unbeschränkt steuerpflichtig machen.</w:t>
      </w:r>
    </w:p>
    <w:p w14:paraId="5F02183F" w14:textId="77777777" w:rsidR="001F7233" w:rsidRDefault="001F7233">
      <w:pPr>
        <w:spacing w:line="220" w:lineRule="exact"/>
      </w:pPr>
    </w:p>
    <w:p w14:paraId="6E691C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51717F03" w14:textId="77777777" w:rsidR="001F7233" w:rsidRDefault="00000000">
      <w:pPr>
        <w:spacing w:after="140"/>
      </w:pPr>
      <w:r>
        <w:t>Wer vor dem Wegzug zuletzt gesetzlich versichert war, den Wohnsitz wieder in Deutschland hat und keinen anderen Anspruch auf Absicherung hat, wird meist wieder pflichtversichert. Das ist die Auffangversicherung nach § 5 Abs. 1 Nr. 13 SGB V. Sie beginnt am ersten Tag ohne Absicherung im Ausland. Eine Anwartschaft brauchst du für diesen häufigen Fall nicht.</w:t>
      </w:r>
    </w:p>
    <w:p w14:paraId="0A227986" w14:textId="77777777" w:rsidR="001F7233" w:rsidRDefault="00000000">
      <w:pPr>
        <w:spacing w:after="140"/>
      </w:pPr>
      <w:r>
        <w:lastRenderedPageBreak/>
        <w:t>Drei Gruppen fallen heraus. Wer als Angestellter über der Jahresarbeitsentgeltgrenze verdient oder hauptberuflich selbständig wird, kommt nicht über diese Nummer in die gesetzliche Kasse, sondern höchstens über eine freiwillige Mitgliedschaft. Die setzt meist eine Vorversicherungszeit voraus, die reine Jahre im Ausland nicht erfüllen. Die aktuelle Grenze veröffentlicht der GKV-Spitzenverband. Wer nach dem 55. Geburtstag erstmals wieder versicherungspflichtig würde und in den letzten fünf Jahren nicht gesetzlich versichert war, bleibt nach § 6 Abs. 3a SGB V meist draußen. Wer zuletzt privat versichert war, hat diesen Weg nicht. Mit Wohnsitz in Deutschland besteht dann wieder eine Pflicht zur Krankheitskostenversicherung, notfalls im Basistarif. Den Höchstbeitrag nennt der Versicherer für das Jahr. Dieses Kapitel druckt ihn nicht.</w:t>
      </w:r>
    </w:p>
    <w:p w14:paraId="679CBE94" w14:textId="77777777" w:rsidR="001F7233" w:rsidRDefault="00000000">
      <w:r>
        <w:rPr>
          <w:b/>
        </w:rPr>
        <w:t xml:space="preserve">ACHTUNG: </w:t>
      </w:r>
    </w:p>
    <w:p w14:paraId="034816C0" w14:textId="77777777" w:rsidR="001F7233" w:rsidRDefault="00000000">
      <w:r>
        <w:t>• Wer über der Jahresarbeitsentgeltgrenze liegt, selbständig ist oder mit 55 oder älter zurückkehrt, klärt die Kasse vor dem Rückflug, nicht am Flughafen. Ob deine Kasse eine Anwartschaft anbietet, fragst du sie selbst.</w:t>
      </w:r>
    </w:p>
    <w:p w14:paraId="7F9D7533" w14:textId="77777777" w:rsidR="001F7233" w:rsidRDefault="001F7233">
      <w:pPr>
        <w:spacing w:line="220" w:lineRule="exact"/>
      </w:pPr>
    </w:p>
    <w:p w14:paraId="56A6213C" w14:textId="77777777" w:rsidR="001F7233" w:rsidRDefault="00000000">
      <w:pPr>
        <w:pStyle w:val="Heading3"/>
        <w:keepNext/>
        <w:spacing w:line="341" w:lineRule="auto"/>
        <w:jc w:val="center"/>
      </w:pPr>
      <w:bookmarkStart w:id="16" w:name="idx_Kindergeld"/>
      <w:r>
        <w:rPr>
          <w:rFonts w:ascii="Amazon Ember" w:eastAsia="Amazon Ember" w:hAnsi="Amazon Ember" w:cs="Amazon Ember"/>
          <w:color w:val="0000FF"/>
          <w:sz w:val="36"/>
          <w:szCs w:val="36"/>
        </w:rPr>
        <w:t>Anmeldung, Kindergeld, Schule</w:t>
      </w:r>
      <w:bookmarkEnd w:id="16"/>
    </w:p>
    <w:p w14:paraId="3E55E75E" w14:textId="77777777" w:rsidR="001F7233" w:rsidRDefault="00000000">
      <w:pPr>
        <w:spacing w:after="140"/>
      </w:pPr>
      <w:r>
        <w:t>Nach dem Einzug meldest du dich innerhalb von zwei Wochen bei der Meldebehörde an. Prüfe nach der Rückkehr deinen Kindergeldanspruch und kläre mit der Familienkasse, welcher Antrag und welche Nachweise erforderlich sind. Den aktuellen Monatsbetrag nennt die Familienkasse der Bundesagentur für Arbeit.</w:t>
      </w:r>
    </w:p>
    <w:p w14:paraId="0099E28F" w14:textId="77777777" w:rsidR="001F7233" w:rsidRDefault="00000000">
      <w:pPr>
        <w:spacing w:after="140"/>
      </w:pPr>
      <w:r>
        <w:t xml:space="preserve">Die Schulpflicht gilt für jedes Kind mit Wohnsitz in Deutschland. Der Stichtag und die Dauer stehen beim Bundesland. Hausunterricht ist meist nicht erlaubt. Die Schule stuft nach Alter und Zeugnissen ein. Ein Wechsel zum Schuljahresbeginn im Sommer ist ruhiger als mitten im Halbjahr. Ein ausländischer Schulabschluss ist nicht </w:t>
      </w:r>
      <w:r>
        <w:lastRenderedPageBreak/>
        <w:t>automatisch eine Hochschulzugangsberechtigung. Die Bewertung macht die Zentralstelle für ausländisches Bildungswesen. Den Weg für ein US-Diplom beschreibt auch der USA-Teil.</w:t>
      </w:r>
    </w:p>
    <w:p w14:paraId="2A954086" w14:textId="77777777" w:rsidR="001F7233" w:rsidRDefault="00000000">
      <w:pPr>
        <w:pStyle w:val="Heading3"/>
      </w:pPr>
      <w:r>
        <w:t>Kinder: Deutsch für eine mögliche Rückkehr erhalten</w:t>
      </w:r>
    </w:p>
    <w:p w14:paraId="3AD90D7A" w14:textId="77777777" w:rsidR="001F7233" w:rsidRDefault="00000000">
      <w:r>
        <w:t>Deutsch zu Hause zu sprechen ist wertvoll, reicht für den Wiedereinstieg in eine deutsche Schule aber nicht immer. Halte deshalb neben dem Gespräch auch Lesen und Schreiben altersgerecht in Übung: gemeinsam deutsche Bücher lesen, regelmäßig kurze Texte verfassen lassen und Rechtschreibung, Sachwortschatz und Mathematikbegriffe nicht ganz aus dem Alltag verschwinden lassen. Ein fester Wochenrhythmus ist hilfreicher als seltene große Lernblöcke. Wenn Eltern das fachlich oder zeitlich nicht leisten können, kommen eine Samstagsschule, Online-Unterricht oder eine deutschsprachige Lehrkraft infrage. Passe die Intensität dem Alter und einer realistischen Rückkehrabsicht an, ohne die neue Schulsprache abzuwerten.</w:t>
      </w:r>
    </w:p>
    <w:p w14:paraId="33E6DA86" w14:textId="77777777" w:rsidR="001F7233" w:rsidRDefault="00000000">
      <w:r>
        <w:t>Bewahre Zeugnisse, Fächer- und Kursbeschreibungen, Förderberichte, Arbeitsproben und falls nötig Prüfungsnachweise. Vor einer Rückkehr fragst du die passende Schule oder Schulbehörde des künftigen Bundeslands, wie Alter, bisherige Schulzeit und Sprachstand für die Einstufung berücksichtigt werden. Lehrpläne und Übergangsregeln sind nicht überall gleich. Eine deutsche Sprachschule oder ein DSD-Nachweis kann helfen, ersetzt aber nicht automatisch die Einstufung der deutschen Schule. Für Auslandsschulen und Prüfungsangebote siehe die ZfA und den jeweiligen Länderpfad.</w:t>
      </w:r>
    </w:p>
    <w:p w14:paraId="3A5A16B4" w14:textId="77777777" w:rsidR="001F7233" w:rsidRDefault="00000000">
      <w:pPr>
        <w:pStyle w:val="Heading3"/>
        <w:keepNext/>
        <w:spacing w:line="341" w:lineRule="auto"/>
        <w:jc w:val="center"/>
      </w:pPr>
      <w:r>
        <w:t>Rente, Bank, Zoll und Wiedereinstieg</w:t>
      </w:r>
    </w:p>
    <w:p w14:paraId="2D25D0EE" w14:textId="77777777" w:rsidR="001F7233" w:rsidRDefault="00000000">
      <w:pPr>
        <w:pStyle w:val="Heading4"/>
      </w:pPr>
      <w:r>
        <w:t>Rentenansprüche und Anschrift</w:t>
      </w:r>
    </w:p>
    <w:p w14:paraId="1ECD16A0" w14:textId="77777777" w:rsidR="001F7233" w:rsidRDefault="00000000">
      <w:pPr>
        <w:spacing w:after="140"/>
      </w:pPr>
      <w:r>
        <w:t xml:space="preserve">Deutsche Rentenanwartschaften bleiben. Jedes Land zahlt aus seinen eigenen Zeiten. Ob Zeiten aus dem Land, das du verlässt, für die deutsche Wartezeit zählen, sagt die Deutsche Rentenversicherung </w:t>
      </w:r>
      <w:r>
        <w:lastRenderedPageBreak/>
        <w:t xml:space="preserve">auf </w:t>
      </w:r>
      <w:hyperlink r:id="rId58">
        <w:r w:rsidR="001F7233">
          <w:rPr>
            <w:color w:val="0563C1"/>
            <w:u w:val="single"/>
          </w:rPr>
          <w:t>deutsche-rentenversicherung.de</w:t>
        </w:r>
      </w:hyperlink>
      <w:r>
        <w:t>. Freiwillige Beiträge sind möglich. Die Zahlung für ein Jahr muss bis zum 31. März des Folgejahres eingehen. Den Beitrag nennt die DRV. Melde die neue Anschrift, bevor die Post ins Leere läuft.</w:t>
      </w:r>
    </w:p>
    <w:p w14:paraId="3CE9BBA3" w14:textId="77777777" w:rsidR="001F7233" w:rsidRDefault="00000000">
      <w:pPr>
        <w:pStyle w:val="Heading4"/>
      </w:pPr>
      <w:r>
        <w:t>Bankkonto und Bonitätsunterlagen</w:t>
      </w:r>
    </w:p>
    <w:p w14:paraId="6DD028F0" w14:textId="77777777" w:rsidR="001F7233" w:rsidRDefault="00000000">
      <w:pPr>
        <w:spacing w:after="140"/>
      </w:pPr>
      <w:r>
        <w:t>Ein behaltenes deutsches Konto reaktivierst du: Adresse ändern, Freigabe über die App statt über eine alte Nummer. Wurde das Konto geschlossen, hast du nach dem Zahlungskontengesetz Anspruch auf ein Basiskonto. Die Schufa-Auskunft forderst du vor der Rückkehr selbst an. Vermieter wollen sie oft sehen, auch wenn der Eintrag nur dünn ist, weil du lange weg warst.</w:t>
      </w:r>
    </w:p>
    <w:p w14:paraId="65BF7F63" w14:textId="77777777" w:rsidR="001F7233" w:rsidRDefault="00000000">
      <w:pPr>
        <w:spacing w:after="140"/>
      </w:pPr>
      <w:r>
        <w:t xml:space="preserve">Übersiedlungsgut kann zollfrei eingeführt werden, wenn du mindestens zwölf Monate deinen gewöhnlichen Aufenthalt im Ausland hattest und die Sachen mindestens sechs Monate in deinem Besitz und Gebrauch waren. Neue, unbenutzte Ware zählt nicht. Die Befreiung beantragst du beim zuständigen Hauptzollamt. Die Gegenstände darfst du danach zwölf Monate nicht verkaufen, verleihen oder vermieten. Einzelheiten stehen auf </w:t>
      </w:r>
      <w:hyperlink r:id="rId59">
        <w:r w:rsidR="001F7233">
          <w:rPr>
            <w:color w:val="0563C1"/>
            <w:u w:val="single"/>
          </w:rPr>
          <w:t>zoll.de</w:t>
        </w:r>
      </w:hyperlink>
      <w:r>
        <w:t>.</w:t>
      </w:r>
    </w:p>
    <w:p w14:paraId="7E86F112" w14:textId="77777777" w:rsidR="001F7233" w:rsidRDefault="00000000">
      <w:pPr>
        <w:spacing w:after="140"/>
      </w:pPr>
      <w:r>
        <w:t>Wer in Deutschland eine Wohnung behält, die er benutzen will, kann wieder unbeschränkt steuerpflichtig sein (§ 8 AO), auch wenn der Lebensmittelpunkt noch im Ausland liegt. Kläre das, bevor du zwei Wohnsitze parallel laufen lässt.</w:t>
      </w:r>
    </w:p>
    <w:p w14:paraId="19DB4643" w14:textId="77777777" w:rsidR="001F7233" w:rsidRDefault="00000000">
      <w:r>
        <w:rPr>
          <w:b/>
        </w:rPr>
        <w:t xml:space="preserve">ACHTUNG: </w:t>
      </w:r>
    </w:p>
    <w:p w14:paraId="0C234299" w14:textId="77777777" w:rsidR="001F7233" w:rsidRDefault="00000000">
      <w:pPr>
        <w:pStyle w:val="Heading4"/>
      </w:pPr>
      <w:r>
        <w:t>Wiederankommen und umgekehrter Kulturschock</w:t>
      </w:r>
    </w:p>
    <w:p w14:paraId="3FBE9B48" w14:textId="77777777" w:rsidR="001F7233" w:rsidRDefault="00000000">
      <w:r>
        <w:t>• Der umgekehrte Kulturschock trifft viele härter als der erste, weil niemand erwartet, sich zu Hause fremd zu fühlen. Plane die ersten Wochen wie einen Umzug, nicht wie eine Heimkehr ohne Aufgaben.</w:t>
      </w:r>
    </w:p>
    <w:p w14:paraId="0E57FFBD" w14:textId="77777777" w:rsidR="001F7233" w:rsidRDefault="001F7233">
      <w:pPr>
        <w:spacing w:line="220" w:lineRule="exact"/>
      </w:pPr>
    </w:p>
    <w:p w14:paraId="60FA9C52" w14:textId="77777777" w:rsidR="001F7233" w:rsidRDefault="00000000">
      <w:pPr>
        <w:pStyle w:val="Heading3"/>
      </w:pPr>
      <w:r>
        <w:t>Plan B vor dem Abflug prüfen</w:t>
      </w:r>
    </w:p>
    <w:p w14:paraId="094BEB81" w14:textId="77777777" w:rsidR="001F7233" w:rsidRDefault="00000000">
      <w:r>
        <w:lastRenderedPageBreak/>
        <w:t>Wenn du in zwei Jahren nach Deutschland zurückmüsstest: Welche Geld-, Schul-, Versicherungs- und Wohnverpflichtungen laufen weiter? Notiere jetzt Rücklage, Ansprechpartner und Fristen. Plane die Rückkehr so, dass sie ohne Notverkauf und ohne verlorene Unterlagen möglich bleibt.</w:t>
      </w:r>
    </w:p>
    <w:p w14:paraId="40967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7154E9C" w14:textId="77777777" w:rsidR="001F7233" w:rsidRDefault="00000000">
      <w:pPr>
        <w:spacing w:after="140"/>
      </w:pPr>
      <w:r>
        <w:t>Kläre die Krankenkasse und die Rentenversicherung, bevor du das Flugdatum festlegst. Richte den Schulwechsel auf den Sommer, wenn Kinder mitkommen. Lass Zeugnisse übersetzen, bevor du ausziehst.</w:t>
      </w:r>
    </w:p>
    <w:p w14:paraId="37759D2D" w14:textId="77777777" w:rsidR="001F7233" w:rsidRDefault="00000000">
      <w:r>
        <w:t>• Krankenkasse gefragt: Auffangversicherung, freiwillige Mitgliedschaft oder Basistarif, je nach Gehalt, Alter und letzter Versicherung</w:t>
      </w:r>
    </w:p>
    <w:p w14:paraId="361B8D68" w14:textId="77777777" w:rsidR="001F7233" w:rsidRDefault="00000000">
      <w:r>
        <w:t>• Anwartschaft nur abgeschlossen, wenn die eigene Kasse sie anbietet und den Beitrag nennt</w:t>
      </w:r>
    </w:p>
    <w:p w14:paraId="5A0CA240" w14:textId="77777777" w:rsidR="001F7233" w:rsidRDefault="00000000">
      <w:r>
        <w:t>• Schule oder Kita kontaktiert, Zeugnisse übersetzt</w:t>
      </w:r>
    </w:p>
    <w:p w14:paraId="31B9586D" w14:textId="77777777" w:rsidR="001F7233" w:rsidRDefault="00000000">
      <w:r>
        <w:t>• Schufa-Auskunft angefordert, deutsches Konto geprüft</w:t>
      </w:r>
    </w:p>
    <w:p w14:paraId="2E822C02" w14:textId="77777777" w:rsidR="001F7233" w:rsidRDefault="00000000">
      <w:r>
        <w:t xml:space="preserve">• Übersiedlungsgut nach den Regeln auf </w:t>
      </w:r>
      <w:hyperlink r:id="rId60">
        <w:r w:rsidR="001F7233">
          <w:rPr>
            <w:color w:val="0563C1"/>
            <w:u w:val="single"/>
          </w:rPr>
          <w:t>zoll.de</w:t>
        </w:r>
      </w:hyperlink>
      <w:r>
        <w:t xml:space="preserve"> vorbereitet</w:t>
      </w:r>
    </w:p>
    <w:p w14:paraId="52DF1D78" w14:textId="77777777" w:rsidR="001F7233" w:rsidRDefault="00000000">
      <w:r>
        <w:t>• Anmeldung innerhalb von zwei Wochen nach dem Einzug, danach Kindergeld neu beantragt</w:t>
      </w:r>
    </w:p>
    <w:p w14:paraId="547A6F24" w14:textId="77777777" w:rsidR="001F7233" w:rsidRDefault="001F7233">
      <w:pPr>
        <w:spacing w:line="220" w:lineRule="exact"/>
      </w:pPr>
    </w:p>
    <w:p w14:paraId="78069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0C7E2A5" w14:textId="77777777" w:rsidR="001F7233" w:rsidRDefault="00000000">
      <w:pPr>
        <w:pStyle w:val="ListParagraph"/>
        <w:numPr>
          <w:ilvl w:val="0"/>
          <w:numId w:val="1"/>
        </w:numPr>
        <w:spacing w:after="60"/>
      </w:pPr>
      <w:r>
        <w:t xml:space="preserve">Gesetze im Internet, SGB V: </w:t>
      </w:r>
      <w:hyperlink r:id="rId61">
        <w:r w:rsidR="001F7233">
          <w:rPr>
            <w:color w:val="0563C1"/>
            <w:u w:val="single"/>
          </w:rPr>
          <w:t>gesetze-im-internet.de</w:t>
        </w:r>
      </w:hyperlink>
    </w:p>
    <w:p w14:paraId="7F4EA8FB" w14:textId="77777777" w:rsidR="001F7233" w:rsidRDefault="00000000">
      <w:pPr>
        <w:pStyle w:val="ListParagraph"/>
        <w:numPr>
          <w:ilvl w:val="0"/>
          <w:numId w:val="1"/>
        </w:numPr>
        <w:spacing w:after="60"/>
      </w:pPr>
      <w:r>
        <w:t xml:space="preserve">GKV-Spitzenverband, Rechengrößen: </w:t>
      </w:r>
      <w:hyperlink r:id="rId62">
        <w:r w:rsidR="001F7233">
          <w:rPr>
            <w:color w:val="0563C1"/>
            <w:u w:val="single"/>
          </w:rPr>
          <w:t>gkv-spitzenverband.de</w:t>
        </w:r>
      </w:hyperlink>
    </w:p>
    <w:p w14:paraId="07B5AB9C" w14:textId="77777777" w:rsidR="001F7233" w:rsidRDefault="00000000">
      <w:pPr>
        <w:pStyle w:val="ListParagraph"/>
        <w:numPr>
          <w:ilvl w:val="0"/>
          <w:numId w:val="1"/>
        </w:numPr>
        <w:spacing w:after="60"/>
      </w:pPr>
      <w:r>
        <w:t xml:space="preserve">Deutsche Rentenversicherung: </w:t>
      </w:r>
      <w:hyperlink r:id="rId63">
        <w:r w:rsidR="001F7233">
          <w:rPr>
            <w:color w:val="0563C1"/>
            <w:u w:val="single"/>
          </w:rPr>
          <w:t>deutsche-rentenversicherung.de</w:t>
        </w:r>
      </w:hyperlink>
    </w:p>
    <w:p w14:paraId="5F852E0D" w14:textId="77777777" w:rsidR="001F7233" w:rsidRDefault="00000000">
      <w:pPr>
        <w:pStyle w:val="ListParagraph"/>
        <w:numPr>
          <w:ilvl w:val="0"/>
          <w:numId w:val="1"/>
        </w:numPr>
        <w:spacing w:after="60"/>
      </w:pPr>
      <w:r>
        <w:t xml:space="preserve">Zoll, Übersiedlungsgut: </w:t>
      </w:r>
      <w:hyperlink r:id="rId64">
        <w:r w:rsidR="001F7233">
          <w:rPr>
            <w:color w:val="0563C1"/>
            <w:u w:val="single"/>
          </w:rPr>
          <w:t>zoll.de</w:t>
        </w:r>
      </w:hyperlink>
    </w:p>
    <w:p w14:paraId="13449346" w14:textId="77777777" w:rsidR="001F7233" w:rsidRDefault="00000000">
      <w:pPr>
        <w:pStyle w:val="ListParagraph"/>
        <w:numPr>
          <w:ilvl w:val="0"/>
          <w:numId w:val="1"/>
        </w:numPr>
        <w:spacing w:after="60"/>
      </w:pPr>
      <w:r>
        <w:t xml:space="preserve">Familienkasse: </w:t>
      </w:r>
      <w:hyperlink r:id="rId65">
        <w:r w:rsidR="001F7233">
          <w:rPr>
            <w:color w:val="0563C1"/>
            <w:u w:val="single"/>
          </w:rPr>
          <w:t>arbeitsagentur.de</w:t>
        </w:r>
      </w:hyperlink>
    </w:p>
    <w:p w14:paraId="48D2A325" w14:textId="77777777" w:rsidR="001F7233" w:rsidRDefault="001F7233">
      <w:pPr>
        <w:spacing w:line="120" w:lineRule="exact"/>
      </w:pPr>
    </w:p>
    <w:p w14:paraId="53C99D8E" w14:textId="77777777" w:rsidR="001F7233" w:rsidRDefault="00000000">
      <w:r>
        <w:t>• Quellen- und Datenstand: September 2026; Redaktionsschluss: Oktober 2026. Grenzen und Beiträge ändern sich. Die genannte Stelle gilt, nicht eine Zahl aus einem älteren Ausdruck.</w:t>
      </w:r>
    </w:p>
    <w:p w14:paraId="78AE25A0" w14:textId="77777777" w:rsidR="001F7233" w:rsidRDefault="001F7233">
      <w:pPr>
        <w:spacing w:line="220" w:lineRule="exact"/>
      </w:pPr>
    </w:p>
    <w:p w14:paraId="4BE6718C" w14:textId="77777777" w:rsidR="001F7233" w:rsidRDefault="00000000">
      <w:r>
        <w:br w:type="page"/>
      </w:r>
    </w:p>
    <w:p w14:paraId="629EDC9A" w14:textId="77777777" w:rsidR="001F7233" w:rsidRDefault="00000000">
      <w:pPr>
        <w:pStyle w:val="Heading1"/>
        <w:keepNext/>
        <w:spacing w:line="341" w:lineRule="auto"/>
        <w:jc w:val="center"/>
      </w:pPr>
      <w:bookmarkStart w:id="17" w:name="PathUSA"/>
      <w:r>
        <w:rPr>
          <w:rFonts w:ascii="Amazon Ember" w:eastAsia="Amazon Ember" w:hAnsi="Amazon Ember" w:cs="Amazon Ember"/>
          <w:color w:val="0000FF"/>
        </w:rPr>
        <w:lastRenderedPageBreak/>
        <w:t>TEIL I — Die Entscheidung</w:t>
      </w:r>
      <w:bookmarkEnd w:id="17"/>
    </w:p>
    <w:p w14:paraId="0381EA7F" w14:textId="77777777" w:rsidR="001F7233" w:rsidRDefault="00000000">
      <w:pPr>
        <w:pStyle w:val="Heading3"/>
      </w:pPr>
      <w:r>
        <w:t>USA bereits gewählt? Spring direkt zur Visumroute</w:t>
      </w:r>
    </w:p>
    <w:p w14:paraId="2A0DC8DA" w14:textId="77777777" w:rsidR="001F7233" w:rsidRDefault="00000000">
      <w:pPr>
        <w:spacing w:after="45"/>
        <w:ind w:left="300"/>
      </w:pPr>
      <w:r>
        <w:t xml:space="preserve">Du kannst die Ländervergleiche in Kapitel 1 bis 3 überspringen. Beginne mit </w:t>
      </w:r>
      <w:hyperlink w:anchor="k4">
        <w:r w:rsidR="001F7233">
          <w:rPr>
            <w:color w:val="0563C1"/>
            <w:u w:val="single"/>
          </w:rPr>
          <w:t>den US-Visumwegen</w:t>
        </w:r>
      </w:hyperlink>
      <w:r>
        <w:t>. Prüfe nur den passenden</w:t>
      </w:r>
      <w:hyperlink w:anchor="k5">
        <w:r w:rsidR="001F7233">
          <w:rPr>
            <w:color w:val="0563C1"/>
            <w:u w:val="single"/>
          </w:rPr>
          <w:t xml:space="preserve"> H-1B-Weg</w:t>
        </w:r>
      </w:hyperlink>
      <w:r>
        <w:t xml:space="preserve">, </w:t>
      </w:r>
      <w:hyperlink w:anchor="k6">
        <w:r w:rsidR="001F7233">
          <w:rPr>
            <w:color w:val="0563C1"/>
            <w:u w:val="single"/>
          </w:rPr>
          <w:t>Green-Card-Weg</w:t>
        </w:r>
      </w:hyperlink>
      <w:r>
        <w:t xml:space="preserve">, </w:t>
      </w:r>
      <w:hyperlink w:anchor="k8">
        <w:r w:rsidR="001F7233">
          <w:rPr>
            <w:color w:val="0563C1"/>
            <w:u w:val="single"/>
          </w:rPr>
          <w:t>Studienweg</w:t>
        </w:r>
      </w:hyperlink>
      <w:r>
        <w:t xml:space="preserve"> oder </w:t>
      </w:r>
      <w:hyperlink w:anchor="k10">
        <w:r w:rsidR="001F7233">
          <w:rPr>
            <w:color w:val="0563C1"/>
            <w:u w:val="single"/>
          </w:rPr>
          <w:t>Familienweg</w:t>
        </w:r>
      </w:hyperlink>
      <w:r>
        <w:t xml:space="preserve">; danach folgt </w:t>
      </w:r>
      <w:hyperlink w:anchor="k11">
        <w:r w:rsidR="001F7233">
          <w:rPr>
            <w:color w:val="0563C1"/>
            <w:u w:val="single"/>
          </w:rPr>
          <w:t>Antrag, Konsulat und Kosten</w:t>
        </w:r>
      </w:hyperlink>
      <w:r>
        <w:t>.</w:t>
      </w:r>
    </w:p>
    <w:p w14:paraId="6DDF2E4E" w14:textId="77777777" w:rsidR="001F7233" w:rsidRDefault="00000000">
      <w:pPr>
        <w:spacing w:after="45"/>
        <w:ind w:left="300"/>
      </w:pPr>
      <w:r>
        <w:t>Vor dem Umzug: </w:t>
      </w:r>
      <w:hyperlink w:anchor="k15">
        <w:r w:rsidR="001F7233">
          <w:rPr>
            <w:color w:val="0563C1"/>
            <w:u w:val="single"/>
          </w:rPr>
          <w:t>Masterplan </w:t>
        </w:r>
      </w:hyperlink>
      <w:r>
        <w:t>→ </w:t>
      </w:r>
      <w:hyperlink w:anchor="k19">
        <w:r w:rsidR="001F7233">
          <w:rPr>
            <w:color w:val="0563C1"/>
            <w:u w:val="single"/>
          </w:rPr>
          <w:t>deutsche Unterlagen </w:t>
        </w:r>
      </w:hyperlink>
      <w:r>
        <w:t>→ </w:t>
      </w:r>
      <w:hyperlink w:anchor="k20">
        <w:r w:rsidR="001F7233">
          <w:rPr>
            <w:color w:val="0563C1"/>
            <w:u w:val="single"/>
          </w:rPr>
          <w:t>Umzug </w:t>
        </w:r>
      </w:hyperlink>
      <w:r>
        <w:t>→ </w:t>
      </w:r>
      <w:hyperlink w:anchor="k23">
        <w:r w:rsidR="001F7233">
          <w:rPr>
            <w:color w:val="0563C1"/>
            <w:u w:val="single"/>
          </w:rPr>
          <w:t>Einreise</w:t>
        </w:r>
      </w:hyperlink>
      <w:r>
        <w:t>. Danach: </w:t>
      </w:r>
      <w:hyperlink w:anchor="k24">
        <w:r w:rsidR="001F7233">
          <w:rPr>
            <w:color w:val="0563C1"/>
            <w:u w:val="single"/>
          </w:rPr>
          <w:t>SSN/ITIN</w:t>
        </w:r>
      </w:hyperlink>
      <w:r>
        <w:t>, </w:t>
      </w:r>
      <w:hyperlink w:anchor="k26">
        <w:r w:rsidR="001F7233">
          <w:rPr>
            <w:color w:val="0563C1"/>
            <w:u w:val="single"/>
          </w:rPr>
          <w:t>Gesundheit</w:t>
        </w:r>
      </w:hyperlink>
      <w:r>
        <w:t>, </w:t>
      </w:r>
      <w:hyperlink w:anchor="k13">
        <w:r w:rsidR="001F7233">
          <w:rPr>
            <w:color w:val="0563C1"/>
            <w:u w:val="single"/>
          </w:rPr>
          <w:t>Wohnen </w:t>
        </w:r>
      </w:hyperlink>
      <w:r>
        <w:t>und </w:t>
      </w:r>
      <w:hyperlink w:anchor="k29">
        <w:r w:rsidR="001F7233">
          <w:rPr>
            <w:color w:val="0563C1"/>
            <w:u w:val="single"/>
          </w:rPr>
          <w:t>Arbeiten</w:t>
        </w:r>
      </w:hyperlink>
      <w:r>
        <w:t>. Für Rückkehrfragen öffne den </w:t>
      </w:r>
      <w:hyperlink w:anchor="t0004">
        <w:r w:rsidR="001F7233">
          <w:rPr>
            <w:color w:val="0563C1"/>
            <w:u w:val="single"/>
          </w:rPr>
          <w:t>Rückkehrpfad</w:t>
        </w:r>
      </w:hyperlink>
      <w:r>
        <w:t>.</w:t>
      </w:r>
    </w:p>
    <w:p w14:paraId="260061BF" w14:textId="77777777" w:rsidR="001F7233" w:rsidRDefault="00000000">
      <w:pPr>
        <w:spacing w:after="160" w:line="300" w:lineRule="auto"/>
        <w:ind w:left="400" w:right="400"/>
        <w:jc w:val="center"/>
      </w:pPr>
      <w:r>
        <w:rPr>
          <w:i/>
          <w:iCs/>
          <w:sz w:val="24"/>
          <w:szCs w:val="24"/>
        </w:rPr>
        <w:t>Bevor du Kisten packst, rechnest du. Dieser Teil zeigt beide Seiten der Medaille, die häufigsten Fallen und einen Weg, mit Zahlen statt Bauchgefühl zu entscheiden.</w:t>
      </w:r>
    </w:p>
    <w:p w14:paraId="77B29627" w14:textId="77777777" w:rsidR="001F7233" w:rsidRDefault="00000000">
      <w:r>
        <w:br w:type="page"/>
      </w:r>
    </w:p>
    <w:p w14:paraId="19375819" w14:textId="77777777" w:rsidR="001F7233" w:rsidRDefault="00000000">
      <w:pPr>
        <w:pStyle w:val="Heading2"/>
        <w:keepNext/>
        <w:spacing w:line="341" w:lineRule="auto"/>
        <w:jc w:val="center"/>
      </w:pPr>
      <w:bookmarkStart w:id="18" w:name="k1"/>
      <w:r>
        <w:rPr>
          <w:rFonts w:ascii="Amazon Ember" w:eastAsia="Amazon Ember" w:hAnsi="Amazon Ember" w:cs="Amazon Ember"/>
          <w:color w:val="0000FF"/>
          <w:sz w:val="36"/>
          <w:szCs w:val="36"/>
        </w:rPr>
        <w:lastRenderedPageBreak/>
        <w:t>Kapitel 1: Die ehrliche Bilanz: Was für die USA spricht und was dagegen</w:t>
      </w:r>
      <w:bookmarkEnd w:id="18"/>
    </w:p>
    <w:p w14:paraId="7B3B695B" w14:textId="77777777" w:rsidR="001F7233" w:rsidRDefault="00000000">
      <w:pPr>
        <w:spacing w:after="140"/>
      </w:pPr>
      <w:r>
        <w:t>Auf dem Küchentisch liegt ein Offer Letter aus Michigan, daneben ein Blatt Papier mit zwei Spalten: dafür, dagegen. Das Jahresgehalt sieht auf den ersten Blick nach dem Doppelten des deutschen Gehalts aus. Dann wächst die zweite Spalte: Krankenversicherung, Kündigungsschutz, Urlaubstage, die Entfernung zu den Eltern. Genau diese Rechnung macht dieses Kapitel, Thema für Thema, ohne Werbesprache und ohne Abschreckung.</w:t>
      </w:r>
    </w:p>
    <w:p w14:paraId="3145C3B1" w14:textId="77777777" w:rsidR="001F7233" w:rsidRDefault="00000000">
      <w:r>
        <w:rPr>
          <w:b/>
        </w:rPr>
        <w:t xml:space="preserve">KURZ GESAGT: </w:t>
      </w:r>
    </w:p>
    <w:p w14:paraId="5C712C0D" w14:textId="77777777" w:rsidR="001F7233" w:rsidRDefault="00000000">
      <w:r>
        <w:t>• Die USA bieten oft deutlich höhere Brutto- und Nettogehälter, aber ohne das deutsche soziale Netz: kein Kündigungsschutz, kaum gesetzlicher Urlaub, Krankenversicherung hängt am Job.</w:t>
      </w:r>
    </w:p>
    <w:p w14:paraId="7CB3C4E3" w14:textId="77777777" w:rsidR="001F7233" w:rsidRDefault="00000000">
      <w:r>
        <w:t>• Rechne immer netto nach Steuern, Krankenversicherungsprämie und Wohnkosten – nicht das Bruttogehalt vergleichen (</w:t>
      </w:r>
      <w:hyperlink w:anchor="k3">
        <w:r w:rsidR="001F7233">
          <w:rPr>
            <w:color w:val="0563C1"/>
            <w:u w:val="single"/>
          </w:rPr>
          <w:t>Kapitel 3</w:t>
        </w:r>
      </w:hyperlink>
      <w:r>
        <w:t>).</w:t>
      </w:r>
    </w:p>
    <w:p w14:paraId="17953453" w14:textId="77777777" w:rsidR="001F7233" w:rsidRDefault="00000000">
      <w:r>
        <w:t>• Bei einem Arbeitgeber-Visum hängen Einkommen, Krankenversicherung und Aufenthaltsstatus am selben Arbeitgeber: Ein Jobverlust trifft mehrere Fristen gleichzeitig.</w:t>
      </w:r>
    </w:p>
    <w:p w14:paraId="5205115E" w14:textId="77777777" w:rsidR="001F7233" w:rsidRDefault="00000000">
      <w:r>
        <w:t>• Am stärksten vermissen Zugezogene die Verlässlichkeit des deutschen Sozialstaats sowie echte, tief gewachsene Freundschaften und die Nähe zur Familie.</w:t>
      </w:r>
    </w:p>
    <w:p w14:paraId="27782C59" w14:textId="77777777" w:rsidR="001F7233" w:rsidRDefault="00000000">
      <w:r>
        <w:t>• Am meisten profitieren Fachkräfte in gefragten Berufen mit Arbeitgeber-Sponsoring. Wer vor allem Sicherheit und ein enges Familiennetz braucht, sollte genauer rechnen.</w:t>
      </w:r>
    </w:p>
    <w:p w14:paraId="484A2D12" w14:textId="77777777" w:rsidR="001F7233" w:rsidRDefault="00000000">
      <w:r>
        <w:t>• Der amerikanische Traum ist real, aber selektiv: mehr Chance auf Aufstieg, aber auch mehr eigenes Risiko.</w:t>
      </w:r>
    </w:p>
    <w:p w14:paraId="60AFE41A" w14:textId="77777777" w:rsidR="001F7233" w:rsidRDefault="001F7233">
      <w:pPr>
        <w:spacing w:line="220" w:lineRule="exact"/>
      </w:pPr>
    </w:p>
    <w:p w14:paraId="56CEAE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Karriere und Einkommen</w:t>
      </w:r>
    </w:p>
    <w:p w14:paraId="51FA3AE4" w14:textId="77777777" w:rsidR="001F7233" w:rsidRDefault="00000000">
      <w:pPr>
        <w:spacing w:after="140"/>
      </w:pPr>
      <w:r>
        <w:t>Der erste Blick gilt dem Gehalt, und die Bilanz fällt meist positiv aus. US-Gehälter liegen für Fachkräfte oft merklich über deutschem Niveau. Bonus, Aktienzuteilungen sowie der Arbeitgeberzuschuss zur Altersvorsorge (401(k)-Match) heben die Gesamtvergütung häufig um ein Viertel bis ein Drittel über das Grundgehalt. Ein Rechenbeispiel aus Kapitel </w:t>
      </w:r>
      <w:hyperlink w:anchor="k29">
        <w:r w:rsidR="001F7233">
          <w:t>29</w:t>
        </w:r>
      </w:hyperlink>
      <w:r>
        <w:t xml:space="preserve"> kommt bei 150.000 $ Grundgehalt auf ein Gesamtpaket von rund 211.000 $. Ein Arbeitgeberwechsel bringt ohne Tarifstufen oft einen spürbaren Gehaltssprung. Beförderung und Verhandlung liegen stärker in deiner eigenen Hand als in Deutschland. Wer in Deutschland gelernt hat, dass man über Geld lieber schweigt als verhandelt, muss hier umdenken: Wer nicht fragt, bekommt selten mehr. Zurückhaltung gilt hier nicht als Bescheidenheit, sondern als Desinteresse.</w:t>
      </w:r>
    </w:p>
    <w:p w14:paraId="07B22B0D" w14:textId="77777777" w:rsidR="001F7233" w:rsidRDefault="00000000">
      <w:pPr>
        <w:spacing w:after="140"/>
      </w:pPr>
      <w:r>
        <w:t>Auch außerhalb der Tech-Branche gilt das: Ein Maschinenbauingenieur verdient bundesweit im Median 104.110 $ (Kapitel </w:t>
      </w:r>
      <w:hyperlink w:anchor="k12">
        <w:r w:rsidR="001F7233">
          <w:t>12</w:t>
        </w:r>
      </w:hyperlink>
      <w:r>
        <w:t>). Das ist spürbar mehr als das deutsche Pendant, wenn auch regional stark schwankend.</w:t>
      </w:r>
    </w:p>
    <w:p w14:paraId="592A4C9D" w14:textId="77777777" w:rsidR="001F7233" w:rsidRDefault="00000000">
      <w:pPr>
        <w:spacing w:after="140"/>
      </w:pPr>
      <w:r>
        <w:t>Die Kehrseite: Ein 13. Gehalt kennt das System nicht, Erfolg musst du selbst sichtbar machen (Kapitel </w:t>
      </w:r>
      <w:hyperlink w:anchor="k29">
        <w:r w:rsidR="001F7233">
          <w:t>29</w:t>
        </w:r>
      </w:hyperlink>
      <w:r>
        <w:t>). 2026 ist der Tech-Arbeitsmarkt zudem so hart wie lange nicht: Von Januar bis August 2026 kündigten US-Unternehmen laut einer Beratung 155.126 Tech-Stellen an, 52 % mehr als im Vorjahr (Kapitel </w:t>
      </w:r>
      <w:hyperlink w:anchor="k12">
        <w:r w:rsidR="001F7233">
          <w:t>12</w:t>
        </w:r>
      </w:hyperlink>
      <w:r>
        <w:t>). Ein Arbeitgeber-Visum bindet zudem Einkommen und Aufenthalt an denselben Arbeitgeber (Kapitel </w:t>
      </w:r>
      <w:hyperlink w:anchor="k5">
        <w:r w:rsidR="001F7233">
          <w:t>5</w:t>
        </w:r>
      </w:hyperlink>
      <w:r>
        <w:t>, Kapitel </w:t>
      </w:r>
      <w:hyperlink w:anchor="k30">
        <w:r w:rsidR="001F7233">
          <w:t>30</w:t>
        </w:r>
      </w:hyperlink>
      <w:r>
        <w:t>).</w:t>
      </w:r>
    </w:p>
    <w:p w14:paraId="46CA1A65" w14:textId="77777777" w:rsidR="001F7233" w:rsidRDefault="00000000">
      <w:r>
        <w:rPr>
          <w:b/>
        </w:rPr>
        <w:t xml:space="preserve">SPARTIPP: </w:t>
      </w:r>
    </w:p>
    <w:p w14:paraId="52637C17" w14:textId="77777777" w:rsidR="001F7233" w:rsidRDefault="00000000">
      <w:r>
        <w:t xml:space="preserve">• Verhandle das Gesamtpaket, nicht nur das Grundgehalt. Sign-on-Bonus, Aktienzuteilungen und der Arbeitgeberzuschuss zur Altersvorsorge sind oft beweglicher als die Grundgehaltszahl und machen im Rechenbeispiel aus </w:t>
      </w:r>
      <w:hyperlink w:anchor="k29">
        <w:r w:rsidR="001F7233">
          <w:rPr>
            <w:color w:val="0563C1"/>
            <w:u w:val="single"/>
          </w:rPr>
          <w:t>Kapitel 29</w:t>
        </w:r>
      </w:hyperlink>
      <w:r>
        <w:t xml:space="preserve"> einen erheblichen Teil der Gesamtvergütung aus.</w:t>
      </w:r>
    </w:p>
    <w:p w14:paraId="4D9C71AB" w14:textId="77777777" w:rsidR="001F7233" w:rsidRDefault="001F7233">
      <w:pPr>
        <w:spacing w:line="220" w:lineRule="exact"/>
      </w:pPr>
    </w:p>
    <w:p w14:paraId="05C19BDE" w14:textId="77777777" w:rsidR="001F7233" w:rsidRDefault="00000000">
      <w:r>
        <w:rPr>
          <w:b/>
        </w:rPr>
        <w:lastRenderedPageBreak/>
        <w:t>Höhere Grund- und Gesamtgehälter, Verhandlungsspielraum</w:t>
      </w:r>
    </w:p>
    <w:p w14:paraId="6F8558F4" w14:textId="77777777" w:rsidR="001F7233" w:rsidRDefault="00000000">
      <w:r>
        <w:rPr>
          <w:b/>
        </w:rPr>
        <w:t xml:space="preserve">Minus: </w:t>
      </w:r>
      <w:r>
        <w:t>Kein 13. Gehalt, kein Tarifsystem</w:t>
      </w:r>
    </w:p>
    <w:p w14:paraId="69B28984" w14:textId="77777777" w:rsidR="001F7233" w:rsidRDefault="00000000">
      <w:r>
        <w:rPr>
          <w:b/>
        </w:rPr>
        <w:t>Schneller Aufstieg und Jobwechsel ohne Sozialauswahl</w:t>
      </w:r>
    </w:p>
    <w:p w14:paraId="015276FB" w14:textId="77777777" w:rsidR="001F7233" w:rsidRDefault="00000000">
      <w:r>
        <w:rPr>
          <w:b/>
        </w:rPr>
        <w:t xml:space="preserve">Minus: </w:t>
      </w:r>
      <w:r>
        <w:t>Gehalt und Aufenthalt hängen am selben Arbeitgeber</w:t>
      </w:r>
    </w:p>
    <w:p w14:paraId="53AB2F7C" w14:textId="77777777" w:rsidR="001F7233" w:rsidRDefault="00000000">
      <w:r>
        <w:rPr>
          <w:b/>
        </w:rPr>
        <w:t>Bonus, Aktien und 401(k)-Match heben das Paket an</w:t>
      </w:r>
    </w:p>
    <w:p w14:paraId="694979A5" w14:textId="77777777" w:rsidR="001F7233" w:rsidRDefault="00000000">
      <w:r>
        <w:rPr>
          <w:b/>
        </w:rPr>
        <w:t xml:space="preserve">Minus: </w:t>
      </w:r>
      <w:r>
        <w:t>2026 härterer Arbeitsmarkt, besonders in der Tech-Branche</w:t>
      </w:r>
    </w:p>
    <w:p w14:paraId="42CC8CD4" w14:textId="77777777" w:rsidR="001F7233" w:rsidRDefault="001F7233">
      <w:pPr>
        <w:spacing w:line="180" w:lineRule="exact"/>
      </w:pPr>
    </w:p>
    <w:p w14:paraId="3C436B58" w14:textId="77777777" w:rsidR="001F7233" w:rsidRDefault="00000000">
      <w:pPr>
        <w:spacing w:after="140"/>
      </w:pPr>
      <w:r>
        <w:t>Details und Rechenmodell: Kapitel </w:t>
      </w:r>
      <w:hyperlink w:anchor="k3">
        <w:r w:rsidR="001F7233">
          <w:t>3</w:t>
        </w:r>
      </w:hyperlink>
      <w:r>
        <w:t xml:space="preserve">, </w:t>
      </w:r>
      <w:hyperlink w:anchor="k12">
        <w:r w:rsidR="001F7233">
          <w:t>12</w:t>
        </w:r>
      </w:hyperlink>
      <w:r>
        <w:t xml:space="preserve"> und </w:t>
      </w:r>
      <w:hyperlink w:anchor="k29">
        <w:r w:rsidR="001F7233">
          <w:t>29</w:t>
        </w:r>
      </w:hyperlink>
      <w:r>
        <w:t>.</w:t>
      </w:r>
    </w:p>
    <w:p w14:paraId="0179F0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Abgaben</w:t>
      </w:r>
    </w:p>
    <w:p w14:paraId="3DF91275" w14:textId="77777777" w:rsidR="001F7233" w:rsidRDefault="00000000">
      <w:pPr>
        <w:spacing w:after="140"/>
      </w:pPr>
      <w:r>
        <w:t>Verbreiteter Irrtum: Niedrige Einstiegssteuersätze in den USA bedeuten automatisch mehr Netto als in Deutschland. Tatsächlich fehlt in dieser Rechnung, was in Deutschland längst über die Sozialversicherung mitläuft. In den USA kommt das separat aus der eigenen Tasche – allen voran die Krankenversicherung.</w:t>
      </w:r>
    </w:p>
    <w:p w14:paraId="1745DFE9" w14:textId="77777777" w:rsidR="001F7233" w:rsidRDefault="00000000">
      <w:pPr>
        <w:spacing w:after="140"/>
      </w:pPr>
      <w:r>
        <w:t>Die US-Einkommensteuer beginnt niedriger, mit hohem Standardabzug: 2026 sind das 16.100 $ für Einzelpersonen und 32.200 $ für Ehepaare (Kapitel </w:t>
      </w:r>
      <w:hyperlink w:anchor="k28">
        <w:r w:rsidR="001F7233">
          <w:t>28</w:t>
        </w:r>
      </w:hyperlink>
      <w:r>
        <w:t>). Von 120.000 $ Bruttoeinkommen bleiben einer Einzelperson je nach Bundesstaat etwa 71 bis 78 % übrig. Neun Bundesstaaten, darunter Texas, Florida und Tennessee, erheben keine allgemeine Einkommensteuer auf Lohneinkommen. Washington besteuert bestimmte hohe Kapitalgewinne separat. Zum Vergleich (grobe eigene Rechnung, Kapitel </w:t>
      </w:r>
      <w:hyperlink w:anchor="k28">
        <w:r w:rsidR="001F7233">
          <w:t>28</w:t>
        </w:r>
      </w:hyperlink>
      <w:r>
        <w:t>): In Deutschland bleiben bei entsprechendem Bruttoeinkommen rund 58 % netto. Darin sind allerdings Kranken-, Pflege- und Arbeitslosenversicherung schon enthalten, während du sie in den USA zusätzlich zahlst.</w:t>
      </w:r>
    </w:p>
    <w:p w14:paraId="6EAB9E92" w14:textId="77777777" w:rsidR="001F7233" w:rsidRDefault="00000000">
      <w:pPr>
        <w:spacing w:after="140"/>
      </w:pPr>
      <w:r>
        <w:t>Die Fallen stecken im Kleingedruckten: Du veranlagst dich selbst, ohne Steuerbescheid. Sobald du steuerlich ansässig bist, schuldest du Steuern auf dein weltweites Einkommen und musst deutsche Konten und Vermögen bei US-Behörden melden (FBAR, Form 8938). Ein Versäumnis kostet bis in den sechsstelligen Bereich (Kapitel </w:t>
      </w:r>
      <w:hyperlink w:anchor="k28">
        <w:r w:rsidR="001F7233">
          <w:t>28</w:t>
        </w:r>
      </w:hyperlink>
      <w:r>
        <w:t>).</w:t>
      </w:r>
    </w:p>
    <w:p w14:paraId="48EF3855" w14:textId="77777777" w:rsidR="001F7233" w:rsidRDefault="00000000">
      <w:r>
        <w:rPr>
          <w:b/>
        </w:rPr>
        <w:lastRenderedPageBreak/>
        <w:t xml:space="preserve">ACHTUNG: </w:t>
      </w:r>
    </w:p>
    <w:p w14:paraId="1C50E0EF" w14:textId="77777777" w:rsidR="001F7233" w:rsidRDefault="00000000">
      <w:r>
        <w:t>• Vergleiche nie Bruttogehälter über den Atlantik. Erst wenn du Steuern, Krankenversicherungsprämie, Selbstbehalt und die realen Wohnkosten am Zielort abziehst, siehst du, ob ein US-Angebot wirklich mehr Netto bringt als der deutsche Job (</w:t>
      </w:r>
      <w:hyperlink w:anchor="k3">
        <w:r w:rsidR="001F7233">
          <w:rPr>
            <w:color w:val="0563C1"/>
            <w:u w:val="single"/>
          </w:rPr>
          <w:t>Kapitel 3</w:t>
        </w:r>
      </w:hyperlink>
      <w:r>
        <w:t xml:space="preserve">, </w:t>
      </w:r>
      <w:hyperlink w:anchor="k28">
        <w:r w:rsidR="001F7233">
          <w:rPr>
            <w:color w:val="0563C1"/>
            <w:u w:val="single"/>
          </w:rPr>
          <w:t>Kapitel 28</w:t>
        </w:r>
      </w:hyperlink>
      <w:r>
        <w:t>).</w:t>
      </w:r>
    </w:p>
    <w:p w14:paraId="65D1F24F" w14:textId="77777777" w:rsidR="001F7233" w:rsidRDefault="001F7233">
      <w:pPr>
        <w:spacing w:line="220" w:lineRule="exact"/>
      </w:pPr>
    </w:p>
    <w:p w14:paraId="4249B776" w14:textId="77777777" w:rsidR="001F7233" w:rsidRDefault="00000000">
      <w:r>
        <w:rPr>
          <w:b/>
        </w:rPr>
        <w:t>Hoher Standardabzug, niedrige Einstiegssätze</w:t>
      </w:r>
    </w:p>
    <w:p w14:paraId="210FFFE3" w14:textId="77777777" w:rsidR="001F7233" w:rsidRDefault="00000000">
      <w:r>
        <w:rPr>
          <w:b/>
        </w:rPr>
        <w:t xml:space="preserve">Minus: </w:t>
      </w:r>
      <w:r>
        <w:t>Selbstveranlagung: Rechnung und Fristen liegen bei dir</w:t>
      </w:r>
    </w:p>
    <w:p w14:paraId="7DD86F05" w14:textId="77777777" w:rsidR="001F7233" w:rsidRDefault="00000000">
      <w:r>
        <w:rPr>
          <w:b/>
        </w:rPr>
        <w:t>Neun Bundesstaaten ohne Einkommensteuer auf Löhne</w:t>
      </w:r>
    </w:p>
    <w:p w14:paraId="7327FE8F" w14:textId="77777777" w:rsidR="001F7233" w:rsidRDefault="00000000">
      <w:r>
        <w:rPr>
          <w:b/>
        </w:rPr>
        <w:t xml:space="preserve">Minus: </w:t>
      </w:r>
      <w:r>
        <w:t>Weltweites Einkommen und Meldepflichten mit hohen Strafen</w:t>
      </w:r>
    </w:p>
    <w:p w14:paraId="605DBBF1" w14:textId="77777777" w:rsidR="001F7233" w:rsidRDefault="00000000">
      <w:r>
        <w:rPr>
          <w:b/>
        </w:rPr>
        <w:t>Rentenversicherung und Medicare zusammen nur 7,65 %</w:t>
      </w:r>
    </w:p>
    <w:p w14:paraId="07000078" w14:textId="77777777" w:rsidR="001F7233" w:rsidRDefault="00000000">
      <w:r>
        <w:rPr>
          <w:b/>
        </w:rPr>
        <w:t xml:space="preserve">Minus: </w:t>
      </w:r>
      <w:r>
        <w:t>Krankenversicherung kommt zur Steuerlast noch hinzu</w:t>
      </w:r>
    </w:p>
    <w:p w14:paraId="261EAEFF" w14:textId="77777777" w:rsidR="001F7233" w:rsidRDefault="001F7233">
      <w:pPr>
        <w:spacing w:line="180" w:lineRule="exact"/>
      </w:pPr>
    </w:p>
    <w:p w14:paraId="022C3758" w14:textId="77777777" w:rsidR="001F7233" w:rsidRDefault="00000000">
      <w:pPr>
        <w:spacing w:after="140"/>
      </w:pPr>
      <w:r>
        <w:t>Rechenbeispiele und Meldepflichten: Kapitel </w:t>
      </w:r>
      <w:hyperlink w:anchor="k28">
        <w:r w:rsidR="001F7233">
          <w:t>28</w:t>
        </w:r>
      </w:hyperlink>
      <w:r>
        <w:t>; deutsche Seite (Wegzug, Rente): Kapitel </w:t>
      </w:r>
      <w:hyperlink w:anchor="k17">
        <w:r w:rsidR="001F7233">
          <w:t>17</w:t>
        </w:r>
      </w:hyperlink>
      <w:r>
        <w:t>.</w:t>
      </w:r>
    </w:p>
    <w:p w14:paraId="7553E21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Absicherung</w:t>
      </w:r>
    </w:p>
    <w:p w14:paraId="2E1666C1" w14:textId="77777777" w:rsidR="001F7233" w:rsidRDefault="00000000">
      <w:pPr>
        <w:spacing w:after="140"/>
      </w:pPr>
      <w:r>
        <w:t>In Deutschland ist die Krankenversicherung Pflicht und unabhängig vom Job. In den USA hängt sie am Arbeitgeber, der im Schnitt rund 84 % der Prämie für Einzelpersonen und 74 % für Familien trägt (Kapitel </w:t>
      </w:r>
      <w:hyperlink w:anchor="k26">
        <w:r w:rsidR="001F7233">
          <w:t>26</w:t>
        </w:r>
      </w:hyperlink>
      <w:r>
        <w:t>). Dazu kommen der Selbstbehalt (</w:t>
      </w:r>
      <w:r>
        <w:rPr>
          <w:i/>
          <w:iCs/>
        </w:rPr>
        <w:t>Deductible</w:t>
      </w:r>
      <w:r>
        <w:t>, im Schnitt 1.886 $) und Zuzahlungen bis zu einer Jahreshöchstgrenze der Eigenkosten (</w:t>
      </w:r>
      <w:r>
        <w:rPr>
          <w:i/>
          <w:iCs/>
        </w:rPr>
        <w:t>Out-of-Pocket Maximum</w:t>
      </w:r>
      <w:r>
        <w:t>, im Schnitt 4.423 $). Diese Höchstgrenze deckelt dein Risiko im Netzwerk wenigstens.</w:t>
      </w:r>
    </w:p>
    <w:p w14:paraId="2C70BA07" w14:textId="77777777" w:rsidR="001F7233" w:rsidRDefault="00000000">
      <w:pPr>
        <w:spacing w:after="140"/>
      </w:pPr>
      <w:r>
        <w:t>Die größte Falle kommt gleich zu Beginn: Zwischen Landung und Versicherungsbeginn liegt oft eine Wartefrist von bis zu 90 Tagen. Mit Anmeldefristen und Arbeitsbeginn zusammen werden daraus schnell drei bis vier Monate ohne US-Deckung (Kapitel </w:t>
      </w:r>
      <w:hyperlink w:anchor="k26">
        <w:r w:rsidR="001F7233">
          <w:t>26</w:t>
        </w:r>
      </w:hyperlink>
      <w:r>
        <w:t xml:space="preserve">). In der Praxis heißt das: Der erste verstauchte Knöchel oder die erste fiebrige Nacht treffen dich oft, bevor die Versicherungskarte </w:t>
      </w:r>
      <w:r>
        <w:lastRenderedPageBreak/>
        <w:t>überhaupt im Briefkasten liegt. Verlierst du den Job, kannst du die Deckung über die Fortführung der Arbeitgeberversicherung (COBRA) fortsetzen. Du zahlst dann aber die volle Prämie plus 2 % – rechnerisch rund 790 $ im Monat für eine Einzelperson.</w:t>
      </w:r>
    </w:p>
    <w:p w14:paraId="7B9D760E" w14:textId="77777777" w:rsidR="001F7233" w:rsidRDefault="00000000">
      <w:r>
        <w:rPr>
          <w:b/>
        </w:rPr>
        <w:t xml:space="preserve">ACHTUNG: </w:t>
      </w:r>
    </w:p>
    <w:p w14:paraId="62C6FD48" w14:textId="77777777" w:rsidR="001F7233" w:rsidRDefault="00000000">
      <w:r>
        <w:t>• Job, Krankenversicherung und bei einem Arbeitsvisum der Aufenthaltsstatus hängen an derselben Stelle: Ein Stellenabbau trifft dich doppelt, weil die Frist für einen neuen Sponsor (</w:t>
      </w:r>
      <w:hyperlink w:anchor="k30">
        <w:r w:rsidR="001F7233">
          <w:rPr>
            <w:color w:val="0563C1"/>
            <w:u w:val="single"/>
          </w:rPr>
          <w:t>Kapitel 30</w:t>
        </w:r>
      </w:hyperlink>
      <w:r>
        <w:t>) parallel zur Frage läuft, wie du die Familie krankenversichert hältst. Plane beides zusammen, nicht getrennt.</w:t>
      </w:r>
    </w:p>
    <w:p w14:paraId="06EF994A" w14:textId="77777777" w:rsidR="001F7233" w:rsidRDefault="001F7233">
      <w:pPr>
        <w:spacing w:line="220" w:lineRule="exact"/>
      </w:pPr>
    </w:p>
    <w:p w14:paraId="30D84F1A" w14:textId="77777777" w:rsidR="001F7233" w:rsidRDefault="00000000">
      <w:r>
        <w:rPr>
          <w:b/>
        </w:rPr>
        <w:t>Arbeitgeber trägt den Großteil der Prämie</w:t>
      </w:r>
    </w:p>
    <w:p w14:paraId="755F5A28" w14:textId="77777777" w:rsidR="001F7233" w:rsidRDefault="00000000">
      <w:r>
        <w:rPr>
          <w:b/>
        </w:rPr>
        <w:t xml:space="preserve">Minus: </w:t>
      </w:r>
      <w:r>
        <w:t>Deckung hängt am Job, Lücke von bis zu vier Monaten am Anfang</w:t>
      </w:r>
    </w:p>
    <w:p w14:paraId="661295D5" w14:textId="77777777" w:rsidR="001F7233" w:rsidRDefault="00000000">
      <w:r>
        <w:rPr>
          <w:b/>
        </w:rPr>
        <w:t>Out-of-Pocket-Maximum deckelt das Jahresrisiko</w:t>
      </w:r>
    </w:p>
    <w:p w14:paraId="720AFC65" w14:textId="77777777" w:rsidR="001F7233" w:rsidRDefault="00000000">
      <w:r>
        <w:rPr>
          <w:b/>
        </w:rPr>
        <w:t xml:space="preserve">Minus: </w:t>
      </w:r>
      <w:r>
        <w:t>Selbstbehalt und Zuzahlungen kommen zur Prämie hinzu</w:t>
      </w:r>
    </w:p>
    <w:p w14:paraId="2A819DBD" w14:textId="77777777" w:rsidR="001F7233" w:rsidRDefault="00000000">
      <w:r>
        <w:rPr>
          <w:b/>
        </w:rPr>
        <w:t>Vorsorge meist ohne Zuzahlung</w:t>
      </w:r>
    </w:p>
    <w:p w14:paraId="498D16A1" w14:textId="77777777" w:rsidR="001F7233" w:rsidRDefault="00000000">
      <w:r>
        <w:rPr>
          <w:b/>
        </w:rPr>
        <w:t xml:space="preserve">Minus: </w:t>
      </w:r>
      <w:r>
        <w:t>COBRA nach Jobverlust kostet die volle Prämie</w:t>
      </w:r>
    </w:p>
    <w:p w14:paraId="44A9F674" w14:textId="77777777" w:rsidR="001F7233" w:rsidRDefault="001F7233">
      <w:pPr>
        <w:spacing w:line="180" w:lineRule="exact"/>
      </w:pPr>
    </w:p>
    <w:p w14:paraId="4760A36C" w14:textId="77777777" w:rsidR="001F7233" w:rsidRDefault="00000000">
      <w:pPr>
        <w:spacing w:after="140"/>
      </w:pPr>
      <w:r>
        <w:t>Ausführlich: Kapitel </w:t>
      </w:r>
      <w:hyperlink w:anchor="k26">
        <w:r w:rsidR="001F7233">
          <w:t>26</w:t>
        </w:r>
      </w:hyperlink>
      <w:r>
        <w:t xml:space="preserve"> (System und Kosten), Kapitel </w:t>
      </w:r>
      <w:hyperlink w:anchor="k18">
        <w:r w:rsidR="001F7233">
          <w:t>18</w:t>
        </w:r>
      </w:hyperlink>
      <w:r>
        <w:t xml:space="preserve"> (Vorbereitung in Deutschland).</w:t>
      </w:r>
    </w:p>
    <w:p w14:paraId="616A33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Arbeitszeit und Kündigungsschutz</w:t>
      </w:r>
    </w:p>
    <w:p w14:paraId="4248E02C" w14:textId="77777777" w:rsidR="001F7233" w:rsidRDefault="00000000">
      <w:pPr>
        <w:spacing w:after="140"/>
      </w:pPr>
      <w:r>
        <w:t>Hier zeigt sich der größte kulturelle Bruch: In fast allen Bundesstaaten gilt Kündigung ohne Grund (</w:t>
      </w:r>
      <w:r>
        <w:rPr>
          <w:i/>
          <w:iCs/>
        </w:rPr>
        <w:t>At-will Employment</w:t>
      </w:r>
      <w:r>
        <w:t>). Weder du noch dein Arbeitgeber braucht einen Grund oder eine Frist; ein Kündigungsschutzgesetz wie in Deutschland gibt es nicht (Kapitel </w:t>
      </w:r>
      <w:hyperlink w:anchor="k29">
        <w:r w:rsidR="001F7233">
          <w:t>29</w:t>
        </w:r>
      </w:hyperlink>
      <w:r>
        <w:t>). Verbreiteter Irrtum: Ein unterschriebenes Angebotsschreiben (</w:t>
      </w:r>
      <w:r>
        <w:rPr>
          <w:i/>
          <w:iCs/>
        </w:rPr>
        <w:t>Offer Letter</w:t>
      </w:r>
      <w:r>
        <w:t xml:space="preserve">) fühlt sich ähnlich verbindlich an wie ein deutscher Arbeitsvertrag. Tatsächlich ist es in den meisten Bundesstaaten wenig mehr als eine Absichtserklärung, die beide Seiten jederzeit wieder aufkündigen können. Gesetzlichen Urlaub, </w:t>
      </w:r>
      <w:r>
        <w:lastRenderedPageBreak/>
        <w:t>bezahlte Feiertage oder Krankheitstage schreibt kein Bundesgesetz vor. Im Schnitt bekommst du im ersten Jahr 11 bezahlte Urlaubstage, nach zehn Jahren 18 – in Deutschland sind es mindestens 20, meist 25 bis 30. Auch Elternzeit ist bundesweit nur 12 Wochen unbezahlt garantiert, verglichen mit bis zu drei Jahren Elternzeit und Elterngeld in Deutschland.</w:t>
      </w:r>
    </w:p>
    <w:p w14:paraId="00CCCF0E" w14:textId="77777777" w:rsidR="001F7233" w:rsidRDefault="00000000">
      <w:pPr>
        <w:spacing w:after="140"/>
      </w:pPr>
      <w:r>
        <w:t>Die Gegenrechnung: Diese Flexibilität beschleunigt Jobwechsel und Beförderung. Wer verhandelt, kann Urlaubstage, Sign-on-Bonus und Homeoffice oft mitverhandeln (Kapitel </w:t>
      </w:r>
      <w:hyperlink w:anchor="k29">
        <w:r w:rsidR="001F7233">
          <w:t>29</w:t>
        </w:r>
      </w:hyperlink>
      <w:r>
        <w:t>).</w:t>
      </w:r>
    </w:p>
    <w:p w14:paraId="4C30021C" w14:textId="77777777" w:rsidR="001F7233" w:rsidRDefault="00000000">
      <w:r>
        <w:rPr>
          <w:b/>
        </w:rPr>
        <w:t>Schneller Wechsel und Aufstieg ohne Tarifstufen</w:t>
      </w:r>
    </w:p>
    <w:p w14:paraId="68CDC496" w14:textId="77777777" w:rsidR="001F7233" w:rsidRDefault="00000000">
      <w:r>
        <w:rPr>
          <w:b/>
        </w:rPr>
        <w:t xml:space="preserve">Minus: </w:t>
      </w:r>
      <w:r>
        <w:t>Kein Kündigungsschutz; bei Visum hängt der Aufenthalt am Job</w:t>
      </w:r>
    </w:p>
    <w:p w14:paraId="38FBA0AF" w14:textId="77777777" w:rsidR="001F7233" w:rsidRDefault="00000000">
      <w:r>
        <w:rPr>
          <w:b/>
        </w:rPr>
        <w:t>Urlaub, Bonus und Homeoffice oft verhandelbar</w:t>
      </w:r>
    </w:p>
    <w:p w14:paraId="28502C86" w14:textId="77777777" w:rsidR="001F7233" w:rsidRDefault="00000000">
      <w:r>
        <w:rPr>
          <w:b/>
        </w:rPr>
        <w:t xml:space="preserve">Minus: </w:t>
      </w:r>
      <w:r>
        <w:t>Nur 11 bezahlte Urlaubstage im ersten Jahr im Schnitt</w:t>
      </w:r>
    </w:p>
    <w:p w14:paraId="26C8C714" w14:textId="77777777" w:rsidR="001F7233" w:rsidRDefault="00000000">
      <w:r>
        <w:rPr>
          <w:b/>
        </w:rPr>
        <w:t>Flache Hierarchien, häufiges Feedback</w:t>
      </w:r>
    </w:p>
    <w:p w14:paraId="7F8A1F28" w14:textId="77777777" w:rsidR="001F7233" w:rsidRDefault="00000000">
      <w:r>
        <w:rPr>
          <w:b/>
        </w:rPr>
        <w:t xml:space="preserve">Minus: </w:t>
      </w:r>
      <w:r>
        <w:t>Elternzeit bundesweit nur 12 Wochen, unbezahlt</w:t>
      </w:r>
    </w:p>
    <w:p w14:paraId="70DA3A03" w14:textId="77777777" w:rsidR="001F7233" w:rsidRDefault="001F7233">
      <w:pPr>
        <w:spacing w:line="180" w:lineRule="exact"/>
      </w:pPr>
    </w:p>
    <w:p w14:paraId="7EF08849" w14:textId="77777777" w:rsidR="001F7233" w:rsidRDefault="00000000">
      <w:pPr>
        <w:spacing w:after="140"/>
      </w:pPr>
      <w:r>
        <w:t>Arbeitsrecht im Detail: Kapitel </w:t>
      </w:r>
      <w:hyperlink w:anchor="k29">
        <w:r w:rsidR="001F7233">
          <w:t>29</w:t>
        </w:r>
      </w:hyperlink>
      <w:r>
        <w:t>; Jobverlust und Statusfristen: Kapitel </w:t>
      </w:r>
      <w:hyperlink w:anchor="k30">
        <w:r w:rsidR="001F7233">
          <w:t>30</w:t>
        </w:r>
      </w:hyperlink>
      <w:r>
        <w:t>.</w:t>
      </w:r>
    </w:p>
    <w:p w14:paraId="6CA95A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und Raum</w:t>
      </w:r>
    </w:p>
    <w:p w14:paraId="380DFF55" w14:textId="77777777" w:rsidR="001F7233" w:rsidRDefault="00000000">
      <w:pPr>
        <w:spacing w:after="140"/>
      </w:pPr>
      <w:r>
        <w:t>Wohnraum ist in weiten Teilen der USA günstiger und großzügiger als in deutschen Großstädten. Ein Median-Einfamilienhaus in Columbus oder Detroit kann deutlich weniger kosten als eine vergleichbare Wohnung in München; eine dreißigjährige Zinsbindung schützt vor steigenden Raten (</w:t>
      </w:r>
      <w:hyperlink w:anchor="k14">
        <w:r w:rsidR="001F7233">
          <w:t>Kapitel 14</w:t>
        </w:r>
      </w:hyperlink>
      <w:r>
        <w:t>). FHA-versicherte Hypotheken stehen Nicht-Daueraufenthaltsberechtigten seit 25. Mai 2025 nach HUD Mortgagee Letter 2025-09 nicht offen; rechtmäßige Daueraufenthaltsberechtigte können die Residency-Voraussetzung weiterhin erfüllen. Reguläre Kredite verlangen oft US-Kredithistorie und weitere Nachweise. Kauf und Verkauf verursachen erhebliche Nebenkosten; rechne sie vor einer Entscheidung mit konkreten Angeboten durch (Kapitel 14).</w:t>
      </w:r>
    </w:p>
    <w:p w14:paraId="0C094004" w14:textId="77777777" w:rsidR="001F7233" w:rsidRDefault="00000000">
      <w:pPr>
        <w:spacing w:after="140"/>
      </w:pPr>
      <w:r>
        <w:lastRenderedPageBreak/>
        <w:t>Deshalb gilt fast überall dieselbe Regel: Miete zuerst; kaufe erst, wenn Job und Status stabil sind (Kapitel </w:t>
      </w:r>
      <w:hyperlink w:anchor="k12">
        <w:r w:rsidR="001F7233">
          <w:t>12</w:t>
        </w:r>
      </w:hyperlink>
      <w:r>
        <w:t xml:space="preserve"> bis </w:t>
      </w:r>
      <w:hyperlink w:anchor="k14">
        <w:r w:rsidR="001F7233">
          <w:t>14</w:t>
        </w:r>
      </w:hyperlink>
      <w:r>
        <w:t>).</w:t>
      </w:r>
    </w:p>
    <w:p w14:paraId="59E98EA7" w14:textId="77777777" w:rsidR="001F7233" w:rsidRDefault="00000000">
      <w:r>
        <w:rPr>
          <w:b/>
        </w:rPr>
        <w:t>Mehr Wohnraum fürs Geld außerhalb der Küstenmetropolen</w:t>
      </w:r>
    </w:p>
    <w:p w14:paraId="70127528" w14:textId="77777777" w:rsidR="001F7233" w:rsidRDefault="00000000">
      <w:r>
        <w:rPr>
          <w:b/>
        </w:rPr>
        <w:t>FHA-Kredite für Nicht-Daueraufenthaltsberechtigte ausgeschlossen; alternative Kreditbedingungen prüfen</w:t>
      </w:r>
    </w:p>
    <w:p w14:paraId="0F256D3B" w14:textId="77777777" w:rsidR="001F7233" w:rsidRDefault="00000000">
      <w:r>
        <w:rPr>
          <w:b/>
        </w:rPr>
        <w:t>Dreißig Jahre fester Zins schützt vor steigenden Raten</w:t>
      </w:r>
    </w:p>
    <w:p w14:paraId="29DC20EA" w14:textId="77777777" w:rsidR="001F7233" w:rsidRDefault="00000000">
      <w:r>
        <w:rPr>
          <w:b/>
        </w:rPr>
        <w:t xml:space="preserve">Minus: </w:t>
      </w:r>
      <w:r>
        <w:t>Kauf- und Verkaufskosten von zusammen rund 10 %</w:t>
      </w:r>
    </w:p>
    <w:p w14:paraId="7CE7787C" w14:textId="77777777" w:rsidR="001F7233" w:rsidRDefault="00000000">
      <w:r>
        <w:rPr>
          <w:b/>
        </w:rPr>
        <w:t>Neun Bundesstaaten ohne Einkommensteuer auf Löhne senken die Gesamtlast</w:t>
      </w:r>
    </w:p>
    <w:p w14:paraId="57063830" w14:textId="77777777" w:rsidR="001F7233" w:rsidRDefault="00000000">
      <w:r>
        <w:rPr>
          <w:b/>
        </w:rPr>
        <w:t xml:space="preserve">Minus: </w:t>
      </w:r>
      <w:r>
        <w:t>Job- und Visumrisiko macht einen schnellen Verkauf teuer</w:t>
      </w:r>
    </w:p>
    <w:p w14:paraId="24A66F1E" w14:textId="77777777" w:rsidR="001F7233" w:rsidRDefault="001F7233">
      <w:pPr>
        <w:spacing w:line="180" w:lineRule="exact"/>
      </w:pPr>
    </w:p>
    <w:p w14:paraId="20019809" w14:textId="77777777" w:rsidR="001F7233" w:rsidRDefault="00000000">
      <w:pPr>
        <w:spacing w:after="140"/>
      </w:pPr>
      <w:r>
        <w:t>Regionen, Mieten, Kauf: Kapitel </w:t>
      </w:r>
      <w:hyperlink w:anchor="k12">
        <w:r w:rsidR="001F7233">
          <w:t>12</w:t>
        </w:r>
      </w:hyperlink>
      <w:r>
        <w:t xml:space="preserve"> bis </w:t>
      </w:r>
      <w:hyperlink w:anchor="k14">
        <w:r w:rsidR="001F7233">
          <w:t>14</w:t>
        </w:r>
      </w:hyperlink>
      <w:r>
        <w:t>.</w:t>
      </w:r>
    </w:p>
    <w:p w14:paraId="783245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und Service</w:t>
      </w:r>
    </w:p>
    <w:p w14:paraId="3B9B2406" w14:textId="77777777" w:rsidR="001F7233" w:rsidRDefault="00000000">
      <w:pPr>
        <w:spacing w:after="140"/>
      </w:pPr>
      <w:r>
        <w:t xml:space="preserve">Im Restaurant können zur Speisekarte </w:t>
      </w:r>
      <w:hyperlink w:anchor="k28">
        <w:r w:rsidR="001F7233">
          <w:t>Sales Tax</w:t>
        </w:r>
      </w:hyperlink>
      <w:r>
        <w:t xml:space="preserve"> und ein </w:t>
      </w:r>
      <w:hyperlink w:anchor="k35">
        <w:r w:rsidR="001F7233">
          <w:t>Trinkgeld</w:t>
        </w:r>
      </w:hyperlink>
      <w:r>
        <w:t xml:space="preserve"> kommen; daraus folgt kein pauschaler Zuschlag auf den US-Alltag. Rechenbeispiel mit Annahmen: 78 $ vor Steuer, 6 % Sales Tax (4,68 $) und ein frei gewähltes Trinkgeld von 20 % auf den Vorsteuerbetrag (15,60 $) ergeben 98,28 $, also 26 % zusätzlich. Der Steuersatz gilt nicht landesweit, und Trinkgeld betrifft vor allem Bedienrestaurants. Miete, Versicherungen und viele Einkäufe erhalten nicht denselben Zuschlag.</w:t>
      </w:r>
    </w:p>
    <w:p w14:paraId="49C1D91D" w14:textId="77777777" w:rsidR="001F7233" w:rsidRDefault="00000000">
      <w:r>
        <w:rPr>
          <w:b/>
        </w:rPr>
        <w:t>Freundlicher, lösungsorientierter Kundenservice</w:t>
      </w:r>
    </w:p>
    <w:p w14:paraId="2CB30CB2" w14:textId="77777777" w:rsidR="001F7233" w:rsidRDefault="00000000">
      <w:r>
        <w:rPr>
          <w:b/>
        </w:rPr>
        <w:t>Restaurantrechnung: Sales Tax variiert nach Ort und Ware; Trinkgeld ist ein gesonderter angenommener Betrag. Im Rechenbeispiel auf dieser Seite ergeben 6 % Sales Tax und 20 % Trinkgeld auf den Vorsteuerbetrag zusammen 26 % Mehrkosten auf genau diese Restaurantrechnung. Das ist kein pauschaler Zuschlag auf andere Ausgaben.</w:t>
      </w:r>
    </w:p>
    <w:p w14:paraId="6BFAD65D" w14:textId="77777777" w:rsidR="001F7233" w:rsidRDefault="00000000">
      <w:r>
        <w:rPr>
          <w:b/>
        </w:rPr>
        <w:t>Großzügige Rückgabefristen bei vielen Ketten</w:t>
      </w:r>
    </w:p>
    <w:p w14:paraId="10FE957D" w14:textId="77777777" w:rsidR="001F7233" w:rsidRDefault="00000000">
      <w:r>
        <w:rPr>
          <w:b/>
        </w:rPr>
        <w:t xml:space="preserve">Minus: </w:t>
      </w:r>
      <w:r>
        <w:t>Ohne Auto ist der Alltag meist nicht zu organisieren</w:t>
      </w:r>
    </w:p>
    <w:p w14:paraId="11B99EE0" w14:textId="77777777" w:rsidR="001F7233" w:rsidRDefault="00000000">
      <w:r>
        <w:rPr>
          <w:b/>
        </w:rPr>
        <w:t>Keine Meldepflicht, wenig Alltagsbürokratie</w:t>
      </w:r>
    </w:p>
    <w:p w14:paraId="1910AF46" w14:textId="77777777" w:rsidR="001F7233" w:rsidRDefault="00000000">
      <w:r>
        <w:rPr>
          <w:b/>
        </w:rPr>
        <w:t xml:space="preserve">Minus: </w:t>
      </w:r>
      <w:r>
        <w:t>Klagekultur und Haftungsverzichte (Waivers)</w:t>
      </w:r>
    </w:p>
    <w:p w14:paraId="3020D73D" w14:textId="77777777" w:rsidR="001F7233" w:rsidRDefault="001F7233">
      <w:pPr>
        <w:spacing w:line="180" w:lineRule="exact"/>
      </w:pPr>
    </w:p>
    <w:p w14:paraId="76EE0B96" w14:textId="77777777" w:rsidR="001F7233" w:rsidRDefault="00000000">
      <w:pPr>
        <w:spacing w:after="140"/>
      </w:pPr>
      <w:r>
        <w:t>Umgangsformen, Trinkgeld und Auto: Kapitel </w:t>
      </w:r>
      <w:hyperlink w:anchor="k27">
        <w:r w:rsidR="001F7233">
          <w:t>27</w:t>
        </w:r>
      </w:hyperlink>
      <w:r>
        <w:t xml:space="preserve"> und </w:t>
      </w:r>
      <w:hyperlink w:anchor="k31">
        <w:r w:rsidR="001F7233">
          <w:t>31</w:t>
        </w:r>
      </w:hyperlink>
      <w:r>
        <w:t>.</w:t>
      </w:r>
    </w:p>
    <w:p w14:paraId="253F5DD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 und Schule</w:t>
      </w:r>
    </w:p>
    <w:p w14:paraId="0AFF2386" w14:textId="77777777" w:rsidR="001F7233" w:rsidRDefault="00000000">
      <w:pPr>
        <w:spacing w:after="140"/>
      </w:pPr>
      <w:r>
        <w:t>Öffentliche Schulen sind kostenlos, verlangen weder Sozialversicherungsnummer noch Statusnachweis, bieten an der High School ein großes Kurswahlangebot und laufen bis in den Nachmittag mit Sport und Clubs an der Schule (Kapitel </w:t>
      </w:r>
      <w:hyperlink w:anchor="k36">
        <w:r w:rsidR="001F7233">
          <w:t>36</w:t>
        </w:r>
      </w:hyperlink>
      <w:r>
        <w:t>). Der Haken: Die Adresse bestimmt die Schule, deren Qualität stark an der örtlichen Grundsteuer hängt. Gefragte Schulbezirke kosten beim Kauf oder Mieten spürbar mehr. Sommerferien dauern 10 bis 12 Wochen statt sechs, Lockdown-Übungen gehören zum Schulalltag. Ein Umzug in den letzten beiden High-School-Jahren ist zudem schwierig, weil das amerikanische Abschlusszeugnis nicht automatisch dem Abitur entspricht.</w:t>
      </w:r>
    </w:p>
    <w:p w14:paraId="7902842C" w14:textId="77777777" w:rsidR="001F7233" w:rsidRDefault="00000000">
      <w:r>
        <w:rPr>
          <w:b/>
        </w:rPr>
        <w:t>Kostenlose öffentliche Schulen, keine SSN nötig</w:t>
      </w:r>
    </w:p>
    <w:p w14:paraId="70958A89" w14:textId="77777777" w:rsidR="001F7233" w:rsidRDefault="00000000">
      <w:r>
        <w:rPr>
          <w:b/>
        </w:rPr>
        <w:t xml:space="preserve">Minus: </w:t>
      </w:r>
      <w:r>
        <w:t>Schulqualität hängt am Wohnort und an der Grundsteuer</w:t>
      </w:r>
    </w:p>
    <w:p w14:paraId="33F0A208" w14:textId="77777777" w:rsidR="001F7233" w:rsidRDefault="00000000">
      <w:r>
        <w:rPr>
          <w:b/>
        </w:rPr>
        <w:t>Breites Kursangebot, Sport und Clubs an der Schule</w:t>
      </w:r>
    </w:p>
    <w:p w14:paraId="3184D4EA" w14:textId="77777777" w:rsidR="001F7233" w:rsidRDefault="00000000">
      <w:r>
        <w:rPr>
          <w:b/>
        </w:rPr>
        <w:t xml:space="preserve">Minus: </w:t>
      </w:r>
      <w:r>
        <w:t>10–12 Wochen Sommerferien: Betreuung kostet extra</w:t>
      </w:r>
    </w:p>
    <w:p w14:paraId="4FE8DDD6" w14:textId="77777777" w:rsidR="001F7233" w:rsidRDefault="00000000">
      <w:r>
        <w:rPr>
          <w:b/>
        </w:rPr>
        <w:t>Gemeinsamer Schulweg statt früher Aufteilung nach Klasse 4</w:t>
      </w:r>
    </w:p>
    <w:p w14:paraId="339349DD" w14:textId="77777777" w:rsidR="001F7233" w:rsidRDefault="00000000">
      <w:r>
        <w:rPr>
          <w:b/>
        </w:rPr>
        <w:t xml:space="preserve">Minus: </w:t>
      </w:r>
      <w:r>
        <w:t>Umzug kurz vor dem Abschluss schwierig; Diploma ist nicht das Abitur</w:t>
      </w:r>
    </w:p>
    <w:p w14:paraId="34856513" w14:textId="77777777" w:rsidR="001F7233" w:rsidRDefault="001F7233">
      <w:pPr>
        <w:spacing w:line="180" w:lineRule="exact"/>
      </w:pPr>
    </w:p>
    <w:p w14:paraId="7C834FCF" w14:textId="77777777" w:rsidR="001F7233" w:rsidRDefault="00000000">
      <w:pPr>
        <w:spacing w:after="140"/>
      </w:pPr>
      <w:r>
        <w:t>Schulwahl, Anmeldung, Sprache: Kapitel </w:t>
      </w:r>
      <w:hyperlink w:anchor="k36">
        <w:r w:rsidR="001F7233">
          <w:t>36</w:t>
        </w:r>
      </w:hyperlink>
      <w:r>
        <w:t xml:space="preserve"> bis </w:t>
      </w:r>
      <w:hyperlink w:anchor="k38">
        <w:r w:rsidR="001F7233">
          <w:t>38</w:t>
        </w:r>
      </w:hyperlink>
      <w:r>
        <w:t>.</w:t>
      </w:r>
    </w:p>
    <w:p w14:paraId="5499A4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 und Klima</w:t>
      </w:r>
    </w:p>
    <w:p w14:paraId="25391C24" w14:textId="77777777" w:rsidR="001F7233" w:rsidRDefault="00000000">
      <w:pPr>
        <w:spacing w:after="140"/>
      </w:pPr>
      <w:r>
        <w:t>Kaum ein Land bietet so viel klimatische und landschaftliche Auswahl: von Wüstenhitze in Phoenix über milde Küsten in Kalifornien bis zu Winterstürmen im Mittleren Westen ist für jeden Geschmack etwas dabei. Du kannst den Wohnort bewusst danach wählen (Kapitel </w:t>
      </w:r>
      <w:hyperlink w:anchor="k12">
        <w:r w:rsidR="001F7233">
          <w:t>12</w:t>
        </w:r>
      </w:hyperlink>
      <w:r>
        <w:t xml:space="preserve">). Der Preis dieser Vielfalt: ein reales Naturgefahren-Risiko, das jede Metropolregion unterschiedlich trifft – Hurrikane an der Golfküste, Waldbrände in Kalifornien und </w:t>
      </w:r>
      <w:r>
        <w:lastRenderedPageBreak/>
        <w:t>Colorado, Erdbeben an der Westküste, Tornados im mittleren Süden, extreme Hitze in Phoenix und Houston. Das schlägt sich direkt in der Hausversicherung nieder: 300.000 $ Deckung kosten in Florida im Schnitt 6.432 $ im Jahr, in Kalifornien 2.040 $ (Kapitel </w:t>
      </w:r>
      <w:hyperlink w:anchor="k12">
        <w:r w:rsidR="001F7233">
          <w:t>12</w:t>
        </w:r>
      </w:hyperlink>
      <w:r>
        <w:t>, Kapitel </w:t>
      </w:r>
      <w:hyperlink w:anchor="k14">
        <w:r w:rsidR="001F7233">
          <w:t>14</w:t>
        </w:r>
      </w:hyperlink>
      <w:r>
        <w:t>).</w:t>
      </w:r>
    </w:p>
    <w:p w14:paraId="1AF94861" w14:textId="77777777" w:rsidR="001F7233" w:rsidRDefault="00000000">
      <w:r>
        <w:rPr>
          <w:b/>
        </w:rPr>
        <w:t>Große Auswahl an Klima und Landschaft</w:t>
      </w:r>
    </w:p>
    <w:p w14:paraId="685A66A9" w14:textId="77777777" w:rsidR="001F7233" w:rsidRDefault="00000000">
      <w:r>
        <w:rPr>
          <w:b/>
        </w:rPr>
        <w:t xml:space="preserve">Minus: </w:t>
      </w:r>
      <w:r>
        <w:t>Reale Risiken: Hurrikan, Waldbrand, Erdbeben, Tornado, Hitze</w:t>
      </w:r>
    </w:p>
    <w:p w14:paraId="6F214ECA" w14:textId="77777777" w:rsidR="001F7233" w:rsidRDefault="00000000">
      <w:r>
        <w:rPr>
          <w:b/>
        </w:rPr>
        <w:t>Bewusste Wahl von warm bis vier Jahreszeiten möglich</w:t>
      </w:r>
    </w:p>
    <w:p w14:paraId="6BD87CB6" w14:textId="77777777" w:rsidR="001F7233" w:rsidRDefault="00000000">
      <w:r>
        <w:rPr>
          <w:b/>
        </w:rPr>
        <w:t xml:space="preserve">Minus: </w:t>
      </w:r>
      <w:r>
        <w:t>Hausversicherung teils drei- bis vierfach so teuer wie anderswo</w:t>
      </w:r>
    </w:p>
    <w:p w14:paraId="6B355085" w14:textId="77777777" w:rsidR="001F7233" w:rsidRDefault="001F7233">
      <w:pPr>
        <w:spacing w:line="180" w:lineRule="exact"/>
      </w:pPr>
    </w:p>
    <w:p w14:paraId="775EE8A3" w14:textId="77777777" w:rsidR="001F7233" w:rsidRDefault="00000000">
      <w:pPr>
        <w:spacing w:after="140"/>
      </w:pPr>
      <w:r>
        <w:t>Regionale Risikoprofile: Kapitel </w:t>
      </w:r>
      <w:hyperlink w:anchor="k12">
        <w:r w:rsidR="001F7233">
          <w:t>12</w:t>
        </w:r>
      </w:hyperlink>
      <w:r>
        <w:t>; Versicherbarkeit beim Kauf: Kapitel </w:t>
      </w:r>
      <w:hyperlink w:anchor="k14">
        <w:r w:rsidR="001F7233">
          <w:t>14</w:t>
        </w:r>
      </w:hyperlink>
      <w:r>
        <w:t>.</w:t>
      </w:r>
    </w:p>
    <w:p w14:paraId="0F0FAB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und Politik</w:t>
      </w:r>
    </w:p>
    <w:p w14:paraId="673FAC2B" w14:textId="77777777" w:rsidR="001F7233" w:rsidRDefault="00000000">
      <w:pPr>
        <w:spacing w:after="140"/>
      </w:pPr>
      <w:r>
        <w:t>Alltägliche Freundlichkeit fällt Deutschen oft leicht: offene Gespräche mit Fremden, große Toleranz gegenüber Akzenten und Zuwanderung, starkes Ehrenamt (Kapitel </w:t>
      </w:r>
      <w:hyperlink w:anchor="k31">
        <w:r w:rsidR="001F7233">
          <w:t>31</w:t>
        </w:r>
      </w:hyperlink>
      <w:r>
        <w:t>). Das bleibt aber oft oberflächlich, denn echte Freundschaften brauchen hier mehr Zeit als in Deutschland (Kapitel </w:t>
      </w:r>
      <w:hyperlink w:anchor="k32">
        <w:r w:rsidR="001F7233">
          <w:t>32</w:t>
        </w:r>
      </w:hyperlink>
      <w:r>
        <w:t>). Politisch ist die Gesellschaft stärker polarisiert, als die meisten Deutschen es kennen. Das Buch bewertet das nicht, nennt aber die Folgen: Waffen, Wahlen oder Gesundheitspolitik sind bei Fremden kein Small Talk. Als Nichtstaatsbürger unterliegst du zudem zusätzlichen Einschränkungen, etwa bei Waffenbesitz und Wahlspenden (Kapitel </w:t>
      </w:r>
      <w:hyperlink w:anchor="k31">
        <w:r w:rsidR="001F7233">
          <w:t>31</w:t>
        </w:r>
      </w:hyperlink>
      <w:r>
        <w:t>, Kapitel </w:t>
      </w:r>
      <w:hyperlink w:anchor="k40">
        <w:r w:rsidR="001F7233">
          <w:t>40</w:t>
        </w:r>
      </w:hyperlink>
      <w:r>
        <w:t>). Dazu kommt echter Föderalismus: 50 Bundesstaaten, 50 Regelwerke, von der Verkaufssteuer bis zum Wettbewerbsverbot im Arbeitsvertrag. Religion und Staat sind strikt getrennt, eine Kirchensteuer gibt es nicht. Vielfalt ist in den meisten Metropolregionen Alltag: Ein deutscher Akzent fällt dort kaum auf.</w:t>
      </w:r>
    </w:p>
    <w:p w14:paraId="10BCEAC1" w14:textId="77777777" w:rsidR="001F7233" w:rsidRDefault="00000000">
      <w:r>
        <w:rPr>
          <w:b/>
        </w:rPr>
        <w:t>Offene Alltagskultur, hohe Toleranz gegenüber Zuwanderung</w:t>
      </w:r>
    </w:p>
    <w:p w14:paraId="3A86AEA1" w14:textId="77777777" w:rsidR="001F7233" w:rsidRDefault="00000000">
      <w:r>
        <w:rPr>
          <w:b/>
        </w:rPr>
        <w:t xml:space="preserve">Minus: </w:t>
      </w:r>
      <w:r>
        <w:t>Politische Polarisierung prägt viele Gespräche</w:t>
      </w:r>
    </w:p>
    <w:p w14:paraId="5BE61906" w14:textId="77777777" w:rsidR="001F7233" w:rsidRDefault="00000000">
      <w:r>
        <w:rPr>
          <w:b/>
        </w:rPr>
        <w:lastRenderedPageBreak/>
        <w:t>Starkes Ehrenamt und Nachbarschaftshilfe</w:t>
      </w:r>
    </w:p>
    <w:p w14:paraId="255AE069" w14:textId="77777777" w:rsidR="001F7233" w:rsidRDefault="00000000">
      <w:r>
        <w:rPr>
          <w:b/>
        </w:rPr>
        <w:t xml:space="preserve">Minus: </w:t>
      </w:r>
      <w:r>
        <w:t>Als Nichtstaatsbürger: Grenzen bei Waffen und Wahlspenden</w:t>
      </w:r>
    </w:p>
    <w:p w14:paraId="2A5FDED5" w14:textId="77777777" w:rsidR="001F7233" w:rsidRDefault="00000000">
      <w:r>
        <w:rPr>
          <w:b/>
        </w:rPr>
        <w:t>Direkte, schnelle Kontakte im Alltag</w:t>
      </w:r>
    </w:p>
    <w:p w14:paraId="3AF45E2E" w14:textId="77777777" w:rsidR="001F7233" w:rsidRDefault="00000000">
      <w:r>
        <w:rPr>
          <w:b/>
        </w:rPr>
        <w:t xml:space="preserve">Minus: </w:t>
      </w:r>
      <w:r>
        <w:t>50 Bundesstaaten, 50 Regelwerke – wenig Einheitlichkeit</w:t>
      </w:r>
    </w:p>
    <w:p w14:paraId="4BCDEB85" w14:textId="77777777" w:rsidR="001F7233" w:rsidRDefault="001F7233">
      <w:pPr>
        <w:spacing w:line="180" w:lineRule="exact"/>
      </w:pPr>
    </w:p>
    <w:p w14:paraId="35D11ADE" w14:textId="77777777" w:rsidR="001F7233" w:rsidRDefault="00000000">
      <w:pPr>
        <w:spacing w:after="140"/>
      </w:pPr>
      <w:r>
        <w:t>Umgangsformen: Kapitel </w:t>
      </w:r>
      <w:hyperlink w:anchor="k31">
        <w:r w:rsidR="001F7233">
          <w:t>31</w:t>
        </w:r>
      </w:hyperlink>
      <w:r>
        <w:t>; Recht im Alltag: Kapitel </w:t>
      </w:r>
      <w:hyperlink w:anchor="k40">
        <w:r w:rsidR="001F7233">
          <w:t>40</w:t>
        </w:r>
      </w:hyperlink>
      <w:r>
        <w:t>.</w:t>
      </w:r>
    </w:p>
    <w:p w14:paraId="320090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w:t>
      </w:r>
    </w:p>
    <w:p w14:paraId="5AB0FD36" w14:textId="77777777" w:rsidR="001F7233" w:rsidRDefault="00000000">
      <w:pPr>
        <w:spacing w:after="140"/>
      </w:pPr>
      <w:r>
        <w:t>Beim Thema Sicherheit hilft nur ein nüchterner Blick auf Zahlen statt auf Schlagzeilen. Nach Daten der Weltbank, die sich auf Erhebungen des UN-Büros für Drogen- und Verbrechensbekämpfung (UNODC) stützen, lag die Rate vorsätzlicher Tötungsdelikte in den USA 2023 bei rund 5,8 je 100.000 Einwohner, in Deutschland bei rund 0,9. Gesamtstaatlich ist das ein deutlicher Unterschied. Diese Zahl verdeckt allerdings enorme regionale Unterschiede: Sicherheit hängt in den USA stärker als in Deutschland vom Viertel, der Stadt und dem Bundesstaat ab, nicht vom Landesdurchschnitt. Waffenrecht ist zudem Ländersache: In mehr als der Hälfte der Bundesstaaten darf man ohne Erlaubnisschein verdeckt eine Waffe tragen (Kapitel </w:t>
      </w:r>
      <w:hyperlink w:anchor="k31">
        <w:r w:rsidR="001F7233">
          <w:t>31</w:t>
        </w:r>
      </w:hyperlink>
      <w:r>
        <w:t>, Kapitel </w:t>
      </w:r>
      <w:hyperlink w:anchor="k40">
        <w:r w:rsidR="001F7233">
          <w:t>40</w:t>
        </w:r>
      </w:hyperlink>
      <w:r>
        <w:t>).</w:t>
      </w:r>
    </w:p>
    <w:p w14:paraId="52EEDE20" w14:textId="77777777" w:rsidR="001F7233" w:rsidRDefault="00000000">
      <w:r>
        <w:t>Polizeistatistiken zeigen das Hellfeld: Straftaten, die der Polizei bekannt werden und nach den jeweiligen Regeln erfasst sind. Das Dunkelfeld umfasst Vorfälle, die nicht angezeigt, nicht aufgenommen oder statistisch anders eingeordnet werden. Nichtanzeige („underreporting“) ist ein wichtiger Teil davon, aber nicht das ganze Dunkelfeld. Repräsentative Opferbefragungen schätzen solche Lücken, haben jedoch eigene Grenzen bei Stichprobe, Erinnerung und erfassten Delikten. Vergleiche deshalb Länder und Viertel nicht allein anhand registrierter Zahlen; prüfe Zeitraum, Deliktsdefinition und Erhebungsmethode.</w:t>
      </w:r>
    </w:p>
    <w:p w14:paraId="30CC65D7" w14:textId="77777777" w:rsidR="001F7233" w:rsidRDefault="00000000">
      <w:r>
        <w:rPr>
          <w:b/>
        </w:rPr>
        <w:t>Viele Vororte und Kleinstädte mit sehr niedriger Kriminalität</w:t>
      </w:r>
    </w:p>
    <w:p w14:paraId="2C6BB862" w14:textId="77777777" w:rsidR="001F7233" w:rsidRDefault="00000000">
      <w:r>
        <w:rPr>
          <w:b/>
        </w:rPr>
        <w:t xml:space="preserve">Minus: </w:t>
      </w:r>
      <w:r>
        <w:t>Landesweite Tötungsrate rund sechsmal höher als in Deutschland</w:t>
      </w:r>
    </w:p>
    <w:p w14:paraId="3B8D41D2" w14:textId="77777777" w:rsidR="001F7233" w:rsidRDefault="00000000">
      <w:r>
        <w:rPr>
          <w:b/>
        </w:rPr>
        <w:lastRenderedPageBreak/>
        <w:t>Community-Polizeiarbeit und Nachbarschaftsnetzwerke verbreitet</w:t>
      </w:r>
    </w:p>
    <w:p w14:paraId="3522F44D" w14:textId="77777777" w:rsidR="001F7233" w:rsidRDefault="00000000">
      <w:r>
        <w:rPr>
          <w:b/>
        </w:rPr>
        <w:t xml:space="preserve">Minus: </w:t>
      </w:r>
      <w:r>
        <w:t>Waffenrecht ist Ländersache und stark uneinheitlich</w:t>
      </w:r>
    </w:p>
    <w:p w14:paraId="1902EDBD" w14:textId="77777777" w:rsidR="001F7233" w:rsidRDefault="001F7233">
      <w:pPr>
        <w:spacing w:line="180" w:lineRule="exact"/>
      </w:pPr>
    </w:p>
    <w:p w14:paraId="2067353E" w14:textId="77777777" w:rsidR="001F7233" w:rsidRDefault="00000000">
      <w:pPr>
        <w:spacing w:after="140"/>
      </w:pPr>
      <w:r>
        <w:t>Praktische Folgen für Nachbarschaft, Kinder und Alltag: Kapitel </w:t>
      </w:r>
      <w:hyperlink w:anchor="k40">
        <w:r w:rsidR="001F7233">
          <w:t>40</w:t>
        </w:r>
      </w:hyperlink>
      <w:r>
        <w:t>.</w:t>
      </w:r>
    </w:p>
    <w:p w14:paraId="32724D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Nähe zur Heimat</w:t>
      </w:r>
    </w:p>
    <w:p w14:paraId="6609DC19" w14:textId="77777777" w:rsidR="001F7233" w:rsidRDefault="00000000">
      <w:pPr>
        <w:spacing w:after="140"/>
      </w:pPr>
      <w:r>
        <w:t>Die Entfernung ist die Konstante, die sich nicht wegrechnen lässt: Ein Flug nach Deutschland dauert von den meisten Zielorten 8 bis 11 Stunden, dazu kommt die Zeitverschiebung. Wer im Großraum einer der Nonstop-Städte landet – etwa Atlanta, Boston, Chicago, Detroit, New York, Charlotte oder Raleigh–Durham –, spart Umsteigezeit und Stress. Ohne Nonstop-Verbindung, etwa ab Phoenix oder Columbus, wird jede Reise zur Tagesangelegenheit (Kapitel </w:t>
      </w:r>
      <w:hyperlink w:anchor="k12">
        <w:r w:rsidR="001F7233">
          <w:t>12</w:t>
        </w:r>
      </w:hyperlink>
      <w:r>
        <w:t>). Deutsche Auslandsschulen, Konsulate und Goethe-Institute konzentrieren sich auf wenige Großräume, abseits davon bleibt die deutsche Community klein. Kurzfristige Besuche bei Krankheit oder einem Notfall sind teuer und aufwendig. Das ist ein Punkt, den viele erst nach dem Umzug wirklich spüren (Kapitel </w:t>
      </w:r>
      <w:hyperlink w:anchor="k32">
        <w:r w:rsidR="001F7233">
          <w:t>32</w:t>
        </w:r>
      </w:hyperlink>
      <w:r>
        <w:t>, Kapitel </w:t>
      </w:r>
      <w:hyperlink w:anchor="k33">
        <w:r w:rsidR="001F7233">
          <w:t>33</w:t>
        </w:r>
      </w:hyperlink>
      <w:r>
        <w:t>).</w:t>
      </w:r>
    </w:p>
    <w:p w14:paraId="234D9B1A" w14:textId="77777777" w:rsidR="001F7233" w:rsidRDefault="00000000">
      <w:r>
        <w:rPr>
          <w:b/>
        </w:rPr>
        <w:t>Direktflüge ab vielen großen Metropolregionen</w:t>
      </w:r>
    </w:p>
    <w:p w14:paraId="7343FD1F" w14:textId="77777777" w:rsidR="001F7233" w:rsidRDefault="00000000">
      <w:r>
        <w:rPr>
          <w:b/>
        </w:rPr>
        <w:t xml:space="preserve">Minus: </w:t>
      </w:r>
      <w:r>
        <w:t>8–11 Stunden Flugzeit plus Zeitverschiebung</w:t>
      </w:r>
    </w:p>
    <w:p w14:paraId="125295CF" w14:textId="77777777" w:rsidR="001F7233" w:rsidRDefault="00000000">
      <w:r>
        <w:rPr>
          <w:b/>
        </w:rPr>
        <w:t>Deutsche Schulen, Konsulate und Goethe-Institute in Großräumen</w:t>
      </w:r>
    </w:p>
    <w:p w14:paraId="0549F04F" w14:textId="77777777" w:rsidR="001F7233" w:rsidRDefault="00000000">
      <w:r>
        <w:rPr>
          <w:b/>
        </w:rPr>
        <w:t xml:space="preserve">Minus: </w:t>
      </w:r>
      <w:r>
        <w:t>Spontanbesuche bei Notfällen kaum möglich</w:t>
      </w:r>
    </w:p>
    <w:p w14:paraId="0094AC78" w14:textId="77777777" w:rsidR="001F7233" w:rsidRDefault="00000000">
      <w:r>
        <w:rPr>
          <w:b/>
        </w:rPr>
        <w:t>Videotelefonie hält den Alltagskontakt einfach</w:t>
      </w:r>
    </w:p>
    <w:p w14:paraId="62A919AF" w14:textId="77777777" w:rsidR="001F7233" w:rsidRDefault="00000000">
      <w:r>
        <w:rPr>
          <w:b/>
        </w:rPr>
        <w:t xml:space="preserve">Minus: </w:t>
      </w:r>
      <w:r>
        <w:t>Kleinere Orte ohne Nonstop-Flug und ohne deutsche Community</w:t>
      </w:r>
    </w:p>
    <w:p w14:paraId="0C4B4138" w14:textId="77777777" w:rsidR="001F7233" w:rsidRDefault="001F7233">
      <w:pPr>
        <w:spacing w:line="180" w:lineRule="exact"/>
      </w:pPr>
    </w:p>
    <w:p w14:paraId="3E11BCD6" w14:textId="77777777" w:rsidR="001F7233" w:rsidRDefault="00000000">
      <w:pPr>
        <w:spacing w:after="140"/>
      </w:pPr>
      <w:r>
        <w:t>Wohnortwahl, Flugverbindungen: Kapitel </w:t>
      </w:r>
      <w:hyperlink w:anchor="k12">
        <w:r w:rsidR="001F7233">
          <w:t>12</w:t>
        </w:r>
      </w:hyperlink>
      <w:r>
        <w:t>; Heimweh, Anschluss: Kapitel </w:t>
      </w:r>
      <w:hyperlink w:anchor="k32">
        <w:r w:rsidR="001F7233">
          <w:t>32</w:t>
        </w:r>
      </w:hyperlink>
      <w:r>
        <w:t xml:space="preserve"> und </w:t>
      </w:r>
      <w:hyperlink w:anchor="k33">
        <w:r w:rsidR="001F7233">
          <w:t>33</w:t>
        </w:r>
      </w:hyperlink>
      <w:r>
        <w:t>.</w:t>
      </w:r>
    </w:p>
    <w:p w14:paraId="4986401F" w14:textId="77777777" w:rsidR="001F7233" w:rsidRDefault="001F7233">
      <w:pPr>
        <w:spacing w:line="220" w:lineRule="exact"/>
      </w:pPr>
    </w:p>
    <w:p w14:paraId="3E56D20F" w14:textId="77777777" w:rsidR="001F7233" w:rsidRDefault="001F7233">
      <w:pPr>
        <w:spacing w:line="220" w:lineRule="exact"/>
      </w:pPr>
    </w:p>
    <w:p w14:paraId="23C5596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profitiert, wer nicht</w:t>
      </w:r>
    </w:p>
    <w:p w14:paraId="650370A0" w14:textId="77777777" w:rsidR="001F7233" w:rsidRDefault="00000000">
      <w:pPr>
        <w:spacing w:after="140"/>
      </w:pPr>
      <w:r>
        <w:t>Weniger geeignet ist der Schritt für alle, die planbare Sicherheit höher gewichten als Gehalt. Wer chronisch erkrankt und auf ein planbares Gesundheitssystem angewiesen ist, pflegebedürftige Eltern in Deutschland hat, Kündigungsschutz und mehrere Wochen Urlaub nicht missen will oder sich schwertut, ohne enges soziales Netz neu anzufangen, sollte besonders kritisch rechnen (Kapitel </w:t>
      </w:r>
      <w:hyperlink w:anchor="k3">
        <w:r w:rsidR="001F7233">
          <w:t>3</w:t>
        </w:r>
      </w:hyperlink>
      <w:r>
        <w:t>). Familien mit Teenagern kurz vor dem Schulabschluss sollten zusätzlich den Umzugszeitpunkt genau prüfen (Kapitel </w:t>
      </w:r>
      <w:hyperlink w:anchor="k36">
        <w:r w:rsidR="001F7233">
          <w:t>36</w:t>
        </w:r>
      </w:hyperlink>
      <w:r>
        <w:t>). Wer nur wegen einer einzelnen Chance geht, ohne Plan B, sollte sich außerdem vorher fragen, wie er auf einen Stellenabbau reagiert (Kapitel </w:t>
      </w:r>
      <w:hyperlink w:anchor="k30">
        <w:r w:rsidR="001F7233">
          <w:t>30</w:t>
        </w:r>
      </w:hyperlink>
      <w:r>
        <w:t>).</w:t>
      </w:r>
    </w:p>
    <w:p w14:paraId="50048A68" w14:textId="77777777" w:rsidR="001F7233" w:rsidRDefault="00000000">
      <w:pPr>
        <w:pStyle w:val="Heading3"/>
        <w:keepNext/>
        <w:spacing w:line="341" w:lineRule="auto"/>
        <w:jc w:val="center"/>
      </w:pPr>
      <w:r>
        <w:t>Was du aus Deutschland vermissen könntest – und was vielleicht nicht</w:t>
      </w:r>
    </w:p>
    <w:p w14:paraId="593EA147" w14:textId="77777777" w:rsidR="001F7233" w:rsidRDefault="00000000">
      <w:pPr>
        <w:spacing w:after="140"/>
      </w:pPr>
      <w:r>
        <w:t>Eine repräsentative Umfrage dazu gibt es nicht, aber die Themen, die sich durch praktisch jedes Kapitel dieses Buches ziehen, zeichnen ein klares Bild. Am häufigsten genannt wird die Verlässlichkeit des deutschen Sozialstaats: gesetzliche Krankenversicherung ohne Selbstbehalt, Kündigungsschutz, mehrere Wochen bezahlter Urlaub. Dicht dahinter folgen echte, tief gewachsene Freundschaften. Amerikanische Freundlichkeit ist real, bleibt aber oft an der Oberfläche, und ein „We should get together sometime” ist selten wörtlich gemeint (Kapitel </w:t>
      </w:r>
      <w:hyperlink w:anchor="k31">
        <w:r w:rsidR="001F7233">
          <w:t>31</w:t>
        </w:r>
      </w:hyperlink>
      <w:r>
        <w:t>, Kapitel </w:t>
      </w:r>
      <w:hyperlink w:anchor="k32">
        <w:r w:rsidR="001F7233">
          <w:t>32</w:t>
        </w:r>
      </w:hyperlink>
      <w:r>
        <w:t>). Viele vermissen außerdem die kurzen Wege eines Alltags ohne Auto und schlicht die räumliche Nähe zu Eltern und Geschwistern. Diese Nähe fehlt bei Krankheit, an Feiertagen oder an einem gewöhnlichen Sonntag – dem spontanen Kaffee und Kuchen bei den Eltern, für den in den USA erst ein Flug gebucht werden müsste. Wer das vorher weiß, kann gezielt gegensteuern: mit Videoanrufen, geplanten Besuchen, einer deutschsprachigen Community vor Ort (Kapitel </w:t>
      </w:r>
      <w:hyperlink w:anchor="k32">
        <w:r w:rsidR="001F7233">
          <w:t>32</w:t>
        </w:r>
      </w:hyperlink>
      <w:r>
        <w:t>) und einer realistischen Erwartung an die erste Zeit (Kapitel </w:t>
      </w:r>
      <w:hyperlink w:anchor="k33">
        <w:r w:rsidR="001F7233">
          <w:t>33</w:t>
        </w:r>
      </w:hyperlink>
      <w:r>
        <w:t>).</w:t>
      </w:r>
    </w:p>
    <w:p w14:paraId="52BE1767" w14:textId="77777777" w:rsidR="001F7233" w:rsidRDefault="00000000">
      <w:r>
        <w:rPr>
          <w:b/>
        </w:rPr>
        <w:lastRenderedPageBreak/>
        <w:t xml:space="preserve">MERKE: </w:t>
      </w:r>
    </w:p>
    <w:p w14:paraId="6194B8DC" w14:textId="77777777" w:rsidR="001F7233" w:rsidRDefault="00000000">
      <w:r>
        <w:t>• Keine der beiden Seiten dieser Bilanz ist meist richtig oder falsch. Wichtig ist, welches Risiko du eingehen willst: das deutsche Risiko eines flacheren Einkommens oder das amerikanische Risiko eines dünneren Auffangnetzes.</w:t>
      </w:r>
    </w:p>
    <w:p w14:paraId="2184C616" w14:textId="77777777" w:rsidR="001F7233" w:rsidRDefault="001F7233">
      <w:pPr>
        <w:spacing w:line="220" w:lineRule="exact"/>
      </w:pPr>
    </w:p>
    <w:p w14:paraId="7DAFFEA0" w14:textId="77777777" w:rsidR="001F7233" w:rsidRDefault="00000000">
      <w:r>
        <w:t>Was du sicher nicht vermissen wirst, lässt sich nicht seriös vorhersagen. Manche schätzen Wohnraum, Auswahl und längere Öffnungszeiten. Andere vermissen kurze Wege, den Bahnalltag und vertraute soziale Routinen. Entscheide deshalb an der konkreten Zieladresse: Teste Arbeitsweg, Einkauf und Arztweg, bevor du dich langfristig bindest.</w:t>
      </w:r>
    </w:p>
    <w:p w14:paraId="63C828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amerikanische Traum: nüchtern betrachtet</w:t>
      </w:r>
    </w:p>
    <w:p w14:paraId="10CC5122" w14:textId="77777777" w:rsidR="001F7233" w:rsidRDefault="00000000">
      <w:pPr>
        <w:spacing w:after="140"/>
      </w:pPr>
      <w:r>
        <w:t>„Der amerikanische Traum” steht für das Versprechen, dass Leistung und Fleiß über die Herkunft entscheiden, nicht Startvorteile. Für gut ausgebildete Einwanderer mit Arbeitgeber-Sponsoring hat es einen realen Kern: Der Weg über Arbeitsvisum, Green Card oder Studium funktioniert, und jedes Jahr kommen zahlreiche deutsche und andere Fachkräfte genau so ins Land. Viele verdienen und steigen dabei schneller auf, als es in Deutschland üblich wäre (Kapitel </w:t>
      </w:r>
      <w:hyperlink w:anchor="k5">
        <w:r w:rsidR="001F7233">
          <w:t>5</w:t>
        </w:r>
      </w:hyperlink>
      <w:r>
        <w:t xml:space="preserve"> bis </w:t>
      </w:r>
      <w:hyperlink w:anchor="k9">
        <w:r w:rsidR="001F7233">
          <w:t>9</w:t>
        </w:r>
      </w:hyperlink>
      <w:r>
        <w:t>).</w:t>
      </w:r>
    </w:p>
    <w:p w14:paraId="09513D40" w14:textId="77777777" w:rsidR="001F7233" w:rsidRDefault="00000000">
      <w:pPr>
        <w:spacing w:after="140"/>
      </w:pPr>
      <w:r>
        <w:t>Der nüchterne Teil der Bilanz: Individualismus und Optimismus prägen die Gesellschaft. Das bedeutet aber auch, dass der Staat weniger auffängt als in Deutschland – bei Krankheit, Arbeitslosigkeit oder im Ruhestand bist du stärker auf dich selbst gestellt (Kapitel </w:t>
      </w:r>
      <w:hyperlink w:anchor="k31">
        <w:r w:rsidR="001F7233">
          <w:t>31</w:t>
        </w:r>
      </w:hyperlink>
      <w:r>
        <w:t>, Kapitel </w:t>
      </w:r>
      <w:hyperlink w:anchor="k39">
        <w:r w:rsidR="001F7233">
          <w:t>39</w:t>
        </w:r>
      </w:hyperlink>
      <w:r>
        <w:t>). Der amerikanische Traum ist damit weder Marketing noch Mythos, sondern ein reales Angebot mit realem Preis: mehr Chance, aber auch mehr eigenes Risiko.</w:t>
      </w:r>
    </w:p>
    <w:p w14:paraId="0CA787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ehrliche Bilanz: Was für die USA spricht und was dagegen</w:t>
      </w:r>
    </w:p>
    <w:p w14:paraId="11F516E1" w14:textId="77777777" w:rsidR="001F7233" w:rsidRDefault="00000000">
      <w:r>
        <w:rPr>
          <w:b/>
        </w:rPr>
        <w:t>Plus: Deutlich höhere Gehälter und schnellerer beruflicher Aufstieg</w:t>
      </w:r>
    </w:p>
    <w:p w14:paraId="027B73B5" w14:textId="77777777" w:rsidR="001F7233" w:rsidRDefault="00000000">
      <w:r>
        <w:rPr>
          <w:b/>
        </w:rPr>
        <w:t xml:space="preserve">Minus: </w:t>
      </w:r>
      <w:r>
        <w:t>Kein Kündigungsschutz; bei Arbeitsvisum hängt der Aufenthalt am Job</w:t>
      </w:r>
    </w:p>
    <w:p w14:paraId="5512A28C" w14:textId="77777777" w:rsidR="001F7233" w:rsidRDefault="00000000">
      <w:r>
        <w:rPr>
          <w:b/>
        </w:rPr>
        <w:t>Plus: Niedrigere Einstiegssteuern, acht Staaten ganz ohne Einkommensteuer</w:t>
      </w:r>
    </w:p>
    <w:p w14:paraId="46F2ACC1" w14:textId="77777777" w:rsidR="001F7233" w:rsidRDefault="00000000">
      <w:r>
        <w:rPr>
          <w:b/>
        </w:rPr>
        <w:t xml:space="preserve">Minus: </w:t>
      </w:r>
      <w:r>
        <w:t>Krankenversicherung hängt am Arbeitgeber, mit Lücke am Anfang</w:t>
      </w:r>
    </w:p>
    <w:p w14:paraId="66DA3510" w14:textId="77777777" w:rsidR="001F7233" w:rsidRDefault="00000000">
      <w:r>
        <w:rPr>
          <w:b/>
        </w:rPr>
        <w:t>Plus: Mehr und oft günstigerer Wohnraum außerhalb der Küstenmetropolen</w:t>
      </w:r>
    </w:p>
    <w:p w14:paraId="5C32958E" w14:textId="77777777" w:rsidR="001F7233" w:rsidRDefault="00000000">
      <w:r>
        <w:rPr>
          <w:b/>
        </w:rPr>
        <w:t xml:space="preserve">Minus: </w:t>
      </w:r>
      <w:r>
        <w:t>Kaufkosten von rund 10 % erschweren einen schnellen Wiederverkauf</w:t>
      </w:r>
    </w:p>
    <w:p w14:paraId="1BA05443" w14:textId="77777777" w:rsidR="001F7233" w:rsidRDefault="00000000">
      <w:r>
        <w:rPr>
          <w:b/>
        </w:rPr>
        <w:t>Plus: Kostenlose, gute öffentliche Schulen mit großer Kurswahl</w:t>
      </w:r>
    </w:p>
    <w:p w14:paraId="70CD427D" w14:textId="77777777" w:rsidR="001F7233" w:rsidRDefault="00000000">
      <w:r>
        <w:rPr>
          <w:b/>
        </w:rPr>
        <w:t xml:space="preserve">Minus: </w:t>
      </w:r>
      <w:r>
        <w:t>Schulqualität hängt am Wohnort; nur 10–12 Wochen Ferienbetreuung</w:t>
      </w:r>
    </w:p>
    <w:p w14:paraId="0D7C9F70" w14:textId="77777777" w:rsidR="001F7233" w:rsidRDefault="00000000">
      <w:r>
        <w:rPr>
          <w:b/>
        </w:rPr>
        <w:t>Plus: Offene, freundliche Alltagskultur und großes Ehrenamt</w:t>
      </w:r>
    </w:p>
    <w:p w14:paraId="00FD4011" w14:textId="77777777" w:rsidR="001F7233" w:rsidRDefault="00000000">
      <w:r>
        <w:rPr>
          <w:b/>
        </w:rPr>
        <w:t xml:space="preserve">Minus: </w:t>
      </w:r>
      <w:r>
        <w:t>Politische Polarisierung, 50 unterschiedliche Rechtsordnungen</w:t>
      </w:r>
    </w:p>
    <w:p w14:paraId="0E8F7E62" w14:textId="77777777" w:rsidR="001F7233" w:rsidRDefault="00000000">
      <w:r>
        <w:rPr>
          <w:b/>
        </w:rPr>
        <w:t>Plus: Große klimatische und landschaftliche Vielfalt</w:t>
      </w:r>
    </w:p>
    <w:p w14:paraId="31F01D8A" w14:textId="77777777" w:rsidR="001F7233" w:rsidRDefault="00000000">
      <w:r>
        <w:rPr>
          <w:b/>
        </w:rPr>
        <w:t xml:space="preserve">Minus: </w:t>
      </w:r>
      <w:r>
        <w:t>Naturgefahren und Versicherungskosten regional sehr hoch</w:t>
      </w:r>
    </w:p>
    <w:p w14:paraId="63AA155A" w14:textId="77777777" w:rsidR="001F7233" w:rsidRDefault="00000000">
      <w:r>
        <w:rPr>
          <w:b/>
        </w:rPr>
        <w:t>Plus: Direktflüge und deutsche Communitys in großen Metropolregionen</w:t>
      </w:r>
    </w:p>
    <w:p w14:paraId="0F021A91" w14:textId="77777777" w:rsidR="001F7233" w:rsidRDefault="00000000">
      <w:r>
        <w:rPr>
          <w:b/>
        </w:rPr>
        <w:t xml:space="preserve">Minus: </w:t>
      </w:r>
      <w:r>
        <w:t>8–11 Stunden Distanz zur Familie, kaum spontane Besuche</w:t>
      </w:r>
    </w:p>
    <w:p w14:paraId="5EC1E804" w14:textId="77777777" w:rsidR="001F7233" w:rsidRDefault="001F7233">
      <w:pPr>
        <w:spacing w:line="180" w:lineRule="exact"/>
      </w:pPr>
    </w:p>
    <w:p w14:paraId="4FEEDC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984C504" w14:textId="77777777" w:rsidR="001F7233" w:rsidRDefault="00000000">
      <w:pPr>
        <w:spacing w:after="140"/>
      </w:pPr>
      <w:r>
        <w:t>Nutze diese Bilanz als Startpunkt, nicht als Endergebnis. Trage deine eigenen Zahlen in das Rechenmodell aus Kapitel </w:t>
      </w:r>
      <w:hyperlink w:anchor="k3">
        <w:r w:rsidR="001F7233">
          <w:t>3</w:t>
        </w:r>
      </w:hyperlink>
      <w:r>
        <w:t xml:space="preserve"> ein, bevor du eine </w:t>
      </w:r>
      <w:r>
        <w:lastRenderedPageBreak/>
        <w:t>Zusage unterschreibst. Sprich außerdem mit deinem Partner oder deiner Partnerin offen über die Punkte, die für euch am schwersten wiegen – das ist selten dieselbe Reihenfolge wie bei einer allgemeinen Liste. Plane von Anfang an mit der Möglichkeit, dass sich die Bilanz nach ein paar Jahren ändert: durch Stellenwechsel, Green Card oder auch die Entscheidung, zurückzukehren (Kapitel </w:t>
      </w:r>
      <w:hyperlink w:anchor="k42">
        <w:r w:rsidR="001F7233">
          <w:t>42</w:t>
        </w:r>
      </w:hyperlink>
      <w:r>
        <w:t>).</w:t>
      </w:r>
    </w:p>
    <w:p w14:paraId="1586F9A8" w14:textId="77777777" w:rsidR="001F7233" w:rsidRDefault="00000000">
      <w:r>
        <w:t xml:space="preserve">• Eigene Zahlen für Gehalt, Steuern, Krankenversicherung und Wohnkosten mit dem Rechenmodell aus </w:t>
      </w:r>
      <w:hyperlink w:anchor="k3">
        <w:r w:rsidR="001F7233">
          <w:rPr>
            <w:color w:val="0563C1"/>
            <w:u w:val="single"/>
          </w:rPr>
          <w:t>Kapitel 3</w:t>
        </w:r>
      </w:hyperlink>
      <w:r>
        <w:t xml:space="preserve"> durchgerechnet</w:t>
      </w:r>
    </w:p>
    <w:p w14:paraId="76245547" w14:textId="77777777" w:rsidR="001F7233" w:rsidRDefault="00000000">
      <w:r>
        <w:t>• Mit Partner oder Familie die drei wichtigsten Plus- und die drei wichtigsten Minuspunkte persönlich gewichtet</w:t>
      </w:r>
    </w:p>
    <w:p w14:paraId="6AE88E49" w14:textId="77777777" w:rsidR="001F7233" w:rsidRDefault="00000000">
      <w:r>
        <w:t>• Geprüft, ob und über welchen Weg der Arbeitgeber ein Visum sponsert (</w:t>
      </w:r>
      <w:hyperlink w:anchor="k4">
        <w:r w:rsidR="001F7233">
          <w:rPr>
            <w:color w:val="0563C1"/>
            <w:u w:val="single"/>
          </w:rPr>
          <w:t>Kapitel 4</w:t>
        </w:r>
      </w:hyperlink>
      <w:r>
        <w:t xml:space="preserve"> und 5)</w:t>
      </w:r>
    </w:p>
    <w:p w14:paraId="76A76C58" w14:textId="77777777" w:rsidR="001F7233" w:rsidRDefault="00000000">
      <w:r>
        <w:t>• Die Lücke bei der Krankenversicherung nach der Landung realistisch eingeplant (</w:t>
      </w:r>
      <w:hyperlink w:anchor="k26">
        <w:r w:rsidR="001F7233">
          <w:rPr>
            <w:color w:val="0563C1"/>
            <w:u w:val="single"/>
          </w:rPr>
          <w:t>Kapitel 26</w:t>
        </w:r>
      </w:hyperlink>
      <w:r>
        <w:t>)</w:t>
      </w:r>
    </w:p>
    <w:p w14:paraId="0FF4667B" w14:textId="77777777" w:rsidR="001F7233" w:rsidRDefault="00000000">
      <w:r>
        <w:t>• Wohnort und Schulbezirk vorläufig recherchiert, bevor Jobangebote verglichen werden (</w:t>
      </w:r>
      <w:hyperlink w:anchor="k12">
        <w:r w:rsidR="001F7233">
          <w:rPr>
            <w:color w:val="0563C1"/>
            <w:u w:val="single"/>
          </w:rPr>
          <w:t>Kapitel 12</w:t>
        </w:r>
      </w:hyperlink>
      <w:r>
        <w:t xml:space="preserve">, </w:t>
      </w:r>
      <w:hyperlink w:anchor="k36">
        <w:r w:rsidR="001F7233">
          <w:rPr>
            <w:color w:val="0563C1"/>
            <w:u w:val="single"/>
          </w:rPr>
          <w:t>Kapitel 36</w:t>
        </w:r>
      </w:hyperlink>
      <w:r>
        <w:t>)</w:t>
      </w:r>
    </w:p>
    <w:p w14:paraId="2E0C2F90" w14:textId="77777777" w:rsidR="001F7233" w:rsidRDefault="00000000">
      <w:r>
        <w:t>• Geklärt, wie oft und wie schnell Besuche bei der Familie in Deutschland realistisch möglich sind</w:t>
      </w:r>
    </w:p>
    <w:p w14:paraId="2489679A" w14:textId="77777777" w:rsidR="001F7233" w:rsidRDefault="00000000">
      <w:r>
        <w:t>• Überlegt, wie viel Eigenverantwortung bei Gesundheit, Vorsorge und Jobwechsel für dich tragbar ist</w:t>
      </w:r>
    </w:p>
    <w:p w14:paraId="465852F1" w14:textId="77777777" w:rsidR="001F7233" w:rsidRDefault="00000000">
      <w:r>
        <w:t>• Einen ungefähren Zeithorizont für den USA-Aufenthalt festgelegt: einige Jahre, unbefristet oder offen</w:t>
      </w:r>
    </w:p>
    <w:p w14:paraId="4572B2C7" w14:textId="77777777" w:rsidR="001F7233" w:rsidRDefault="001F7233">
      <w:pPr>
        <w:spacing w:line="220" w:lineRule="exact"/>
      </w:pPr>
    </w:p>
    <w:p w14:paraId="5C4164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3AE8FB6" w14:textId="77777777" w:rsidR="001F7233" w:rsidRDefault="00000000">
      <w:pPr>
        <w:pStyle w:val="ListParagraph"/>
        <w:numPr>
          <w:ilvl w:val="0"/>
          <w:numId w:val="1"/>
        </w:numPr>
        <w:spacing w:after="60"/>
      </w:pPr>
      <w:r>
        <w:t>USCIS — Arbeitsvisa im Überblick (</w:t>
      </w:r>
      <w:hyperlink r:id="rId66">
        <w:r w:rsidR="001F7233">
          <w:rPr>
            <w:color w:val="0563C1"/>
            <w:u w:val="single"/>
          </w:rPr>
          <w:t>uscis.gov/working-in-the-united-states</w:t>
        </w:r>
      </w:hyperlink>
      <w:r>
        <w:t>)</w:t>
      </w:r>
    </w:p>
    <w:p w14:paraId="6ACC0B03" w14:textId="77777777" w:rsidR="001F7233" w:rsidRDefault="00000000">
      <w:pPr>
        <w:pStyle w:val="ListParagraph"/>
        <w:numPr>
          <w:ilvl w:val="0"/>
          <w:numId w:val="1"/>
        </w:numPr>
        <w:spacing w:after="60"/>
      </w:pPr>
      <w:r>
        <w:t>IRS — Steuersätze und Standardabzug (</w:t>
      </w:r>
      <w:hyperlink r:id="rId67">
        <w:r w:rsidR="001F7233">
          <w:rPr>
            <w:color w:val="0563C1"/>
            <w:u w:val="single"/>
          </w:rPr>
          <w:t>irs.gov</w:t>
        </w:r>
      </w:hyperlink>
      <w:r>
        <w:t>)</w:t>
      </w:r>
    </w:p>
    <w:p w14:paraId="30CF6063" w14:textId="77777777" w:rsidR="001F7233" w:rsidRDefault="001F7233">
      <w:pPr>
        <w:pStyle w:val="ListParagraph"/>
        <w:numPr>
          <w:ilvl w:val="0"/>
          <w:numId w:val="1"/>
        </w:numPr>
        <w:spacing w:after="60"/>
      </w:pPr>
      <w:hyperlink r:id="rId68">
        <w:r>
          <w:rPr>
            <w:color w:val="0563C1"/>
            <w:u w:val="single"/>
          </w:rPr>
          <w:t>healthcare.gov</w:t>
        </w:r>
      </w:hyperlink>
      <w:r>
        <w:t xml:space="preserve"> — Krankenversicherung und Marktplatz</w:t>
      </w:r>
    </w:p>
    <w:p w14:paraId="1EB177D4" w14:textId="77777777" w:rsidR="001F7233" w:rsidRDefault="00000000">
      <w:pPr>
        <w:pStyle w:val="ListParagraph"/>
        <w:numPr>
          <w:ilvl w:val="0"/>
          <w:numId w:val="1"/>
        </w:numPr>
        <w:spacing w:after="60"/>
      </w:pPr>
      <w:r>
        <w:t>Weltbank / UNODC — Kriminalstatistik im Ländervergleich (</w:t>
      </w:r>
      <w:hyperlink r:id="rId69">
        <w:r w:rsidR="001F7233">
          <w:rPr>
            <w:color w:val="0563C1"/>
            <w:u w:val="single"/>
          </w:rPr>
          <w:t>data.worldbank.org</w:t>
        </w:r>
      </w:hyperlink>
      <w:r>
        <w:t>, Suche: intentional homicides)</w:t>
      </w:r>
    </w:p>
    <w:p w14:paraId="194ECCE5" w14:textId="77777777" w:rsidR="001F7233" w:rsidRDefault="00000000">
      <w:pPr>
        <w:pStyle w:val="ListParagraph"/>
        <w:numPr>
          <w:ilvl w:val="0"/>
          <w:numId w:val="1"/>
        </w:numPr>
        <w:spacing w:after="60"/>
      </w:pPr>
      <w:r>
        <w:lastRenderedPageBreak/>
        <w:t>Bureau of Labor Statistics — Gehälter und Berufsausblick (</w:t>
      </w:r>
      <w:hyperlink r:id="rId70">
        <w:r w:rsidR="001F7233">
          <w:rPr>
            <w:color w:val="0563C1"/>
            <w:u w:val="single"/>
          </w:rPr>
          <w:t>bls.gov/oes</w:t>
        </w:r>
      </w:hyperlink>
      <w:r>
        <w:t>)</w:t>
      </w:r>
    </w:p>
    <w:p w14:paraId="7F172E9A" w14:textId="77777777" w:rsidR="001F7233" w:rsidRDefault="00000000">
      <w:pPr>
        <w:pStyle w:val="ListParagraph"/>
        <w:numPr>
          <w:ilvl w:val="0"/>
          <w:numId w:val="1"/>
        </w:numPr>
        <w:spacing w:after="60"/>
      </w:pPr>
      <w:r>
        <w:t>Freddie Mac — Hypothekenzinsen (</w:t>
      </w:r>
      <w:hyperlink r:id="rId71">
        <w:r w:rsidR="001F7233">
          <w:rPr>
            <w:color w:val="0563C1"/>
            <w:u w:val="single"/>
          </w:rPr>
          <w:t>freddiemac.com/pmms</w:t>
        </w:r>
      </w:hyperlink>
      <w:r>
        <w:t>)</w:t>
      </w:r>
    </w:p>
    <w:p w14:paraId="3763B9BD" w14:textId="77777777" w:rsidR="001F7233" w:rsidRDefault="001F7233">
      <w:pPr>
        <w:spacing w:line="120" w:lineRule="exact"/>
      </w:pPr>
    </w:p>
    <w:p w14:paraId="07D961CD" w14:textId="77777777" w:rsidR="001F7233" w:rsidRDefault="00000000">
      <w:r>
        <w:t>• Quellen- und Datenstand: September 2026; Redaktionsschluss: Oktober 2026. Diese Bilanz beruht auf den Zahlen der Faktenblätter und der bereits vorliegenden Kapitel, Datenstand September 2026. Am schnellsten ändern sich: die Gebühren und das Losverfahren beim H-1B (</w:t>
      </w:r>
      <w:hyperlink w:anchor="k5">
        <w:r w:rsidR="001F7233">
          <w:t>Kapitel 5</w:t>
        </w:r>
      </w:hyperlink>
      <w:r>
        <w:t>), die Krankenversicherungs-Zuschüsse ab 2027 (</w:t>
      </w:r>
      <w:hyperlink w:anchor="k26">
        <w:r w:rsidR="001F7233">
          <w:t>Kapitel 26</w:t>
        </w:r>
      </w:hyperlink>
      <w:r>
        <w:t>), die Hypothekenzinsen (</w:t>
      </w:r>
      <w:hyperlink w:anchor="k14">
        <w:r w:rsidR="001F7233">
          <w:t>Kapitel 14</w:t>
        </w:r>
      </w:hyperlink>
      <w:r>
        <w:t>) und die politische Lage rund um Einwanderung. Prüfe vor einer Entscheidung die aktuellen Zahlen im jeweiligen Vertiefungskapitel.</w:t>
      </w:r>
    </w:p>
    <w:p w14:paraId="3989BCA8" w14:textId="77777777" w:rsidR="001F7233" w:rsidRDefault="00000000">
      <w:pPr>
        <w:spacing w:line="220" w:lineRule="exact"/>
      </w:pPr>
      <w:r>
        <w:br w:type="page"/>
      </w:r>
    </w:p>
    <w:p w14:paraId="741741EF" w14:textId="77777777" w:rsidR="001F7233" w:rsidRDefault="00000000">
      <w:pPr>
        <w:pStyle w:val="Heading2"/>
        <w:keepNext/>
        <w:spacing w:line="341" w:lineRule="auto"/>
        <w:jc w:val="center"/>
      </w:pPr>
      <w:bookmarkStart w:id="19" w:name="k2"/>
      <w:r>
        <w:rPr>
          <w:rFonts w:ascii="Amazon Ember" w:eastAsia="Amazon Ember" w:hAnsi="Amazon Ember" w:cs="Amazon Ember"/>
          <w:color w:val="0000FF"/>
          <w:sz w:val="36"/>
          <w:szCs w:val="36"/>
        </w:rPr>
        <w:lastRenderedPageBreak/>
        <w:t>Kapitel 2: Die 25 größten Fallen</w:t>
      </w:r>
      <w:bookmarkEnd w:id="19"/>
    </w:p>
    <w:p w14:paraId="3B4963E9" w14:textId="77777777" w:rsidR="001F7233" w:rsidRDefault="00000000">
      <w:pPr>
        <w:spacing w:after="140"/>
      </w:pPr>
      <w:r>
        <w:t>Der Job ist unterschrieben, die Kisten sind bestellt, der Flug gebucht und dann taucht eine Frage auf, an die bisher niemand gedacht hat: Was passiert, wenn der Arbeitgeber kündigt? Wenn das Kind in vier Jahren 21 wird? Wenn die vertraute Waschmaschine einfach an der amerikanischen Steckdose stehen bleibt? Die teuersten Fehler beim Umzug in die USA sind selten exotisch. Sie stehen, gut sichtbar, in den Fachkapiteln dieses Buchs – nur eben verteilt auf vierzig Kapitel. Dieses Kapitel bündelt die 25 Fallen, in die Auswanderer am häufigsten laufen: mit Ursache, Preis und Ausweg.</w:t>
      </w:r>
    </w:p>
    <w:p w14:paraId="098AC5AD" w14:textId="77777777" w:rsidR="001F7233" w:rsidRDefault="00000000">
      <w:r>
        <w:rPr>
          <w:b/>
        </w:rPr>
        <w:t xml:space="preserve">KURZ GESAGT: </w:t>
      </w:r>
    </w:p>
    <w:p w14:paraId="2BCE4422" w14:textId="77777777" w:rsidR="001F7233" w:rsidRDefault="00000000">
      <w:r>
        <w:t>• Die teuersten Fehler beim Umzug in die USA liegen selten im Exotischen, sondern bei Visum, Geld, Wohnen und Familie und stehen im Detail in den Fachkapiteln dieses Buchs.</w:t>
      </w:r>
    </w:p>
    <w:p w14:paraId="23188E5E" w14:textId="77777777" w:rsidR="001F7233" w:rsidRDefault="00000000">
      <w:r>
        <w:t>• Manche Fallen liegen außer deiner Kontrolle (Lotterie, Kündigung, das Age-out der Kinder mit 21), die meisten lassen sich mit Vorlauf entschärfen.</w:t>
      </w:r>
    </w:p>
    <w:p w14:paraId="001A609A" w14:textId="77777777" w:rsidR="001F7233" w:rsidRDefault="00000000">
      <w:r>
        <w:t>• Eine Rücklage, Fristen im Kalender und ein Berater, der beide Länder kennt, verhindern die teuersten Überraschungen.</w:t>
      </w:r>
    </w:p>
    <w:p w14:paraId="0EF8AD1E" w14:textId="77777777" w:rsidR="001F7233" w:rsidRDefault="00000000">
      <w:r>
        <w:t>• Jede der 25 Fallen verweist auf das Kapitel mit dem vollständigen Vorgehen.</w:t>
      </w:r>
    </w:p>
    <w:p w14:paraId="75162213" w14:textId="77777777" w:rsidR="001F7233" w:rsidRDefault="001F7233">
      <w:pPr>
        <w:spacing w:line="220" w:lineRule="exact"/>
      </w:pPr>
    </w:p>
    <w:p w14:paraId="6D263A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Status und Arbeitgeber (Fallen 1–6)</w:t>
      </w:r>
    </w:p>
    <w:p w14:paraId="6EA7DF56" w14:textId="77777777" w:rsidR="001F7233" w:rsidRDefault="00000000">
      <w:pPr>
        <w:pStyle w:val="ListParagraph"/>
        <w:numPr>
          <w:ilvl w:val="0"/>
          <w:numId w:val="4"/>
        </w:numPr>
        <w:spacing w:after="60"/>
      </w:pPr>
      <w:r>
        <w:rPr>
          <w:b/>
          <w:bCs/>
        </w:rPr>
        <w:t xml:space="preserve">Das Visum hängt am Arbeitgeber. Verbreiteter Irrtum: Ein genehmigtes Arbeitsvisum fühlt sich an wie eine langfristige Zusage, im Land bleiben zu dürfen. Tatsächlich sind H-1B, L-1, E-2 und viele andere Arbeitsstatus an die jeweilige Petition und deren Bedingungen gebunden. Ein </w:t>
      </w:r>
      <w:r>
        <w:rPr>
          <w:b/>
          <w:bCs/>
        </w:rPr>
        <w:lastRenderedPageBreak/>
        <w:t xml:space="preserve">Jobverlust bedeutet aber nicht in jedem Fall den sofortigen Statusverlust: Für bestimmte Nichteinwanderer kann USCIS nach eigenem Ermessen eine Nachfrist von bis zu 60 aufeinanderfolgenden Tagen oder bis zum Ende der genehmigten Aufenthaltsdauer gewähren, je nachdem, was früher eintritt. In dieser Nachfrist darfst du nicht allein deshalb weiterarbeiten. Ein neuer Arbeitgeber, Statuswechsel oder Ausreise muss innerhalb der konkret verfügbaren Frist organisiert werden. Baue eine Rücklage auf und kläre mit einer qualifizierten Kanzlei die Optionen, bevor du kündigst (siehe Kapitel </w:t>
      </w:r>
      <w:hyperlink w:anchor="k5">
        <w:r w:rsidR="001F7233">
          <w:t>5</w:t>
        </w:r>
      </w:hyperlink>
      <w:r>
        <w:rPr>
          <w:b/>
          <w:bCs/>
        </w:rPr>
        <w:t xml:space="preserve">, </w:t>
      </w:r>
      <w:hyperlink w:anchor="k9">
        <w:r w:rsidR="001F7233">
          <w:t>9</w:t>
        </w:r>
      </w:hyperlink>
      <w:r>
        <w:rPr>
          <w:b/>
          <w:bCs/>
        </w:rPr>
        <w:t xml:space="preserve"> und </w:t>
      </w:r>
      <w:hyperlink w:anchor="k30">
        <w:r w:rsidR="001F7233">
          <w:t>30</w:t>
        </w:r>
      </w:hyperlink>
      <w:r>
        <w:rPr>
          <w:b/>
          <w:bCs/>
        </w:rPr>
        <w:t>).</w:t>
      </w:r>
    </w:p>
    <w:p w14:paraId="392FEA7E" w14:textId="77777777" w:rsidR="001F7233" w:rsidRDefault="00000000">
      <w:pPr>
        <w:pStyle w:val="ListParagraph"/>
        <w:numPr>
          <w:ilvl w:val="0"/>
          <w:numId w:val="2"/>
        </w:numPr>
        <w:spacing w:after="60"/>
      </w:pPr>
      <w:r>
        <w:rPr>
          <w:b/>
          <w:bCs/>
        </w:rPr>
        <w:t xml:space="preserve">Auswahl- und Kostenrisiko beim H-1B. Der Status ist quotenpflichtig, wenn der Arbeitgeber nicht unter eine Ausnahme fällt. Seit FY 2027 ist die Auswahl lohngewichtet; eine niedrige Lohnstufe hat weniger Chancen, aber keinen automatischen Ausschluss. Die Arbeitgeberregistrierung und die Petition verursachen Kosten, doch die H-1B-Programmkosten dürfen nicht pauschal auf dich verlagert werden; lass Gebühren und Rückzahlungsklauseln vorab schriftlich von einer unabhängigen Fachperson prüfen. Nicht ausgewählt zu werden kann den geplanten Arbeitsbeginn um ein Jahr oder länger verschieben. Frage nach quotenfreien Arbeitgebern und Alternativen wie L-1 oder O-1. Plane außerdem den Fall ein, dass die Auswahl ausbleibt (siehe Kapitel </w:t>
      </w:r>
      <w:hyperlink w:anchor="k5">
        <w:r w:rsidR="001F7233">
          <w:t>5</w:t>
        </w:r>
      </w:hyperlink>
      <w:r>
        <w:rPr>
          <w:b/>
          <w:bCs/>
        </w:rPr>
        <w:t xml:space="preserve"> und </w:t>
      </w:r>
      <w:hyperlink w:anchor="k9">
        <w:r w:rsidR="001F7233">
          <w:t>9</w:t>
        </w:r>
      </w:hyperlink>
      <w:r>
        <w:rPr>
          <w:b/>
          <w:bCs/>
        </w:rPr>
        <w:t>).</w:t>
      </w:r>
    </w:p>
    <w:p w14:paraId="7E43AE2C" w14:textId="77777777" w:rsidR="001F7233" w:rsidRDefault="00000000">
      <w:pPr>
        <w:pStyle w:val="ListParagraph"/>
        <w:numPr>
          <w:ilvl w:val="0"/>
          <w:numId w:val="2"/>
        </w:numPr>
        <w:spacing w:after="60"/>
      </w:pPr>
      <w:r>
        <w:rPr>
          <w:b/>
          <w:bCs/>
        </w:rPr>
        <w:t>Der Partner sitzt ohne Arbeitserlaubnis da.</w:t>
      </w:r>
      <w:r>
        <w:t xml:space="preserve"> Warum das passiert: H-4-Ehepartner dürfen erst arbeiten, wenn eine I-140 genehmigt ist oder der H-1B über sechs Jahre hinaus verlängert wurde. Bei F-2 und O-3 gilt ein generelles Arbeitsverbot. Was es kostet: Jahre ohne eigenes Einkommen, ein Karrierebruch und häufig Einsamkeit, während der Alltag an einem einzigen Gehalt hängt. So vermeidest du es: Rechne das Haushaltsbudget mit nur einem Einkommen und prüfe Cap-exempt-Arbeitgeber mit Programmen für mitreisende Partner. Kläre die Berufslizenz des </w:t>
      </w:r>
      <w:r>
        <w:lastRenderedPageBreak/>
        <w:t>Partners vor der Arbeitserlaubnis und plane die Wartezeit mit Kursen, Ehrenamt und Kontakten (siehe Kapitel </w:t>
      </w:r>
      <w:hyperlink w:anchor="k10">
        <w:r w:rsidR="001F7233">
          <w:t>10</w:t>
        </w:r>
      </w:hyperlink>
      <w:r>
        <w:t xml:space="preserve">, </w:t>
      </w:r>
      <w:hyperlink w:anchor="k32">
        <w:r w:rsidR="001F7233">
          <w:t>32</w:t>
        </w:r>
      </w:hyperlink>
      <w:r>
        <w:t xml:space="preserve"> und </w:t>
      </w:r>
      <w:hyperlink w:anchor="k33">
        <w:r w:rsidR="001F7233">
          <w:t>33</w:t>
        </w:r>
      </w:hyperlink>
      <w:r>
        <w:t>).</w:t>
      </w:r>
    </w:p>
    <w:p w14:paraId="057DDC5A" w14:textId="77777777" w:rsidR="001F7233" w:rsidRDefault="00000000">
      <w:pPr>
        <w:pStyle w:val="ListParagraph"/>
        <w:numPr>
          <w:ilvl w:val="0"/>
          <w:numId w:val="2"/>
        </w:numPr>
        <w:spacing w:after="60"/>
      </w:pPr>
      <w:r>
        <w:rPr>
          <w:b/>
          <w:bCs/>
        </w:rPr>
        <w:t>Kinder werden 21 – das Age-out.</w:t>
      </w:r>
      <w:r>
        <w:t xml:space="preserve"> Warum das passiert: Der abgeleitete Status eines Kindes endet unabhängig vom Green-Card-Verfahren der Eltern exakt am 21. Geburtstag; der </w:t>
      </w:r>
      <w:r>
        <w:rPr>
          <w:i/>
          <w:iCs/>
        </w:rPr>
        <w:t>Child Status Protection Act</w:t>
      </w:r>
      <w:r>
        <w:t xml:space="preserve"> schützt nur die Green-Card-Berechtigung, nicht den H-4. Was es kostet: Ohne rechtzeitigen Statuswechsel, etwa in ein eigenes Studienvisum, verliert das Kind mitten im College seinen rechtmäßigen Aufenthalt. So vermeidest du es: Rechne beim Einreisealter jedes Kindes den 21. Geburtstag aus, besprich den Zeitplan mit der Kanzlei, sobald ein Kind 17 ist, und kläre frühzeitig Alternativen wie ein eigenes F-1-Studium (siehe Kapitel </w:t>
      </w:r>
      <w:hyperlink w:anchor="k10">
        <w:r w:rsidR="001F7233">
          <w:t>10</w:t>
        </w:r>
      </w:hyperlink>
      <w:r>
        <w:t xml:space="preserve"> und </w:t>
      </w:r>
      <w:hyperlink w:anchor="k38">
        <w:r w:rsidR="001F7233">
          <w:t>38</w:t>
        </w:r>
      </w:hyperlink>
      <w:r>
        <w:t>).</w:t>
      </w:r>
    </w:p>
    <w:p w14:paraId="487B20AB" w14:textId="77777777" w:rsidR="001F7233" w:rsidRDefault="00000000">
      <w:pPr>
        <w:pStyle w:val="ListParagraph"/>
        <w:numPr>
          <w:ilvl w:val="0"/>
          <w:numId w:val="2"/>
        </w:numPr>
        <w:spacing w:after="60"/>
      </w:pPr>
      <w:r>
        <w:rPr>
          <w:b/>
          <w:bCs/>
        </w:rPr>
        <w:t>Green-Card-Wartezeiten werden unterschätzt.</w:t>
      </w:r>
      <w:r>
        <w:t xml:space="preserve"> Warum das passiert: Der Regelweg über den Arbeitgeber durchläuft Arbeitsmarktprüfung, Petition und Statusanpassung. Allein die PERM-Phase dauert rund 2,5–4,5 Jahre, und Selbstpetitionen wie NIW oder EB-1A werden nur zu rund 41 bis 49 % genehmigt. Was es kostet: Wer die Green Card einplant, etwa für einen Hauskauf oder die Berufslizenz des Partners, verschiebt Entscheidungen um Jahre, wenn das Verfahren länger dauert als gedacht. So vermeidest du es: Plane dein Leben zunächst so, als bliebe der befristete Status dauerhaft, und starte das Verfahren früh über den Arbeitgeber. Beobachte zudem dein Herkunftsland im monatlichen Visa Bulletin (siehe Kapitel </w:t>
      </w:r>
      <w:hyperlink w:anchor="k6">
        <w:r w:rsidR="001F7233">
          <w:t>6</w:t>
        </w:r>
      </w:hyperlink>
      <w:r>
        <w:t xml:space="preserve"> und </w:t>
      </w:r>
      <w:hyperlink w:anchor="k7">
        <w:r w:rsidR="001F7233">
          <w:t>7</w:t>
        </w:r>
      </w:hyperlink>
      <w:r>
        <w:t>).</w:t>
      </w:r>
    </w:p>
    <w:p w14:paraId="36A10DE6" w14:textId="77777777" w:rsidR="001F7233" w:rsidRDefault="00000000">
      <w:pPr>
        <w:pStyle w:val="ListParagraph"/>
        <w:numPr>
          <w:ilvl w:val="0"/>
          <w:numId w:val="2"/>
        </w:numPr>
        <w:spacing w:after="60"/>
      </w:pPr>
      <w:r>
        <w:rPr>
          <w:b/>
          <w:bCs/>
        </w:rPr>
        <w:t>Kein Kündigungsschutz, dafür eine scharfe 60-Tage-Frist.</w:t>
      </w:r>
      <w:r>
        <w:t xml:space="preserve"> Warum das passiert: In den USA gilt fast überall </w:t>
      </w:r>
      <w:r>
        <w:rPr>
          <w:i/>
          <w:iCs/>
        </w:rPr>
        <w:t>At-will Employment</w:t>
      </w:r>
      <w:r>
        <w:t xml:space="preserve">. Beide Seiten können das Arbeitsverhältnis fristlos und ohne Grund beenden, ein Kündigungsschutzgesetz wie in Deutschland gibt es nicht. Der Abschied kann ähnlich schnell kommen, wie die Begrüßung freundlich war. Was es kostet: Ein </w:t>
      </w:r>
      <w:r>
        <w:rPr>
          <w:i/>
          <w:iCs/>
        </w:rPr>
        <w:t>Performance Improvement Plan</w:t>
      </w:r>
      <w:r>
        <w:t xml:space="preserve"> bereitet eine Kündigung oft nur vor, verhindert sie nicht, und mit dem Visum läuft parallel die </w:t>
      </w:r>
      <w:r>
        <w:lastRenderedPageBreak/>
        <w:t>60-Tage-Frist aus Falle 1 – zwei Uhren gleichzeitig. So vermeidest du es: Verstehe ein Angebotsschreiben nie als Jobgarantie, sichere dich mit einer Rücklage ab, und dokumentiere Probleme am Arbeitsplatz frühzeitig schriftlich (siehe Kapitel </w:t>
      </w:r>
      <w:hyperlink w:anchor="k29">
        <w:r w:rsidR="001F7233">
          <w:t>29</w:t>
        </w:r>
      </w:hyperlink>
      <w:r>
        <w:t xml:space="preserve"> und </w:t>
      </w:r>
      <w:hyperlink w:anchor="k30">
        <w:r w:rsidR="001F7233">
          <w:t>30</w:t>
        </w:r>
      </w:hyperlink>
      <w:r>
        <w:t>).</w:t>
      </w:r>
    </w:p>
    <w:p w14:paraId="5B9EF8DC" w14:textId="77777777" w:rsidR="001F7233" w:rsidRDefault="001F7233">
      <w:pPr>
        <w:spacing w:line="120" w:lineRule="exact"/>
      </w:pPr>
    </w:p>
    <w:p w14:paraId="7CBDF49F" w14:textId="77777777" w:rsidR="001F7233" w:rsidRDefault="00000000">
      <w:r>
        <w:rPr>
          <w:b/>
        </w:rPr>
        <w:t xml:space="preserve">ACHTUNG: </w:t>
      </w:r>
    </w:p>
    <w:p w14:paraId="1E5E7CC3" w14:textId="77777777" w:rsidR="001F7233" w:rsidRDefault="00000000">
      <w:r>
        <w:t>• Zähle bei Falle 4 nicht das Kalenderjahr, sondern den genauen Geburtstag. Wer mit 19 einreist, hat nur zwei Jahre bis zum Age-out, nicht drei. Verzögerungen im Green-Card-Verfahren verschieben den Stichtag nicht. Trage das Datum ein, sobald das Visum feststeht, nicht erst kurz vorher.</w:t>
      </w:r>
    </w:p>
    <w:p w14:paraId="29E50834" w14:textId="77777777" w:rsidR="001F7233" w:rsidRDefault="001F7233">
      <w:pPr>
        <w:spacing w:line="220" w:lineRule="exact"/>
      </w:pPr>
    </w:p>
    <w:p w14:paraId="527871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Steuern und Vorsorge (Fallen 7–11)</w:t>
      </w:r>
    </w:p>
    <w:p w14:paraId="71AE024A" w14:textId="77777777" w:rsidR="001F7233" w:rsidRDefault="00000000">
      <w:pPr>
        <w:pStyle w:val="ListParagraph"/>
        <w:numPr>
          <w:ilvl w:val="0"/>
          <w:numId w:val="5"/>
        </w:numPr>
        <w:spacing w:after="60"/>
      </w:pPr>
      <w:r>
        <w:rPr>
          <w:b/>
          <w:bCs/>
        </w:rPr>
        <w:t>Doppelbesteuerung, FBAR und die PFIC-Falle.</w:t>
      </w:r>
      <w:r>
        <w:t xml:space="preserve"> Warum das passiert: Sobald du als US-Steueransässiger giltst – durch Green Card oder den Tage-Test, unabhängig vom Visum –, zählt dein weltweites Einkommen. Deutsche Fonds und ETFs werden dabei zur hoch besteuerten </w:t>
      </w:r>
      <w:r>
        <w:rPr>
          <w:i/>
          <w:iCs/>
        </w:rPr>
        <w:t>Passive Foreign Investment Company</w:t>
      </w:r>
      <w:r>
        <w:t xml:space="preserve"> (PFIC). Was es kostet: Auslandskonten über 10.000 $ müssen jährlich per FBAR gemeldet werden, Strafen reichen bis in den sechsstelligen Bereich; PFIC-Erträge werden zum Höchstsatz plus Zinsen nachversteuert. So vermeidest du es: Verkaufe deutsche Fondssparpläne vor dem steuerlichen Zuzug, liste alle Konten mit Höchstständen auf, und investiere danach nur noch in US-Fonds (siehe Kapitel </w:t>
      </w:r>
      <w:hyperlink w:anchor="k17">
        <w:r w:rsidR="001F7233">
          <w:t>17</w:t>
        </w:r>
      </w:hyperlink>
      <w:r>
        <w:t xml:space="preserve"> und </w:t>
      </w:r>
      <w:hyperlink w:anchor="k28">
        <w:r w:rsidR="001F7233">
          <w:t>28</w:t>
        </w:r>
      </w:hyperlink>
      <w:r>
        <w:t>).</w:t>
      </w:r>
    </w:p>
    <w:p w14:paraId="3B9AC82B" w14:textId="77777777" w:rsidR="001F7233" w:rsidRDefault="00000000">
      <w:pPr>
        <w:pStyle w:val="ListParagraph"/>
        <w:numPr>
          <w:ilvl w:val="0"/>
          <w:numId w:val="2"/>
        </w:numPr>
        <w:spacing w:after="60"/>
      </w:pPr>
      <w:r>
        <w:rPr>
          <w:b/>
          <w:bCs/>
        </w:rPr>
        <w:t>Die Riester-Falle – differenzierter, als der Name klingt.</w:t>
      </w:r>
      <w:r>
        <w:t xml:space="preserve"> Warum das passiert: Viele Auswanderer fürchten, der Wegzug löse automatisch eine Rückzahlung der Riester-Zulagen aus. Tatsächlich läuft ein bestehender Vertrag während der Ansparphase unbeschränkt weiter, ohne sofortige Folgen. Was </w:t>
      </w:r>
      <w:r>
        <w:lastRenderedPageBreak/>
        <w:t>es kostet: Kritisch wird es erst in der Auszahlungsphase. Wohnst du dann außerhalb der EU und des EWR, muss der Anbieter Zulagen und Steuervorteile einbehalten und an den Fiskus abführen – ein spürbarer Betrag. So vermeidest du es: Fasse einen laufenden Vertrag während des Aufbaus nicht an. Kalkuliere den Abzug realistisch ein, falls du die Rente in den USA antreten willst, und beachte, dass ab 2027 keine neuen Riester-Verträge mehr abgeschlossen werden (siehe Kapitel </w:t>
      </w:r>
      <w:hyperlink w:anchor="k17">
        <w:r w:rsidR="001F7233">
          <w:t>17</w:t>
        </w:r>
      </w:hyperlink>
      <w:r>
        <w:t>).</w:t>
      </w:r>
    </w:p>
    <w:p w14:paraId="3BFDFA0E" w14:textId="77777777" w:rsidR="001F7233" w:rsidRDefault="00000000">
      <w:pPr>
        <w:pStyle w:val="ListParagraph"/>
        <w:numPr>
          <w:ilvl w:val="0"/>
          <w:numId w:val="2"/>
        </w:numPr>
        <w:spacing w:after="60"/>
      </w:pPr>
      <w:r>
        <w:rPr>
          <w:b/>
          <w:bCs/>
        </w:rPr>
        <w:t>Die Rentenlücke zwischen zwei Systemen.</w:t>
      </w:r>
      <w:r>
        <w:t xml:space="preserve"> Warum das passiert: Die deutsche Rente und die US-</w:t>
      </w:r>
      <w:r>
        <w:rPr>
          <w:i/>
          <w:iCs/>
        </w:rPr>
        <w:t>Social Security</w:t>
      </w:r>
      <w:r>
        <w:t xml:space="preserve"> zählen für die Wartezeit zwar zusammen, zahlen aber getrennt und nach eigenen Regeln. Medicare kommt zudem erst mit 65 Jahren und setzt bestimmte Aufenthaltsjahre voraus. Was es kostet: Wer nur auf ein System setzt, hat im Ruhestand oft weniger als geplant, besonders bei wenigen US-Beitragsjahren unterhalb der 40 </w:t>
      </w:r>
      <w:r>
        <w:rPr>
          <w:i/>
          <w:iCs/>
        </w:rPr>
        <w:t>Credits</w:t>
      </w:r>
      <w:r>
        <w:t>. So vermeidest du es: Nimm mindestens den Arbeitgeber-</w:t>
      </w:r>
      <w:r>
        <w:rPr>
          <w:i/>
          <w:iCs/>
        </w:rPr>
        <w:t>Match</w:t>
      </w:r>
      <w:r>
        <w:t xml:space="preserve"> beim 401(k) mit, prüfe freiwillige deutsche Rentenbeiträge, und rechne beide Renten mit einem Berater durch, der beide Systeme kennt (siehe Kapitel </w:t>
      </w:r>
      <w:hyperlink w:anchor="k39">
        <w:r w:rsidR="001F7233">
          <w:t>39</w:t>
        </w:r>
      </w:hyperlink>
      <w:r>
        <w:t>).</w:t>
      </w:r>
    </w:p>
    <w:p w14:paraId="196EBC29" w14:textId="77777777" w:rsidR="001F7233" w:rsidRDefault="00000000">
      <w:pPr>
        <w:pStyle w:val="ListParagraph"/>
        <w:numPr>
          <w:ilvl w:val="0"/>
          <w:numId w:val="2"/>
        </w:numPr>
        <w:spacing w:after="60"/>
      </w:pPr>
      <w:r>
        <w:t>Wegzug und Abmeldung in Deutschland verschlafen. Warum das passiert: Die Meldebehörde verlangt die Abmeldung binnen zwei Wochen nach dem Auszug. Viele Verträge – Rundfunkbeitrag, Versicherungen, Konten – enden außerdem nicht automatisch, sondern erst durch aktives Handeln. Was es kostet: bis zu 1.000 € Bußgeld für eine verspätete Abmeldung, dazu weiterlaufende Beiträge und Rundfunkgebühr, die sich über Monate summieren. So vermeidest du es: Erstelle eine Liste aller laufenden Verträge und melde dich rechtzeitig ab. Lass dir eine Abmeldebescheinigung ausstellen und kopiere sie und benenne einen Zustellungsbevollmächtigten für das Finanzamt (Deutschland vor dem Abflug und 17).</w:t>
      </w:r>
    </w:p>
    <w:p w14:paraId="483538E7" w14:textId="77777777" w:rsidR="001F7233" w:rsidRDefault="00000000">
      <w:pPr>
        <w:pStyle w:val="ListParagraph"/>
        <w:numPr>
          <w:ilvl w:val="0"/>
          <w:numId w:val="2"/>
        </w:numPr>
        <w:spacing w:after="60"/>
      </w:pPr>
      <w:r>
        <w:rPr>
          <w:b/>
          <w:bCs/>
        </w:rPr>
        <w:t>Fehlende Kredithistorie blockiert den Start.</w:t>
      </w:r>
      <w:r>
        <w:t xml:space="preserve"> Warum das passiert: Die Schufa zählt in den USA nicht. Der </w:t>
      </w:r>
      <w:r>
        <w:rPr>
          <w:i/>
          <w:iCs/>
        </w:rPr>
        <w:t>Credit Score</w:t>
      </w:r>
      <w:r>
        <w:t xml:space="preserve"> (meist FICO-Score) entsteht erst vor Ort durch Kredite, </w:t>
      </w:r>
      <w:r>
        <w:lastRenderedPageBreak/>
        <w:t>Kreditkarten und pünktliche Zahlungen – am ersten Tag hast du keinen schlechten Score, sondern gar keinen. Was es kostet: Ohne Score sind Mietwohnungen, Handyverträge und günstige Kredite schwerer zu bekommen oder teurer, etwa durch höhere Kaution oder Vorauszahlung. So vermeidest du es: Beantrage früh eine besicherte Kreditkarte und zahle sie pünktlich und vollständig zurück. Kündige die erste Karte später nicht vorschnell und plane die ersten Monate mit alternativen Nachweisen (siehe Kapitel </w:t>
      </w:r>
      <w:hyperlink w:anchor="k24">
        <w:r w:rsidR="001F7233">
          <w:t>24</w:t>
        </w:r>
      </w:hyperlink>
      <w:r>
        <w:t xml:space="preserve"> und </w:t>
      </w:r>
      <w:hyperlink w:anchor="k25">
        <w:r w:rsidR="001F7233">
          <w:t>25</w:t>
        </w:r>
      </w:hyperlink>
      <w:r>
        <w:t>).</w:t>
      </w:r>
    </w:p>
    <w:p w14:paraId="3CD4BEC0" w14:textId="77777777" w:rsidR="001F7233" w:rsidRDefault="001F7233">
      <w:pPr>
        <w:spacing w:line="120" w:lineRule="exact"/>
      </w:pPr>
    </w:p>
    <w:p w14:paraId="48A69481" w14:textId="77777777" w:rsidR="001F7233" w:rsidRDefault="00000000">
      <w:r>
        <w:rPr>
          <w:b/>
        </w:rPr>
        <w:t xml:space="preserve">ACHTUNG: </w:t>
      </w:r>
    </w:p>
    <w:p w14:paraId="399C0104" w14:textId="77777777" w:rsidR="001F7233" w:rsidRDefault="00000000">
      <w:r>
        <w:t>• Die PFIC-Regel aus Falle 7 greift ab dem Tag deiner steuerlichen Ansässigkeit, nicht erst ab dem Umzug selbst. Wer sich vorher schon lange in den USA aufhält, hat die Falle oft ausgelöst, bevor der Umzugswagen überhaupt gebucht ist. Kläre den Stichtag mit einem Steuerberater, der beide Länder kennt.</w:t>
      </w:r>
    </w:p>
    <w:p w14:paraId="30DFBC5D" w14:textId="77777777" w:rsidR="001F7233" w:rsidRDefault="001F7233">
      <w:pPr>
        <w:spacing w:line="220" w:lineRule="exact"/>
      </w:pPr>
    </w:p>
    <w:p w14:paraId="124A01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Umzug und Alltagstechnik (Fallen 12–16)</w:t>
      </w:r>
    </w:p>
    <w:p w14:paraId="3C216FD8" w14:textId="77777777" w:rsidR="001F7233" w:rsidRDefault="00000000">
      <w:pPr>
        <w:pStyle w:val="ListParagraph"/>
        <w:numPr>
          <w:ilvl w:val="0"/>
          <w:numId w:val="6"/>
        </w:numPr>
        <w:spacing w:after="60"/>
      </w:pPr>
      <w:r>
        <w:rPr>
          <w:b/>
          <w:bCs/>
        </w:rPr>
        <w:t>Mieten ohne Score.</w:t>
      </w:r>
      <w:r>
        <w:t xml:space="preserve"> Warum das passiert: Hausverwaltungen prüfen Einkommen, Visum und vor allem den Credit Score; Neuankömmlinge haben oft alles außer Letzterem. Ein fehlender Score wirkt auf viele Vermieter wie eine unbeschriebene Seite – manche lesen darin ein Risiko, wo eigentlich nur ein Neuanfang steht. Was es kostet: Als Faustregel verlangen Vermieter das Dreifache der Monatsmiete als Bruttoeinkommen, in New York sogar das Vierzigfache als Jahreseinkommen. Ohne Score kommen Bürgschaftsdienste mit 40–130 % einer Monatsmiete oder Vorauszahlungen von zwei bis zwölf Monatsmieten hinzu. So vermeidest du es: Bewirb dich mit Arbeitsvertrag, Einkommensnachweis und einem Angebot für Vorauszahlung </w:t>
      </w:r>
      <w:r>
        <w:lastRenderedPageBreak/>
        <w:t>oder Bürgschaftsdienst, statt auf einen persönlichen Bürgen zu hoffen, den kaum eine Verwaltung akzeptiert (siehe Kapitel </w:t>
      </w:r>
      <w:hyperlink w:anchor="k13">
        <w:r w:rsidR="001F7233">
          <w:t>13</w:t>
        </w:r>
      </w:hyperlink>
      <w:r>
        <w:t>).</w:t>
      </w:r>
    </w:p>
    <w:p w14:paraId="69CC8F20" w14:textId="77777777" w:rsidR="001F7233" w:rsidRDefault="00000000">
      <w:pPr>
        <w:pStyle w:val="ListParagraph"/>
        <w:numPr>
          <w:ilvl w:val="0"/>
          <w:numId w:val="2"/>
        </w:numPr>
        <w:spacing w:after="60"/>
      </w:pPr>
      <w:r>
        <w:rPr>
          <w:b/>
          <w:bCs/>
        </w:rPr>
        <w:t>Die Kosten des Umzugs selbst.</w:t>
      </w:r>
      <w:r>
        <w:t xml:space="preserve"> Warum das passiert: Zwischen Sammelladung, Container, Luftfracht und Zwischenlagerung entstehen leicht mehrere Tausend Euro. Ein Umzugszuschuss des Arbeitgebers ist in den USA zudem steuerpflichtiger Lohn – ein </w:t>
      </w:r>
      <w:r>
        <w:rPr>
          <w:i/>
          <w:iCs/>
        </w:rPr>
        <w:t>Gross-up</w:t>
      </w:r>
      <w:r>
        <w:t xml:space="preserve"> zur Nettoaufstockung verteuert ihn für den Arbeitgeber um etwa 30–55 %. Was es kostet: Ein 20-Fuß-Container kostet ab Deutschland etwa 4.000–7.500 €, eine Sammelladung 2.500–6.000 €, jeweils ohne Zustellung; die Schiffsreise dauert vier bis zwölf Wochen. So vermeidest du es: Verhandle brutto und netto getrennt, reduziere das Volumen vor dem Angebot, wähle die Nebensaison, und plane eine möbellose Übergangszeit fest ein (siehe Kapitel </w:t>
      </w:r>
      <w:hyperlink w:anchor="k20">
        <w:r w:rsidR="001F7233">
          <w:t>20</w:t>
        </w:r>
      </w:hyperlink>
      <w:r>
        <w:t>).</w:t>
      </w:r>
    </w:p>
    <w:p w14:paraId="679BC0C6" w14:textId="77777777" w:rsidR="001F7233" w:rsidRDefault="00000000">
      <w:pPr>
        <w:pStyle w:val="ListParagraph"/>
        <w:numPr>
          <w:ilvl w:val="0"/>
          <w:numId w:val="2"/>
        </w:numPr>
        <w:spacing w:after="60"/>
      </w:pPr>
      <w:r>
        <w:rPr>
          <w:b/>
          <w:bCs/>
        </w:rPr>
        <w:t>Deutsche 230-V-Geräte funktionieren nicht einfach so.</w:t>
      </w:r>
      <w:r>
        <w:t xml:space="preserve"> Warum das passiert: Die US-Steckdose liefert 120 V bei 60 Hz statt 230 V bei 50 Hz. Ein Adapter ändert nur die Steckerform, nicht die Spannung, und Geräte mit Heizelement, Motor oder fester Frequenz vertragen das nicht. Die Lieblings-Kaffeemaschine aus dem Hochzeitsgeschenk dankt das mit einem kurzen Surren, einem Hauch verschmortem Plastik – und Stille. Was es kostet: Mitgenommene Küchengeräte, Lampen oder die alte Stereoanlage werden im schlechtesten Fall zum teuren Sperrmüll; ein Spannungswandler lohnt sich bei Geräten über 1.000 Watt ohnehin kaum. So vermeidest du es: Prüfe vor dem Packen das Typenschild jedes Geräts auf „100–240 V“ und nimm nur Geräte mit diesem Bereich mit. Plane Küchengeräte, Lampen und größere Elektrogeräte als Neukauf vor Ort ein (siehe Kapitel </w:t>
      </w:r>
      <w:hyperlink w:anchor="k21">
        <w:r w:rsidR="001F7233">
          <w:t>21</w:t>
        </w:r>
      </w:hyperlink>
      <w:r>
        <w:t>).</w:t>
      </w:r>
    </w:p>
    <w:p w14:paraId="5D3F5953" w14:textId="77777777" w:rsidR="001F7233" w:rsidRDefault="00000000">
      <w:pPr>
        <w:pStyle w:val="ListParagraph"/>
        <w:numPr>
          <w:ilvl w:val="0"/>
          <w:numId w:val="2"/>
        </w:numPr>
        <w:spacing w:after="60"/>
      </w:pPr>
      <w:r>
        <w:rPr>
          <w:b/>
          <w:bCs/>
        </w:rPr>
        <w:t>Zu früh ein Haus kaufen.</w:t>
      </w:r>
      <w:r>
        <w:t xml:space="preserve"> Warum das passiert: Nach Jahren des Mietens in Deutschland fühlt sich Kaufen nach dem folgerichtigen nächsten Schritt an. Das passiert oft noch bevor du Viertel, Schulbezirk und Pendelwege wirklich kennst. Was es kostet: Kauf und Verkauf zusammen verschlingen rund 10 % </w:t>
      </w:r>
      <w:r>
        <w:lastRenderedPageBreak/>
        <w:t>des Preises, und viele Finanzierungen setzen eine Restlaufzeit des Visums von mindestens zwölf Monaten und oft zwei Jahre US-Arbeitshistorie voraus. Ein zu früher Kauf bindet dich, wenn Job oder Status sich ändern. So vermeidest du es: Miete mindestens das erste Jahr, baue nebenbei deine Kredithistorie auf, und rechne erst danach Kaufen gegen Mieten (siehe Kapitel </w:t>
      </w:r>
      <w:hyperlink w:anchor="k13">
        <w:r w:rsidR="001F7233">
          <w:t>13</w:t>
        </w:r>
      </w:hyperlink>
      <w:r>
        <w:t xml:space="preserve"> und </w:t>
      </w:r>
      <w:hyperlink w:anchor="k14">
        <w:r w:rsidR="001F7233">
          <w:t>14</w:t>
        </w:r>
      </w:hyperlink>
      <w:r>
        <w:t>).</w:t>
      </w:r>
    </w:p>
    <w:p w14:paraId="6252A67C" w14:textId="77777777" w:rsidR="001F7233" w:rsidRDefault="00000000">
      <w:pPr>
        <w:pStyle w:val="ListParagraph"/>
        <w:numPr>
          <w:ilvl w:val="0"/>
          <w:numId w:val="2"/>
        </w:numPr>
        <w:spacing w:after="60"/>
      </w:pPr>
      <w:r>
        <w:rPr>
          <w:b/>
          <w:bCs/>
        </w:rPr>
        <w:t>Die Schulwahl ist die Wohnortwahl.</w:t>
      </w:r>
      <w:r>
        <w:t xml:space="preserve"> Warum das passiert: Die öffentliche Schule richtet sich strikt nach dem Schulbezirk (</w:t>
      </w:r>
      <w:r>
        <w:rPr>
          <w:i/>
          <w:iCs/>
        </w:rPr>
        <w:t>School District</w:t>
      </w:r>
      <w:r>
        <w:t>) der Wohnadresse, nicht nach der Stadt insgesamt. Wer die Adresse wählt, wählt damit auch die Schule der Kinder. Was es kostet: Gefragte Schulbezirke kosten beim Mieten und Kaufen einen spürbaren Aufschlag, ein späterer Umzug bedeutet für die Kinder meist auch einen Schulwechsel. So vermeidest du es: Prüfe Schulbezirke schon bei der Wohnungssuche statt danach und nutze Bewertungsportale nur als groben Anhaltspunkt. Sprich mit anderen Eltern vor Ort, bevor du dich festlegst (siehe Kapitel </w:t>
      </w:r>
      <w:hyperlink w:anchor="k12">
        <w:r w:rsidR="001F7233">
          <w:t>12</w:t>
        </w:r>
      </w:hyperlink>
      <w:r>
        <w:t xml:space="preserve"> und </w:t>
      </w:r>
      <w:hyperlink w:anchor="k36">
        <w:r w:rsidR="001F7233">
          <w:t>36</w:t>
        </w:r>
      </w:hyperlink>
      <w:r>
        <w:t>).</w:t>
      </w:r>
    </w:p>
    <w:p w14:paraId="17C9BB04" w14:textId="77777777" w:rsidR="001F7233" w:rsidRDefault="001F7233">
      <w:pPr>
        <w:spacing w:line="120" w:lineRule="exact"/>
      </w:pPr>
    </w:p>
    <w:p w14:paraId="311845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Gesundheit und Behörden (Fallen 17–20)</w:t>
      </w:r>
    </w:p>
    <w:p w14:paraId="0B2A1AD7" w14:textId="77777777" w:rsidR="001F7233" w:rsidRDefault="00000000">
      <w:pPr>
        <w:pStyle w:val="ListParagraph"/>
        <w:numPr>
          <w:ilvl w:val="0"/>
          <w:numId w:val="7"/>
        </w:numPr>
        <w:spacing w:after="60"/>
      </w:pPr>
      <w:r>
        <w:rPr>
          <w:b/>
          <w:bCs/>
        </w:rPr>
        <w:t>Versicherungslücken beim Übergang.</w:t>
      </w:r>
      <w:r>
        <w:t xml:space="preserve"> Warum das passiert: Zwischen dem Ende der deutschen Absicherung und dem Start der US-Krankenversicherung liegen oft drei bis vier Monate. Arbeitgeberpläne dürfen bis zu 90 Tage Wartefrist verlangen, und die Deckung beginnt meist erst zum Monatsersten. Was es kostet: Ein Unfall oder eine Geburt in dieser Lücke kann Zehntausende Dollar aus eigener Tasche kosten. So vermeidest du es: Kündige die freiwillige deutsche Mitgliedschaft nie auf Verdacht, sondern erst nach Nachweis einer Anschlusslösung. Schließe für die Übergangszeit eine </w:t>
      </w:r>
      <w:r>
        <w:lastRenderedPageBreak/>
        <w:t>Auslandskrankenversicherung ab und verhandle „Deckung ab Tag eins“ beim Jobangebot (siehe Kapitel </w:t>
      </w:r>
      <w:hyperlink w:anchor="k18">
        <w:r w:rsidR="001F7233">
          <w:t>18</w:t>
        </w:r>
      </w:hyperlink>
      <w:r>
        <w:t xml:space="preserve"> und </w:t>
      </w:r>
      <w:hyperlink w:anchor="k26">
        <w:r w:rsidR="001F7233">
          <w:t>26</w:t>
        </w:r>
      </w:hyperlink>
      <w:r>
        <w:t>).</w:t>
      </w:r>
    </w:p>
    <w:p w14:paraId="69546EF6" w14:textId="77777777" w:rsidR="001F7233" w:rsidRDefault="00000000">
      <w:pPr>
        <w:pStyle w:val="ListParagraph"/>
        <w:numPr>
          <w:ilvl w:val="0"/>
          <w:numId w:val="2"/>
        </w:numPr>
        <w:spacing w:after="60"/>
      </w:pPr>
      <w:r>
        <w:rPr>
          <w:b/>
          <w:bCs/>
        </w:rPr>
        <w:t>Kinderbetreuungskosten werden unterschätzt.</w:t>
      </w:r>
      <w:r>
        <w:t xml:space="preserve"> Warum das passiert: Kinderbetreuung ist in den USA weder staatlich gedeckelt noch flächendeckend bezuschusst, und Au-pairs sind für Familien mit H-1B, L-1 oder E-2 kategorisch ausgeschlossen. Was es kostet: im Schnitt 13.184 $ im Jahr pro Kind, in Großstädten deutlich mehr, oft mit Wartelisten schon ab der Schwangerschaft; bezahlten Elternurlaub gibt es nur in zwölf Bundesstaaten. So vermeidest du es: Melde dich für Betreuungsplätze an, sobald die Schwangerschaft feststeht, vergleiche Kita-Alternativen, Tagesmutter und Au-pair-Ersatz, und plane die Betreuungskosten im Haushaltsbudget ein (siehe Kapitel </w:t>
      </w:r>
      <w:hyperlink w:anchor="k38">
        <w:r w:rsidR="001F7233">
          <w:t>38</w:t>
        </w:r>
      </w:hyperlink>
      <w:r>
        <w:t>).</w:t>
      </w:r>
    </w:p>
    <w:p w14:paraId="6731D0CC" w14:textId="77777777" w:rsidR="001F7233" w:rsidRDefault="00000000">
      <w:pPr>
        <w:pStyle w:val="ListParagraph"/>
        <w:numPr>
          <w:ilvl w:val="0"/>
          <w:numId w:val="2"/>
        </w:numPr>
        <w:spacing w:after="60"/>
      </w:pPr>
      <w:r>
        <w:rPr>
          <w:b/>
          <w:bCs/>
        </w:rPr>
        <w:t>Geburt in den USA – Staatsbürgerschaft, Kosten, Fristen.</w:t>
      </w:r>
      <w:r>
        <w:t xml:space="preserve"> Warum das passiert: Ein in den USA geborenes Kind ist mit der Geburt automatisch US-Bürger, unabhängig vom Visum der Eltern. Das ändert aber nichts daran, dass die Rechnung dafür privat versichert werden muss. Was es kostet: im Schnitt rund 20.400 $ Gesamtrechnung, davon rund 2.743 $ Eigenanteil bei Arbeitgeberversicherung, mehr beim Kaiserschnitt; das Neugeborene muss binnen 30 Tagen im Versicherungsplan angemeldet werden. So vermeidest du es: Kläre den Versicherungsbeginn vor der Schwangerschaft und melde das Kind sofort nach der Geburt im Plan an. Beantrage parallel deutsche Geburtsurkunde und Reisepass für das zugleich deutsche Kind (siehe Kapitel </w:t>
      </w:r>
      <w:hyperlink w:anchor="k26">
        <w:r w:rsidR="001F7233">
          <w:t>26</w:t>
        </w:r>
      </w:hyperlink>
      <w:r>
        <w:t xml:space="preserve"> und </w:t>
      </w:r>
      <w:hyperlink w:anchor="k38">
        <w:r w:rsidR="001F7233">
          <w:t>38</w:t>
        </w:r>
      </w:hyperlink>
      <w:r>
        <w:t>).</w:t>
      </w:r>
    </w:p>
    <w:p w14:paraId="7D23FE7E" w14:textId="77777777" w:rsidR="001F7233" w:rsidRDefault="00000000">
      <w:pPr>
        <w:pStyle w:val="ListParagraph"/>
        <w:numPr>
          <w:ilvl w:val="0"/>
          <w:numId w:val="2"/>
        </w:numPr>
        <w:spacing w:after="60"/>
      </w:pPr>
      <w:r>
        <w:rPr>
          <w:b/>
          <w:bCs/>
        </w:rPr>
        <w:t>Die Ämterkette blockiert den Start.</w:t>
      </w:r>
      <w:r>
        <w:t xml:space="preserve"> Warum das passiert: Ohne Sozialversicherungsnummer (SSN) kein US-Bankkonto, ohne Bankkonto oft kein Handyvertrag mit Laufzeit, ohne beides manchmal keine Wohnung. Die ersten Wochen hängen an einer strikten Reihenfolge, die viele Neuankömmlinge nicht kennen. Was es kostet: Wochen an Zeit und Umwegen über Prepaid-Tarife oder Bargeld, wenn die Reihenfolge missachtet wird. So </w:t>
      </w:r>
      <w:r>
        <w:lastRenderedPageBreak/>
        <w:t>vermeidest du es: Beantrage die SSN in der ersten Woche und informiere die Personalabteilung, dass sie noch fehlt. Überbrücke die Zwischenzeit mit Prepaid-Lösungen statt auf einen Vertrag zu warten (siehe Kapitel </w:t>
      </w:r>
      <w:hyperlink w:anchor="k23">
        <w:r w:rsidR="001F7233">
          <w:t>23</w:t>
        </w:r>
      </w:hyperlink>
      <w:r>
        <w:t xml:space="preserve"> und </w:t>
      </w:r>
      <w:hyperlink w:anchor="k24">
        <w:r w:rsidR="001F7233">
          <w:t>24</w:t>
        </w:r>
      </w:hyperlink>
      <w:r>
        <w:t>).</w:t>
      </w:r>
    </w:p>
    <w:p w14:paraId="68E7268D" w14:textId="77777777" w:rsidR="001F7233" w:rsidRDefault="001F7233">
      <w:pPr>
        <w:spacing w:line="120" w:lineRule="exact"/>
      </w:pPr>
    </w:p>
    <w:p w14:paraId="06BED5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Ankommen, Alltag und Rückkehr (Fallen 21–25)</w:t>
      </w:r>
    </w:p>
    <w:p w14:paraId="6222A63D" w14:textId="77777777" w:rsidR="001F7233" w:rsidRDefault="00000000">
      <w:pPr>
        <w:pStyle w:val="ListParagraph"/>
        <w:numPr>
          <w:ilvl w:val="0"/>
          <w:numId w:val="8"/>
        </w:numPr>
        <w:spacing w:after="60"/>
      </w:pPr>
      <w:r>
        <w:rPr>
          <w:b/>
          <w:bCs/>
        </w:rPr>
        <w:t>Einsamkeit nach dem Umzug.</w:t>
      </w:r>
      <w:r>
        <w:t xml:space="preserve"> Warum das passiert: Kollegen, Schule und Nachbarschaft ersetzen nicht automatisch das über Jahre gewachsene Netz aus Familie und Freunden in Deutschland. Wer sich zurückzieht, verlängert die Talsohle des Kulturschocks. Das zeigt sich oft nicht dramatisch, sondern leise: ein Samstagabend ohne eine einzige Nachricht auf dem Handy, während in Deutschland gerade alle beim Grillen zusammensitzen. Was es kostet: Neben dem emotionalen Preis leidet oft die Beziehung, besonders wenn ein Partner nicht arbeiten darf. So vermeidest du es: Suche aktiv Anschluss über Vereine, Nachbarschaft, Kirche oder Meetup-Gruppen und sprich offen über Heimweh statt es zu verdrängen. Hol dir Hilfe, wenn die Talsohle über Monate anhält (siehe Kapitel </w:t>
      </w:r>
      <w:hyperlink w:anchor="k32">
        <w:r w:rsidR="001F7233">
          <w:t>32</w:t>
        </w:r>
      </w:hyperlink>
      <w:r>
        <w:t xml:space="preserve"> und </w:t>
      </w:r>
      <w:hyperlink w:anchor="k33">
        <w:r w:rsidR="001F7233">
          <w:t>33</w:t>
        </w:r>
      </w:hyperlink>
      <w:r>
        <w:t>).</w:t>
      </w:r>
    </w:p>
    <w:p w14:paraId="66505FA1" w14:textId="77777777" w:rsidR="001F7233" w:rsidRDefault="00000000">
      <w:pPr>
        <w:pStyle w:val="ListParagraph"/>
        <w:numPr>
          <w:ilvl w:val="0"/>
          <w:numId w:val="2"/>
        </w:numPr>
        <w:spacing w:after="60"/>
      </w:pPr>
      <w:r>
        <w:rPr>
          <w:b/>
          <w:bCs/>
        </w:rPr>
        <w:t>Die Sprachbarriere der Kinder wird unterschätzt.</w:t>
      </w:r>
      <w:r>
        <w:t xml:space="preserve"> Warum das passiert: Eltern unterschätzen oft, wie weit Alltagsenglisch von Schulenglisch entfernt ist. Ein Kind kann sich auf dem Spielplatz gut verständigen und im Unterricht trotzdem nicht folgen. Was es kostet: Notenabfall, Frustration und im schlimmsten Fall eine falsche Einstufung, wenn Sprachprobleme mit Lernschwierigkeiten verwechselt werden. So vermeidest du es: Melde dein Kind beim </w:t>
      </w:r>
      <w:r>
        <w:rPr>
          <w:i/>
          <w:iCs/>
        </w:rPr>
        <w:t>English-Learner</w:t>
      </w:r>
      <w:r>
        <w:t xml:space="preserve">-Programm des Schulbezirks an, fülle den </w:t>
      </w:r>
      <w:r>
        <w:rPr>
          <w:i/>
          <w:iCs/>
        </w:rPr>
        <w:t>Home Language Survey</w:t>
      </w:r>
      <w:r>
        <w:t xml:space="preserve"> wahrheitsgemäß aus, und nutzt Bibliothek und Sprachtandems auch als Eltern (siehe Kapitel </w:t>
      </w:r>
      <w:hyperlink w:anchor="k36">
        <w:r w:rsidR="001F7233">
          <w:t>36</w:t>
        </w:r>
      </w:hyperlink>
      <w:r>
        <w:t xml:space="preserve"> und </w:t>
      </w:r>
      <w:hyperlink w:anchor="k37">
        <w:r w:rsidR="001F7233">
          <w:t>37</w:t>
        </w:r>
      </w:hyperlink>
      <w:r>
        <w:t>).</w:t>
      </w:r>
    </w:p>
    <w:p w14:paraId="34718BCA" w14:textId="77777777" w:rsidR="001F7233" w:rsidRDefault="00000000">
      <w:pPr>
        <w:pStyle w:val="ListParagraph"/>
        <w:numPr>
          <w:ilvl w:val="0"/>
          <w:numId w:val="2"/>
        </w:numPr>
        <w:spacing w:after="60"/>
      </w:pPr>
      <w:r>
        <w:rPr>
          <w:b/>
          <w:bCs/>
        </w:rPr>
        <w:lastRenderedPageBreak/>
        <w:t xml:space="preserve">Preise ohne Steuer. Warum das passiert: Preisschilder zeigen in den USA häufig den Nettopreis; Sales Tax kommt erst an der Kasse dazu und variiert nach Bundesstaat, Kommune und Produkt. Trinkgeld ist eine gesonderte Ausgabe bei bestimmten Dienstleistungen, kein allgemeiner Aufschlag. Rechenbeispiel mit Annahmen: 78 $ Restaurantbetrag + 6 % Sales Tax (4,68 $) + 20 % frei gewähltes Trinkgeld auf den Vorsteuerbetrag (15,60 $) = 98,28 $. Das Beispiel ergibt 26 % Aufschlag in genau diesem Restaurantfall. Plane Einkäufe und Restaurantbesuche deshalb getrennt; prüfe örtliche Steuerregeln und den Beleg auf bereits enthaltene Service Charges (siehe </w:t>
      </w:r>
      <w:hyperlink w:anchor="k31">
        <w:r w:rsidR="001F7233">
          <w:rPr>
            <w:b/>
            <w:bCs/>
          </w:rPr>
          <w:t>Kapitel 31</w:t>
        </w:r>
      </w:hyperlink>
      <w:r>
        <w:rPr>
          <w:b/>
          <w:bCs/>
        </w:rPr>
        <w:t>).</w:t>
      </w:r>
    </w:p>
    <w:p w14:paraId="030C983B" w14:textId="77777777" w:rsidR="001F7233" w:rsidRDefault="00000000">
      <w:pPr>
        <w:pStyle w:val="ListParagraph"/>
        <w:numPr>
          <w:ilvl w:val="0"/>
          <w:numId w:val="2"/>
        </w:numPr>
        <w:spacing w:after="60"/>
      </w:pPr>
      <w:r>
        <w:rPr>
          <w:b/>
          <w:bCs/>
        </w:rPr>
        <w:t>DUI und Einwanderung.</w:t>
      </w:r>
      <w:r>
        <w:t xml:space="preserve"> Warum das passiert: Trunkenheit am Steuer (</w:t>
      </w:r>
      <w:r>
        <w:rPr>
          <w:i/>
          <w:iCs/>
        </w:rPr>
        <w:t>DUI</w:t>
      </w:r>
      <w:r>
        <w:t>) wird in den USA strafrechtlich und einwanderungsrechtlich strenger behandelt als der vergleichbare Verstoß in Deutschland. Was es kostet: Neben Bußgeld und Führerscheinentzug drohen ein Visum-Widerruf und, bei Verletzten, einem Kind im Auto, entzogenem Führerschein oder Wiederholung, im Ernstfall sogar ein Abschiebegrund. Danach wird auch bei Green-Card- und Einbürgerungsanträgen gefragt. Fast jede Drogenverurteilung wiegt noch schwerer. So vermeidest du es: Fahre nach Alkohol grundsätzlich nicht selbst und nutze feste Fahrdienste oder Rideshare. Meide Cannabis auch dort, wo einzelne Bundesstaaten es erlauben, denn bundesrechtlich bleibt es verboten (siehe Kapitel </w:t>
      </w:r>
      <w:hyperlink w:anchor="k27">
        <w:r w:rsidR="001F7233">
          <w:t>27</w:t>
        </w:r>
      </w:hyperlink>
      <w:r>
        <w:t xml:space="preserve"> und </w:t>
      </w:r>
      <w:hyperlink w:anchor="k40">
        <w:r w:rsidR="001F7233">
          <w:t>40</w:t>
        </w:r>
      </w:hyperlink>
      <w:r>
        <w:t>).</w:t>
      </w:r>
    </w:p>
    <w:p w14:paraId="1538CCBA" w14:textId="77777777" w:rsidR="001F7233" w:rsidRDefault="00000000">
      <w:pPr>
        <w:pStyle w:val="ListParagraph"/>
        <w:numPr>
          <w:ilvl w:val="0"/>
          <w:numId w:val="2"/>
        </w:numPr>
        <w:spacing w:after="60"/>
      </w:pPr>
      <w:r>
        <w:rPr>
          <w:b/>
          <w:bCs/>
        </w:rPr>
        <w:t>Krankenversicherung bei der Rückkehr vergessen.</w:t>
      </w:r>
      <w:r>
        <w:t xml:space="preserve"> Warum das passiert: Wer Jahre in den USA privat oder über den Arbeitgeber versichert war, hat oft keine aktuelle Anwartschaft in der deutschen gesetzlichen Krankenversicherung mehr. Viele unterschätzen zudem, wie viel Vorlauf eine Rückkehr braucht. Was es kostet: Ohne rechtzeitige Klärung drohen Deckungslücken, ein teurer Wiedereinstieg in die private </w:t>
      </w:r>
      <w:r>
        <w:lastRenderedPageBreak/>
        <w:t xml:space="preserve">Versicherung oder Ablehnungen wegen Vorerkrankungen. So vermeidest du es: Kläre Krankenversicherung, letzte US-Steuererklärung und, bei langer Green-Card-Zeit, die </w:t>
      </w:r>
      <w:r>
        <w:rPr>
          <w:i/>
          <w:iCs/>
        </w:rPr>
        <w:t>Exit Tax</w:t>
      </w:r>
      <w:r>
        <w:t xml:space="preserve"> mit drei bis sechs Monaten Vorlauf. Richte den Rückkehrzeitpunkt zudem am deutschen Schuljahr der Kinder aus (siehe Kapitel </w:t>
      </w:r>
      <w:hyperlink w:anchor="k42">
        <w:r w:rsidR="001F7233">
          <w:t>42</w:t>
        </w:r>
      </w:hyperlink>
      <w:r>
        <w:t>).</w:t>
      </w:r>
    </w:p>
    <w:p w14:paraId="3F12C561" w14:textId="77777777" w:rsidR="001F7233" w:rsidRDefault="001F7233">
      <w:pPr>
        <w:spacing w:line="120" w:lineRule="exact"/>
      </w:pPr>
    </w:p>
    <w:p w14:paraId="4E2AE17F" w14:textId="77777777" w:rsidR="001F7233" w:rsidRDefault="00000000">
      <w:r>
        <w:rPr>
          <w:b/>
        </w:rPr>
        <w:t xml:space="preserve">ACHTUNG: </w:t>
      </w:r>
    </w:p>
    <w:p w14:paraId="5E199502" w14:textId="77777777" w:rsidR="001F7233" w:rsidRDefault="00000000">
      <w:r>
        <w:t>• Ein einzelner DUI-Eintrag aus Falle 24 kann Jahre später bei einer Green-Card- oder Einbürgerungsprüfung wieder auftauchen, selbst wenn die Strafe in den USA längst beglichen ist. Verschweige einen solchen Eintrag im Antrag niemals – das wiegt oft schwerer als der Vorfall selbst.</w:t>
      </w:r>
    </w:p>
    <w:p w14:paraId="16765FB2" w14:textId="77777777" w:rsidR="001F7233" w:rsidRDefault="001F7233">
      <w:pPr>
        <w:spacing w:line="220" w:lineRule="exact"/>
      </w:pPr>
    </w:p>
    <w:p w14:paraId="5641EDB4" w14:textId="77777777" w:rsidR="001F7233" w:rsidRDefault="00000000">
      <w:pPr>
        <w:pStyle w:val="Heading3"/>
        <w:keepNext/>
        <w:spacing w:line="341" w:lineRule="auto"/>
        <w:jc w:val="center"/>
      </w:pPr>
      <w:r>
        <w:t>Was sich planen lässt und was nicht</w:t>
      </w:r>
    </w:p>
    <w:p w14:paraId="3A48FB84" w14:textId="77777777" w:rsidR="001F7233" w:rsidRDefault="00000000">
      <w:r>
        <w:t>Planbar: Unterlagen, Budget, bekannte Fristen und altersabhängige Voraussetzungen kannst du früh prüfen und in deinen Zeitplan aufnehmen. Vorlauf hilft außerdem, vermeidbare Kosten zu reduzieren.</w:t>
      </w:r>
    </w:p>
    <w:p w14:paraId="1CE5CABA" w14:textId="77777777" w:rsidR="001F7233" w:rsidRDefault="00000000">
      <w:r>
        <w:t>Nur begrenzt beeinflussbar: Auswahlverfahren, unerwarteter Arbeitsplatzverlust und einzelne Behördenentscheidungen verlangen eine Reserve und einen Plan B.</w:t>
      </w:r>
    </w:p>
    <w:p w14:paraId="369EF7E5" w14:textId="77777777" w:rsidR="001F7233" w:rsidRDefault="00000000">
      <w:r>
        <w:t>Weiterführende Kapitel: Die einzelnen Fallen verweisen auf die passenden Fachkapitel mit Voraussetzungen, Fristen und nächsten Schritten.</w:t>
      </w:r>
    </w:p>
    <w:p w14:paraId="0B98DA1F" w14:textId="77777777" w:rsidR="001F7233" w:rsidRDefault="001F7233">
      <w:pPr>
        <w:spacing w:line="180" w:lineRule="exact"/>
      </w:pPr>
    </w:p>
    <w:p w14:paraId="01F487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CF14C8B" w14:textId="77777777" w:rsidR="001F7233" w:rsidRDefault="00000000">
      <w:pPr>
        <w:spacing w:after="140"/>
      </w:pPr>
      <w:r>
        <w:t>Lies dieses Kapitel nicht als Warnung vor der Auswanderung, sondern als Landkarte der Stolperstellen. Geh die Liste einmal mit deiner Situation durch und markiere, was zutreffen könnte: Familie mit Kindern, geplanter Hauskauf, laufender Fondssparplan. Details: Visum und Status in Kapitel </w:t>
      </w:r>
      <w:hyperlink w:anchor="k4">
        <w:r w:rsidR="001F7233">
          <w:t>4</w:t>
        </w:r>
      </w:hyperlink>
      <w:r>
        <w:t xml:space="preserve"> bis </w:t>
      </w:r>
      <w:hyperlink w:anchor="k11">
        <w:r w:rsidR="001F7233">
          <w:t>11</w:t>
        </w:r>
      </w:hyperlink>
      <w:r>
        <w:t>, Geld und Steuern in Kapitel </w:t>
      </w:r>
      <w:hyperlink w:anchor="k16">
        <w:r w:rsidR="001F7233">
          <w:t>16</w:t>
        </w:r>
      </w:hyperlink>
      <w:r>
        <w:t xml:space="preserve">, </w:t>
      </w:r>
      <w:hyperlink w:anchor="k17">
        <w:r w:rsidR="001F7233">
          <w:t>17</w:t>
        </w:r>
      </w:hyperlink>
      <w:r>
        <w:t xml:space="preserve">, </w:t>
      </w:r>
      <w:hyperlink w:anchor="k28">
        <w:r w:rsidR="001F7233">
          <w:t>28</w:t>
        </w:r>
      </w:hyperlink>
      <w:r>
        <w:t xml:space="preserve"> und </w:t>
      </w:r>
      <w:hyperlink w:anchor="k39">
        <w:r w:rsidR="001F7233">
          <w:t>39</w:t>
        </w:r>
      </w:hyperlink>
      <w:r>
        <w:t>, Wohnen und Ankommen in Kapitel </w:t>
      </w:r>
      <w:hyperlink w:anchor="k12">
        <w:r w:rsidR="001F7233">
          <w:t>12</w:t>
        </w:r>
      </w:hyperlink>
      <w:r>
        <w:t xml:space="preserve"> bis </w:t>
      </w:r>
      <w:hyperlink w:anchor="k14">
        <w:r w:rsidR="001F7233">
          <w:t>14</w:t>
        </w:r>
      </w:hyperlink>
      <w:r>
        <w:t xml:space="preserve"> und </w:t>
      </w:r>
      <w:hyperlink w:anchor="k20">
        <w:r w:rsidR="001F7233">
          <w:t>20</w:t>
        </w:r>
      </w:hyperlink>
      <w:r>
        <w:t xml:space="preserve"> bis </w:t>
      </w:r>
      <w:hyperlink w:anchor="k27">
        <w:r w:rsidR="001F7233">
          <w:t>27</w:t>
        </w:r>
      </w:hyperlink>
      <w:r>
        <w:t>, Familie und Alltag in Kapitel </w:t>
      </w:r>
      <w:hyperlink w:anchor="k31">
        <w:r w:rsidR="001F7233">
          <w:t>31</w:t>
        </w:r>
      </w:hyperlink>
      <w:r>
        <w:t xml:space="preserve"> bis </w:t>
      </w:r>
      <w:hyperlink w:anchor="k38">
        <w:r w:rsidR="001F7233">
          <w:t>38</w:t>
        </w:r>
      </w:hyperlink>
      <w:r>
        <w:t xml:space="preserve"> und </w:t>
      </w:r>
      <w:hyperlink w:anchor="k42">
        <w:r w:rsidR="001F7233">
          <w:t>42</w:t>
        </w:r>
      </w:hyperlink>
      <w:r>
        <w:t>. Der Masterplan in Kapitel </w:t>
      </w:r>
      <w:hyperlink w:anchor="k15">
        <w:r w:rsidR="001F7233">
          <w:t>15</w:t>
        </w:r>
      </w:hyperlink>
      <w:r>
        <w:t xml:space="preserve"> bringt alle Fristen anschließend in eine gemeinsame Zeitleiste.</w:t>
      </w:r>
    </w:p>
    <w:p w14:paraId="70122984" w14:textId="77777777" w:rsidR="001F7233" w:rsidRDefault="00000000">
      <w:r>
        <w:t>• Rücklage von mindestens sechs Monatsfixkosten aufbauen, bevor du kündigst</w:t>
      </w:r>
    </w:p>
    <w:p w14:paraId="03CFA691" w14:textId="77777777" w:rsidR="001F7233" w:rsidRDefault="00000000">
      <w:r>
        <w:t>• 21. Geburtstag aller mitreisenden Kinder im Kalender notieren</w:t>
      </w:r>
    </w:p>
    <w:p w14:paraId="5035B4A8" w14:textId="77777777" w:rsidR="001F7233" w:rsidRDefault="00000000">
      <w:r>
        <w:t>• Deutsche Fondssparpläne vor dem steuerlichen Zuzug mit einem Steuerberater klären (PFIC)</w:t>
      </w:r>
    </w:p>
    <w:p w14:paraId="376082C6" w14:textId="77777777" w:rsidR="001F7233" w:rsidRDefault="00000000">
      <w:r>
        <w:t>• Alle deutschen Verträge und Konten für die Abmeldung auflisten</w:t>
      </w:r>
    </w:p>
    <w:p w14:paraId="0C85B56F" w14:textId="77777777" w:rsidR="001F7233" w:rsidRDefault="00000000">
      <w:r>
        <w:t>• Übergangsversicherung für die Lücke zwischen deutscher und US-Krankenversicherung abschließen</w:t>
      </w:r>
    </w:p>
    <w:p w14:paraId="008E0C17" w14:textId="77777777" w:rsidR="001F7233" w:rsidRDefault="00000000">
      <w:r>
        <w:t>• Erste besicherte Kreditkarte gleich nach der SSN beantragen</w:t>
      </w:r>
    </w:p>
    <w:p w14:paraId="64727AA3" w14:textId="77777777" w:rsidR="001F7233" w:rsidRDefault="00000000">
      <w:r>
        <w:t>• Schulbezirk vor der Wohnungssuche prüfen, nicht danach</w:t>
      </w:r>
    </w:p>
    <w:p w14:paraId="16D7A678" w14:textId="77777777" w:rsidR="001F7233" w:rsidRDefault="00000000">
      <w:r>
        <w:t>• Typenschilder aller Elektrogeräte auf „100–240 V“ kontrollieren</w:t>
      </w:r>
    </w:p>
    <w:p w14:paraId="6A1A1412" w14:textId="77777777" w:rsidR="001F7233" w:rsidRDefault="00000000">
      <w:r>
        <w:t>• Betreuungsplatz für Kinder so früh wie möglich anfragen</w:t>
      </w:r>
    </w:p>
    <w:p w14:paraId="0580E583" w14:textId="77777777" w:rsidR="001F7233" w:rsidRDefault="00000000">
      <w:r>
        <w:t>Sales Tax nach Ort und Produkt sowie Trinkgeld bei bestimmten Dienstleistungen getrennt budgetieren</w:t>
      </w:r>
    </w:p>
    <w:p w14:paraId="3CF18671" w14:textId="77777777" w:rsidR="001F7233" w:rsidRDefault="001F7233">
      <w:pPr>
        <w:spacing w:line="220" w:lineRule="exact"/>
      </w:pPr>
    </w:p>
    <w:p w14:paraId="18BF6B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2806EAE" w14:textId="77777777" w:rsidR="001F7233" w:rsidRDefault="00000000">
      <w:pPr>
        <w:pStyle w:val="ListParagraph"/>
        <w:numPr>
          <w:ilvl w:val="0"/>
          <w:numId w:val="1"/>
        </w:numPr>
        <w:spacing w:after="60"/>
      </w:pPr>
      <w:r>
        <w:t>USCIS – Formulare und Statusfragen (</w:t>
      </w:r>
      <w:hyperlink r:id="rId72">
        <w:r w:rsidR="001F7233">
          <w:rPr>
            <w:color w:val="0563C1"/>
            <w:u w:val="single"/>
          </w:rPr>
          <w:t>uscis.gov</w:t>
        </w:r>
      </w:hyperlink>
      <w:r>
        <w:t>)</w:t>
      </w:r>
    </w:p>
    <w:p w14:paraId="1422B2F3" w14:textId="77777777" w:rsidR="001F7233" w:rsidRDefault="00000000">
      <w:pPr>
        <w:pStyle w:val="ListParagraph"/>
        <w:numPr>
          <w:ilvl w:val="0"/>
          <w:numId w:val="1"/>
        </w:numPr>
        <w:spacing w:after="60"/>
      </w:pPr>
      <w:r>
        <w:t>IRS – Doppelbesteuerungsabkommen Deutschland–USA (</w:t>
      </w:r>
      <w:hyperlink r:id="rId73">
        <w:r w:rsidR="001F7233">
          <w:rPr>
            <w:color w:val="0563C1"/>
            <w:u w:val="single"/>
          </w:rPr>
          <w:t>irs.gov/pub/irs-trty/germany.pdf</w:t>
        </w:r>
      </w:hyperlink>
      <w:r>
        <w:t>)</w:t>
      </w:r>
    </w:p>
    <w:p w14:paraId="1237CE6D" w14:textId="77777777" w:rsidR="001F7233" w:rsidRPr="00EA1518" w:rsidRDefault="00000000">
      <w:pPr>
        <w:pStyle w:val="ListParagraph"/>
        <w:numPr>
          <w:ilvl w:val="0"/>
          <w:numId w:val="1"/>
        </w:numPr>
        <w:spacing w:after="60"/>
        <w:rPr>
          <w:lang w:val="en-US"/>
        </w:rPr>
      </w:pPr>
      <w:r w:rsidRPr="00EA1518">
        <w:rPr>
          <w:lang w:val="en-US"/>
        </w:rPr>
        <w:t>IRS – Vergleich FBAR und Form 8938 (</w:t>
      </w:r>
      <w:hyperlink r:id="rId74">
        <w:r w:rsidR="001F7233" w:rsidRPr="00EA1518">
          <w:rPr>
            <w:color w:val="0563C1"/>
            <w:u w:val="single"/>
            <w:lang w:val="en-US"/>
          </w:rPr>
          <w:t>irs.gov/businesses/comparison-of-form-8938-and-fbar-requirements</w:t>
        </w:r>
      </w:hyperlink>
      <w:r w:rsidRPr="00EA1518">
        <w:rPr>
          <w:lang w:val="en-US"/>
        </w:rPr>
        <w:t>)</w:t>
      </w:r>
    </w:p>
    <w:p w14:paraId="01F6F448" w14:textId="77777777" w:rsidR="001F7233" w:rsidRPr="00EA1518" w:rsidRDefault="00000000">
      <w:pPr>
        <w:pStyle w:val="ListParagraph"/>
        <w:numPr>
          <w:ilvl w:val="0"/>
          <w:numId w:val="1"/>
        </w:numPr>
        <w:spacing w:after="60"/>
        <w:rPr>
          <w:lang w:val="en-US"/>
        </w:rPr>
      </w:pPr>
      <w:r w:rsidRPr="00EA1518">
        <w:rPr>
          <w:lang w:val="en-US"/>
        </w:rPr>
        <w:t>Consumer Financial Protection Bureau – Credit Score und Verbraucherrechte (</w:t>
      </w:r>
      <w:hyperlink r:id="rId75">
        <w:r w:rsidR="001F7233" w:rsidRPr="00EA1518">
          <w:rPr>
            <w:color w:val="0563C1"/>
            <w:u w:val="single"/>
            <w:lang w:val="en-US"/>
          </w:rPr>
          <w:t>consumerfinance.gov</w:t>
        </w:r>
      </w:hyperlink>
      <w:r w:rsidRPr="00EA1518">
        <w:rPr>
          <w:lang w:val="en-US"/>
        </w:rPr>
        <w:t>)</w:t>
      </w:r>
    </w:p>
    <w:p w14:paraId="7A0628F9" w14:textId="77777777" w:rsidR="001F7233" w:rsidRPr="00EA1518" w:rsidRDefault="00000000">
      <w:pPr>
        <w:pStyle w:val="ListParagraph"/>
        <w:numPr>
          <w:ilvl w:val="0"/>
          <w:numId w:val="1"/>
        </w:numPr>
        <w:spacing w:after="60"/>
        <w:rPr>
          <w:lang w:val="en-US"/>
        </w:rPr>
      </w:pPr>
      <w:r w:rsidRPr="00EA1518">
        <w:rPr>
          <w:lang w:val="en-US"/>
        </w:rPr>
        <w:t>Child Care Aware of America – Kosten der Kinderbetreuung (</w:t>
      </w:r>
      <w:hyperlink r:id="rId76">
        <w:r w:rsidR="001F7233" w:rsidRPr="00EA1518">
          <w:rPr>
            <w:color w:val="0563C1"/>
            <w:u w:val="single"/>
            <w:lang w:val="en-US"/>
          </w:rPr>
          <w:t>childcareaware.org</w:t>
        </w:r>
      </w:hyperlink>
      <w:r w:rsidRPr="00EA1518">
        <w:rPr>
          <w:lang w:val="en-US"/>
        </w:rPr>
        <w:t>)</w:t>
      </w:r>
    </w:p>
    <w:p w14:paraId="595EC8DA" w14:textId="77777777" w:rsidR="001F7233" w:rsidRDefault="00000000">
      <w:pPr>
        <w:pStyle w:val="ListParagraph"/>
        <w:numPr>
          <w:ilvl w:val="0"/>
          <w:numId w:val="1"/>
        </w:numPr>
        <w:spacing w:after="60"/>
      </w:pPr>
      <w:r>
        <w:lastRenderedPageBreak/>
        <w:t>Bundesfinanzministerium – FAQ zur Reform der privaten Altersvorsorge (</w:t>
      </w:r>
      <w:hyperlink r:id="rId77">
        <w:r w:rsidR="001F7233">
          <w:rPr>
            <w:color w:val="0563C1"/>
            <w:u w:val="single"/>
          </w:rPr>
          <w:t>bundesfinanzministerium.de</w:t>
        </w:r>
      </w:hyperlink>
      <w:r>
        <w:t>)</w:t>
      </w:r>
    </w:p>
    <w:p w14:paraId="244C2F6F" w14:textId="77777777" w:rsidR="001F7233" w:rsidRDefault="001F7233">
      <w:pPr>
        <w:spacing w:line="120" w:lineRule="exact"/>
      </w:pPr>
    </w:p>
    <w:p w14:paraId="19C47FCE" w14:textId="77777777" w:rsidR="001F7233" w:rsidRDefault="00000000">
      <w:r>
        <w:t>Oktober 2026. Gebühren, Fristen und Schwellenwerte</w:t>
      </w:r>
    </w:p>
    <w:p w14:paraId="2267CA72" w14:textId="77777777" w:rsidR="001F7233" w:rsidRDefault="00000000">
      <w:pPr>
        <w:spacing w:line="220" w:lineRule="exact"/>
      </w:pPr>
      <w:r>
        <w:br w:type="page"/>
      </w:r>
    </w:p>
    <w:p w14:paraId="02CE2B45" w14:textId="77777777" w:rsidR="001F7233" w:rsidRDefault="00000000">
      <w:pPr>
        <w:pStyle w:val="Heading2"/>
        <w:keepNext/>
        <w:spacing w:line="341" w:lineRule="auto"/>
        <w:jc w:val="center"/>
      </w:pPr>
      <w:bookmarkStart w:id="20" w:name="k3"/>
      <w:r>
        <w:rPr>
          <w:rFonts w:ascii="Amazon Ember" w:eastAsia="Amazon Ember" w:hAnsi="Amazon Ember" w:cs="Amazon Ember"/>
          <w:color w:val="0000FF"/>
          <w:sz w:val="36"/>
          <w:szCs w:val="36"/>
        </w:rPr>
        <w:lastRenderedPageBreak/>
        <w:t>Kapitel 3: Lohnt es sich für mich? Rechnen, prüfen, entscheiden</w:t>
      </w:r>
      <w:bookmarkEnd w:id="20"/>
    </w:p>
    <w:p w14:paraId="3A5E9DDB" w14:textId="77777777" w:rsidR="001F7233" w:rsidRDefault="00000000">
      <w:pPr>
        <w:spacing w:after="140"/>
      </w:pPr>
      <w:r>
        <w:t>Auf dem Küchentisch liegt ein Jobangebot aus Seattle: 145.000 $ im Jahr, fast das Doppelte des aktuellen deutschen Bruttogehalts. Die Excel-Tabelle mit dem Vergleich ist in zehn Minuten fertig und komplett falsch, weil sie nur eine Zeile hat: das Bruttogehalt. Was am Ende jeden Monat auf dem Konto bleibt, entscheidet sich erst nach Steuern, Sozialabgaben, Krankenversicherung, Miete und, mit Kindern, nach der Kinderbetreuung. Zwischen dem ersten Eindruck „fast doppelt so viel“ und der ehrlichen Zahl liegen je nach Bundesstaat, Stadt und Familiengröße oft mehrere Zehntausend Dollar im Jahr – in beide Richtungen. Dieses Kapitel rechnet drei vereinfachte Beispiele durch, ordnet die Entscheidung in eine Matrix und bringt sie an den Familientisch, bevor sie auf dem Verhandlungstisch mit dem Arbeitgeber landet.</w:t>
      </w:r>
    </w:p>
    <w:p w14:paraId="5ADA9F58" w14:textId="77777777" w:rsidR="001F7233" w:rsidRDefault="00000000">
      <w:r>
        <w:rPr>
          <w:b/>
        </w:rPr>
        <w:t xml:space="preserve">KURZ GESAGT: </w:t>
      </w:r>
    </w:p>
    <w:p w14:paraId="101FDA13" w14:textId="77777777" w:rsidR="001F7233" w:rsidRDefault="00000000">
      <w:r>
        <w:t>• Vergleiche nie Brutto mit Brutto: Erst nach Steuern, Sozialabgaben, Krankenversicherung, Miete und Kinderbetreuung zeigt sich, was wirklich bleibt.</w:t>
      </w:r>
    </w:p>
    <w:p w14:paraId="30FDBBFB" w14:textId="77777777" w:rsidR="001F7233" w:rsidRDefault="00000000">
      <w:r>
        <w:t>• Drei vereinfachte Beispielrechnungen (Single, Paar, Familie mit zwei Kindern) zeigen den Rechenweg und wie stark Bundesstaat, Stadt und Partnerstatus das Ergebnis verschieben.</w:t>
      </w:r>
    </w:p>
    <w:p w14:paraId="1121650D" w14:textId="77777777" w:rsidR="001F7233" w:rsidRDefault="00000000">
      <w:r>
        <w:t>• Trenne Muss-, Kann- und Ausschlusskriterien in einer Entscheidungsmatrix, bevor Gefühl und Gehaltszahl durcheinandergeraten.</w:t>
      </w:r>
    </w:p>
    <w:p w14:paraId="492E6788" w14:textId="77777777" w:rsidR="001F7233" w:rsidRDefault="00000000">
      <w:r>
        <w:t>• Der Familienrat gehört vor die Unterschrift: Partnerkarriere, Kinder je nach Lebensalter, Eltern in Deutschland, die Immobilie.</w:t>
      </w:r>
    </w:p>
    <w:p w14:paraId="1446B502" w14:textId="77777777" w:rsidR="001F7233" w:rsidRDefault="00000000">
      <w:r>
        <w:t>• Verhandle mit dem Arbeitgeber, bevor du zusagst: Relocation, unabhängiger Anwalt, Green-Card-Sponsoring, Steuerberatung, Rückkehrklausel.</w:t>
      </w:r>
    </w:p>
    <w:p w14:paraId="779AD714" w14:textId="77777777" w:rsidR="001F7233" w:rsidRDefault="00000000">
      <w:r>
        <w:lastRenderedPageBreak/>
        <w:t>• Denke in zwei bis drei Jahren statt „für immer“ – das nimmt Druck von der Entscheidung und lässt die Rückkehroption offen (</w:t>
      </w:r>
      <w:hyperlink w:anchor="k42">
        <w:r w:rsidR="001F7233">
          <w:rPr>
            <w:color w:val="0563C1"/>
            <w:u w:val="single"/>
          </w:rPr>
          <w:t>Kapitel 42</w:t>
        </w:r>
      </w:hyperlink>
      <w:r>
        <w:t>).</w:t>
      </w:r>
    </w:p>
    <w:p w14:paraId="0A3A13CE" w14:textId="77777777" w:rsidR="001F7233" w:rsidRDefault="001F7233">
      <w:pPr>
        <w:spacing w:line="220" w:lineRule="exact"/>
      </w:pPr>
    </w:p>
    <w:p w14:paraId="71166A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der Brutto-Vergleich in die Irre führt</w:t>
      </w:r>
    </w:p>
    <w:p w14:paraId="0410DC92" w14:textId="77777777" w:rsidR="001F7233" w:rsidRDefault="00000000">
      <w:pPr>
        <w:spacing w:after="140"/>
      </w:pPr>
      <w:r>
        <w:t>In Deutschland kennst du dein Netto aus der Gehaltsabrechnung. In den USA musst du es selbst zusammensetzen: Bund, Bundesstaat und oft die Kommune erheben Steuern, dazu kommen Sozialabgaben (</w:t>
      </w:r>
      <w:r>
        <w:rPr>
          <w:i/>
          <w:iCs/>
        </w:rPr>
        <w:t>FICA</w:t>
      </w:r>
      <w:r>
        <w:t>) und, anders als in der gesetzlichen Krankenversicherung, ein eigener Krankenversicherungsbeitrag, der nicht in den Abgaben steckt (Kapitel </w:t>
      </w:r>
      <w:hyperlink w:anchor="k28">
        <w:r w:rsidR="001F7233">
          <w:t>28</w:t>
        </w:r>
      </w:hyperlink>
      <w:r>
        <w:t>). Miete und, mit Kindern, Kinderbetreuung schwanken zusätzlich stark nach Ort (Kapitel </w:t>
      </w:r>
      <w:hyperlink w:anchor="k12">
        <w:r w:rsidR="001F7233">
          <w:t>12</w:t>
        </w:r>
      </w:hyperlink>
      <w:r>
        <w:t xml:space="preserve"> bis </w:t>
      </w:r>
      <w:hyperlink w:anchor="k14">
        <w:r w:rsidR="001F7233">
          <w:t>14</w:t>
        </w:r>
      </w:hyperlink>
      <w:r>
        <w:t xml:space="preserve"> und </w:t>
      </w:r>
      <w:hyperlink w:anchor="k38">
        <w:r w:rsidR="001F7233">
          <w:t>38</w:t>
        </w:r>
      </w:hyperlink>
      <w:r>
        <w:t>). Ein Gehalt, das in Houston komfortabel ist, kann in San Francisco knapp werden. Wer das Bruttogehalt im Kopf einfach verdoppelt und schon die Sektkorken knallen lässt, hat die Rechnung meist zu früh beendet.</w:t>
      </w:r>
    </w:p>
    <w:p w14:paraId="15EA71D5" w14:textId="77777777" w:rsidR="001F7233" w:rsidRDefault="00000000">
      <w:pPr>
        <w:spacing w:after="140"/>
      </w:pPr>
      <w:r>
        <w:t>Die folgenden drei Rechnungen verbinden die in den genannten Kapiteln erläuterten Ansätze aus Kapitel 26, 28, 13, 14 und 38 zu drei vereinfachten Modellen. Sie rechnen ohne 401(k) und Bonus, mit Durchschnittswerten statt deinem konkreten Angebot und mit einer groben Näherung für die deutsche Seite. Die deutschen Zahlen beruhen auf dem Einkommensteuertarif und groben Sozialabgabenquoten; sie ersetzen keinen Gehaltsrechner.</w:t>
      </w:r>
    </w:p>
    <w:p w14:paraId="5E1DB2F9" w14:textId="77777777" w:rsidR="001F7233" w:rsidRPr="00EA1518" w:rsidRDefault="00000000">
      <w:pPr>
        <w:rPr>
          <w:lang w:val="en-US"/>
        </w:rPr>
      </w:pPr>
      <w:r>
        <w:t xml:space="preserve">Rechenannahmen der US-/Deutschland-Beispiele: USA: Steuerjahr 2026, Washington State, Standardabzüge, volle steuerliche US-Ansässigkeit, keine 401(k)-Beiträge, Boni, sonstigen Einkünfte oder Einzelabzüge. Single: Filing Status Single, H-1B-Arbeitnehmer mit WA-Cares-Ausnahme. Paar: 150.000 $ gemeinsames Einkommen, je 75.000 $ und beide mit Arbeitserlaubnis; für die Rechnung wird keine WA-Cares-Ausnahme angesetzt. Veranlagung Married Filing Jointly und eine Familienpolice über einen Arbeitgeber. Familie: ein H-1B-Einkommen von 150.000 $, Married Filing Jointly, zwei Kinder unter 17 Jahren mit Anspruch auf die Kindergutschrift und erforderlichen SSNs; 2.200 $ je Kind sind in der Steuerzeile abgezogen. Für diesen H-1B-Arbeitnehmer wird die WA-Cares-Ausnahme angesetzt; die Pflichtprämie für Paid Family &amp; Medical Leave bleibt enthalten. Deutschland: Bruttowerte mit dem EZB-Referenzkurs vom 18. September 2026 (1 € = 1,1460 $) umgerechnet. Single: ledig, keine Kirchensteuer. Paar: zwei Beschäftigte mit je 65.445 € Brutto, keine Kinder oder Kirchensteuer. Familie: verheiratet, ein Einkommen, zwei Kinder unter 17 Jahren, keine Kirchensteuer; Ehegattensplitting, Kinderfreibeträge und Kindergeld nach dem 2026 geltenden Recht. Für alle deutschen Fälle: gesetzliche Krankenversicherung mit durchschnittlichem Zusatzbeitrag, allgemeine Sozialversicherungsbeiträge und Beitragsgrenzen 2026; Ergebnisse gerundet. Sonderausgaben, Kirchensteuer, private Krankenversicherung, individuelle Zusatzbeiträge und weitere Haushaltskosten sind nicht eingerechnet. Die Beispiele sind Modellrechnungen, keine Steuerberatung. Quellen: IRS (irs.gov/newsroom/irs-releases-tax-inflation-adjustments-for-tax-year-2026-including-amendments-from-the-one-big-beautiful-bill; irs.gov/pub/irs-dft/i1040s8--dft.pdf); § 32a EStG (bundesfinanzministerium.de, Amtliches Einkommensteuer-Handbuch 2026); BMF 2026 Kinderfreibetrag und Kindergeld; Deutsche Rentenversicherung und BMG, Sozialversicherungswerte 2026; wacaresfund.wa.gov/exemptions; paidleave.wa.gov/updates; ecb.europa.eu, Referenzkurs 18.09.2026.</w:t>
      </w:r>
      <w:r>
        <w:lastRenderedPageBreak/>
        <w:t xml:space="preserve"/>
      </w:r>
      <w:r w:rsidRPr="00EA1518">
        <w:rPr>
          <w:lang w:val="en-US"/>
        </w:rPr>
        <w:t/>
      </w:r>
    </w:p>
    <w:p w14:paraId="3467D5F2" w14:textId="77777777" w:rsidR="001F7233" w:rsidRDefault="00000000">
      <w:pPr>
        <w:spacing w:after="140"/>
      </w:pPr>
      <w:r>
        <w:t>Behalte zwei Dinge im Kopf. Erstens verschieben Bundesstaat und Stadt das Ergebnis stärker als das Gehalt selbst: Kapitel </w:t>
      </w:r>
      <w:hyperlink w:anchor="k28">
        <w:r w:rsidR="001F7233">
          <w:t>28</w:t>
        </w:r>
      </w:hyperlink>
      <w:r>
        <w:t xml:space="preserve"> zeigt für dasselbe Bruttogehalt eine Spanne von mehreren Prozentpunkten Netto allein durch den Bundesstaat, und Kapitel </w:t>
      </w:r>
      <w:hyperlink w:anchor="k13">
        <w:r w:rsidR="001F7233">
          <w:t>13</w:t>
        </w:r>
      </w:hyperlink>
      <w:r>
        <w:t xml:space="preserve"> zeigt bei der Miete eine Spanne vom Zwei- bis Dreifachen zwischen günstigen und teuren Metropolregionen. Zweitens: Die Rechnung hier ist ein Ausgangspunkt für dein eigenes Angebot, kein Ersatz dafür. Trage dein tatsächliches Gehalt, deinen Zielstaat und deine reale Miete ein, sobald du sie kennst.</w:t>
      </w:r>
    </w:p>
    <w:p w14:paraId="0E877670" w14:textId="77777777" w:rsidR="001F7233" w:rsidRDefault="00000000">
      <w:r>
        <w:t>Vergleichsgrenze: Das sind Rechenbeispiele, kein gleichartiger Kaufkraftvergleich. Seattle steht beim Wohnen einem deutschen Bundesdurchschnitt gegenüber. Lebensmittel, Verkehr, Selbstbehalte und Zuzahlungen, das jährliche Out-of-Pocket Maximum sowie Kinderbetreuung sind nicht vollständig eingerechnet. Ersetze die Werte durch Angebote für deinen Haushalt und den konkreten Zielort. Die Dollar-genaue Rechnung ist keine ebenso genaue Vorhersage deines tatsächlichen Einkommens oder deiner Ausgaben.</w:t>
      </w:r>
    </w:p>
    <w:p w14:paraId="7DD77223" w14:textId="77777777" w:rsidR="001F7233" w:rsidRDefault="00000000">
      <w:r>
        <w:t xml:space="preserve">Dieses Kapitel rechnet vereinfachte Beispiele, keine Steuer- oder Finanzberatung. Tatsächliche Ergebnisse ändern sich durch </w:t>
      </w:r>
      <w:r>
        <w:lastRenderedPageBreak/>
        <w:t>Aufenthalts- und Steuerstatus, Steuerjahr, Familienstand, Bundesstaat, 401(k), Bonus, Aktienvergütung, Kirchensteuer, Kinderalter und Anspruch auf Abzüge oder Steuergutschriften. Nur der Familienfall setzt die ausdrücklich genannten US-Kindergutschriften an. Für Deutschland sind Sozialabgaben und Steuerbelastung gerundet und angenähert. Nutze die Fälle als offen gelegte Rechenmodelle und ersetze jede Annahme durch dein tatsächliches Angebot, den passenden Steuerstatus und örtliche Preisangebote.</w:t>
      </w:r>
    </w:p>
    <w:p w14:paraId="4D42A58B" w14:textId="77777777" w:rsidR="001F7233" w:rsidRDefault="00000000">
      <w:pPr>
        <w:spacing w:line="220" w:lineRule="exact"/>
      </w:pPr>
      <w:r>
        <w:br w:type="page"/>
      </w:r>
    </w:p>
    <w:p w14:paraId="10D5B7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1: Single</w:t>
      </w:r>
    </w:p>
    <w:p w14:paraId="71DACF0B" w14:textId="77777777" w:rsidR="001F7233" w:rsidRDefault="00000000">
      <w:pPr>
        <w:spacing w:after="140"/>
      </w:pPr>
      <w:r>
        <w:t>Eine ledige Fachkraft mit 120.000 $ Jahresgehalt zieht mit H-1B-Status nach Seattle, Washington. Nach Kapitel </w:t>
      </w:r>
      <w:hyperlink w:anchor="k28">
        <w:r w:rsidR="001F7233">
          <w:t>28</w:t>
        </w:r>
      </w:hyperlink>
      <w:r>
        <w:t xml:space="preserve"> bleiben ihr dort, weil Inhaber eines Nichteinwanderervisums seit 1. Januar 2026 von der Pflegeabgabe </w:t>
      </w:r>
      <w:r>
        <w:rPr>
          <w:i/>
          <w:iCs/>
        </w:rPr>
        <w:t>WA Cares</w:t>
      </w:r>
      <w:r>
        <w:t xml:space="preserve"> befreit sind, netto 92.281 $ (76,9 %) nach Bundessteuer, Sozialabgaben und Staatsumlage. Davon gehen im Schnitt 1.440 $ Krankenversicherungsbeitrag ab (Kapitel </w:t>
      </w:r>
      <w:hyperlink w:anchor="k26">
        <w:r w:rsidR="001F7233">
          <w:t>26</w:t>
        </w:r>
      </w:hyperlink>
      <w:r>
        <w:t>) und die Miete für eine 1BR-Wohnung in Seattle, im Schnitt 2.217 $ im Monat oder 26.604 $ im Jahr (Kapitel </w:t>
      </w:r>
      <w:hyperlink w:anchor="k13">
        <w:r w:rsidR="001F7233">
          <w:t>13</w:t>
        </w:r>
      </w:hyperlink>
      <w:r>
        <w:t>).</w:t>
      </w:r>
    </w:p>
    <w:p w14:paraId="7245DAD8" w14: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1106426B"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7CE9886D"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2623B675"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431B7FE5" w14:textId="77777777" w:rsidR="001F7233" w:rsidRDefault="00000000">
            <w:r>
              <w:rPr>
                <w:b/>
                <w:sz w:val="18"/>
              </w:rPr>
              <w:t>USA: Washington (Näherung)</w:t>
            </w:r>
          </w:p>
        </w:tc>
      </w:tr>
      <w:tr w:rsidR="001F7233" w14:paraId="117CD51D"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82ECEA0" w14:textId="77777777" w:rsidR="001F7233" w:rsidRDefault="00000000">
            <w:r>
              <w:rPr>
                <w:sz w:val="18"/>
              </w:rPr>
              <w:t>Bruttogehalt</w:t>
            </w:r>
          </w:p>
        </w:tc>
        <w:tc>
          <w:tcPr>
            <w:tcW w:w="1987" w:type="dxa"/>
            <w:tcBorders>
              <w:top w:val="single" w:sz="4" w:space="0" w:color="B4C7DC"/>
              <w:left w:val="single" w:sz="4" w:space="0" w:color="B4C7DC"/>
              <w:bottom w:val="single" w:sz="4" w:space="0" w:color="B4C7DC"/>
              <w:right w:val="single" w:sz="4" w:space="0" w:color="B4C7DC"/>
            </w:tcBorders>
            <w:vAlign w:val="center"/>
          </w:tcPr>
          <w:p w14:paraId="76B99C19" w14:textId="77777777" w:rsidR="001F7233" w:rsidRDefault="00000000">
            <w:r>
              <w:rPr>
                <w:sz w:val="18"/>
              </w:rPr>
              <w:t>104.700 €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9A67254" w14:textId="77777777" w:rsidR="001F7233" w:rsidRDefault="00000000">
            <w:r>
              <w:rPr>
                <w:sz w:val="18"/>
              </w:rPr>
              <w:t>120.000 $</w:t>
            </w:r>
          </w:p>
        </w:tc>
      </w:tr>
      <w:tr w:rsidR="001F7233" w14:paraId="54052C08"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7D086FC8"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47B538FA" w14:textId="77777777" w:rsidR="001F7233" w:rsidRDefault="00000000">
            <w:r>
              <w:rPr>
                <w:sz w:val="18"/>
              </w:rPr>
              <w:t>44.300 €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0E57A943" w14:textId="77777777" w:rsidR="001F7233" w:rsidRDefault="00000000">
            <w:r>
              <w:rPr>
                <w:sz w:val="18"/>
              </w:rPr>
              <w:t>27.719 $</w:t>
            </w:r>
          </w:p>
        </w:tc>
      </w:tr>
      <w:tr w:rsidR="001F7233" w14:paraId="536F4CB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5770DB0"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23551086" w14:textId="77777777" w:rsidR="001F7233" w:rsidRDefault="00000000">
            <w:r>
              <w:rPr>
                <w:sz w:val="18"/>
              </w:rPr>
              <w:t>60.400 €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1167BAA0" w14:textId="77777777" w:rsidR="001F7233" w:rsidRDefault="00000000">
            <w:r>
              <w:rPr>
                <w:sz w:val="18"/>
              </w:rPr>
              <w:t>92.281 $</w:t>
            </w:r>
          </w:p>
        </w:tc>
      </w:tr>
      <w:tr w:rsidR="001F7233" w14:paraId="38F16B00"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FDED1FC"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522A91A7"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46229D18" w14:textId="77777777" w:rsidR="001F7233" w:rsidRDefault="00000000">
            <w:r>
              <w:rPr>
                <w:sz w:val="18"/>
              </w:rPr>
              <w:t>1.440 $</w:t>
            </w:r>
          </w:p>
        </w:tc>
      </w:tr>
      <w:tr w:rsidR="001F7233" w14:paraId="2EB6CAE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20A2AB34"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1B8EB951" w14:textId="77777777" w:rsidR="001F7233" w:rsidRDefault="00000000">
            <w:r>
              <w:rPr>
                <w:sz w:val="18"/>
              </w:rPr>
              <w:t>ca. 10.200 €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D682095" w14:textId="77777777" w:rsidR="001F7233" w:rsidRDefault="00000000">
            <w:r>
              <w:rPr>
                <w:sz w:val="18"/>
              </w:rPr>
              <w:t>26.604 $</w:t>
            </w:r>
          </w:p>
        </w:tc>
      </w:tr>
      <w:tr w:rsidR="001F7233" w14:paraId="3BAEC00A"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5929A12"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542D6713" w14:textId="77777777" w:rsidR="001F7233" w:rsidRDefault="00000000">
            <w:r>
              <w:rPr>
                <w:sz w:val="18"/>
              </w:rPr>
              <w:t>ca. 50.200 €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6CD82921" w14:textId="77777777" w:rsidR="001F7233" w:rsidRDefault="00000000">
            <w:r>
              <w:rPr>
                <w:sz w:val="18"/>
              </w:rPr>
              <w:t>64.237 $</w:t>
            </w:r>
          </w:p>
        </w:tc>
      </w:tr>
    </w:tbl>
    <w:p w14:paraId="3A0A0C96" w14:textId="77777777" w:rsidR="001F7233" w:rsidRDefault="001F7233">
      <w:pPr>
        <w:spacing w:line="180" w:lineRule="exact"/>
      </w:pPr>
    </w:p>
    <w:p w14:paraId="2E919EE0" w14:textId="77777777" w:rsidR="001F7233" w:rsidRDefault="00000000">
      <w:pPr>
        <w:spacing w:after="140"/>
      </w:pPr>
      <w:r>
        <w:t>Die deutsche Seite rechnet mit dem umgerechneten Bruttogehalt von rund 104.700 € (Kapitel </w:t>
      </w:r>
      <w:hyperlink w:anchor="k28">
        <w:r w:rsidR="001F7233">
          <w:t>28</w:t>
        </w:r>
      </w:hyperlink>
      <w:r>
        <w:t xml:space="preserve">) und der dort bereits geprüften Näherung für Sozialabgaben und Steuern eines Ledigen ohne Kirchensteuer (Steuerklasse I, Faktenblatt R07). Für die Miete setzen wir eine 60-m²-Wohnung zum bundesweiten Durchschnitt für Neuverträge an (rund 11,40 € pro Quadratmeter kalt, September 2026, laut einem Immobilienportal), aufgerundet auf eine </w:t>
      </w:r>
      <w:r>
        <w:lastRenderedPageBreak/>
        <w:t>Warmmiete von rund 850 € im Monat. In diesem Beispiel bleibt der Single in Seattle trotz hoher Miete am Ende mehr übrig als in Deutschland. Es ist aber deutlich weniger, als der reine Brutto-Vergleich (120.000 $ gegen 104.700 €) suggeriert.</w:t>
      </w:r>
    </w:p>
    <w:p w14:paraId="2388BCB0" w14:textId="77777777" w:rsidR="001F7233" w:rsidRDefault="00000000">
      <w:pPr>
        <w:spacing w:after="140"/>
      </w:pPr>
      <w:r>
        <w:t>Ein anderer Wohnort kann das Ergebnis deutlich verändern. Rechne beide Seiten mit konkreten Gehältern, lokalen Mieten, Versicherungsangeboten und den übrigen Ausgaben deines Haushalts neu. Aus diesen drei Modellen lässt sich der Vorteil eines anderen Zielorts nicht unmittelbar ableiten.</w:t>
      </w:r>
      <w:r>
        <w:br w:type="page"/>
      </w:r>
    </w:p>
    <w:p w14:paraId="4FBB60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2: Paar ohne Kinder</w:t>
      </w:r>
    </w:p>
    <w:p w14:paraId="62621604" w14:textId="77777777" w:rsidR="001F7233" w:rsidRDefault="00000000">
      <w:pPr>
        <w:keepNext/>
        <w:spacing w:after="140"/>
      </w:pPr>
      <w:r>
        <w:t>Ein Paar mit zusammen 150.000 $ Jahreseinkommen, beide berufstätig, zieht ebenfalls nach Washington und veranlagt gemeinsam (</w:t>
      </w:r>
      <w:r>
        <w:rPr>
          <w:i/>
          <w:iCs/>
        </w:rPr>
        <w:t>Married Filing Jointly</w:t>
      </w:r>
      <w:r>
        <w:t>). Die Bundessteuer vor Kindergutschrift beträgt nach dem Tarif aus Kapitel </w:t>
      </w:r>
      <w:hyperlink w:anchor="k28">
        <w:r w:rsidR="001F7233">
          <w:t>28</w:t>
        </w:r>
      </w:hyperlink>
      <w:r>
        <w:t xml:space="preserve"> bei diesem Einkommen 15.340 $. Dazu kommen FICA von 11.475 $ und die washingtonspezifischen Umlagen von 2.081 $ – macht 28.896 $ Abzüge und 121.104 $ Netto (80,7 %).</w:t>
      </w:r>
    </w:p>
    <w:p w14:paraId="67F3721D" w14: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10724674"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016DBA80"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69986C8E"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17897C4D" w14:textId="77777777" w:rsidR="001F7233" w:rsidRDefault="00000000">
            <w:r>
              <w:rPr>
                <w:b/>
                <w:sz w:val="18"/>
              </w:rPr>
              <w:t>USA: Washington (Näherung)</w:t>
            </w:r>
          </w:p>
        </w:tc>
      </w:tr>
      <w:tr w:rsidR="001F7233" w14:paraId="2FEDE3D3"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0B0597A0" w14: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w14:paraId="7096938A" w14: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w14:paraId="5BA6FABC" w14:textId="77777777" w:rsidR="001F7233" w:rsidRDefault="00000000">
            <w:r>
              <w:rPr>
                <w:sz w:val="18"/>
              </w:rPr>
              <w:t>150.000 $</w:t>
            </w:r>
          </w:p>
        </w:tc>
      </w:tr>
      <w:tr w:rsidR="001F7233" w14:paraId="5B5B15D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449F436"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342A9E4C" w14:textId="77777777" w:rsidR="001F7233" w:rsidRDefault="00000000">
            <w:r>
              <w:rPr>
                <w:sz w:val="18"/>
              </w:rPr>
              <w:t>ca. 50.300 €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6207ABEA" w14:textId="77777777" w:rsidR="001F7233" w:rsidRDefault="00000000">
            <w:r>
              <w:rPr>
                <w:sz w:val="18"/>
              </w:rPr>
              <w:t>28.896 $</w:t>
            </w:r>
          </w:p>
        </w:tc>
      </w:tr>
      <w:tr w:rsidR="001F7233" w14:paraId="7AC442E5"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06186D0"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487DABC2" w14:textId="77777777" w:rsidR="001F7233" w:rsidRDefault="00000000">
            <w:r>
              <w:rPr>
                <w:sz w:val="18"/>
              </w:rPr>
              <w:t>ca. 80.600 €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18331549" w14:textId="77777777" w:rsidR="001F7233" w:rsidRDefault="00000000">
            <w:r>
              <w:rPr>
                <w:sz w:val="18"/>
              </w:rPr>
              <w:t>121.104 $</w:t>
            </w:r>
          </w:p>
        </w:tc>
      </w:tr>
      <w:tr w:rsidR="001F7233" w14:paraId="7CA88154"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6473FEE"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066C674E"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07C3C6A6" w14:textId="77777777" w:rsidR="001F7233" w:rsidRDefault="00000000">
            <w:r>
              <w:rPr>
                <w:sz w:val="18"/>
              </w:rPr>
              <w:t>6.850 $</w:t>
            </w:r>
          </w:p>
        </w:tc>
      </w:tr>
      <w:tr w:rsidR="001F7233" w14:paraId="6758AEC3"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776681A"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44849F90" w14:textId="77777777" w:rsidR="001F7233" w:rsidRDefault="00000000">
            <w:r>
              <w:rPr>
                <w:sz w:val="18"/>
              </w:rPr>
              <w:t>ca. 12.600 €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2EEA234B" w14:textId="77777777" w:rsidR="001F7233" w:rsidRDefault="00000000">
            <w:r>
              <w:rPr>
                <w:sz w:val="18"/>
              </w:rPr>
              <w:t>26.604 $</w:t>
            </w:r>
          </w:p>
        </w:tc>
      </w:tr>
      <w:tr w:rsidR="001F7233" w14:paraId="45DFC06B"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03569B9"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2C25B3DA" w14:textId="77777777" w:rsidR="001F7233" w:rsidRDefault="00000000">
            <w:r>
              <w:rPr>
                <w:sz w:val="18"/>
              </w:rPr>
              <w:t>ca. 68.000 € (ca. 77.900 $)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3D717D46" w14:textId="77777777" w:rsidR="001F7233" w:rsidRDefault="00000000">
            <w:r>
              <w:rPr>
                <w:sz w:val="18"/>
              </w:rPr>
              <w:t>87.650 $</w:t>
            </w:r>
          </w:p>
        </w:tc>
      </w:tr>
    </w:tbl>
    <w:p w14:paraId="33E5A87B" w14:textId="77777777" w:rsidR="001F7233" w:rsidRDefault="001F7233">
      <w:pPr>
        <w:spacing w:line="180" w:lineRule="exact"/>
      </w:pPr>
    </w:p>
    <w:p w14:paraId="0C7D47D6" w14:textId="77777777" w:rsidR="001F7233" w:rsidRDefault="00000000">
      <w:pPr>
        <w:spacing w:after="140"/>
      </w:pPr>
      <w:r>
        <w:t xml:space="preserve">Die US-Krankenversicherung ist mit einem durchschnittlichen Arbeitnehmeranteil von 6.850 $ für eine Familienpolice angesetzt. Die Modellrechnung unterstellt, dass beide Partner über den Arbeitgeber einer Person versichert sind; zwei getrennte Einzelpolicen können anders kosten. Für Deutschland rechnen wir mit zwei Einkommen von je 65.445 €, ohne Kinder und Kirchensteuer, gesetzlich versichert. Mit dem Einkommensteuertarif und den Arbeitnehmeranteilen der Sozialversicherung 2026 ergeben sich gerundet etwa 50.300 € Steuern und Sozialabgaben sowie 80.600 € netto. Nach der angesetzten Jahresmiete von 12.600 € bleiben rund 68.000 €, entsprechend etwa 77.900 $ zum genannten EZB-Kurs. Die deutsche Rechnung ist eine Näherung; tatsächliche Zusatzbeiträge, Sonderausgaben und persönliche Verhältnisse verändern sie.</w:t>
      </w:r>
      <w:hyperlink w:anchor="k26">
        <w:r w:rsidR="001F7233">
          <w:t/>
        </w:r>
      </w:hyperlink>
      <w:r>
        <w:t xml:space="preserve"/>
      </w:r>
      <w:hyperlink w:anchor="k28">
        <w:r w:rsidR="001F7233">
          <w:t/>
        </w:r>
      </w:hyperlink>
      <w:r>
        <w:t xml:space="preserve"/>
      </w:r>
      <w:r>
        <w:lastRenderedPageBreak/>
        <w:t/>
      </w:r>
    </w:p>
    <w:p w14:paraId="3D39855B" w14:textId="77777777" w:rsidR="001F7233" w:rsidRDefault="00000000">
      <w:pPr>
        <w:spacing w:after="140"/>
      </w:pPr>
      <w:r>
        <w:t>Bei gemeinsamer Veranlagung werden die Einkünfte beider Partner gemeinsam berücksichtigt. Die konkrete Steuerlast hängt unter anderem von der Einkommensverteilung und den übrigen Abzügen ab. Plane ein zweites Einkommen außerdem nur ein, wenn die Arbeitserlaubnis des Partners für den vorgesehenen Aufenthaltsstatus geklärt ist (Kapitel 10).</w:t>
      </w:r>
      <w:r>
        <w:br w:type="page"/>
      </w:r>
    </w:p>
    <w:p w14:paraId="62BDB8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3: Familie mit zwei Kindern</w:t>
      </w:r>
    </w:p>
    <w:p w14:paraId="236626B3" w14:textId="77777777" w:rsidR="001F7233" w:rsidRDefault="00000000">
      <w:r>
        <w:t>Alle Beträge pro Jahr; Deutschland in EUR, USA in USD. Deutschland: verheiratetes Paar, ein Einkommen von 130.890 €, zwei Kinder unter 17 Jahren (für die Pflegeversicherungsentlastung beide unter 25), gesetzliche Krankenversicherung und keine Kirchensteuer. Die deutsche Rechnung berücksichtigt Ehegattensplitting, Kinderfreibeträge und den Kindergeld-Ausgleich. USA: ein H-1B-Einkommen; die WA-Cares-Ausnahme ist angesetzt. Werte sind gerundet und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41F6C751"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20E75F4C"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673F97E9"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0DB3B36B" w14:textId="77777777" w:rsidR="001F7233" w:rsidRDefault="00000000">
            <w:r>
              <w:rPr>
                <w:b/>
                <w:sz w:val="18"/>
              </w:rPr>
              <w:t>USA: Washington (Näherung)</w:t>
            </w:r>
          </w:p>
        </w:tc>
      </w:tr>
      <w:tr w:rsidR="001F7233" w14:paraId="124F2FEB"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3495827" w14: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w14:paraId="1FC78EF6" w14: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5C42F16" w14:textId="77777777" w:rsidR="001F7233" w:rsidRDefault="00000000">
            <w:r>
              <w:rPr>
                <w:sz w:val="18"/>
              </w:rPr>
              <w:t>150.000 $</w:t>
            </w:r>
          </w:p>
        </w:tc>
      </w:tr>
      <w:tr w:rsidR="001F7233" w14:paraId="5B3B61AE"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02EE0472"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002D3421" w14:textId="77777777" w:rsidR="001F7233" w:rsidRDefault="00000000">
            <w:r>
              <w:rPr>
                <w:sz w:val="18"/>
              </w:rPr>
              <w:t>ca. 43.100 €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613577A2" w14:textId="77777777" w:rsidR="001F7233" w:rsidRDefault="00000000">
            <w:r>
              <w:rPr>
                <w:sz w:val="18"/>
              </w:rPr>
              <w:t>23.626 $</w:t>
            </w:r>
          </w:p>
        </w:tc>
      </w:tr>
      <w:tr w:rsidR="001F7233" w14:paraId="12414AE8"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101F2602"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1601CD62" w14:textId="77777777" w:rsidR="001F7233" w:rsidRDefault="00000000">
            <w:r>
              <w:rPr>
                <w:sz w:val="18"/>
              </w:rPr>
              <w:t>ca. 87.800 €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5E30D3FC" w14:textId="77777777" w:rsidR="001F7233" w:rsidRDefault="00000000">
            <w:r>
              <w:rPr>
                <w:sz w:val="18"/>
              </w:rPr>
              <w:t>126.374 $</w:t>
            </w:r>
          </w:p>
        </w:tc>
      </w:tr>
      <w:tr w:rsidR="001F7233" w14:paraId="10AA29A1"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DE37062" w14:textId="77777777" w:rsidR="001F7233" w:rsidRDefault="00000000">
            <w:r>
              <w:rPr>
                <w:sz w:val="18"/>
              </w:rPr>
              <w:t>Kindergeld / Kindergutschrift</w:t>
            </w:r>
          </w:p>
        </w:tc>
        <w:tc>
          <w:tcPr>
            <w:tcW w:w="1987" w:type="dxa"/>
            <w:tcBorders>
              <w:top w:val="single" w:sz="4" w:space="0" w:color="B4C7DC"/>
              <w:left w:val="single" w:sz="4" w:space="0" w:color="B4C7DC"/>
              <w:bottom w:val="single" w:sz="4" w:space="0" w:color="B4C7DC"/>
              <w:right w:val="single" w:sz="4" w:space="0" w:color="B4C7DC"/>
            </w:tcBorders>
            <w:vAlign w:val="center"/>
          </w:tcPr>
          <w:p w14:paraId="495B5217" w14:textId="77777777" w:rsidR="001F7233" w:rsidRDefault="00000000">
            <w:r>
              <w:rPr>
                <w:sz w:val="18"/>
              </w:rPr>
              <w:t>+ 6.216 €</w:t>
            </w:r>
          </w:p>
        </w:tc>
        <w:tc>
          <w:tcPr>
            <w:tcW w:w="2132" w:type="dxa"/>
            <w:tcBorders>
              <w:top w:val="single" w:sz="4" w:space="0" w:color="B4C7DC"/>
              <w:left w:val="single" w:sz="4" w:space="0" w:color="B4C7DC"/>
              <w:bottom w:val="single" w:sz="4" w:space="0" w:color="B4C7DC"/>
              <w:right w:val="single" w:sz="4" w:space="0" w:color="B4C7DC"/>
            </w:tcBorders>
            <w:vAlign w:val="center"/>
          </w:tcPr>
          <w:p w14:paraId="4F692B2C" w14:textId="77777777" w:rsidR="001F7233" w:rsidRDefault="00000000">
            <w:r>
              <w:rPr>
                <w:sz w:val="18"/>
              </w:rPr>
              <w:t>in Steuerzeile enthalten; keine separate Zahlung</w:t>
            </w:r>
          </w:p>
        </w:tc>
      </w:tr>
      <w:tr w:rsidR="001F7233" w14:paraId="05C7671A"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B0BB584"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3B3F735A"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0C391AD7" w14:textId="77777777" w:rsidR="001F7233" w:rsidRDefault="00000000">
            <w:r>
              <w:rPr>
                <w:sz w:val="18"/>
              </w:rPr>
              <w:t>6.850 $</w:t>
            </w:r>
          </w:p>
        </w:tc>
      </w:tr>
      <w:tr w:rsidR="001F7233" w14:paraId="4DA98047"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4DCAFE60"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7F8D8FF9" w14:textId="77777777" w:rsidR="001F7233" w:rsidRDefault="00000000">
            <w:r>
              <w:rPr>
                <w:sz w:val="18"/>
              </w:rPr>
              <w:t>ca. 26.760 €</w:t>
            </w:r>
          </w:p>
        </w:tc>
        <w:tc>
          <w:tcPr>
            <w:tcW w:w="2132" w:type="dxa"/>
            <w:tcBorders>
              <w:top w:val="single" w:sz="4" w:space="0" w:color="B4C7DC"/>
              <w:left w:val="single" w:sz="4" w:space="0" w:color="B4C7DC"/>
              <w:bottom w:val="single" w:sz="4" w:space="0" w:color="B4C7DC"/>
              <w:right w:val="single" w:sz="4" w:space="0" w:color="B4C7DC"/>
            </w:tcBorders>
            <w:vAlign w:val="center"/>
          </w:tcPr>
          <w:p w14:paraId="74D94142" w14:textId="77777777" w:rsidR="001F7233" w:rsidRDefault="00000000">
            <w:r>
              <w:rPr>
                <w:sz w:val="18"/>
              </w:rPr>
              <w:t>28.800 $</w:t>
            </w:r>
          </w:p>
        </w:tc>
      </w:tr>
      <w:tr w:rsidR="001F7233" w14:paraId="7B383EC4"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7AAB1502"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1051D92D" w14:textId="77777777" w:rsidR="001F7233" w:rsidRDefault="00000000">
            <w:r>
              <w:rPr>
                <w:sz w:val="18"/>
              </w:rPr>
              <w:t>ca. 67.300 € (ca. 77.100 $)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2F05591B" w14:textId="77777777" w:rsidR="001F7233" w:rsidRDefault="00000000">
            <w:r>
              <w:t>90.724 $</w:t>
            </w:r>
          </w:p>
        </w:tc>
      </w:tr>
    </w:tbl>
    <w:p w14:paraId="37CCDCDD" w14:textId="77777777" w:rsidR="001F7233" w:rsidRDefault="00000000">
      <w:r>
        <w:t>Kinderbetreuung und weitere familienbezogene Ausgaben sind in diesem Restbetrag noch nicht vollständig berücksichtigt.</w:t>
      </w:r>
    </w:p>
    <w:p w14:paraId="4941E745" w14:textId="77777777" w:rsidR="001F7233" w:rsidRDefault="001F7233">
      <w:pPr>
        <w:spacing w:line="180" w:lineRule="exact"/>
      </w:pPr>
    </w:p>
    <w:p w14:paraId="00522BDF" w14:textId="77777777" w:rsidR="001F7233" w:rsidRDefault="00000000">
      <w:r>
        <w:rPr>
          <w:b/>
        </w:rPr>
        <w:t xml:space="preserve">ACHTUNG: </w:t>
      </w:r>
    </w:p>
    <w:p w14:paraId="6B69A968" w14:textId="77777777" w:rsidR="001F7233" w:rsidRDefault="00000000">
      <w:r>
        <w:t>• Dürfte der Partner arbeiten, kämen ein zweites Gehalt, aber auch Kinderbetreuungskosten von im Schnitt 13.184 $ je Kind und Jahr hinzu (</w:t>
      </w:r>
      <w:hyperlink w:anchor="k38">
        <w:r w:rsidR="001F7233">
          <w:rPr>
            <w:color w:val="0563C1"/>
            <w:u w:val="single"/>
          </w:rPr>
          <w:t>Kapitel 38</w:t>
        </w:r>
      </w:hyperlink>
      <w:r>
        <w:t>) – bei zwei Kindern 26.368 $, die einen großen Teil des Zugewinns aufzehren. Für Au-pairs gilt: Familien mit H-1B, L-1 oder E-2 kommen dafür nicht infrage (</w:t>
      </w:r>
      <w:hyperlink w:anchor="k38">
        <w:r w:rsidR="001F7233">
          <w:rPr>
            <w:color w:val="0563C1"/>
            <w:u w:val="single"/>
          </w:rPr>
          <w:t>Kapitel 38</w:t>
        </w:r>
      </w:hyperlink>
      <w:r>
        <w:t>). Rechne ein zweites Einkommen deshalb nicht ungeprüft in dein Budget ein, sondern erst, wenn Betreuung und Arbeitserlaubnis geklärt sind.</w:t>
      </w:r>
    </w:p>
    <w:p w14:paraId="4F94D8BE" w14:textId="77777777" w:rsidR="001F7233" w:rsidRDefault="001F7233">
      <w:pPr>
        <w:spacing w:line="220" w:lineRule="exact"/>
      </w:pPr>
    </w:p>
    <w:p w14:paraId="1C4BD0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drei Rechnungen zeigen</w:t>
      </w:r>
    </w:p>
    <w:p w14:paraId="239287DF" w14:textId="77777777" w:rsidR="001F7233" w:rsidRDefault="00000000">
      <w:pPr>
        <w:spacing w:after="140"/>
      </w:pPr>
      <w:r>
        <w:t>Zum Vergleich in einer Währung, zur groben Orientierung: 1 € entsprach am 18. September 2026 laut EZB 1,1460 $. Nach den offengelegten Annahmen bleiben in Deutschland vor den übrigen Lebenshaltungskosten etwa 57.500 $ für die Einzelperson, 77.900 $ für das Paar und 77.100 $ für die Familie (nach Kindergeld, vor deutscher Kinderbetreuung). In den US-Modellen bleiben 64.237 $, 87.650 $ und 90.724 $. Die Werte vergleichen Steuern, Sozialabgaben, Krankenversicherung, Miete und – bei der Familie – Kindergeld; sie sind kein vollständiger Kaufkraftvergleich. Lebensmittel, Verkehr, Selbstbehalte und Zuzahlungen, das jährliche Out-of-Pocket-Maximum und Kinderbetreuung sind nicht vollständig eingerechnet. Die Dollarwerte sind Modellrechnungen, keine Vorhersage deines tatsächlichen Haushaltsbudgets.</w:t>
      </w:r>
    </w:p>
    <w:p w14:paraId="477340DD" w14:textId="77777777" w:rsidR="001F7233" w:rsidRDefault="00000000">
      <w:r>
        <w:rPr>
          <w:b/>
        </w:rPr>
        <w:t xml:space="preserve">MERKE: </w:t>
      </w:r>
    </w:p>
    <w:p w14:paraId="2B8C49BC" w14:textId="77777777" w:rsidR="001F7233" w:rsidRDefault="00000000">
      <w:r>
        <w:t>• Netto vor Brutto. Die einzige Zahl, die zählt, ist das, was am Monatsende übrig bleibt. Nicht das Jahresgehalt im Angebotsschreiben.</w:t>
      </w:r>
    </w:p>
    <w:p w14:paraId="3FF576E8" w14:textId="77777777" w:rsidR="001F7233" w:rsidRDefault="001F7233">
      <w:pPr>
        <w:spacing w:line="220" w:lineRule="exact"/>
      </w:pPr>
    </w:p>
    <w:p w14:paraId="46DF72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Entscheidungsmatrix: Muss, Kann, Ausschluss</w:t>
      </w:r>
    </w:p>
    <w:p w14:paraId="0530F3E1" w14:textId="77777777" w:rsidR="001F7233" w:rsidRDefault="00000000">
      <w:pPr>
        <w:spacing w:after="140"/>
      </w:pPr>
      <w:r>
        <w:t>Bevor die Zahlen zu einer Entscheidung werden, sortiere sie. Eine Matrix mit drei Kategorien trennt, was wirklich zählt, von dem, worüber ihr nur diskutiert.</w:t>
      </w:r>
    </w:p>
    <w:p w14:paraId="4208B489" w14:textId="77777777" w:rsidR="001F7233" w:rsidRDefault="00000000">
      <w:r>
        <w:rPr>
          <w:b/>
        </w:rPr>
        <w:t>Muss (unverzichtbar)</w:t>
      </w:r>
    </w:p>
    <w:p w14:paraId="6302D5A4" w14:textId="77777777" w:rsidR="001F7233" w:rsidRDefault="00000000">
      <w:r>
        <w:rPr>
          <w:b/>
        </w:rPr>
        <w:t xml:space="preserve">Was hineingehört: </w:t>
      </w:r>
      <w:r>
        <w:t>Bedingungen, ohne die ihr nicht geht</w:t>
      </w:r>
    </w:p>
    <w:p w14:paraId="7ECAE7AA" w14:textId="77777777" w:rsidR="001F7233" w:rsidRDefault="00000000">
      <w:r>
        <w:rPr>
          <w:b/>
        </w:rPr>
        <w:t xml:space="preserve">Beispiel: </w:t>
      </w:r>
      <w:r>
        <w:t>Verfügbares Einkommen deckt eure Version der Rechnung oben; klare Perspektive auf eine Arbeitserlaubnis für den Partner (</w:t>
      </w:r>
      <w:hyperlink w:anchor="k10">
        <w:r w:rsidR="001F7233">
          <w:rPr>
            <w:rStyle w:val="Hyperlink"/>
          </w:rPr>
          <w:t>Kapitel 10</w:t>
        </w:r>
      </w:hyperlink>
      <w:r>
        <w:t>); Krankenversicherung ab einem feststehenden Datum (</w:t>
      </w:r>
      <w:hyperlink w:anchor="k26">
        <w:r w:rsidR="001F7233">
          <w:rPr>
            <w:rStyle w:val="Hyperlink"/>
          </w:rPr>
          <w:t>Kapitel 26</w:t>
        </w:r>
      </w:hyperlink>
      <w:r>
        <w:t>)</w:t>
      </w:r>
    </w:p>
    <w:p w14:paraId="492664F6" w14:textId="77777777" w:rsidR="001F7233" w:rsidRDefault="00000000">
      <w:r>
        <w:rPr>
          <w:b/>
        </w:rPr>
        <w:t>Kann (verhandelbar)</w:t>
      </w:r>
    </w:p>
    <w:p w14:paraId="60FC031D" w14:textId="77777777" w:rsidR="001F7233" w:rsidRDefault="00000000">
      <w:r>
        <w:rPr>
          <w:b/>
        </w:rPr>
        <w:t xml:space="preserve">Was hineingehört: </w:t>
      </w:r>
      <w:r>
        <w:t>Wichtig, aber kein Abbruchgrund</w:t>
      </w:r>
    </w:p>
    <w:p w14:paraId="3F104FE5" w14:textId="77777777" w:rsidR="001F7233" w:rsidRDefault="00000000">
      <w:r>
        <w:rPr>
          <w:b/>
        </w:rPr>
        <w:lastRenderedPageBreak/>
        <w:t xml:space="preserve">Beispiel: </w:t>
      </w:r>
      <w:r>
        <w:t>Bundesstaat oder Stadt (</w:t>
      </w:r>
      <w:hyperlink w:anchor="k12">
        <w:r w:rsidR="001F7233">
          <w:rPr>
            <w:rStyle w:val="Hyperlink"/>
          </w:rPr>
          <w:t>Kapitel 12</w:t>
        </w:r>
      </w:hyperlink>
      <w:r>
        <w:t>); Homeoffice-Anteil; Gehalt über dem Minimum; Zeitpunkt des Umzugs im Schuljahr</w:t>
      </w:r>
    </w:p>
    <w:p w14:paraId="6FD5CE4B" w14:textId="77777777" w:rsidR="001F7233" w:rsidRDefault="00000000">
      <w:r>
        <w:rPr>
          <w:b/>
        </w:rPr>
        <w:t>Ausschluss (K.-o.-Kriterium)</w:t>
      </w:r>
    </w:p>
    <w:p w14:paraId="785805BC" w14:textId="77777777" w:rsidR="001F7233" w:rsidRDefault="00000000">
      <w:r>
        <w:rPr>
          <w:b/>
        </w:rPr>
        <w:t xml:space="preserve">Was hineingehört: </w:t>
      </w:r>
      <w:r>
        <w:t>Tritt eines ein, geht ihr nicht oder brecht ab</w:t>
      </w:r>
    </w:p>
    <w:p w14:paraId="63E0EC1D" w14:textId="77777777" w:rsidR="001F7233" w:rsidRDefault="00000000">
      <w:r>
        <w:rPr>
          <w:b/>
        </w:rPr>
        <w:t xml:space="preserve">Beispiel: </w:t>
      </w:r>
      <w:r>
        <w:t>Kein Weg zur Green Card trotz Daueraufenthaltswunsch (</w:t>
      </w:r>
      <w:hyperlink w:anchor="k6">
        <w:r w:rsidR="001F7233">
          <w:rPr>
            <w:rStyle w:val="Hyperlink"/>
          </w:rPr>
          <w:t>Kapitel 6</w:t>
        </w:r>
      </w:hyperlink>
      <w:r>
        <w:t xml:space="preserve"> und 7); ein Gesundheitszustand, der die US-Versicherung unbezahlbar macht (</w:t>
      </w:r>
      <w:hyperlink w:anchor="k26">
        <w:r w:rsidR="001F7233">
          <w:rPr>
            <w:rStyle w:val="Hyperlink"/>
          </w:rPr>
          <w:t>Kapitel 26</w:t>
        </w:r>
      </w:hyperlink>
      <w:r>
        <w:t>); ein pflegebedürftiger Elternteil ohne tragfähige Lösung</w:t>
      </w:r>
    </w:p>
    <w:p w14:paraId="46CF0740" w14:textId="77777777" w:rsidR="001F7233" w:rsidRDefault="001F7233">
      <w:pPr>
        <w:spacing w:line="180" w:lineRule="exact"/>
      </w:pPr>
    </w:p>
    <w:p w14:paraId="0F55FF9D" w14:textId="77777777" w:rsidR="001F7233" w:rsidRDefault="00000000">
      <w:pPr>
        <w:spacing w:after="140"/>
      </w:pPr>
      <w:r>
        <w:t>Füllt die drei Spalten gemeinsam aus, bevor der Arbeitgeber ein konkretes Angebot vorlegt. Wer erst unter Zeitdruck entscheidet, verwechselt leicht ein Kann mit einem Muss.</w:t>
      </w:r>
    </w:p>
    <w:p w14:paraId="713BE9F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Familienrat: vier Fragen vor der Unterschrift</w:t>
      </w:r>
    </w:p>
    <w:p w14:paraId="228AE6CC" w14:textId="77777777" w:rsidR="001F7233" w:rsidRDefault="00000000">
      <w:pPr>
        <w:spacing w:after="140"/>
      </w:pPr>
      <w:r>
        <w:t>Die Zahlen sind nur ein Teil der Entscheidung. Vier Themen gehören an den Familientisch, bevor jemand unterschreibt.</w:t>
      </w:r>
    </w:p>
    <w:p w14:paraId="45C4D994" w14:textId="77777777" w:rsidR="001F7233" w:rsidRDefault="00000000">
      <w:pPr>
        <w:pStyle w:val="ListParagraph"/>
        <w:numPr>
          <w:ilvl w:val="0"/>
          <w:numId w:val="1"/>
        </w:numPr>
        <w:spacing w:after="60"/>
      </w:pPr>
      <w:r>
        <w:rPr>
          <w:b/>
          <w:bCs/>
        </w:rPr>
        <w:t>Partnerkarriere.</w:t>
      </w:r>
      <w:r>
        <w:t xml:space="preserve"> Ob dein Partner überhaupt arbeiten darf, hängt vom Visumstyp ab: H-4 erlaubt es nur unter engen Voraussetzungen, L-2 und E-2 in der Regel großzügiger (Kapitel </w:t>
      </w:r>
      <w:hyperlink w:anchor="k10">
        <w:r w:rsidR="001F7233">
          <w:t>10</w:t>
        </w:r>
      </w:hyperlink>
      <w:r>
        <w:t>). Wer mit einer eigenen Karriere plant, ohne die Arbeitserlaubnis zu prüfen, rechnet mit einem Gehalt, das vielleicht gar nicht fließt. Kläre auch, ob eine zwei- bis dreijährige Pause für den Partner verkraftbar ist oder den Wiedereinstieg in Deutschland erschwert.</w:t>
      </w:r>
    </w:p>
    <w:p w14:paraId="2BDBE8D2" w14:textId="77777777" w:rsidR="001F7233" w:rsidRDefault="00000000">
      <w:pPr>
        <w:pStyle w:val="ListParagraph"/>
        <w:numPr>
          <w:ilvl w:val="0"/>
          <w:numId w:val="1"/>
        </w:numPr>
        <w:spacing w:after="60"/>
      </w:pPr>
      <w:r>
        <w:rPr>
          <w:b/>
          <w:bCs/>
        </w:rPr>
        <w:t>Kinder je nach Lebensalter.</w:t>
      </w:r>
      <w:r>
        <w:t xml:space="preserve"> Kleinkinder bedeuten Kinderbetreuungskosten und, ohne Au-pair-Option, eine Suche nach Kita, Tagesmutter oder Nanny (Kapitel </w:t>
      </w:r>
      <w:hyperlink w:anchor="k38">
        <w:r w:rsidR="001F7233">
          <w:t>38</w:t>
        </w:r>
      </w:hyperlink>
      <w:r>
        <w:t>). Schulkinder brauchen einen passenden Schuldistrikt, der wiederum den Wohnort mitbestimmt (Kapitel </w:t>
      </w:r>
      <w:hyperlink w:anchor="k12">
        <w:r w:rsidR="001F7233">
          <w:t>12</w:t>
        </w:r>
      </w:hyperlink>
      <w:r>
        <w:t xml:space="preserve"> und </w:t>
      </w:r>
      <w:hyperlink w:anchor="k36">
        <w:r w:rsidR="001F7233">
          <w:t>36</w:t>
        </w:r>
      </w:hyperlink>
      <w:r>
        <w:t xml:space="preserve">). Teenager verlieren beim Umzug in Klasse 10 bis 12 leicht Anschluss, weil der Notenschnitt schon ab Klasse 9 zählt. Zudem endet ihr H-4- oder </w:t>
      </w:r>
      <w:r>
        <w:lastRenderedPageBreak/>
        <w:t>L-2-Status mit 21 (Kapitel </w:t>
      </w:r>
      <w:hyperlink w:anchor="k38">
        <w:r w:rsidR="001F7233">
          <w:t>38</w:t>
        </w:r>
      </w:hyperlink>
      <w:r>
        <w:t>). Wer mit älteren Kindern zieht, sollte den Zeitpunkt sorgfältig prüfen.</w:t>
      </w:r>
    </w:p>
    <w:p w14:paraId="2E7F82E7" w14:textId="77777777" w:rsidR="001F7233" w:rsidRDefault="00000000">
      <w:pPr>
        <w:pStyle w:val="ListParagraph"/>
        <w:numPr>
          <w:ilvl w:val="0"/>
          <w:numId w:val="1"/>
        </w:numPr>
        <w:spacing w:after="60"/>
      </w:pPr>
      <w:r>
        <w:rPr>
          <w:b/>
          <w:bCs/>
        </w:rPr>
        <w:t>Eltern in Deutschland.</w:t>
      </w:r>
      <w:r>
        <w:t xml:space="preserve"> Eine schnelle Nachholung der eigenen Eltern über ein Arbeitsvisum ist praktisch nicht vorgesehen. Wer mit Pflegebedürftigkeit rechnet, sollte Reisezeit, Flugkosten und eine Vertretungsregelung – etwa Geschwister, Nachbarn oder einen Pflegedienst vor Ort – vor dem Umzug klären und die eigene Vorsorge für den Ernstfall regeln (Kapitel </w:t>
      </w:r>
      <w:hyperlink w:anchor="k39">
        <w:r w:rsidR="001F7233">
          <w:t>39</w:t>
        </w:r>
      </w:hyperlink>
      <w:r>
        <w:t>). Der wöchentliche Videoanruf ersetzt keinen Griff nach der Hand im Krankenhausflur – wer das früh anerkennt, plant die Vertretung vor Ort ernster.</w:t>
      </w:r>
    </w:p>
    <w:p w14:paraId="6CCD9DC0" w14:textId="77777777" w:rsidR="001F7233" w:rsidRDefault="00000000">
      <w:pPr>
        <w:pStyle w:val="ListParagraph"/>
        <w:numPr>
          <w:ilvl w:val="0"/>
          <w:numId w:val="1"/>
        </w:numPr>
        <w:spacing w:after="60"/>
      </w:pPr>
      <w:r>
        <w:rPr>
          <w:b/>
          <w:bCs/>
        </w:rPr>
        <w:t>Immobilien.</w:t>
      </w:r>
      <w:r>
        <w:t xml:space="preserve"> Eine deutsche Immobilie kannst du verkaufen, vermieten oder leer stehen lassen (Kapitel </w:t>
      </w:r>
      <w:hyperlink w:anchor="k14">
        <w:r w:rsidR="001F7233">
          <w:t>14</w:t>
        </w:r>
      </w:hyperlink>
      <w:r>
        <w:t>). Verkauf innerhalb von zehn Jahren nach dem Kauf ist nach § 23 EStG grundsätzlich steuerpflichtig, und Vermietung bleibt in beiden Ländern erklärungspflichtig. Wer in Dollar verdient, aber eine Euro-Immobilie hält, trägt zusätzlich ein Währungsrisiko. Ein Verkauf vor dem Wegzug schafft Klarheit und Eigenkapital für die Anzahlung in den USA; das Behalten hält die Rückkehr offen.</w:t>
      </w:r>
    </w:p>
    <w:p w14:paraId="2729B3AE" w14:textId="77777777" w:rsidR="001F7233" w:rsidRDefault="001F7233">
      <w:pPr>
        <w:spacing w:line="120" w:lineRule="exact"/>
      </w:pPr>
    </w:p>
    <w:p w14:paraId="05DEE777" w14:textId="77777777" w:rsidR="001F7233" w:rsidRDefault="001F7233">
      <w:pPr>
        <w:spacing w:line="220" w:lineRule="exact"/>
      </w:pPr>
    </w:p>
    <w:p w14:paraId="53627E1F" w14:textId="77777777" w:rsidR="001F7233" w:rsidRDefault="00000000">
      <w:r>
        <w:rPr>
          <w:b/>
        </w:rPr>
        <w:t xml:space="preserve">ACHTUNG: </w:t>
      </w:r>
    </w:p>
    <w:p w14:paraId="048D4674" w14:textId="77777777" w:rsidR="001F7233" w:rsidRDefault="00000000">
      <w:r>
        <w:t>• Plane kein zweites Einkommen und keine großzügige Nachholung der Eltern ein, bevor du die rechtlichen Möglichkeiten geprüft hast (</w:t>
      </w:r>
      <w:hyperlink w:anchor="k10">
        <w:r w:rsidR="001F7233">
          <w:rPr>
            <w:color w:val="0563C1"/>
            <w:u w:val="single"/>
          </w:rPr>
          <w:t>Kapitel 10</w:t>
        </w:r>
      </w:hyperlink>
      <w:r>
        <w:t>). Ein Familienrat, der nur über Gehalt und Stadt spricht, übersieht regelmäßig die teuerste Variable.</w:t>
      </w:r>
    </w:p>
    <w:p w14:paraId="3AD485CA" w14:textId="77777777" w:rsidR="001F7233" w:rsidRDefault="001F7233">
      <w:pPr>
        <w:spacing w:line="220" w:lineRule="exact"/>
      </w:pPr>
    </w:p>
    <w:p w14:paraId="061D725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Rechenfehler</w:t>
      </w:r>
    </w:p>
    <w:p w14:paraId="32B788C2" w14:textId="77777777" w:rsidR="001F7233" w:rsidRDefault="00000000">
      <w:pPr>
        <w:spacing w:after="140"/>
      </w:pPr>
      <w:r>
        <w:t>Bevor die Verhandlungsliste an die Reihe kommt, lohnt der Blick auf die häufigsten Fehler bei der eigenen Rechnung:</w:t>
      </w:r>
    </w:p>
    <w:p w14:paraId="46065391" w14:textId="77777777" w:rsidR="001F7233" w:rsidRDefault="00000000">
      <w:pPr>
        <w:pStyle w:val="ListParagraph"/>
        <w:numPr>
          <w:ilvl w:val="0"/>
          <w:numId w:val="1"/>
        </w:numPr>
        <w:spacing w:after="60"/>
      </w:pPr>
      <w:r>
        <w:rPr>
          <w:b/>
          <w:bCs/>
        </w:rPr>
        <w:lastRenderedPageBreak/>
        <w:t>Brutto mit Brutto vergleichen.</w:t>
      </w:r>
      <w:r>
        <w:t xml:space="preserve"> Ohne Bundesstaat, Krankenversicherung und Miete sagt die Zahl im Angebotsschreiben wenig aus (siehe oben).</w:t>
      </w:r>
    </w:p>
    <w:p w14:paraId="7BC0BA63" w14:textId="77777777" w:rsidR="001F7233" w:rsidRDefault="00000000">
      <w:pPr>
        <w:pStyle w:val="ListParagraph"/>
        <w:numPr>
          <w:ilvl w:val="0"/>
          <w:numId w:val="1"/>
        </w:numPr>
        <w:spacing w:after="60"/>
      </w:pPr>
      <w:r>
        <w:rPr>
          <w:b/>
          <w:bCs/>
        </w:rPr>
        <w:t>Den Wechselkurs als fest behandeln. Der Euro-Dollar-Kurs schwankt, und eine Rechnung von heute kann in einem Jahr anders aussehen. Rechne mit einer Spanne, nicht mit einem Punktwert.</w:t>
      </w:r>
    </w:p>
    <w:p w14:paraId="2BBB6A91" w14:textId="77777777" w:rsidR="001F7233" w:rsidRDefault="00000000">
      <w:pPr>
        <w:pStyle w:val="ListParagraph"/>
        <w:numPr>
          <w:ilvl w:val="0"/>
          <w:numId w:val="1"/>
        </w:numPr>
        <w:spacing w:after="60"/>
      </w:pPr>
      <w:r>
        <w:rPr>
          <w:b/>
          <w:bCs/>
        </w:rPr>
        <w:t>Ein zweites Einkommen fest einplanen, bevor die Arbeitserlaubnis des Partners geklärt ist (siehe Abschnitt „Der Familienrat“).</w:t>
      </w:r>
    </w:p>
    <w:p w14:paraId="4FF4073B" w14:textId="77777777" w:rsidR="001F7233" w:rsidRDefault="00000000">
      <w:pPr>
        <w:pStyle w:val="ListParagraph"/>
        <w:numPr>
          <w:ilvl w:val="0"/>
          <w:numId w:val="1"/>
        </w:numPr>
        <w:spacing w:after="60"/>
      </w:pPr>
      <w:r>
        <w:rPr>
          <w:b/>
          <w:bCs/>
        </w:rPr>
        <w:t>Rückkehrkosten vergessen:</w:t>
      </w:r>
      <w:r>
        <w:t xml:space="preserve"> Flüge für die ganze Familie, Kündigungsfristen für Mietvertrag und Auto, ein möglicher Verlust beim Verkauf von Möbeln oder Haus (Kapitel </w:t>
      </w:r>
      <w:hyperlink w:anchor="k14">
        <w:r w:rsidR="001F7233">
          <w:t>14</w:t>
        </w:r>
      </w:hyperlink>
      <w:r>
        <w:t xml:space="preserve"> und </w:t>
      </w:r>
      <w:hyperlink w:anchor="k42">
        <w:r w:rsidR="001F7233">
          <w:t>42</w:t>
        </w:r>
      </w:hyperlink>
      <w:r>
        <w:t>).</w:t>
      </w:r>
    </w:p>
    <w:p w14:paraId="5FC63201" w14:textId="77777777" w:rsidR="001F7233" w:rsidRDefault="00000000">
      <w:pPr>
        <w:pStyle w:val="ListParagraph"/>
        <w:numPr>
          <w:ilvl w:val="0"/>
          <w:numId w:val="1"/>
        </w:numPr>
        <w:spacing w:after="60"/>
      </w:pPr>
      <w:r>
        <w:rPr>
          <w:b/>
          <w:bCs/>
        </w:rPr>
        <w:t>US-Steuervorteile doppelt einplanen. 401(k)-Beiträge und Einzelabzüge senken zwar die Steuer, sie sind aber gebundenes oder bereits ausgegebenes Geld, kein zusätzliches Netto.</w:t>
      </w:r>
    </w:p>
    <w:p w14:paraId="51794CD2" w14:textId="77777777" w:rsidR="001F7233" w:rsidRDefault="001F7233">
      <w:pPr>
        <w:spacing w:line="120" w:lineRule="exact"/>
      </w:pPr>
    </w:p>
    <w:p w14:paraId="3584E2D1" w14:textId="77777777" w:rsidR="001F7233" w:rsidRDefault="00000000">
      <w:pPr>
        <w:spacing w:after="140"/>
      </w:pPr>
      <w:r>
        <w:t>Schon ein einzelner dieser Fehler kann die Entscheidung wesentlich verzerren. Zusammengenommen können sie ein verlockendes Angebot besser erscheinen lassen, als es nach einer vollständigen Haushaltsrechnung wäre.</w:t>
      </w:r>
    </w:p>
    <w:p w14:paraId="45FE2D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Verhandlungsliste an den Arbeitgeber</w:t>
      </w:r>
    </w:p>
    <w:p w14:paraId="43186C4B" w14:textId="77777777" w:rsidR="001F7233" w:rsidRDefault="00000000">
      <w:pPr>
        <w:spacing w:after="140"/>
      </w:pPr>
      <w:r>
        <w:t xml:space="preserve">Ein Angebot ist ein Ausgangspunkt, kein Endpunkt. Die eigene Rechnung ist zugleich die beste Vorbereitung auf das Gespräch: Wer weiß, wie viel nach Steuern, Krankenversicherung und Miete tatsächlich bleibt, verhandelt über Fakten statt über ein Bauchgefühl. Das gilt besonders für Deutsche, die das Feilschen ums Gehalt eher aus dem Basarurlaub kennen als aus dem eigenen Berufsleben. Hier </w:t>
      </w:r>
      <w:r>
        <w:lastRenderedPageBreak/>
        <w:t>gehört es zum Geschäft, nicht zur Unhöflichkeit. Vier Punkte lohnen ein Gespräch, bevor du zusagst:</w:t>
      </w:r>
    </w:p>
    <w:p w14:paraId="1AFF5BA1" w14:textId="77777777" w:rsidR="001F7233" w:rsidRDefault="00000000">
      <w:pPr>
        <w:pStyle w:val="ListParagraph"/>
        <w:numPr>
          <w:ilvl w:val="0"/>
          <w:numId w:val="1"/>
        </w:numPr>
        <w:spacing w:after="60"/>
      </w:pPr>
      <w:r>
        <w:rPr>
          <w:b/>
          <w:bCs/>
        </w:rPr>
        <w:t>Relocation-Paket.</w:t>
      </w:r>
      <w:r>
        <w:t xml:space="preserve"> Frage nach Umzugskosten (Kapitel </w:t>
      </w:r>
      <w:hyperlink w:anchor="k20">
        <w:r w:rsidR="001F7233">
          <w:t>20</w:t>
        </w:r>
      </w:hyperlink>
      <w:r>
        <w:t>), Flügen für die ganze Familie und einer Übergangswohnung. Möbliertes Wohnen auf Zeit (</w:t>
      </w:r>
      <w:r>
        <w:rPr>
          <w:i/>
          <w:iCs/>
        </w:rPr>
        <w:t>Corporate Housing</w:t>
      </w:r>
      <w:r>
        <w:t>) kostet je nach Stadt und Größe grob 3.300 bis 7.400 $ im Monat (Kapitel </w:t>
      </w:r>
      <w:hyperlink w:anchor="k13">
        <w:r w:rsidR="001F7233">
          <w:t>13</w:t>
        </w:r>
      </w:hyperlink>
      <w:r>
        <w:t>). Kläre, ob die Erstattung als Gross-up erfolgt, weil sie sonst steuerpflichtiger Lohn ist (Kapitel </w:t>
      </w:r>
      <w:hyperlink w:anchor="k28">
        <w:r w:rsidR="001F7233">
          <w:t>28</w:t>
        </w:r>
      </w:hyperlink>
      <w:r>
        <w:t>).</w:t>
      </w:r>
    </w:p>
    <w:p w14:paraId="516AF5EC" w14:textId="77777777" w:rsidR="001F7233" w:rsidRDefault="00000000">
      <w:pPr>
        <w:pStyle w:val="ListParagraph"/>
        <w:numPr>
          <w:ilvl w:val="0"/>
          <w:numId w:val="1"/>
        </w:numPr>
        <w:spacing w:after="60"/>
      </w:pPr>
      <w:r>
        <w:rPr>
          <w:b/>
          <w:bCs/>
        </w:rPr>
        <w:t>Unabhängiger Anwalt.</w:t>
      </w:r>
      <w:r>
        <w:t xml:space="preserve"> Die Kanzlei, die deinen Arbeitgeber bei der H-1B-Petition begleitet – meist eine Pauschale von 2.000 bis 5.000 $, die er trägt –, vertritt seine Interessen, nicht deine (Kapitel </w:t>
      </w:r>
      <w:hyperlink w:anchor="k11">
        <w:r w:rsidR="001F7233">
          <w:t>11</w:t>
        </w:r>
      </w:hyperlink>
      <w:r>
        <w:t>). Frage, ob er eine Zweitmeinung für dich übernimmt, üblicherweise 300 bis 1.000 $, besonders bei Vorgeschichte oder komplexen Familienfällen.</w:t>
      </w:r>
    </w:p>
    <w:p w14:paraId="0F692EB0" w14:textId="77777777" w:rsidR="001F7233" w:rsidRDefault="00000000">
      <w:pPr>
        <w:pStyle w:val="ListParagraph"/>
        <w:numPr>
          <w:ilvl w:val="0"/>
          <w:numId w:val="1"/>
        </w:numPr>
        <w:spacing w:after="60"/>
      </w:pPr>
      <w:r>
        <w:rPr>
          <w:b/>
          <w:bCs/>
        </w:rPr>
        <w:t>Steuerberatung.</w:t>
      </w:r>
      <w:r>
        <w:t xml:space="preserve"> Ein grenzüberschreitend erfahrener Steuerexperte (CPA oder Enrolled Agent) kostet im Einreisejahr 800 bis 2.500 $ (Kapitel </w:t>
      </w:r>
      <w:hyperlink w:anchor="k28">
        <w:r w:rsidR="001F7233">
          <w:t>28</w:t>
        </w:r>
      </w:hyperlink>
      <w:r>
        <w:t>). Frage, ob das Relocation-Paket eine erste Beratung einschließt.</w:t>
      </w:r>
    </w:p>
    <w:p w14:paraId="5130C225" w14:textId="77777777" w:rsidR="001F7233" w:rsidRDefault="00000000">
      <w:pPr>
        <w:pStyle w:val="ListParagraph"/>
        <w:numPr>
          <w:ilvl w:val="0"/>
          <w:numId w:val="1"/>
        </w:numPr>
        <w:spacing w:after="60"/>
      </w:pPr>
      <w:r>
        <w:rPr>
          <w:b/>
          <w:bCs/>
        </w:rPr>
        <w:t>Rückkehrklausel.</w:t>
      </w:r>
      <w:r>
        <w:t xml:space="preserve"> Vereinbare schriftlich, wer die Kosten trägt, wenn die Stelle innerhalb der ersten sechs bis zwölf Monate endet. Ohne Klausel zahlst du einen Rückflug und einen möglichen Wohnungswechsel meist selbst (Kapitel </w:t>
      </w:r>
      <w:hyperlink w:anchor="k42">
        <w:r w:rsidR="001F7233">
          <w:t>42</w:t>
        </w:r>
      </w:hyperlink>
      <w:r>
        <w:t>).</w:t>
      </w:r>
    </w:p>
    <w:p w14:paraId="5694E5B9" w14:textId="77777777" w:rsidR="001F7233" w:rsidRDefault="001F7233">
      <w:pPr>
        <w:spacing w:line="120" w:lineRule="exact"/>
      </w:pPr>
    </w:p>
    <w:p w14:paraId="293DD3B5" w14:textId="77777777" w:rsidR="001F7233" w:rsidRDefault="00000000">
      <w:r>
        <w:rPr>
          <w:b/>
        </w:rPr>
        <w:t xml:space="preserve">ACHTUNG: </w:t>
      </w:r>
    </w:p>
    <w:p w14:paraId="43EF9701" w14:textId="77777777" w:rsidR="001F7233" w:rsidRDefault="00000000">
      <w:r>
        <w:t>• Ein mündliches „Das machen wir dann schon“ zu Green-Card-Sponsoring oder Rückkehrklausel ist im Ernstfall wertlos. Lass dir jeden Punkt, der Geld oder Status betrifft, schriftlich im Angebotsschreiben oder einer Zusatzvereinbarung bestätigen.</w:t>
      </w:r>
    </w:p>
    <w:p w14:paraId="5980C971" w14:textId="77777777" w:rsidR="001F7233" w:rsidRDefault="001F7233">
      <w:pPr>
        <w:spacing w:line="220" w:lineRule="exact"/>
      </w:pPr>
    </w:p>
    <w:p w14:paraId="3CBCEA37" w14:textId="77777777" w:rsidR="001F7233" w:rsidRDefault="00000000">
      <w:r>
        <w:rPr>
          <w:b/>
        </w:rPr>
        <w:t xml:space="preserve">SPARTIPP: </w:t>
      </w:r>
    </w:p>
    <w:p w14:paraId="3672049E" w14:textId="77777777" w:rsidR="001F7233" w:rsidRDefault="00000000">
      <w:r>
        <w:t>• Für den ersten Überschlag reichen kostenlose Werkzeuge wie der IRS Tax Withholding Estimator. Hebe dir den bezahlten Steuerberater für die endgültige Prüfung deines konkreten Angebots auf.</w:t>
      </w:r>
    </w:p>
    <w:p w14:paraId="4F27E38F" w14:textId="77777777" w:rsidR="001F7233" w:rsidRDefault="001F7233">
      <w:pPr>
        <w:spacing w:line="220" w:lineRule="exact"/>
      </w:pPr>
    </w:p>
    <w:p w14:paraId="4851CD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Zwei-bis-drei-Jahre-Denken und die Rückkehroption</w:t>
      </w:r>
    </w:p>
    <w:p w14:paraId="054D2353" w14:textId="77777777" w:rsidR="001F7233" w:rsidRDefault="00000000">
      <w:pPr>
        <w:spacing w:after="140"/>
      </w:pPr>
      <w:r>
        <w:t>Verbreiteter Irrtum: Ein Umzug in die USA sei eine Entscheidung fürs ganze Leben, alles oder nichts. Wer ihn so betrachtet, überfrachtet ihn von Anfang an. Hilfreicher ist ein Zeithorizont von zwei bis drei Jahren: Nach dieser Zeit zieht ihr Bilanz, ob Job, Ort und Familienleben passen, und entscheidet neu – bleiben, verlängern oder zurückgehen. Das nimmt Druck von der ersten Entscheidung, weil sie nicht mehr „für immer“ sein muss, und macht die Rückkehr zu einer planbaren Option statt zu einem Eingeständnis. Eine Rückkehr ist normal: Verträge enden, Stellen fallen weg, Kinder werden älter, Eltern werden pflegebedürftig. Wer sie früh mitdenkt, braucht drei bis sechs Monate Vorlauf für Krankenversicherung, letzte US-Steuererklärung und den Umgang mit der Green Card (Kapitel </w:t>
      </w:r>
      <w:hyperlink w:anchor="k42">
        <w:r w:rsidR="001F7233">
          <w:t>42</w:t>
        </w:r>
      </w:hyperlink>
      <w:r>
        <w:t>).</w:t>
      </w:r>
    </w:p>
    <w:p w14:paraId="7B50CBB7" w14:textId="77777777" w:rsidR="001F7233" w:rsidRDefault="00000000">
      <w:pPr>
        <w:spacing w:after="140"/>
      </w:pPr>
      <w:r>
        <w:t>Der Zeithorizont passt auch zum Visumssystem: Ein H-1B-Status wird üblicherweise in Blöcken verlängert, und ein Green-Card-Verfahren über den Arbeitgeber dauert selbst im besten Fall mehrere Jahre (Kapitel </w:t>
      </w:r>
      <w:hyperlink w:anchor="k5">
        <w:r w:rsidR="001F7233">
          <w:t>5</w:t>
        </w:r>
      </w:hyperlink>
      <w:r>
        <w:t xml:space="preserve"> und </w:t>
      </w:r>
      <w:hyperlink w:anchor="k6">
        <w:r w:rsidR="001F7233">
          <w:t>6</w:t>
        </w:r>
      </w:hyperlink>
      <w:r>
        <w:t>). Zwei bis drei Jahre sind also kein willkürlicher Zeitraum, sondern die Zeitspanne, in der ohnehin die nächste Statusentscheidung ansteht. Nutzt sie bewusst: Legt fest, an welchen Kriterien ihr die Bilanz nach dieser Zeit festmacht – Gehalt, Wohlbefinden der Kinder, Fortschritt beim Green-Card-Verfahren –, statt die Frage erst zu stellen, wenn der Druck schon da ist.</w:t>
      </w:r>
    </w:p>
    <w:p w14:paraId="65A41D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Lohnt es sich für mich? Rechnen, prüfen, entscheiden</w:t>
      </w:r>
    </w:p>
    <w:p w14:paraId="641BC21D" w14:textId="77777777" w:rsidR="001F7233" w:rsidRDefault="00000000">
      <w:r>
        <w:rPr>
          <w:b/>
        </w:rPr>
        <w:t>Plus: Nimmt Druck von einer Alles-oder-nichts-Entscheidung</w:t>
      </w:r>
    </w:p>
    <w:p w14:paraId="17F2D045" w14:textId="77777777" w:rsidR="001F7233" w:rsidRDefault="00000000">
      <w:r>
        <w:rPr>
          <w:b/>
        </w:rPr>
        <w:lastRenderedPageBreak/>
        <w:t xml:space="preserve">Minus: </w:t>
      </w:r>
      <w:r>
        <w:t>Ein Zwölf-Monats-Mietvertrag und der Aufbau einer Kredithistorie brauchen trotzdem Verbindlichkeit (</w:t>
      </w:r>
      <w:hyperlink w:anchor="k13">
        <w:r w:rsidR="001F7233">
          <w:rPr>
            <w:rStyle w:val="Hyperlink"/>
          </w:rPr>
          <w:t>Kapitel 13</w:t>
        </w:r>
      </w:hyperlink>
      <w:r>
        <w:t xml:space="preserve"> und 25)</w:t>
      </w:r>
    </w:p>
    <w:p w14:paraId="592C9299" w14:textId="77777777" w:rsidR="001F7233" w:rsidRDefault="00000000">
      <w:r>
        <w:rPr>
          <w:b/>
        </w:rPr>
        <w:t>Plus: Erleichtert die Verhandlung einer Rückkehrklausel</w:t>
      </w:r>
    </w:p>
    <w:p w14:paraId="1E00E5E1" w14:textId="77777777" w:rsidR="001F7233" w:rsidRDefault="00000000">
      <w:r>
        <w:rPr>
          <w:b/>
        </w:rPr>
        <w:t xml:space="preserve">Minus: </w:t>
      </w:r>
      <w:r>
        <w:t>Eine ständige Rückzugsoption kann Integration und Sprachlernen bremsen (</w:t>
      </w:r>
      <w:hyperlink w:anchor="k31">
        <w:r w:rsidR="001F7233">
          <w:rPr>
            <w:rStyle w:val="Hyperlink"/>
          </w:rPr>
          <w:t>Kapitel 31</w:t>
        </w:r>
      </w:hyperlink>
      <w:r>
        <w:t xml:space="preserve"> bis 33 und 37)</w:t>
      </w:r>
    </w:p>
    <w:p w14:paraId="237FAA9A" w14:textId="77777777" w:rsidR="001F7233" w:rsidRDefault="00000000">
      <w:r>
        <w:rPr>
          <w:b/>
        </w:rPr>
        <w:t>Plus: Macht Zwischenbilanzen mit der Familie normal, nicht dramatisch</w:t>
      </w:r>
    </w:p>
    <w:p w14:paraId="73C0A2D2" w14:textId="77777777" w:rsidR="001F7233" w:rsidRDefault="00000000">
      <w:r>
        <w:rPr>
          <w:b/>
        </w:rPr>
        <w:t xml:space="preserve">Minus: </w:t>
      </w:r>
      <w:r>
        <w:t>Ein Hauskauf oder ein weit fortgeschrittenes Green-Card-Verfahren passt schlecht zu kurzen Etappen (</w:t>
      </w:r>
      <w:hyperlink w:anchor="k14">
        <w:r w:rsidR="001F7233">
          <w:rPr>
            <w:rStyle w:val="Hyperlink"/>
          </w:rPr>
          <w:t>Kapitel 14</w:t>
        </w:r>
      </w:hyperlink>
      <w:r>
        <w:t>)</w:t>
      </w:r>
    </w:p>
    <w:p w14:paraId="40333A11" w14:textId="77777777" w:rsidR="001F7233" w:rsidRDefault="00000000">
      <w:r>
        <w:rPr>
          <w:b/>
        </w:rPr>
        <w:t xml:space="preserve">Plus: Rückkehr ist nach </w:t>
      </w:r>
      <w:hyperlink w:anchor="k42">
        <w:r w:rsidR="001F7233">
          <w:rPr>
            <w:rStyle w:val="Hyperlink"/>
            <w:b/>
          </w:rPr>
          <w:t>Kapitel 42</w:t>
        </w:r>
      </w:hyperlink>
      <w:r>
        <w:rPr>
          <w:b/>
        </w:rPr>
        <w:t xml:space="preserve"> planbar, kein Scheitern</w:t>
      </w:r>
    </w:p>
    <w:p w14:paraId="084767AF" w14:textId="77777777" w:rsidR="001F7233" w:rsidRDefault="00000000">
      <w:r>
        <w:rPr>
          <w:b/>
        </w:rPr>
        <w:t xml:space="preserve">Minus: </w:t>
      </w:r>
      <w:r>
        <w:t>Wer zu früh mental „auf Abruf“ lebt, investiert weniger in Freundschaften und Nachbarschaft (</w:t>
      </w:r>
      <w:hyperlink w:anchor="k32">
        <w:r w:rsidR="001F7233">
          <w:rPr>
            <w:rStyle w:val="Hyperlink"/>
          </w:rPr>
          <w:t>Kapitel 32</w:t>
        </w:r>
      </w:hyperlink>
      <w:r>
        <w:t>)</w:t>
      </w:r>
    </w:p>
    <w:p w14:paraId="36615F52" w14:textId="77777777" w:rsidR="001F7233" w:rsidRDefault="001F7233">
      <w:pPr>
        <w:spacing w:line="180" w:lineRule="exact"/>
      </w:pPr>
    </w:p>
    <w:p w14:paraId="50928F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1A5677A" w14:textId="77777777" w:rsidR="001F7233" w:rsidRDefault="00000000">
      <w:pPr>
        <w:spacing w:after="140"/>
      </w:pPr>
      <w:r>
        <w:t>Rechne deine eigene Version der drei Beispiele mit deinem tatsächlichen Gehalt, Zielstaat und deiner Familiengröße. Fülle die Entscheidungsmatrix gemeinsam aus, bevor ein Angebot auf dem Tisch liegt und setzt euch danach zum Familienrat zusammen. Erst wenn beides steht, gehst du mit der Verhandlungsliste in das Gespräch mit dem Arbeitgeber und behältst das Zwei-bis-drei-Jahre-Denken als Sicherheitsnetz im Hinterkopf.</w:t>
      </w:r>
    </w:p>
    <w:p w14:paraId="617F7F85" w14:textId="77777777" w:rsidR="001F7233" w:rsidRDefault="00000000">
      <w:r>
        <w:t>• Eigene Netto-Rechnung mit deinem Gehalt, Zielstaat und deiner Familiengröße erstellen (Vorlage oben)</w:t>
      </w:r>
    </w:p>
    <w:p w14:paraId="734C071A" w14:textId="77777777" w:rsidR="001F7233" w:rsidRDefault="00000000">
      <w:r>
        <w:t>• Partnerstatus und Arbeitserlaubnis-Perspektive klären (</w:t>
      </w:r>
      <w:hyperlink w:anchor="k10">
        <w:r w:rsidR="001F7233">
          <w:rPr>
            <w:color w:val="0563C1"/>
            <w:u w:val="single"/>
          </w:rPr>
          <w:t>Kapitel 10</w:t>
        </w:r>
      </w:hyperlink>
      <w:r>
        <w:t>)</w:t>
      </w:r>
    </w:p>
    <w:p w14:paraId="46B95EF7" w14:textId="77777777" w:rsidR="001F7233" w:rsidRDefault="00000000">
      <w:r>
        <w:t>• Muss-, Kann- und Ausschlusskriterien schriftlich mit Partner oder Familie festlegen</w:t>
      </w:r>
    </w:p>
    <w:p w14:paraId="507D0092" w14:textId="77777777" w:rsidR="001F7233" w:rsidRDefault="00000000">
      <w:r>
        <w:t>• Familienrat zu Partnerkarriere, Kindern, Eltern und Immobilie abhalten</w:t>
      </w:r>
    </w:p>
    <w:p w14:paraId="668BCEE2" w14:textId="77777777" w:rsidR="001F7233" w:rsidRDefault="00000000">
      <w:r>
        <w:t>• Verhandlungsliste (Relocation, Anwalt, Green-Card-Sponsoring, Steuerberatung, Rückkehrklausel) vor der Zusage durchgehen</w:t>
      </w:r>
    </w:p>
    <w:p w14:paraId="1C8C98E2" w14:textId="77777777" w:rsidR="001F7233" w:rsidRDefault="00000000">
      <w:r>
        <w:lastRenderedPageBreak/>
        <w:t>• Alle finanziell relevanten Zusagen schriftlich im Angebot oder einer Zusatzvereinbarung bestätigen lassen</w:t>
      </w:r>
    </w:p>
    <w:p w14:paraId="58D1D557" w14:textId="77777777" w:rsidR="001F7233" w:rsidRDefault="00000000">
      <w:r>
        <w:t>• Umzugstermin, wenn möglich, am Schuljahr der Kinder ausrichten (</w:t>
      </w:r>
      <w:hyperlink w:anchor="k15">
        <w:r w:rsidR="001F7233">
          <w:rPr>
            <w:color w:val="0563C1"/>
            <w:u w:val="single"/>
          </w:rPr>
          <w:t>Kapitel 15</w:t>
        </w:r>
      </w:hyperlink>
      <w:r>
        <w:t>)</w:t>
      </w:r>
    </w:p>
    <w:p w14:paraId="04F25023" w14:textId="77777777" w:rsidR="001F7233" w:rsidRDefault="00000000">
      <w:r>
        <w:t>• Zeithorizont von zwei bis drei Jahren und Rückkehroption offen in der Familie besprechen</w:t>
      </w:r>
    </w:p>
    <w:p w14:paraId="5EF906E9" w14:textId="77777777" w:rsidR="001F7233" w:rsidRDefault="00000000">
      <w:r>
        <w:t>• Bei Unsicherheit Steuerberater und Einwanderungsanwalt vor der Unterschrift einbeziehen</w:t>
      </w:r>
    </w:p>
    <w:p w14:paraId="128AFB54" w14:textId="77777777" w:rsidR="001F7233" w:rsidRDefault="001F7233">
      <w:pPr>
        <w:spacing w:line="220" w:lineRule="exact"/>
      </w:pPr>
    </w:p>
    <w:p w14:paraId="78D881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4EB4B55" w14:textId="77777777" w:rsidR="001F7233" w:rsidRDefault="00000000">
      <w:pPr>
        <w:pStyle w:val="ListParagraph"/>
        <w:numPr>
          <w:ilvl w:val="0"/>
          <w:numId w:val="1"/>
        </w:numPr>
        <w:spacing w:after="60"/>
      </w:pPr>
      <w:r>
        <w:t>IRS — Tax Withholding Estimator und aktuelle Steuersätze (</w:t>
      </w:r>
      <w:hyperlink r:id="rId78">
        <w:r w:rsidR="001F7233">
          <w:rPr>
            <w:color w:val="0563C1"/>
            <w:u w:val="single"/>
          </w:rPr>
          <w:t>irs.gov/individuals/tax-withholding-estimator</w:t>
        </w:r>
      </w:hyperlink>
      <w:r>
        <w:t>)</w:t>
      </w:r>
    </w:p>
    <w:p w14:paraId="71B5D005" w14:textId="77777777" w:rsidR="001F7233" w:rsidRPr="00EA1518" w:rsidRDefault="00000000">
      <w:pPr>
        <w:pStyle w:val="ListParagraph"/>
        <w:numPr>
          <w:ilvl w:val="0"/>
          <w:numId w:val="1"/>
        </w:numPr>
        <w:spacing w:after="60"/>
        <w:rPr>
          <w:lang w:val="en-US"/>
        </w:rPr>
      </w:pPr>
      <w:r w:rsidRPr="00EA1518">
        <w:rPr>
          <w:lang w:val="en-US"/>
        </w:rPr>
        <w:t>KFF — Employer Health Benefits Survey (</w:t>
      </w:r>
      <w:hyperlink r:id="rId79">
        <w:r w:rsidR="001F7233" w:rsidRPr="00EA1518">
          <w:rPr>
            <w:color w:val="0563C1"/>
            <w:u w:val="single"/>
            <w:lang w:val="en-US"/>
          </w:rPr>
          <w:t>kff.org/health-costs</w:t>
        </w:r>
      </w:hyperlink>
      <w:r w:rsidRPr="00EA1518">
        <w:rPr>
          <w:lang w:val="en-US"/>
        </w:rPr>
        <w:t>)</w:t>
      </w:r>
    </w:p>
    <w:p w14:paraId="66FA4F58" w14:textId="77777777" w:rsidR="001F7233" w:rsidRPr="00EA1518" w:rsidRDefault="00000000">
      <w:pPr>
        <w:pStyle w:val="ListParagraph"/>
        <w:numPr>
          <w:ilvl w:val="0"/>
          <w:numId w:val="1"/>
        </w:numPr>
        <w:spacing w:after="60"/>
        <w:rPr>
          <w:lang w:val="en-US"/>
        </w:rPr>
      </w:pPr>
      <w:r w:rsidRPr="00EA1518">
        <w:rPr>
          <w:lang w:val="en-US"/>
        </w:rPr>
        <w:t>USCIS — Green Card über den Arbeitgeber (</w:t>
      </w:r>
      <w:hyperlink r:id="rId80">
        <w:r w:rsidR="001F7233" w:rsidRPr="00EA1518">
          <w:rPr>
            <w:color w:val="0563C1"/>
            <w:u w:val="single"/>
            <w:lang w:val="en-US"/>
          </w:rPr>
          <w:t>uscis.gov/green-card/green-card-eligibility/green-card-for-employment-based-immigrants</w:t>
        </w:r>
      </w:hyperlink>
      <w:r w:rsidRPr="00EA1518">
        <w:rPr>
          <w:lang w:val="en-US"/>
        </w:rPr>
        <w:t>)</w:t>
      </w:r>
    </w:p>
    <w:p w14:paraId="2BC2C2CE" w14:textId="77777777" w:rsidR="001F7233" w:rsidRDefault="00000000">
      <w:pPr>
        <w:pStyle w:val="ListParagraph"/>
        <w:numPr>
          <w:ilvl w:val="0"/>
          <w:numId w:val="1"/>
        </w:numPr>
        <w:spacing w:after="60"/>
      </w:pPr>
      <w:r>
        <w:t>Familienportal des Bundes — Kindergeld (</w:t>
      </w:r>
      <w:hyperlink r:id="rId81">
        <w:r w:rsidR="001F7233">
          <w:rPr>
            <w:color w:val="0563C1"/>
            <w:u w:val="single"/>
          </w:rPr>
          <w:t>familienportal.de</w:t>
        </w:r>
      </w:hyperlink>
      <w:r>
        <w:t>)</w:t>
      </w:r>
    </w:p>
    <w:p w14:paraId="69B81886" w14:textId="77777777" w:rsidR="001F7233" w:rsidRDefault="00000000">
      <w:pPr>
        <w:pStyle w:val="ListParagraph"/>
        <w:numPr>
          <w:ilvl w:val="0"/>
          <w:numId w:val="1"/>
        </w:numPr>
        <w:spacing w:after="60"/>
      </w:pPr>
      <w:r>
        <w:t>Statistisches Bundesamt — Wohnen und Mieten in Deutschland (</w:t>
      </w:r>
      <w:hyperlink r:id="rId82">
        <w:r w:rsidR="001F7233">
          <w:rPr>
            <w:color w:val="0563C1"/>
            <w:u w:val="single"/>
          </w:rPr>
          <w:t>destatis.de</w:t>
        </w:r>
      </w:hyperlink>
      <w:r>
        <w:t>)</w:t>
      </w:r>
    </w:p>
    <w:p w14:paraId="5691B5A7" w14:textId="77777777" w:rsidR="001F7233" w:rsidRDefault="001F7233">
      <w:pPr>
        <w:spacing w:line="120" w:lineRule="exact"/>
      </w:pPr>
    </w:p>
    <w:p w14:paraId="2EF2B3DE" w14:textId="77777777" w:rsidR="001F7233" w:rsidRDefault="00000000">
      <w:r>
        <w:t xml:space="preserve">• Quellen- und Datenstand: September 2026; Redaktionsschluss: Oktober 2026. Diese Rechenbeispiele sind vereinfachte Näherungen auf Basis der in </w:t>
      </w:r>
      <w:hyperlink w:anchor="k13">
        <w:r w:rsidR="001F7233">
          <w:t>Kapitel 13</w:t>
        </w:r>
      </w:hyperlink>
      <w:r>
        <w:t>, 14, 26, 28 und 38 geprüften Zahlen; sie ersetzen keine individuelle Steuer- oder Finanzberatung. Schnell ändern sich Steuersätze, Krankenversicherungsprämien, Mieten und der Wechselkurs. Rechne vor jeder Entscheidung mit deinen eigenen, aktuellen Zahlen.</w:t>
      </w:r>
    </w:p>
    <w:p w14:paraId="2FEB0A37" w14:textId="77777777" w:rsidR="001F7233" w:rsidRDefault="001F7233">
      <w:pPr>
        <w:spacing w:line="220" w:lineRule="exact"/>
      </w:pPr>
    </w:p>
    <w:p w14:paraId="66F3AD28" w14:textId="77777777" w:rsidR="001F7233" w:rsidRDefault="00000000">
      <w:r>
        <w:br w:type="page"/>
      </w:r>
    </w:p>
    <w:p w14:paraId="2D46B4D2" w14:textId="77777777" w:rsidR="001F7233" w:rsidRDefault="00000000">
      <w:pPr>
        <w:pStyle w:val="Heading1"/>
        <w:keepNext/>
        <w:spacing w:line="341" w:lineRule="auto"/>
        <w:jc w:val="center"/>
      </w:pPr>
      <w:bookmarkStart w:id="21" w:name="rev73h2007"/>
      <w:r>
        <w:rPr>
          <w:rFonts w:ascii="Amazon Ember" w:eastAsia="Amazon Ember" w:hAnsi="Amazon Ember" w:cs="Amazon Ember"/>
          <w:color w:val="0000FF"/>
        </w:rPr>
        <w:lastRenderedPageBreak/>
        <w:t>TEIL II — Visum und Green Card</w:t>
      </w:r>
      <w:bookmarkEnd w:id="21"/>
    </w:p>
    <w:p w14:paraId="0C93953D" w14:textId="77777777" w:rsidR="001F7233" w:rsidRDefault="00000000">
      <w:pPr>
        <w:spacing w:after="160" w:line="300" w:lineRule="auto"/>
        <w:ind w:left="400" w:right="400"/>
        <w:jc w:val="center"/>
      </w:pPr>
      <w:r>
        <w:rPr>
          <w:i/>
          <w:iCs/>
          <w:sz w:val="24"/>
          <w:szCs w:val="24"/>
        </w:rPr>
        <w:t>Ohne das richtige Papier geht nichts. Wie H-1B, Green Card, Studium und die anderen Wege funktionieren, was sie unterscheidet und wo sie teuer oder riskant werden.</w:t>
      </w:r>
    </w:p>
    <w:p w14:paraId="14D0FA70" w14:textId="77777777" w:rsidR="001F7233" w:rsidRDefault="00000000">
      <w:r>
        <w:br w:type="page"/>
      </w:r>
    </w:p>
    <w:p w14:paraId="302453C9" w14:textId="77777777" w:rsidR="001F7233" w:rsidRDefault="00000000">
      <w:pPr>
        <w:pStyle w:val="Heading2"/>
        <w:keepNext/>
        <w:spacing w:line="341" w:lineRule="auto"/>
        <w:jc w:val="center"/>
      </w:pPr>
      <w:bookmarkStart w:id="22" w:name="k4"/>
      <w:r>
        <w:rPr>
          <w:rFonts w:ascii="Amazon Ember" w:eastAsia="Amazon Ember" w:hAnsi="Amazon Ember" w:cs="Amazon Ember"/>
          <w:color w:val="0000FF"/>
          <w:sz w:val="36"/>
          <w:szCs w:val="36"/>
        </w:rPr>
        <w:lastRenderedPageBreak/>
        <w:t>Kapitel 4: Die Wege in die USA im Überblick</w:t>
      </w:r>
      <w:bookmarkEnd w:id="22"/>
    </w:p>
    <w:p w14:paraId="7CAF093A" w14:textId="77777777" w:rsidR="001F7233" w:rsidRDefault="00000000">
      <w:pPr>
        <w:spacing w:after="140"/>
      </w:pPr>
      <w:r>
        <w:t>Sieben Kürzel auf einem Notizzettel, keine Ahnung, welches zu dir passt: H-1B, L-1, O-1, E-2, F-1, EB-2, ESTA. So beginnt die Recherche für die meisten Leserinnen und Leser dieses Buchs – mit einer Liste von Visanamen und der bangen Frage, welcher davon der richtige ist. Die ehrliche Antwort: Es kommt nicht auf deine Vorlieben an, sondern auf deine Situation. Hast du ein Jobangebot? Willst du studieren? Hast du einen amerikanischen Partner? Aus der Antwort ergibt sich der Weg fast von selbst – und dieses Kapitel zeigt, welcher das ist, bevor die Kapitel </w:t>
      </w:r>
      <w:hyperlink w:anchor="k5">
        <w:r w:rsidR="001F7233">
          <w:t>5</w:t>
        </w:r>
      </w:hyperlink>
      <w:r>
        <w:t xml:space="preserve"> bis </w:t>
      </w:r>
      <w:hyperlink w:anchor="k11">
        <w:r w:rsidR="001F7233">
          <w:t>11</w:t>
        </w:r>
      </w:hyperlink>
      <w:r>
        <w:t xml:space="preserve"> ihn im Detail durchgehen.</w:t>
      </w:r>
    </w:p>
    <w:p w14:paraId="6201F3A6" w14:textId="77777777" w:rsidR="001F7233" w:rsidRDefault="00000000">
      <w:r>
        <w:rPr>
          <w:b/>
        </w:rPr>
        <w:t xml:space="preserve">KURZ GESAGT: </w:t>
      </w:r>
    </w:p>
    <w:p w14:paraId="7FED11A0" w14:textId="77777777" w:rsidR="001F7233" w:rsidRDefault="00000000">
      <w:r>
        <w:t>• Ein Visum ist der Einreisestempel im Pass, ausgestellt vom Konsulat. Ein Status ist die Aufenthalts- und Arbeitserlaubnis danach, dokumentiert im I-94. Beides wird ständig verwechselt, ist aber rechtlich getrennt.</w:t>
      </w:r>
    </w:p>
    <w:p w14:paraId="44CA1DA9" w14:textId="77777777" w:rsidR="001F7233" w:rsidRDefault="00000000">
      <w:r>
        <w:t>• Das US-Recht unterscheidet Nonimmigrants (Nichteinwanderer, befristet und zweckgebunden) und Immigrants (Einwanderer mit Green Card, unbefristet). Die meisten Wege in diesem Buch beginnen als Nichteinwanderer.</w:t>
      </w:r>
    </w:p>
    <w:p w14:paraId="18E0C406" w14:textId="77777777" w:rsidR="001F7233" w:rsidRDefault="00000000">
      <w:r>
        <w:t>• Dual Intent (doppelte Absicht) erlaubt bei H-1B und L-1, gleichzeitig befristet zu arbeiten und die Green Card anzustreben. Andere Status verlangen den Nachweis, dass du wieder gehen willst.</w:t>
      </w:r>
    </w:p>
    <w:p w14:paraId="01CCD5AD" w14:textId="77777777" w:rsidR="001F7233" w:rsidRDefault="00000000">
      <w:r>
        <w:t>• Welcher Weg passt, hängt von deiner Lage ab: Jobangebot, Studium, Investition, Spitzenleistung, US-Partner oder reiner Besuch führen in unterschiedliche Kapitel.</w:t>
      </w:r>
    </w:p>
    <w:p w14:paraId="2A2E09DE" w14:textId="77777777" w:rsidR="001F7233" w:rsidRDefault="00000000">
      <w:r>
        <w:t>• Die Vergleichstabellen zeigen Voraussetzung, Dauer, Arbeitserlaubnis für dich und deinen Partner sowie den Weg zur Green Card auf einen Blick.</w:t>
      </w:r>
    </w:p>
    <w:p w14:paraId="433D5015" w14:textId="77777777" w:rsidR="001F7233" w:rsidRDefault="00000000">
      <w:r>
        <w:t>• Details zu jedem Weg stehen in den Kapiteln 5 bis 11. Hier geht es nur um die Einordnung.</w:t>
      </w:r>
    </w:p>
    <w:p w14:paraId="22361C95" w14:textId="77777777" w:rsidR="001F7233" w:rsidRDefault="001F7233">
      <w:pPr>
        <w:spacing w:line="220" w:lineRule="exact"/>
      </w:pPr>
    </w:p>
    <w:p w14:paraId="10F349A3" w14:textId="77777777" w:rsidR="001F7233" w:rsidRDefault="001F7233">
      <w:pPr>
        <w:keepLines/>
        <w:spacing w:before="160" w:after="40"/>
        <w:jc w:val="center"/>
      </w:pPr>
    </w:p>
    <w:p w14:paraId="605CACF5" w14:textId="77777777" w:rsidR="001F7233" w:rsidRDefault="00000000">
      <w:pPr>
        <w:keepLines/>
        <w:spacing w:after="200"/>
        <w:jc w:val="center"/>
      </w:pPr>
      <w:r>
        <w:rPr>
          <w:i/>
          <w:sz w:val="18"/>
        </w:rPr>
        <w:t>Schaubild 5. USA: befristeter Status und dauerhafte Einwanderung getrennt planen.</w:t>
      </w:r>
    </w:p>
    <w:p w14:paraId="5E641C6D" w14:textId="77777777" w:rsidR="001F7233" w:rsidRDefault="00000000">
      <w:r>
        <w:rPr>
          <w:noProof/>
        </w:rPr>
        <w:drawing>
          <wp:inline distT="0" distB="0" distL="0" distR="0" wp14:anchorId="6092264A" wp14:editId="61D3CB62">
            <wp:extent cx="4114800" cy="2880360"/>
            <wp:effectExtent l="0" t="0" r="0" b="0"/>
            <wp:docPr id="5" name="Schaubild 5" descr="USA: befristeter Status und dauerhafte Einwand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haubild 5" descr="USA: befristeter Status und dauerhafte Einwanderung"/>
                    <pic:cNvPicPr>
                      <a:picLocks noChangeAspect="1" noChangeArrowheads="1"/>
                    </pic:cNvPicPr>
                  </pic:nvPicPr>
                  <pic:blipFill>
                    <a:blip r:embed="rId83"/>
                    <a:stretch>
                      <a:fillRect/>
                    </a:stretch>
                  </pic:blipFill>
                  <pic:spPr bwMode="auto">
                    <a:xfrm>
                      <a:off x="0" y="0"/>
                      <a:ext cx="4114800" cy="2880360"/>
                    </a:xfrm>
                    <a:prstGeom prst="rect">
                      <a:avLst/>
                    </a:prstGeom>
                    <a:noFill/>
                  </pic:spPr>
                </pic:pic>
              </a:graphicData>
            </a:graphic>
          </wp:inline>
        </w:drawing>
      </w:r>
    </w:p>
    <w:p w14:paraId="41A3713E"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Visum und Status: zwei verschiedene Dinge</w:t>
      </w:r>
    </w:p>
    <w:p w14:paraId="363C23BA" w14:textId="77777777" w:rsidR="001F7233" w:rsidRDefault="00000000">
      <w:pPr>
        <w:spacing w:after="140"/>
      </w:pPr>
      <w:r>
        <w:rPr>
          <w:i/>
          <w:iCs/>
        </w:rPr>
        <w:t xml:space="preserve">Der wichtigste Begriffsfehler zuerst, weil fast jeder ihn macht. Verbreiteter Irrtum: Wer das Visum im Pass kleben hat, hat auch schon die Zusage, bleiben zu dürfen. Tatsächlich ist das Visum nur der Aufkleber oder Stempel im Pass, den ein Konsulat der USA im Ausland ausstellt. In deinem Fall meist in Frankfurt, Berlin oder München. Es ist nichts weiter als die Erlaubnis, an der Grenze vorzusprechen. Über die eigentliche Einreise entscheidet der Grenzschutz (Customs and Border Protection, CBP) am Flughafen. Er legt fest, wie lange und in welcher Kategorie du bleiben darfst und dokumentiert das im elektronischen Einreisenachweis I-94. Dieser Eintrag heißt Status – die tatsächliche Aufenthalts- und, je nach Kategorie, Arbeitserlaubnis im Land. Ein </w:t>
      </w:r>
      <w:r>
        <w:rPr>
          <w:i/>
          <w:iCs/>
        </w:rPr>
        <w:lastRenderedPageBreak/>
        <w:t>gültiges Visum garantiert also weder Einreise noch einen bestimmten Status. Ein abgelaufenes Visum wiederum beendet nicht automatisch einen noch laufenden Status.</w:t>
      </w:r>
    </w:p>
    <w:p w14:paraId="3C3365FF" w14:textId="77777777" w:rsidR="001F7233" w:rsidRDefault="00000000">
      <w:pPr>
        <w:spacing w:after="140"/>
      </w:pPr>
      <w:r>
        <w:rPr>
          <w:i/>
          <w:iCs/>
        </w:rPr>
        <w:t>Drei Behörden teilen sich die Zuständigkeit: Die Einwanderungsbehörde USCIS genehmigt Anträge im Inland (etwa die Petition deines Arbeitgebers). Das Außenministerium (State Department, DOS) und seine Konsulate stellen das Visum aus. Der Grenzschutz CBP entscheidet über die Einreise selbst. Wer das nicht auseinanderhält, wundert sich später über Sätze wie „die Petition ist genehmigt, aber das Visum steht noch aus“.</w:t>
      </w:r>
    </w:p>
    <w:p w14:paraId="1ADCAFCC" w14:textId="77777777" w:rsidR="001F7233" w:rsidRDefault="00000000">
      <w:pPr>
        <w:spacing w:after="140"/>
      </w:pPr>
      <w:r>
        <w:t>Der Vergleich mit Deutschland hilft: Auch hier unterscheidet das Recht zwischen dem Visum, das die Botschaft im Ausland erteilt und dem Aufenthaltstitel, den die Ausländerbehörde nach der Einreise ausstellt. Der Unterschied ist also nicht exotisch – nur die Zuständigkeiten und Fristen sind in den USA strenger getrennt und die Folgen bei Fehlern unnachsichtiger.</w:t>
      </w:r>
    </w:p>
    <w:p w14:paraId="1F50D5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Nichteinwanderer und Einwanderer: zwei Rechtswelten</w:t>
      </w:r>
    </w:p>
    <w:p w14:paraId="7B1BE977" w14:textId="77777777" w:rsidR="001F7233" w:rsidRDefault="00000000">
      <w:pPr>
        <w:spacing w:after="140"/>
      </w:pPr>
      <w:r>
        <w:t xml:space="preserve">Das amerikanische Einwanderungsrecht kennt im Kern zwei Welten. </w:t>
      </w:r>
      <w:r>
        <w:rPr>
          <w:i/>
          <w:iCs/>
        </w:rPr>
        <w:t>Nonimmigrants</w:t>
      </w:r>
      <w:r>
        <w:t xml:space="preserve"> (Nichteinwanderer) kommen befristet und zu einem bestimmten Zweck: arbeiten für einen Sponsor (H-1B, L-1, O-1), studieren (F-1), an einem Austauschprogramm teilnehmen (J-1) oder schlicht zu Besuch sein (ESTA, B-1/B-2). </w:t>
      </w:r>
      <w:r>
        <w:rPr>
          <w:i/>
          <w:iCs/>
        </w:rPr>
        <w:t>Immigrants</w:t>
      </w:r>
      <w:r>
        <w:t xml:space="preserve"> (Einwanderer) erhalten dagegen die Green Card: ein unbefristetes Aufenthaltsrecht ohne Bindung an Arbeitgeber oder Zweck (siehe Kapitel </w:t>
      </w:r>
      <w:hyperlink w:anchor="k6">
        <w:r w:rsidR="001F7233">
          <w:t>6</w:t>
        </w:r>
      </w:hyperlink>
      <w:r>
        <w:t>).</w:t>
      </w:r>
    </w:p>
    <w:p w14:paraId="78D86320" w14:textId="77777777" w:rsidR="001F7233" w:rsidRDefault="00000000">
      <w:pPr>
        <w:spacing w:after="140"/>
      </w:pPr>
      <w:r>
        <w:t xml:space="preserve">Für die meisten Nichteinwanderer-Kategorien gilt gesetzlich eine Vermutung: Wer ein solches Visum beantragt, will angeblich nicht dauerhaft bleiben. Diese Vermutung musst du beim Interview widerlegen oder zumindest nicht aktiv befeuern. Ein Grund, warum </w:t>
      </w:r>
      <w:r>
        <w:lastRenderedPageBreak/>
        <w:t>Konsulatsmitarbeiter bei F-1- oder B-1-Anträgen gezielt nach Bindungen an Deutschland fragen (Wohnung, Familie, Arbeitsvertrag).</w:t>
      </w:r>
    </w:p>
    <w:p w14:paraId="205FCE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Dual Intent: darf ich zwei Dinge gleichzeitig wollen?</w:t>
      </w:r>
    </w:p>
    <w:p w14:paraId="1676FD1C" w14:textId="77777777" w:rsidR="001F7233" w:rsidRDefault="00000000">
      <w:pPr>
        <w:spacing w:after="140"/>
      </w:pPr>
      <w:r>
        <w:t xml:space="preserve">Zwei Kategorien machen eine wichtige Ausnahme: H-1B und L-1 erlauben </w:t>
      </w:r>
      <w:r>
        <w:rPr>
          <w:i/>
          <w:iCs/>
        </w:rPr>
        <w:t>Dual Intent</w:t>
      </w:r>
      <w:r>
        <w:t>. Du darfst offen sagen, dass du langfristig eine Green Card anstrebst, ohne dass dir das bei Verlängerung oder Einreise schadet – für ein Recht, das sonst sehr genau zwischen Kommen und Bleiben trennt, ist das eine erstaunlich entspannte Ausnahme. Das ist der Grund, warum der Weg „Arbeitgeber-Visum zuerst, Green Card später“ so verbreitet ist (Kapitel </w:t>
      </w:r>
      <w:hyperlink w:anchor="k7">
        <w:r w:rsidR="001F7233">
          <w:t>7</w:t>
        </w:r>
      </w:hyperlink>
      <w:r>
        <w:t xml:space="preserve"> vergleicht beide Etappen im Detail).</w:t>
      </w:r>
    </w:p>
    <w:p w14:paraId="6DD8C893" w14:textId="77777777" w:rsidR="001F7233" w:rsidRDefault="00000000">
      <w:pPr>
        <w:spacing w:after="140"/>
      </w:pPr>
      <w:r>
        <w:t>Alle anderen Wege in diesem Kapitel kennen kein Dual Intent. Wer mit F-1, J-1, O-1 oder ESTA einreist, muss glaubhaft machen, dass er nicht bleiben will – auch wenn im Koffer heimlich schon die ersten Gedanken an ein Leben danach mitreisen. Das ändert nichts daran, dass viele über exakt diese Wege später doch eine Green Card bekommen; nur muss die Absicht zum jeweiligen Zeitpunkt glaubwürdig bleiben. Details zu dieser Gratwanderung stehen in Kapitel </w:t>
      </w:r>
      <w:hyperlink w:anchor="k8">
        <w:r w:rsidR="001F7233">
          <w:t>8</w:t>
        </w:r>
      </w:hyperlink>
      <w:r>
        <w:t xml:space="preserve"> (Studienweg) und Kapitel </w:t>
      </w:r>
      <w:hyperlink w:anchor="k9">
        <w:r w:rsidR="001F7233">
          <w:t>9</w:t>
        </w:r>
      </w:hyperlink>
      <w:r>
        <w:t xml:space="preserve"> (weitere Wege).</w:t>
      </w:r>
    </w:p>
    <w:p w14:paraId="3093B274" w14:textId="77777777" w:rsidR="001F7233" w:rsidRDefault="00000000">
      <w:r>
        <w:rPr>
          <w:b/>
        </w:rPr>
        <w:t xml:space="preserve">ACHTUNG: </w:t>
      </w:r>
    </w:p>
    <w:p w14:paraId="2D31DA24" w14:textId="77777777" w:rsidR="001F7233" w:rsidRDefault="00000000">
      <w:r>
        <w:t xml:space="preserve">• Es gibt kein Freelancer- oder Digital-Nomaden-Visum für die USA. Wer ohne Jobangebot, Studienplatz oder Kapital einreisen will, hat keinen Direktweg – „einfach von dort aus für den deutschen Arbeitgeber weiterarbeiten“ ist auf ESTA oder B-1 nicht erlaubt, selbst wenn niemand danach fragt (Details und Folgen in </w:t>
      </w:r>
      <w:hyperlink w:anchor="k9">
        <w:r w:rsidR="001F7233">
          <w:rPr>
            <w:color w:val="0563C1"/>
            <w:u w:val="single"/>
          </w:rPr>
          <w:t>Kapitel 9</w:t>
        </w:r>
      </w:hyperlink>
      <w:r>
        <w:t>).</w:t>
      </w:r>
    </w:p>
    <w:p w14:paraId="6C8A7449" w14:textId="77777777" w:rsidR="001F7233" w:rsidRDefault="001F7233">
      <w:pPr>
        <w:spacing w:line="220" w:lineRule="exact"/>
      </w:pPr>
    </w:p>
    <w:p w14:paraId="169C13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 Weg: der Entscheidungsbaum</w:t>
      </w:r>
    </w:p>
    <w:p w14:paraId="7C9A5189" w14:textId="77777777" w:rsidR="001F7233" w:rsidRDefault="00000000">
      <w:pPr>
        <w:spacing w:after="140"/>
      </w:pPr>
      <w:r>
        <w:t>Die folgende Tabelle ordnet die häufigsten Ausgangslagen den passenden Kapiteln zu. Triffst du auf mehrere Zeilen zu, lies zunächst die, die deiner Hauptsituation am nächsten kommt und prüfe die anderen als Alternative.</w:t>
      </w:r>
    </w:p>
    <w:p w14:paraId="4737012F" w14:textId="77777777" w:rsidR="001F7233" w:rsidRDefault="00000000">
      <w:r>
        <w:rPr>
          <w:b/>
        </w:rPr>
        <w:t>Ich habe ein Jobangebot eines US-Arbeitgebers</w:t>
      </w:r>
    </w:p>
    <w:p w14:paraId="24355133" w14:textId="77777777" w:rsidR="001F7233" w:rsidRDefault="00000000">
      <w:r>
        <w:rPr>
          <w:b/>
        </w:rPr>
        <w:t xml:space="preserve">Passender Weg: </w:t>
      </w:r>
      <w:r>
        <w:t>H-1B, bei Konzernversetzung auch L-1</w:t>
      </w:r>
    </w:p>
    <w:p w14:paraId="2C78E54C" w14:textId="77777777" w:rsidR="001F7233" w:rsidRDefault="00000000">
      <w:r>
        <w:rPr>
          <w:b/>
        </w:rPr>
        <w:t xml:space="preserve">Details in: </w:t>
      </w:r>
      <w:hyperlink w:anchor="k5">
        <w:r w:rsidR="001F7233">
          <w:rPr>
            <w:rStyle w:val="Hyperlink"/>
          </w:rPr>
          <w:t>Kapitel 5</w:t>
        </w:r>
      </w:hyperlink>
      <w:r>
        <w:t xml:space="preserve"> (und 9 für L-1)</w:t>
      </w:r>
    </w:p>
    <w:p w14:paraId="3501714C" w14:textId="77777777" w:rsidR="001F7233" w:rsidRDefault="00000000">
      <w:r>
        <w:rPr>
          <w:b/>
        </w:rPr>
        <w:t>Ich habe kein Jobangebot</w:t>
      </w:r>
    </w:p>
    <w:p w14:paraId="13643E8A" w14:textId="77777777" w:rsidR="001F7233" w:rsidRDefault="00000000">
      <w:r>
        <w:rPr>
          <w:b/>
        </w:rPr>
        <w:t xml:space="preserve">Passender Weg: </w:t>
      </w:r>
      <w:r>
        <w:t>Kein Direktweg ohne Sponsor, Kapital oder Nachweis; Studium oder eigene Investition prüfen</w:t>
      </w:r>
    </w:p>
    <w:p w14:paraId="07BFE404" w14:textId="77777777" w:rsidR="001F7233" w:rsidRDefault="00000000">
      <w:r>
        <w:rPr>
          <w:b/>
        </w:rPr>
        <w:t xml:space="preserve">Details in: </w:t>
      </w:r>
      <w:hyperlink w:anchor="k9">
        <w:r w:rsidR="001F7233">
          <w:rPr>
            <w:rStyle w:val="Hyperlink"/>
          </w:rPr>
          <w:t>Kapitel 9</w:t>
        </w:r>
      </w:hyperlink>
    </w:p>
    <w:p w14:paraId="679B238D" w14:textId="77777777" w:rsidR="001F7233" w:rsidRDefault="00000000">
      <w:r>
        <w:rPr>
          <w:b/>
        </w:rPr>
        <w:t>Ich will studieren</w:t>
      </w:r>
    </w:p>
    <w:p w14:paraId="45AFB79B" w14:textId="77777777" w:rsidR="001F7233" w:rsidRDefault="00000000">
      <w:r>
        <w:rPr>
          <w:b/>
        </w:rPr>
        <w:t xml:space="preserve">Passender Weg: </w:t>
      </w:r>
      <w:r>
        <w:t>F-1, danach OPT/STEM-OPT und Statuswechsel</w:t>
      </w:r>
    </w:p>
    <w:p w14:paraId="012397EB" w14:textId="77777777" w:rsidR="001F7233" w:rsidRDefault="00000000">
      <w:r>
        <w:rPr>
          <w:b/>
        </w:rPr>
        <w:t xml:space="preserve">Details in: </w:t>
      </w:r>
      <w:hyperlink w:anchor="k8">
        <w:r w:rsidR="001F7233">
          <w:rPr>
            <w:rStyle w:val="Hyperlink"/>
          </w:rPr>
          <w:t>Kapitel 8</w:t>
        </w:r>
      </w:hyperlink>
    </w:p>
    <w:p w14:paraId="4D87C758" w14:textId="77777777" w:rsidR="001F7233" w:rsidRDefault="00000000">
      <w:r>
        <w:rPr>
          <w:b/>
        </w:rPr>
        <w:t>Ich will gründen oder investieren</w:t>
      </w:r>
    </w:p>
    <w:p w14:paraId="6CF764EB" w14:textId="77777777" w:rsidR="001F7233" w:rsidRDefault="00000000">
      <w:r>
        <w:rPr>
          <w:b/>
        </w:rPr>
        <w:t xml:space="preserve">Passender Weg: </w:t>
      </w:r>
      <w:r>
        <w:t>E-2 (Deutschland ist Vertragsstaat)</w:t>
      </w:r>
    </w:p>
    <w:p w14:paraId="69E76A87" w14:textId="77777777" w:rsidR="001F7233" w:rsidRDefault="00000000">
      <w:r>
        <w:rPr>
          <w:b/>
        </w:rPr>
        <w:t xml:space="preserve">Details in: </w:t>
      </w:r>
      <w:hyperlink w:anchor="k9">
        <w:r w:rsidR="001F7233">
          <w:rPr>
            <w:rStyle w:val="Hyperlink"/>
          </w:rPr>
          <w:t>Kapitel 9</w:t>
        </w:r>
      </w:hyperlink>
    </w:p>
    <w:p w14:paraId="6DEEB141" w14:textId="77777777" w:rsidR="001F7233" w:rsidRDefault="00000000">
      <w:r>
        <w:rPr>
          <w:b/>
        </w:rPr>
        <w:t>Ich bin fachlich eine Spitzenkraft mit Nachweisen</w:t>
      </w:r>
    </w:p>
    <w:p w14:paraId="7913003F" w14:textId="77777777" w:rsidR="001F7233" w:rsidRDefault="00000000">
      <w:r>
        <w:rPr>
          <w:b/>
        </w:rPr>
        <w:t xml:space="preserve">Passender Weg: </w:t>
      </w:r>
      <w:r>
        <w:t>O-1, langfristig auch EB-1 als Green-Card-Weg</w:t>
      </w:r>
    </w:p>
    <w:p w14:paraId="68FD77FB" w14:textId="77777777" w:rsidR="001F7233" w:rsidRDefault="00000000">
      <w:r>
        <w:rPr>
          <w:b/>
        </w:rPr>
        <w:t xml:space="preserve">Details in: </w:t>
      </w:r>
      <w:hyperlink w:anchor="k9">
        <w:r w:rsidR="001F7233">
          <w:rPr>
            <w:rStyle w:val="Hyperlink"/>
          </w:rPr>
          <w:t>Kapitel 9</w:t>
        </w:r>
      </w:hyperlink>
      <w:r>
        <w:t xml:space="preserve"> und 6</w:t>
      </w:r>
    </w:p>
    <w:p w14:paraId="5EF0C534" w14:textId="77777777" w:rsidR="001F7233" w:rsidRDefault="00000000">
      <w:r>
        <w:rPr>
          <w:b/>
        </w:rPr>
        <w:t>Ich habe einen US-Partner</w:t>
      </w:r>
    </w:p>
    <w:p w14:paraId="55CA40BE" w14:textId="77777777" w:rsidR="001F7233" w:rsidRDefault="00000000">
      <w:r>
        <w:rPr>
          <w:b/>
        </w:rPr>
        <w:t xml:space="preserve">Passender Weg: </w:t>
      </w:r>
      <w:r>
        <w:t>Heirat, gegebenenfalls K-1-Verlobtenvisum</w:t>
      </w:r>
    </w:p>
    <w:p w14:paraId="4B22A598" w14:textId="77777777" w:rsidR="001F7233" w:rsidRDefault="00000000">
      <w:r>
        <w:rPr>
          <w:b/>
        </w:rPr>
        <w:t xml:space="preserve">Details in: </w:t>
      </w:r>
      <w:hyperlink w:anchor="k9">
        <w:r w:rsidR="001F7233">
          <w:rPr>
            <w:rStyle w:val="Hyperlink"/>
          </w:rPr>
          <w:t>Kapitel 9</w:t>
        </w:r>
      </w:hyperlink>
    </w:p>
    <w:p w14:paraId="0B3799A1" w14:textId="77777777" w:rsidR="001F7233" w:rsidRDefault="00000000">
      <w:r>
        <w:rPr>
          <w:b/>
        </w:rPr>
        <w:t>Ich will nur zu Besuch, zu Meetings oder Vorstellungsgesprächen</w:t>
      </w:r>
    </w:p>
    <w:p w14:paraId="6F0D6E0E" w14:textId="77777777" w:rsidR="001F7233" w:rsidRDefault="00000000">
      <w:r>
        <w:rPr>
          <w:b/>
        </w:rPr>
        <w:t xml:space="preserve">Passender Weg: </w:t>
      </w:r>
      <w:r>
        <w:t>ESTA oder B-1/B-2, keine Arbeit erlaubt</w:t>
      </w:r>
    </w:p>
    <w:p w14:paraId="7144149B" w14:textId="77777777" w:rsidR="001F7233" w:rsidRDefault="00000000">
      <w:r>
        <w:rPr>
          <w:b/>
        </w:rPr>
        <w:t xml:space="preserve">Details in: </w:t>
      </w:r>
      <w:hyperlink w:anchor="k9">
        <w:r w:rsidR="001F7233">
          <w:rPr>
            <w:rStyle w:val="Hyperlink"/>
          </w:rPr>
          <w:t>Kapitel 9</w:t>
        </w:r>
      </w:hyperlink>
    </w:p>
    <w:p w14:paraId="5BD77285" w14:textId="77777777" w:rsidR="001F7233" w:rsidRDefault="001F7233">
      <w:pPr>
        <w:spacing w:line="180" w:lineRule="exact"/>
      </w:pPr>
    </w:p>
    <w:p w14:paraId="73514E07" w14:textId="77777777" w:rsidR="001F7233" w:rsidRDefault="00000000">
      <w:pPr>
        <w:spacing w:after="140"/>
      </w:pPr>
      <w:r>
        <w:t>Wer kein Jobangebot hat, sollte nicht resignieren, aber ehrlich rechnen. Der Studienweg kostet Zeit und Geld, ohne die Lotterie zu garantieren (Kapitel </w:t>
      </w:r>
      <w:hyperlink w:anchor="k8">
        <w:r w:rsidR="001F7233">
          <w:t>8</w:t>
        </w:r>
      </w:hyperlink>
      <w:r>
        <w:t xml:space="preserve">). Der Weg über außergewöhnliche Leistungen (O-1) verlangt eine Beweisakte, die die wenigsten von heute auf </w:t>
      </w:r>
      <w:r>
        <w:lastRenderedPageBreak/>
        <w:t>morgen zusammenstellen können. E-2 verlangt Kapital, das wirklich investiert und riskiert wird. Wer keinen der drei Wege ernsthaft gehen kann, sollte zuerst am Jobangebot arbeiten – die mit Abstand häufigste Eintrittskarte (siehe auch Kapitel </w:t>
      </w:r>
      <w:hyperlink w:anchor="k29">
        <w:r w:rsidR="001F7233">
          <w:t>29</w:t>
        </w:r>
      </w:hyperlink>
      <w:r>
        <w:t xml:space="preserve"> zur Bewerbung aus Deutschland).</w:t>
      </w:r>
    </w:p>
    <w:p w14:paraId="112B4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Vergleich</w:t>
      </w:r>
    </w:p>
    <w:p w14:paraId="44C655C2" w14:textId="77777777" w:rsidR="001F7233" w:rsidRDefault="00000000">
      <w:pPr>
        <w:spacing w:after="140"/>
      </w:pPr>
      <w:r>
        <w:t>Die beiden folgenden Tabellen zeigen dieselben neun Wege aus zwei Blickwinkeln: zuerst Voraussetzung, Dauer und deine eigene Arbeitserlaubnis, dann Partner, Weg zur Green Card und ein grober Kostenanhalt. Die Zahlen sind Behördengebühren (Datenstand September 2026; geprüft im Oktober 2026); Anwaltskosten kommen fast immer dazu (</w:t>
      </w:r>
      <w:hyperlink w:anchor="k11">
        <w:r w:rsidR="001F7233">
          <w:t>Kapitel 11</w:t>
        </w:r>
      </w:hyperlink>
      <w:r>
        <w:t>).</w:t>
      </w:r>
    </w:p>
    <w:p w14:paraId="07D4C18E" w14:textId="77777777" w:rsidR="001F7233" w:rsidRDefault="00000000">
      <w:r>
        <w:rPr>
          <w:b/>
        </w:rPr>
        <w:t>H-1B</w:t>
      </w:r>
    </w:p>
    <w:p w14:paraId="08122268" w14:textId="77777777" w:rsidR="001F7233" w:rsidRDefault="00000000">
      <w:r>
        <w:rPr>
          <w:b/>
        </w:rPr>
        <w:t xml:space="preserve">Voraussetzung: </w:t>
      </w:r>
      <w:r>
        <w:t>Jobangebot, Studienabschluss, Losverfahren (85.000 Plätze)</w:t>
      </w:r>
    </w:p>
    <w:p w14:paraId="3ABE9DA3" w14:textId="77777777" w:rsidR="001F7233" w:rsidRDefault="00000000">
      <w:r>
        <w:rPr>
          <w:b/>
        </w:rPr>
        <w:t xml:space="preserve">Dauer: </w:t>
      </w:r>
      <w:r>
        <w:t>3 + 3 Jahre (max. 6)</w:t>
      </w:r>
    </w:p>
    <w:p w14:paraId="3DB25659" w14:textId="77777777" w:rsidR="001F7233" w:rsidRDefault="00000000">
      <w:r>
        <w:rPr>
          <w:b/>
        </w:rPr>
        <w:t xml:space="preserve">Arbeit erlaubt (für dich): </w:t>
      </w:r>
      <w:r>
        <w:t>Ja, nur beim Sponsor</w:t>
      </w:r>
    </w:p>
    <w:p w14:paraId="7DA76FE4" w14:textId="77777777" w:rsidR="001F7233" w:rsidRDefault="00000000">
      <w:r>
        <w:rPr>
          <w:b/>
        </w:rPr>
        <w:t>L-1</w:t>
      </w:r>
    </w:p>
    <w:p w14:paraId="1B7C7CAF" w14:textId="77777777" w:rsidR="001F7233" w:rsidRDefault="00000000">
      <w:r>
        <w:rPr>
          <w:b/>
        </w:rPr>
        <w:t xml:space="preserve">Voraussetzung: </w:t>
      </w:r>
      <w:r>
        <w:t>1 Jahr im Konzern im Ausland, Versetzung als Führungskraft oder Spezialist</w:t>
      </w:r>
    </w:p>
    <w:p w14:paraId="11C80CFC" w14:textId="77777777" w:rsidR="001F7233" w:rsidRDefault="00000000">
      <w:r>
        <w:rPr>
          <w:b/>
        </w:rPr>
        <w:t xml:space="preserve">Dauer: </w:t>
      </w:r>
      <w:r>
        <w:t>L-1A bis 7 Jahre, L-1B bis 5 Jahre</w:t>
      </w:r>
    </w:p>
    <w:p w14:paraId="42A6D6FE" w14:textId="77777777" w:rsidR="001F7233" w:rsidRDefault="00000000">
      <w:r>
        <w:rPr>
          <w:b/>
        </w:rPr>
        <w:t xml:space="preserve">Arbeit erlaubt (für dich): </w:t>
      </w:r>
      <w:r>
        <w:t>Ja, nur beim Sponsor</w:t>
      </w:r>
    </w:p>
    <w:p w14:paraId="1592B800" w14:textId="77777777" w:rsidR="001F7233" w:rsidRDefault="00000000">
      <w:r>
        <w:rPr>
          <w:b/>
        </w:rPr>
        <w:t>O-1</w:t>
      </w:r>
    </w:p>
    <w:p w14:paraId="38A996CA" w14:textId="77777777" w:rsidR="001F7233" w:rsidRDefault="00000000">
      <w:r>
        <w:rPr>
          <w:b/>
        </w:rPr>
        <w:t xml:space="preserve">Voraussetzung: </w:t>
      </w:r>
      <w:r>
        <w:t>Außergewöhnliche Leistungen, strenge Beweislast</w:t>
      </w:r>
    </w:p>
    <w:p w14:paraId="5D0AA576" w14:textId="77777777" w:rsidR="001F7233" w:rsidRDefault="00000000">
      <w:r>
        <w:rPr>
          <w:b/>
        </w:rPr>
        <w:t xml:space="preserve">Dauer: </w:t>
      </w:r>
      <w:r>
        <w:t>3 Jahre, danach je 1 Jahr</w:t>
      </w:r>
    </w:p>
    <w:p w14:paraId="7C7A9726" w14:textId="77777777" w:rsidR="001F7233" w:rsidRDefault="00000000">
      <w:r>
        <w:rPr>
          <w:b/>
        </w:rPr>
        <w:t xml:space="preserve">Arbeit erlaubt (für dich): </w:t>
      </w:r>
      <w:r>
        <w:t>Ja, nur beim Sponsor oder Agenten</w:t>
      </w:r>
    </w:p>
    <w:p w14:paraId="0605939B" w14:textId="77777777" w:rsidR="001F7233" w:rsidRDefault="00000000">
      <w:r>
        <w:rPr>
          <w:b/>
        </w:rPr>
        <w:t>E-2</w:t>
      </w:r>
    </w:p>
    <w:p w14:paraId="1EFC4C18" w14:textId="77777777" w:rsidR="001F7233" w:rsidRDefault="00000000">
      <w:r>
        <w:rPr>
          <w:b/>
        </w:rPr>
        <w:t xml:space="preserve">Voraussetzung: </w:t>
      </w:r>
      <w:r>
        <w:t>Substanzielle Investition, Führung oder Kontrolle des Unternehmens</w:t>
      </w:r>
    </w:p>
    <w:p w14:paraId="500003B1" w14:textId="77777777" w:rsidR="001F7233" w:rsidRDefault="00000000">
      <w:r>
        <w:rPr>
          <w:b/>
        </w:rPr>
        <w:t xml:space="preserve">Dauer: </w:t>
      </w:r>
      <w:r>
        <w:t>2 Jahre, unbegrenzt verlängerbar</w:t>
      </w:r>
    </w:p>
    <w:p w14:paraId="2B9A8860" w14:textId="77777777" w:rsidR="001F7233" w:rsidRDefault="00000000">
      <w:r>
        <w:rPr>
          <w:b/>
        </w:rPr>
        <w:t xml:space="preserve">Arbeit erlaubt (für dich): </w:t>
      </w:r>
      <w:r>
        <w:t>Ja, im eigenen Unternehmen</w:t>
      </w:r>
    </w:p>
    <w:p w14:paraId="626E9401" w14:textId="77777777" w:rsidR="001F7233" w:rsidRDefault="00000000">
      <w:r>
        <w:rPr>
          <w:b/>
        </w:rPr>
        <w:t>F-1 (Studienweg)</w:t>
      </w:r>
    </w:p>
    <w:p w14:paraId="4730CEFE" w14:textId="77777777" w:rsidR="001F7233" w:rsidRDefault="00000000">
      <w:r>
        <w:rPr>
          <w:b/>
        </w:rPr>
        <w:lastRenderedPageBreak/>
        <w:t xml:space="preserve">Voraussetzung: </w:t>
      </w:r>
      <w:r>
        <w:t>Zulassung an einer SEVP-Hochschule, Finanznachweis</w:t>
      </w:r>
    </w:p>
    <w:p w14:paraId="3681BDF1" w14:textId="77777777" w:rsidR="001F7233" w:rsidRDefault="00000000">
      <w:r>
        <w:rPr>
          <w:b/>
        </w:rPr>
        <w:t xml:space="preserve">Dauer: </w:t>
      </w:r>
      <w:r>
        <w:t>Studiendauer plus OPT 12 Monate (plus 24 bei MINT-Fächern)</w:t>
      </w:r>
    </w:p>
    <w:p w14:paraId="2A608DF6" w14:textId="77777777" w:rsidR="001F7233" w:rsidRDefault="00000000">
      <w:r>
        <w:rPr>
          <w:b/>
        </w:rPr>
        <w:t xml:space="preserve">Arbeit erlaubt (für dich): </w:t>
      </w:r>
      <w:r>
        <w:t>Stark eingeschränkt (Campus, CPT, OPT)</w:t>
      </w:r>
    </w:p>
    <w:p w14:paraId="5532CDD0" w14:textId="77777777" w:rsidR="001F7233" w:rsidRDefault="00000000">
      <w:r>
        <w:rPr>
          <w:b/>
        </w:rPr>
        <w:t>J-1</w:t>
      </w:r>
    </w:p>
    <w:p w14:paraId="190E8E4A" w14:textId="77777777" w:rsidR="001F7233" w:rsidRDefault="00000000">
      <w:r>
        <w:rPr>
          <w:b/>
        </w:rPr>
        <w:t xml:space="preserve">Voraussetzung: </w:t>
      </w:r>
      <w:r>
        <w:t>Programmplatz (Forschung, Trainee, Au-pair)</w:t>
      </w:r>
    </w:p>
    <w:p w14:paraId="5E756BAC" w14:textId="77777777" w:rsidR="001F7233" w:rsidRDefault="00000000">
      <w:r>
        <w:rPr>
          <w:b/>
        </w:rPr>
        <w:t xml:space="preserve">Dauer: </w:t>
      </w:r>
      <w:r>
        <w:t>12 Monate bis 5 Jahre je nach Programm</w:t>
      </w:r>
    </w:p>
    <w:p w14:paraId="59B08790" w14:textId="77777777" w:rsidR="001F7233" w:rsidRDefault="00000000">
      <w:r>
        <w:rPr>
          <w:b/>
        </w:rPr>
        <w:t xml:space="preserve">Arbeit erlaubt (für dich): </w:t>
      </w:r>
      <w:r>
        <w:t>Nur im Rahmen des Programms</w:t>
      </w:r>
    </w:p>
    <w:p w14:paraId="644D9699" w14:textId="77777777" w:rsidR="001F7233" w:rsidRDefault="00000000">
      <w:r>
        <w:rPr>
          <w:b/>
        </w:rPr>
        <w:t>ESTA / B-1</w:t>
      </w:r>
    </w:p>
    <w:p w14:paraId="0F974C05" w14:textId="77777777" w:rsidR="001F7233" w:rsidRDefault="00000000">
      <w:r>
        <w:rPr>
          <w:b/>
        </w:rPr>
        <w:t xml:space="preserve">Voraussetzung: </w:t>
      </w:r>
      <w:r>
        <w:t>Reisezweck Besuch, Meeting, Konferenz</w:t>
      </w:r>
    </w:p>
    <w:p w14:paraId="3A4C0687" w14:textId="77777777" w:rsidR="001F7233" w:rsidRDefault="00000000">
      <w:r>
        <w:rPr>
          <w:b/>
        </w:rPr>
        <w:t xml:space="preserve">Dauer: </w:t>
      </w:r>
      <w:r>
        <w:t>Bis 90 Tage (ESTA); B-1 im Einzelfall länger, nach Ermessen des Grenzschutzes</w:t>
      </w:r>
    </w:p>
    <w:p w14:paraId="11A3310D" w14:textId="77777777" w:rsidR="001F7233" w:rsidRDefault="00000000">
      <w:r>
        <w:rPr>
          <w:b/>
        </w:rPr>
        <w:t xml:space="preserve">Arbeit erlaubt (für dich): </w:t>
      </w:r>
      <w:r>
        <w:t>Nein</w:t>
      </w:r>
    </w:p>
    <w:p w14:paraId="3C9D888E" w14:textId="77777777" w:rsidR="001F7233" w:rsidRDefault="00000000">
      <w:r>
        <w:rPr>
          <w:b/>
        </w:rPr>
        <w:t>Heirat / K-1</w:t>
      </w:r>
    </w:p>
    <w:p w14:paraId="028C7858" w14:textId="77777777" w:rsidR="001F7233" w:rsidRDefault="00000000">
      <w:r>
        <w:rPr>
          <w:b/>
        </w:rPr>
        <w:t xml:space="preserve">Voraussetzung: </w:t>
      </w:r>
      <w:r>
        <w:t>Ehe oder Verlobung mit einem US-Bürger</w:t>
      </w:r>
    </w:p>
    <w:p w14:paraId="61F189C1" w14:textId="77777777" w:rsidR="001F7233" w:rsidRDefault="00000000">
      <w:r>
        <w:rPr>
          <w:b/>
        </w:rPr>
        <w:t xml:space="preserve">Dauer: </w:t>
      </w:r>
      <w:r>
        <w:t>K-1: 90 Tage bis zur Heirat, danach dauerhaft</w:t>
      </w:r>
    </w:p>
    <w:p w14:paraId="0A3E9D64" w14:textId="77777777" w:rsidR="001F7233" w:rsidRDefault="00000000">
      <w:r>
        <w:rPr>
          <w:b/>
        </w:rPr>
        <w:t xml:space="preserve">Arbeit erlaubt (für dich): </w:t>
      </w:r>
      <w:r>
        <w:t>Ja, nach Statusanpassung beziehungsweise sofort mit Green Card</w:t>
      </w:r>
    </w:p>
    <w:p w14:paraId="1F28BB81" w14:textId="77777777" w:rsidR="001F7233" w:rsidRDefault="00000000">
      <w:r>
        <w:rPr>
          <w:b/>
        </w:rPr>
        <w:t>Green Card über Arbeitgeber</w:t>
      </w:r>
    </w:p>
    <w:p w14:paraId="78AE03D9" w14:textId="77777777" w:rsidR="001F7233" w:rsidRDefault="00000000">
      <w:r>
        <w:rPr>
          <w:b/>
        </w:rPr>
        <w:t xml:space="preserve">Voraussetzung: </w:t>
      </w:r>
      <w:r>
        <w:t>Jobangebot plus Arbeitsmarktprüfung (PERM) oder Selbstpetition (NIW, EB-1A)</w:t>
      </w:r>
    </w:p>
    <w:p w14:paraId="46D6A0AE" w14:textId="77777777" w:rsidR="001F7233" w:rsidRDefault="00000000">
      <w:r>
        <w:rPr>
          <w:b/>
        </w:rPr>
        <w:t xml:space="preserve">Dauer: </w:t>
      </w:r>
      <w:r>
        <w:t>Unbefristet (Verfahren rund 1–4,5 Jahre)</w:t>
      </w:r>
    </w:p>
    <w:p w14:paraId="32DF0F00" w14:textId="77777777" w:rsidR="001F7233" w:rsidRDefault="00000000">
      <w:r>
        <w:rPr>
          <w:b/>
        </w:rPr>
        <w:t xml:space="preserve">Arbeit erlaubt (für dich): </w:t>
      </w:r>
      <w:r>
        <w:t>Ja, uneingeschränkt</w:t>
      </w:r>
    </w:p>
    <w:p w14:paraId="324F3A08" w14:textId="77777777" w:rsidR="001F7233" w:rsidRDefault="001F7233">
      <w:pPr>
        <w:spacing w:line="180" w:lineRule="exact"/>
      </w:pPr>
    </w:p>
    <w:p w14:paraId="2472263D" w14:textId="77777777" w:rsidR="001F7233" w:rsidRDefault="00000000">
      <w:r>
        <w:rPr>
          <w:b/>
        </w:rPr>
        <w:t>H-1B</w:t>
      </w:r>
    </w:p>
    <w:p w14:paraId="4A31CA20" w14:textId="77777777" w:rsidR="001F7233" w:rsidRDefault="00000000">
      <w:r>
        <w:rPr>
          <w:b/>
        </w:rPr>
        <w:t xml:space="preserve">Partner arbeitet: </w:t>
      </w:r>
      <w:r>
        <w:t>Erst mit H-4-Arbeitserlaubnis, ab genehmigter I-140</w:t>
      </w:r>
    </w:p>
    <w:p w14:paraId="732410E7" w14:textId="77777777" w:rsidR="001F7233" w:rsidRDefault="00000000">
      <w:r>
        <w:rPr>
          <w:b/>
        </w:rPr>
        <w:t xml:space="preserve">Weg zur Green Card: </w:t>
      </w:r>
      <w:r>
        <w:t>Ja, meist über den Arbeitgeber</w:t>
      </w:r>
    </w:p>
    <w:p w14:paraId="49A9619B" w14:textId="77777777" w:rsidR="001F7233" w:rsidRDefault="00000000">
      <w:r>
        <w:rPr>
          <w:b/>
        </w:rPr>
        <w:t xml:space="preserve">Kosten (grober Anhalt): </w:t>
      </w:r>
      <w:r>
        <w:t>Arbeitgeber ab rund 3.400 $; du 205 $ Visumgebühr</w:t>
      </w:r>
    </w:p>
    <w:p w14:paraId="02126289" w14:textId="77777777" w:rsidR="001F7233" w:rsidRDefault="00000000">
      <w:r>
        <w:rPr>
          <w:b/>
        </w:rPr>
        <w:t>L-1</w:t>
      </w:r>
    </w:p>
    <w:p w14:paraId="165AD27A" w14:textId="77777777" w:rsidR="001F7233" w:rsidRDefault="00000000">
      <w:r>
        <w:rPr>
          <w:b/>
        </w:rPr>
        <w:t xml:space="preserve">Partner arbeitet: </w:t>
      </w:r>
      <w:r>
        <w:t>Ja, ohne eigenen Antrag (L-2)</w:t>
      </w:r>
    </w:p>
    <w:p w14:paraId="35494859" w14:textId="77777777" w:rsidR="001F7233" w:rsidRDefault="00000000">
      <w:r>
        <w:rPr>
          <w:b/>
        </w:rPr>
        <w:t xml:space="preserve">Weg zur Green Card: </w:t>
      </w:r>
      <w:r>
        <w:t>Ja, oft EB-1C oder PERM</w:t>
      </w:r>
    </w:p>
    <w:p w14:paraId="57694763" w14:textId="77777777" w:rsidR="001F7233" w:rsidRDefault="00000000">
      <w:r>
        <w:rPr>
          <w:b/>
        </w:rPr>
        <w:lastRenderedPageBreak/>
        <w:t xml:space="preserve">Kosten (grober Anhalt): </w:t>
      </w:r>
      <w:r>
        <w:t>Arbeitgeber ab rund 1.385 $; du 205 $ Visumgebühr</w:t>
      </w:r>
    </w:p>
    <w:p w14:paraId="7CE47E9F" w14:textId="77777777" w:rsidR="001F7233" w:rsidRDefault="00000000">
      <w:r>
        <w:rPr>
          <w:b/>
        </w:rPr>
        <w:t>O-1</w:t>
      </w:r>
    </w:p>
    <w:p w14:paraId="64DA9BE9" w14:textId="77777777" w:rsidR="001F7233" w:rsidRDefault="00000000">
      <w:r>
        <w:rPr>
          <w:b/>
        </w:rPr>
        <w:t xml:space="preserve">Partner arbeitet: </w:t>
      </w:r>
      <w:r>
        <w:t>Nein (O-3)</w:t>
      </w:r>
    </w:p>
    <w:p w14:paraId="319C271E" w14:textId="77777777" w:rsidR="001F7233" w:rsidRDefault="00000000">
      <w:r>
        <w:rPr>
          <w:b/>
        </w:rPr>
        <w:t xml:space="preserve">Weg zur Green Card: </w:t>
      </w:r>
      <w:r>
        <w:t>Möglich über EB-1A, hohe Ablehnungsquote</w:t>
      </w:r>
    </w:p>
    <w:p w14:paraId="4E956BD6" w14:textId="77777777" w:rsidR="001F7233" w:rsidRDefault="00000000">
      <w:r>
        <w:rPr>
          <w:b/>
        </w:rPr>
        <w:t xml:space="preserve">Kosten (grober Anhalt): </w:t>
      </w:r>
      <w:r>
        <w:t>Arbeitgeber ab rund 1.055 $; du 205 $ Visumgebühr</w:t>
      </w:r>
    </w:p>
    <w:p w14:paraId="5556C496" w14:textId="77777777" w:rsidR="001F7233" w:rsidRDefault="00000000">
      <w:r>
        <w:rPr>
          <w:b/>
        </w:rPr>
        <w:t>E-2</w:t>
      </w:r>
    </w:p>
    <w:p w14:paraId="7CC09225" w14:textId="77777777" w:rsidR="001F7233" w:rsidRDefault="00000000">
      <w:r>
        <w:rPr>
          <w:b/>
        </w:rPr>
        <w:t xml:space="preserve">Partner arbeitet: </w:t>
      </w:r>
      <w:r>
        <w:t>Ja, ohne eigenen Antrag</w:t>
      </w:r>
    </w:p>
    <w:p w14:paraId="02B3859D" w14:textId="77777777" w:rsidR="001F7233" w:rsidRDefault="00000000">
      <w:r>
        <w:rPr>
          <w:b/>
        </w:rPr>
        <w:t xml:space="preserve">Weg zur Green Card: </w:t>
      </w:r>
      <w:r>
        <w:t>Kein direkter Weg (kein Dual Intent)</w:t>
      </w:r>
    </w:p>
    <w:p w14:paraId="3C19885D" w14:textId="77777777" w:rsidR="001F7233" w:rsidRDefault="00000000">
      <w:r>
        <w:rPr>
          <w:b/>
        </w:rPr>
        <w:t xml:space="preserve">Kosten (grober Anhalt): </w:t>
      </w:r>
      <w:r>
        <w:t>Investition plus 1.015 $ Petitionsgebühr; du 315 $ Visumgebühr</w:t>
      </w:r>
    </w:p>
    <w:p w14:paraId="3A9137B2" w14:textId="77777777" w:rsidR="001F7233" w:rsidRDefault="00000000">
      <w:r>
        <w:rPr>
          <w:b/>
        </w:rPr>
        <w:t>F-1 (Studienweg)</w:t>
      </w:r>
    </w:p>
    <w:p w14:paraId="70128552" w14:textId="77777777" w:rsidR="001F7233" w:rsidRDefault="00000000">
      <w:r>
        <w:rPr>
          <w:b/>
        </w:rPr>
        <w:t xml:space="preserve">Partner arbeitet: </w:t>
      </w:r>
      <w:r>
        <w:t>Nein (F-2)</w:t>
      </w:r>
    </w:p>
    <w:p w14:paraId="11919CF1" w14:textId="77777777" w:rsidR="001F7233" w:rsidRDefault="00000000">
      <w:r>
        <w:rPr>
          <w:b/>
        </w:rPr>
        <w:t xml:space="preserve">Weg zur Green Card: </w:t>
      </w:r>
      <w:r>
        <w:t>Nicht direkt; meist über einen späteren H-1B</w:t>
      </w:r>
    </w:p>
    <w:p w14:paraId="1A3E90A9" w14:textId="77777777" w:rsidR="001F7233" w:rsidRDefault="00000000">
      <w:r>
        <w:rPr>
          <w:b/>
        </w:rPr>
        <w:t xml:space="preserve">Kosten (grober Anhalt): </w:t>
      </w:r>
      <w:r>
        <w:t>Studium ca. 70.000–150.000 $ für einen zweijährigen Master</w:t>
      </w:r>
    </w:p>
    <w:p w14:paraId="6D406554" w14:textId="77777777" w:rsidR="001F7233" w:rsidRDefault="00000000">
      <w:r>
        <w:rPr>
          <w:b/>
        </w:rPr>
        <w:t>J-1</w:t>
      </w:r>
    </w:p>
    <w:p w14:paraId="5A7C41B9" w14:textId="77777777" w:rsidR="001F7233" w:rsidRDefault="00000000">
      <w:r>
        <w:rPr>
          <w:b/>
        </w:rPr>
        <w:t xml:space="preserve">Partner arbeitet: </w:t>
      </w:r>
      <w:r>
        <w:t>Nur mit eigenem Antrag (J-2)</w:t>
      </w:r>
    </w:p>
    <w:p w14:paraId="6BF239EF" w14:textId="77777777" w:rsidR="001F7233" w:rsidRDefault="00000000">
      <w:r>
        <w:rPr>
          <w:b/>
        </w:rPr>
        <w:t xml:space="preserve">Weg zur Green Card: </w:t>
      </w:r>
      <w:r>
        <w:t>Nicht direkt; Zwei-Jahres-Sperre je nach Finanzierung prüfen</w:t>
      </w:r>
    </w:p>
    <w:p w14:paraId="46A57CF6" w14:textId="77777777" w:rsidR="001F7233" w:rsidRDefault="00000000">
      <w:r>
        <w:rPr>
          <w:b/>
        </w:rPr>
        <w:t xml:space="preserve">Kosten (grober Anhalt): </w:t>
      </w:r>
      <w:r>
        <w:t>220 $ SEVIS-Gebühr, 185 $ Visumgebühr, Sponsorkosten variieren</w:t>
      </w:r>
    </w:p>
    <w:p w14:paraId="55B7BC03" w14:textId="77777777" w:rsidR="001F7233" w:rsidRDefault="00000000">
      <w:r>
        <w:rPr>
          <w:b/>
        </w:rPr>
        <w:t>ESTA / B-1</w:t>
      </w:r>
    </w:p>
    <w:p w14:paraId="04B4A658" w14:textId="77777777" w:rsidR="001F7233" w:rsidRDefault="00000000">
      <w:r>
        <w:rPr>
          <w:b/>
        </w:rPr>
        <w:t xml:space="preserve">Partner arbeitet: </w:t>
      </w:r>
      <w:r>
        <w:t>Entfällt (kein Aufenthaltsstatus)</w:t>
      </w:r>
    </w:p>
    <w:p w14:paraId="215E3CFC" w14:textId="77777777" w:rsidR="001F7233" w:rsidRDefault="00000000">
      <w:r>
        <w:rPr>
          <w:b/>
        </w:rPr>
        <w:t xml:space="preserve">Weg zur Green Card: </w:t>
      </w:r>
      <w:r>
        <w:t>Nein</w:t>
      </w:r>
    </w:p>
    <w:p w14:paraId="3756602C" w14:textId="77777777" w:rsidR="001F7233" w:rsidRDefault="00000000">
      <w:r>
        <w:rPr>
          <w:b/>
        </w:rPr>
        <w:t xml:space="preserve">Kosten (grober Anhalt): </w:t>
      </w:r>
      <w:r>
        <w:t>40 $ (ESTA) bzw. 185 $ (B-1-Visum)</w:t>
      </w:r>
    </w:p>
    <w:p w14:paraId="07B43C8C" w14:textId="77777777" w:rsidR="001F7233" w:rsidRDefault="00000000">
      <w:r>
        <w:rPr>
          <w:b/>
        </w:rPr>
        <w:t>Heirat / K-1</w:t>
      </w:r>
    </w:p>
    <w:p w14:paraId="2883820E" w14:textId="77777777" w:rsidR="001F7233" w:rsidRDefault="00000000">
      <w:r>
        <w:rPr>
          <w:b/>
        </w:rPr>
        <w:t xml:space="preserve">Partner arbeitet: </w:t>
      </w:r>
      <w:r>
        <w:t>Entfällt, du bist der Partner</w:t>
      </w:r>
    </w:p>
    <w:p w14:paraId="58211998" w14:textId="77777777" w:rsidR="001F7233" w:rsidRDefault="00000000">
      <w:r>
        <w:rPr>
          <w:b/>
        </w:rPr>
        <w:t xml:space="preserve">Weg zur Green Card: </w:t>
      </w:r>
      <w:r>
        <w:t>Ist der Weg selbst</w:t>
      </w:r>
    </w:p>
    <w:p w14:paraId="08DFB324" w14:textId="77777777" w:rsidR="001F7233" w:rsidRDefault="00000000">
      <w:r>
        <w:rPr>
          <w:b/>
        </w:rPr>
        <w:t xml:space="preserve">Kosten (grober Anhalt): </w:t>
      </w:r>
      <w:r>
        <w:t>Rund 2.000–3.000 $ an Behördengebühren für Antrag und Statusanpassung</w:t>
      </w:r>
    </w:p>
    <w:p w14:paraId="08E8142B" w14:textId="77777777" w:rsidR="001F7233" w:rsidRDefault="00000000">
      <w:r>
        <w:rPr>
          <w:b/>
        </w:rPr>
        <w:t>Green Card über Arbeitgeber</w:t>
      </w:r>
    </w:p>
    <w:p w14:paraId="4A5A6FEA" w14:textId="77777777" w:rsidR="001F7233" w:rsidRDefault="00000000">
      <w:r>
        <w:rPr>
          <w:b/>
        </w:rPr>
        <w:t xml:space="preserve">Partner arbeitet: </w:t>
      </w:r>
      <w:r>
        <w:t>Ja, frei, oder mit eigener Arbeitserlaubnis während das Verfahren läuft</w:t>
      </w:r>
    </w:p>
    <w:p w14:paraId="0A8449FD" w14:textId="77777777" w:rsidR="001F7233" w:rsidRDefault="00000000">
      <w:r>
        <w:rPr>
          <w:b/>
        </w:rPr>
        <w:lastRenderedPageBreak/>
        <w:t xml:space="preserve">Weg zur Green Card: </w:t>
      </w:r>
      <w:r>
        <w:t>Ist der Weg selbst</w:t>
      </w:r>
    </w:p>
    <w:p w14:paraId="10172A8E" w14:textId="77777777" w:rsidR="001F7233" w:rsidRDefault="00000000">
      <w:r>
        <w:rPr>
          <w:b/>
        </w:rPr>
        <w:t xml:space="preserve">Kosten (grober Anhalt): </w:t>
      </w:r>
      <w:r>
        <w:t>Arbeitgeber trägt PERM und I-140; du zahlst 1.440 $ je Erwachsenem für die Statusanpassung</w:t>
      </w:r>
    </w:p>
    <w:p w14:paraId="63C8538A" w14:textId="77777777" w:rsidR="001F7233" w:rsidRDefault="001F7233">
      <w:pPr>
        <w:spacing w:line="180" w:lineRule="exact"/>
      </w:pPr>
    </w:p>
    <w:p w14:paraId="1739B9B0" w14:textId="77777777" w:rsidR="001F7233" w:rsidRDefault="001F7233">
      <w:pPr>
        <w:spacing w:line="220" w:lineRule="exact"/>
      </w:pPr>
    </w:p>
    <w:p w14:paraId="1C9565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Realistische Zeitpläne</w:t>
      </w:r>
    </w:p>
    <w:p w14:paraId="2A68E9BF" w14:textId="77777777" w:rsidR="001F7233" w:rsidRDefault="00000000">
      <w:pPr>
        <w:spacing w:after="140"/>
      </w:pPr>
      <w:r>
        <w:t>Wie lange ein Weg tatsächlich dauert, hängt stärker von Vorbereitung und Losglück ab als von der reinen Bearbeitungszeit einer Behörde. Die folgende Tabelle zeigt grobe, realistische Spannen von der ersten Entscheidung bis zum gesicherten Status.</w:t>
      </w:r>
    </w:p>
    <w:p w14:paraId="15DBFB76" w14:textId="77777777" w:rsidR="001F7233" w:rsidRDefault="00000000">
      <w:r>
        <w:rPr>
          <w:b/>
        </w:rPr>
        <w:t>H-1B über Arbeitgeber</w:t>
      </w:r>
    </w:p>
    <w:p w14:paraId="334AA4C0" w14:textId="77777777" w:rsidR="001F7233" w:rsidRDefault="00000000">
      <w:r>
        <w:rPr>
          <w:b/>
        </w:rPr>
        <w:t xml:space="preserve">Realistischer Zeitplan: </w:t>
      </w:r>
      <w:r>
        <w:t>Registrierung im März, Auswahl bis Ende März, Petition ab 1. April, Start 1. Oktober; oft erst im zweiten oder dritten Lotteriejahr ein Treffer</w:t>
      </w:r>
    </w:p>
    <w:p w14:paraId="519F2D25" w14:textId="77777777" w:rsidR="001F7233" w:rsidRDefault="00000000">
      <w:r>
        <w:rPr>
          <w:b/>
        </w:rPr>
        <w:t>L-1 (Konzernversetzung)</w:t>
      </w:r>
    </w:p>
    <w:p w14:paraId="6293C4A6" w14:textId="77777777" w:rsidR="001F7233" w:rsidRDefault="00000000">
      <w:r>
        <w:rPr>
          <w:b/>
        </w:rPr>
        <w:t>Realistischer Zeitplan: Meist einige Monate ab der Entscheidung des Konzerns. Kein Losverfahren, oft der schnellste Weg.</w:t>
      </w:r>
    </w:p>
    <w:p w14:paraId="59EBF6D6" w14:textId="77777777" w:rsidR="001F7233" w:rsidRDefault="00000000">
      <w:r>
        <w:rPr>
          <w:b/>
        </w:rPr>
        <w:t>F-1 → OPT → H-1B</w:t>
      </w:r>
    </w:p>
    <w:p w14:paraId="4C69441C" w14:textId="77777777" w:rsidR="001F7233" w:rsidRDefault="00000000">
      <w:r>
        <w:rPr>
          <w:b/>
        </w:rPr>
        <w:t>Realistischer Zeitplan: Bewerbung rund ein Jahr vorher, Studium 1–2 Jahre, danach OPT und STEM-OPT mit bis zu drei bis vier H-1B-Losrunden: realistisch 3–6 Jahre bis zum gesicherten Arbeitsstatus.</w:t>
      </w:r>
    </w:p>
    <w:p w14:paraId="7D66D43D" w14:textId="77777777" w:rsidR="001F7233" w:rsidRDefault="00000000">
      <w:r>
        <w:rPr>
          <w:b/>
        </w:rPr>
        <w:t>E-2 (Investition)</w:t>
      </w:r>
    </w:p>
    <w:p w14:paraId="6CE921D7" w14:textId="77777777" w:rsidR="001F7233" w:rsidRDefault="00000000">
      <w:r>
        <w:rPr>
          <w:b/>
        </w:rPr>
        <w:t xml:space="preserve">Realistischer Zeitplan: </w:t>
      </w:r>
      <w:r>
        <w:t>Geschäftsplan und Kapitalnachweis vorbereiten, dann Antrag: oft 6–12 Monate</w:t>
      </w:r>
    </w:p>
    <w:p w14:paraId="46C434B5" w14:textId="77777777" w:rsidR="001F7233" w:rsidRDefault="00000000">
      <w:r>
        <w:rPr>
          <w:b/>
        </w:rPr>
        <w:t>O-1 (Spitzenleistung)</w:t>
      </w:r>
    </w:p>
    <w:p w14:paraId="7026EA7A" w14:textId="77777777" w:rsidR="001F7233" w:rsidRDefault="00000000">
      <w:r>
        <w:rPr>
          <w:b/>
        </w:rPr>
        <w:t xml:space="preserve">Realistischer Zeitplan: </w:t>
      </w:r>
      <w:r>
        <w:t>Belegsammlung ist der Flaschenhals: oft 6–12 Monate Vorbereitung, danach zügige Bearbeitung</w:t>
      </w:r>
    </w:p>
    <w:p w14:paraId="1FFE4BA6" w14:textId="77777777" w:rsidR="001F7233" w:rsidRDefault="00000000">
      <w:r>
        <w:rPr>
          <w:b/>
        </w:rPr>
        <w:t>Green Card über PERM</w:t>
      </w:r>
    </w:p>
    <w:p w14:paraId="79A8E68F" w14:textId="77777777" w:rsidR="001F7233" w:rsidRDefault="00000000">
      <w:r>
        <w:rPr>
          <w:b/>
        </w:rPr>
        <w:t xml:space="preserve">Realistischer Zeitplan: </w:t>
      </w:r>
      <w:r>
        <w:t>Arbeitsmarktprüfung, PERM-Prüfung, I-140, dann I-485 oder Konsulat: rund 2,5–4,5 Jahre ab PERM-Start</w:t>
      </w:r>
    </w:p>
    <w:p w14:paraId="5FA1F22F" w14:textId="77777777" w:rsidR="001F7233" w:rsidRDefault="00000000">
      <w:r>
        <w:rPr>
          <w:b/>
        </w:rPr>
        <w:t>Green Card durch Heirat</w:t>
      </w:r>
    </w:p>
    <w:p w14:paraId="62D4E730" w14:textId="77777777" w:rsidR="001F7233" w:rsidRDefault="00000000">
      <w:r>
        <w:rPr>
          <w:b/>
        </w:rPr>
        <w:lastRenderedPageBreak/>
        <w:t xml:space="preserve">Realistischer Zeitplan: </w:t>
      </w:r>
      <w:r>
        <w:t>Petition plus Konsularverfahren: rund 20–24 Monate; bei Antrag im Inland oft etwas schneller</w:t>
      </w:r>
    </w:p>
    <w:p w14:paraId="1CB60EC8" w14:textId="77777777" w:rsidR="001F7233" w:rsidRDefault="001F7233">
      <w:pPr>
        <w:spacing w:line="180" w:lineRule="exact"/>
      </w:pPr>
    </w:p>
    <w:p w14:paraId="0F61C92E" w14:textId="77777777" w:rsidR="001F7233" w:rsidRDefault="00000000">
      <w:r>
        <w:rPr>
          <w:b/>
        </w:rPr>
        <w:t xml:space="preserve">MERKE: </w:t>
      </w:r>
    </w:p>
    <w:p w14:paraId="356F97DE" w14:textId="77777777" w:rsidR="001F7233" w:rsidRDefault="00000000">
      <w:r>
        <w:t xml:space="preserve">• Es gibt nicht den einen Weg in die USA, sondern für jede Lebenslage einen anderen. Die </w:t>
      </w:r>
      <w:hyperlink w:anchor="k5">
        <w:r w:rsidR="001F7233">
          <w:rPr>
            <w:color w:val="0563C1"/>
            <w:u w:val="single"/>
          </w:rPr>
          <w:t>Kapitel 5</w:t>
        </w:r>
      </w:hyperlink>
      <w:r>
        <w:t xml:space="preserve"> bis 11 gehen jeden im Detail durch; dieses Kapitel hilft dir nur, den passenden zu finden, bevor du dort weiterliest.</w:t>
      </w:r>
    </w:p>
    <w:p w14:paraId="1521F54B" w14:textId="77777777" w:rsidR="001F7233" w:rsidRDefault="001F7233">
      <w:pPr>
        <w:spacing w:line="220" w:lineRule="exact"/>
      </w:pPr>
    </w:p>
    <w:p w14:paraId="52CC0953" w14:textId="77777777" w:rsidR="001F7233" w:rsidRDefault="00000000">
      <w:r>
        <w:rPr>
          <w:b/>
        </w:rPr>
        <w:t xml:space="preserve">ACHTUNG: </w:t>
      </w:r>
    </w:p>
    <w:p w14:paraId="788E8F23" w14:textId="77777777" w:rsidR="001F7233" w:rsidRDefault="00000000">
      <w:r>
        <w:t>• Regeln und Gebühren dieses Kapitels ändern sich 2026 besonders schnell. Mehrere Gerichtsverfahren zur H-1B-Zusatzgebühr und zur festen Aufenthaltsdauer bei F-1/J-1 laufen parallel (</w:t>
      </w:r>
      <w:hyperlink w:anchor="k5">
        <w:r w:rsidR="001F7233">
          <w:rPr>
            <w:color w:val="0563C1"/>
            <w:u w:val="single"/>
          </w:rPr>
          <w:t>Kapitel 5</w:t>
        </w:r>
      </w:hyperlink>
      <w:r>
        <w:t xml:space="preserve"> und 8 nennen den Stand). Verlass dich nie auf einen Zeitungsartikel von vor einem Jahr; prüfe </w:t>
      </w:r>
      <w:hyperlink r:id="rId84">
        <w:r w:rsidR="001F7233">
          <w:rPr>
            <w:color w:val="0563C1"/>
            <w:u w:val="single"/>
          </w:rPr>
          <w:t>uscis.gov</w:t>
        </w:r>
      </w:hyperlink>
      <w:r>
        <w:t xml:space="preserve"> und die Kanzlei deines Arbeitgebers vor jeder Entscheidung.</w:t>
      </w:r>
    </w:p>
    <w:p w14:paraId="101637B1" w14:textId="77777777" w:rsidR="001F7233" w:rsidRDefault="001F7233">
      <w:pPr>
        <w:spacing w:line="220" w:lineRule="exact"/>
      </w:pPr>
    </w:p>
    <w:p w14:paraId="3F632C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Wege in die USA im Überblick</w:t>
      </w:r>
    </w:p>
    <w:p w14:paraId="5A9F16F7" w14:textId="77777777" w:rsidR="001F7233" w:rsidRDefault="00000000">
      <w:r>
        <w:rPr>
          <w:b/>
        </w:rPr>
        <w:t>Plus: Ein Weg über den Arbeitgeber (H-1B, L-1) verlagert einen Großteil von Kosten und Bürokratie auf die Firma</w:t>
      </w:r>
    </w:p>
    <w:p w14:paraId="2440ECCE" w14:textId="77777777" w:rsidR="001F7233" w:rsidRDefault="00000000">
      <w:r>
        <w:rPr>
          <w:b/>
        </w:rPr>
        <w:t xml:space="preserve">Minus: </w:t>
      </w:r>
      <w:r>
        <w:t>Du bist an den Sponsor gebunden, oft über Jahre</w:t>
      </w:r>
    </w:p>
    <w:p w14:paraId="69C963F7" w14:textId="77777777" w:rsidR="001F7233" w:rsidRDefault="00000000">
      <w:r>
        <w:rPr>
          <w:b/>
        </w:rPr>
        <w:t>Plus: Der Studienweg eröffnet mehrere Chancen auf die H-1B-Lotterie</w:t>
      </w:r>
    </w:p>
    <w:p w14:paraId="6E0CDF5B" w14:textId="77777777" w:rsidR="001F7233" w:rsidRDefault="00000000">
      <w:r>
        <w:rPr>
          <w:b/>
        </w:rPr>
        <w:t xml:space="preserve">Minus: </w:t>
      </w:r>
      <w:r>
        <w:t>Er kostet zwei Jahre Studiengebühren und Lebenshaltung ohne Garantie auf ein Arbeitsvisum</w:t>
      </w:r>
    </w:p>
    <w:p w14:paraId="7EE1A416" w14:textId="77777777" w:rsidR="001F7233" w:rsidRDefault="00000000">
      <w:r>
        <w:rPr>
          <w:b/>
        </w:rPr>
        <w:t>Plus: Eigene Wege wie E-2 oder O-1 machen dich unabhängig vom Arbeitgeber</w:t>
      </w:r>
    </w:p>
    <w:p w14:paraId="3160CDEA" w14:textId="77777777" w:rsidR="001F7233" w:rsidRDefault="00000000">
      <w:r>
        <w:rPr>
          <w:b/>
        </w:rPr>
        <w:t xml:space="preserve">Minus: </w:t>
      </w:r>
      <w:r>
        <w:t>Beide verlangen Kapital oder außergewöhnliche Nachweise, die nur wenige erfüllen</w:t>
      </w:r>
    </w:p>
    <w:p w14:paraId="69C84F77" w14:textId="77777777" w:rsidR="001F7233" w:rsidRDefault="00000000">
      <w:r>
        <w:rPr>
          <w:b/>
        </w:rPr>
        <w:t>Plus: Dual Intent bei H-1B und L-1 erlaubt, früh an die Green Card zu denken.</w:t>
      </w:r>
    </w:p>
    <w:p w14:paraId="449D70AE" w14:textId="77777777" w:rsidR="001F7233" w:rsidRDefault="00000000">
      <w:r>
        <w:rPr>
          <w:b/>
        </w:rPr>
        <w:lastRenderedPageBreak/>
        <w:t xml:space="preserve">Minus: </w:t>
      </w:r>
      <w:r>
        <w:t>Reine Besuchs-, Studien- und Austauschvisa erlauben das ausdrücklich nicht</w:t>
      </w:r>
    </w:p>
    <w:p w14:paraId="66F8A4FE" w14:textId="77777777" w:rsidR="001F7233" w:rsidRDefault="00000000">
      <w:r>
        <w:rPr>
          <w:b/>
        </w:rPr>
        <w:t>Plus: Mehrere Wege parallel im Blick zu behalten erhöht die Erfolgschance</w:t>
      </w:r>
    </w:p>
    <w:p w14:paraId="6BDE7FAF" w14:textId="77777777" w:rsidR="001F7233" w:rsidRDefault="00000000">
      <w:r>
        <w:rPr>
          <w:b/>
        </w:rPr>
        <w:t xml:space="preserve">Minus: </w:t>
      </w:r>
      <w:r>
        <w:t>Mehrgleisigkeit kostet Zeit, Geld und zusätzliche Anwaltsstunden</w:t>
      </w:r>
    </w:p>
    <w:p w14:paraId="51D54D7E" w14:textId="77777777" w:rsidR="001F7233" w:rsidRDefault="001F7233">
      <w:pPr>
        <w:spacing w:line="180" w:lineRule="exact"/>
      </w:pPr>
    </w:p>
    <w:p w14:paraId="7F0AAA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738CE4B" w14:textId="77777777" w:rsidR="001F7233" w:rsidRDefault="00000000">
      <w:pPr>
        <w:spacing w:after="140"/>
      </w:pPr>
      <w:r>
        <w:t>Ordne deine Situation grob in eine der sieben Zeilen des Entscheidungsbaums ein und lies das dort genannte Kapitel vollständig, bevor du eine Vorentscheidung triffst. Rechne parallel mit Kapitel </w:t>
      </w:r>
      <w:hyperlink w:anchor="k3">
        <w:r w:rsidR="001F7233">
          <w:t>3</w:t>
        </w:r>
      </w:hyperlink>
      <w:r>
        <w:t xml:space="preserve"> durch, ob sich der Aufwand für dich finanziell und persönlich lohnt. Wenn du eine Familie mitnimmst, lies Kapitel </w:t>
      </w:r>
      <w:hyperlink w:anchor="k10">
        <w:r w:rsidR="001F7233">
          <w:t>10</w:t>
        </w:r>
      </w:hyperlink>
      <w:r>
        <w:t xml:space="preserve"> zur Arbeitserlaubnis deines Partners, bevor du dich auf einen Weg festlegst. Der Unterschied zwischen L-2 (Partner arbeitet sofort) und F-2 oder O-3 (Partner arbeitet gar nicht) verändert oft die ganze Rechnung. Kapitel </w:t>
      </w:r>
      <w:hyperlink w:anchor="k11">
        <w:r w:rsidR="001F7233">
          <w:t>11</w:t>
        </w:r>
      </w:hyperlink>
      <w:r>
        <w:t xml:space="preserve"> zeigt danach, wie Antrag, Konsulat und Anwalt zusammenspielen, unabhängig davon, welchen Weg du wählst.</w:t>
      </w:r>
    </w:p>
    <w:p w14:paraId="394F042A" w14:textId="77777777" w:rsidR="001F7233" w:rsidRDefault="00000000">
      <w:r>
        <w:t>• Ich habe meine Situation im Entscheidungsbaum eingeordnet (Jobangebot, Studium, Investition, Spitzenleistung, Partner, Besuch).</w:t>
      </w:r>
    </w:p>
    <w:p w14:paraId="275F8ED5" w14:textId="77777777" w:rsidR="001F7233" w:rsidRDefault="00000000">
      <w:r>
        <w:t>• Ich habe das passende Detailkapitel (5 bis 9) vollständig gelesen.</w:t>
      </w:r>
    </w:p>
    <w:p w14:paraId="17F75779" w14:textId="77777777" w:rsidR="001F7233" w:rsidRDefault="00000000">
      <w:r>
        <w:t>• Ich verstehe den Unterschied zwischen Visum und Status.</w:t>
      </w:r>
    </w:p>
    <w:p w14:paraId="06E38B7C" w14:textId="77777777" w:rsidR="001F7233" w:rsidRDefault="00000000">
      <w:r>
        <w:t>• Ich weiß, ob mein Weg Dual Intent erlaubt oder ob ich eine Rückkehrabsicht nachweisen muss.</w:t>
      </w:r>
    </w:p>
    <w:p w14:paraId="626AD54F" w14:textId="77777777" w:rsidR="001F7233" w:rsidRDefault="00000000">
      <w:r>
        <w:t>• Ich habe realistische Zeit- und Kostenrahmen für meinen Weg notiert.</w:t>
      </w:r>
    </w:p>
    <w:p w14:paraId="3786198E" w14:textId="77777777" w:rsidR="001F7233" w:rsidRDefault="00000000">
      <w:r>
        <w:t>• Ich habe geprüft, ob und wie mein Partner arbeiten darf (</w:t>
      </w:r>
      <w:hyperlink w:anchor="k10">
        <w:r w:rsidR="001F7233">
          <w:rPr>
            <w:color w:val="0563C1"/>
            <w:u w:val="single"/>
          </w:rPr>
          <w:t>Kapitel 10</w:t>
        </w:r>
      </w:hyperlink>
      <w:r>
        <w:t>).</w:t>
      </w:r>
    </w:p>
    <w:p w14:paraId="2E8F3EF8" w14:textId="77777777" w:rsidR="001F7233" w:rsidRDefault="00000000">
      <w:r>
        <w:t xml:space="preserve">• Ich habe mit </w:t>
      </w:r>
      <w:hyperlink w:anchor="k3">
        <w:r w:rsidR="001F7233">
          <w:rPr>
            <w:color w:val="0563C1"/>
            <w:u w:val="single"/>
          </w:rPr>
          <w:t>Kapitel 3</w:t>
        </w:r>
      </w:hyperlink>
      <w:r>
        <w:t xml:space="preserve"> durchgerechnet, ob sich der Weg für mich lohnt.</w:t>
      </w:r>
    </w:p>
    <w:p w14:paraId="486F7687" w14:textId="77777777" w:rsidR="001F7233" w:rsidRDefault="00000000">
      <w:r>
        <w:t>• Ich habe geklärt, ob ich einen eigenen Anwalt brauche (</w:t>
      </w:r>
      <w:hyperlink w:anchor="k11">
        <w:r w:rsidR="001F7233">
          <w:rPr>
            <w:color w:val="0563C1"/>
            <w:u w:val="single"/>
          </w:rPr>
          <w:t>Kapitel 11</w:t>
        </w:r>
      </w:hyperlink>
      <w:r>
        <w:t>).</w:t>
      </w:r>
    </w:p>
    <w:p w14:paraId="7722E8FD" w14:textId="77777777" w:rsidR="001F7233" w:rsidRDefault="001F7233">
      <w:pPr>
        <w:spacing w:line="220" w:lineRule="exact"/>
      </w:pPr>
    </w:p>
    <w:p w14:paraId="11512A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1E580E6" w14:textId="77777777" w:rsidR="001F7233" w:rsidRPr="00EA1518" w:rsidRDefault="00000000">
      <w:pPr>
        <w:pStyle w:val="ListParagraph"/>
        <w:numPr>
          <w:ilvl w:val="0"/>
          <w:numId w:val="1"/>
        </w:numPr>
        <w:spacing w:after="60"/>
        <w:rPr>
          <w:lang w:val="en-US"/>
        </w:rPr>
      </w:pPr>
      <w:r w:rsidRPr="00EA1518">
        <w:rPr>
          <w:lang w:val="en-US"/>
        </w:rPr>
        <w:t>USCIS — Übersicht Arbeitsvisa (</w:t>
      </w:r>
      <w:hyperlink r:id="rId85">
        <w:r w:rsidR="001F7233" w:rsidRPr="00EA1518">
          <w:rPr>
            <w:color w:val="0563C1"/>
            <w:u w:val="single"/>
            <w:lang w:val="en-US"/>
          </w:rPr>
          <w:t>uscis.gov/working-in-the-united-states</w:t>
        </w:r>
      </w:hyperlink>
      <w:r w:rsidRPr="00EA1518">
        <w:rPr>
          <w:lang w:val="en-US"/>
        </w:rPr>
        <w:t>)</w:t>
      </w:r>
    </w:p>
    <w:p w14:paraId="0C8EEEFE" w14:textId="77777777" w:rsidR="001F7233" w:rsidRDefault="00000000">
      <w:pPr>
        <w:pStyle w:val="ListParagraph"/>
        <w:numPr>
          <w:ilvl w:val="0"/>
          <w:numId w:val="1"/>
        </w:numPr>
        <w:spacing w:after="60"/>
      </w:pPr>
      <w:r>
        <w:t>USCIS — Übersicht Green Card und Kategorien (</w:t>
      </w:r>
      <w:hyperlink r:id="rId86">
        <w:r w:rsidR="001F7233">
          <w:rPr>
            <w:color w:val="0563C1"/>
            <w:u w:val="single"/>
          </w:rPr>
          <w:t>uscis.gov/green-card</w:t>
        </w:r>
      </w:hyperlink>
      <w:r>
        <w:t>)</w:t>
      </w:r>
    </w:p>
    <w:p w14:paraId="62734E6D" w14:textId="77777777" w:rsidR="001F7233" w:rsidRPr="00EA1518" w:rsidRDefault="00000000">
      <w:pPr>
        <w:pStyle w:val="ListParagraph"/>
        <w:numPr>
          <w:ilvl w:val="0"/>
          <w:numId w:val="1"/>
        </w:numPr>
        <w:spacing w:after="60"/>
        <w:rPr>
          <w:lang w:val="en-US"/>
        </w:rPr>
      </w:pPr>
      <w:r w:rsidRPr="00EA1518">
        <w:rPr>
          <w:lang w:val="en-US"/>
        </w:rPr>
        <w:t>State Department — Visakategorien und Gebühren (</w:t>
      </w:r>
      <w:hyperlink r:id="rId87">
        <w:r w:rsidR="001F7233" w:rsidRPr="00EA1518">
          <w:rPr>
            <w:color w:val="0563C1"/>
            <w:u w:val="single"/>
            <w:lang w:val="en-US"/>
          </w:rPr>
          <w:t>travel.state.gov/visa</w:t>
        </w:r>
      </w:hyperlink>
      <w:r w:rsidRPr="00EA1518">
        <w:rPr>
          <w:lang w:val="en-US"/>
        </w:rPr>
        <w:t>)</w:t>
      </w:r>
    </w:p>
    <w:p w14:paraId="7C94A8B9" w14:textId="77777777" w:rsidR="001F7233" w:rsidRPr="00EA1518" w:rsidRDefault="00000000">
      <w:pPr>
        <w:pStyle w:val="ListParagraph"/>
        <w:numPr>
          <w:ilvl w:val="0"/>
          <w:numId w:val="1"/>
        </w:numPr>
        <w:spacing w:after="60"/>
        <w:rPr>
          <w:lang w:val="en-US"/>
        </w:rPr>
      </w:pPr>
      <w:r w:rsidRPr="00EA1518">
        <w:rPr>
          <w:lang w:val="en-US"/>
        </w:rPr>
        <w:t>State Department — monatliche Stichtage für die Green Card (</w:t>
      </w:r>
      <w:hyperlink r:id="rId88">
        <w:r w:rsidR="001F7233" w:rsidRPr="00EA1518">
          <w:rPr>
            <w:color w:val="0563C1"/>
            <w:u w:val="single"/>
            <w:lang w:val="en-US"/>
          </w:rPr>
          <w:t>travel.state.gov/visa-bulletin</w:t>
        </w:r>
      </w:hyperlink>
      <w:r w:rsidRPr="00EA1518">
        <w:rPr>
          <w:lang w:val="en-US"/>
        </w:rPr>
        <w:t>)</w:t>
      </w:r>
    </w:p>
    <w:p w14:paraId="6E19CE72" w14:textId="77777777" w:rsidR="001F7233" w:rsidRDefault="00000000">
      <w:pPr>
        <w:pStyle w:val="ListParagraph"/>
        <w:numPr>
          <w:ilvl w:val="0"/>
          <w:numId w:val="1"/>
        </w:numPr>
        <w:spacing w:after="60"/>
      </w:pPr>
      <w:r>
        <w:t>ICE — SEVIS-Gebühr und Studierendenstatus (</w:t>
      </w:r>
      <w:hyperlink r:id="rId89">
        <w:r w:rsidR="001F7233">
          <w:rPr>
            <w:color w:val="0563C1"/>
            <w:u w:val="single"/>
          </w:rPr>
          <w:t>ice.gov/sevis</w:t>
        </w:r>
      </w:hyperlink>
      <w:r>
        <w:t>)</w:t>
      </w:r>
    </w:p>
    <w:p w14:paraId="6F11D463" w14:textId="77777777" w:rsidR="001F7233" w:rsidRPr="00EA1518" w:rsidRDefault="00000000">
      <w:pPr>
        <w:pStyle w:val="ListParagraph"/>
        <w:numPr>
          <w:ilvl w:val="0"/>
          <w:numId w:val="1"/>
        </w:numPr>
        <w:spacing w:after="60"/>
        <w:rPr>
          <w:lang w:val="en-US"/>
        </w:rPr>
      </w:pPr>
      <w:r w:rsidRPr="00EA1518">
        <w:rPr>
          <w:lang w:val="en-US"/>
        </w:rPr>
        <w:t>CBP — ESTA und Visa Waiver Program (</w:t>
      </w:r>
      <w:hyperlink r:id="rId90">
        <w:r w:rsidR="001F7233" w:rsidRPr="00EA1518">
          <w:rPr>
            <w:color w:val="0563C1"/>
            <w:u w:val="single"/>
            <w:lang w:val="en-US"/>
          </w:rPr>
          <w:t>cbp.gov/travel</w:t>
        </w:r>
      </w:hyperlink>
      <w:r w:rsidRPr="00EA1518">
        <w:rPr>
          <w:lang w:val="en-US"/>
        </w:rPr>
        <w:t>)</w:t>
      </w:r>
    </w:p>
    <w:p w14:paraId="1A0DC63D" w14:textId="77777777" w:rsidR="001F7233" w:rsidRPr="00EA1518" w:rsidRDefault="001F7233">
      <w:pPr>
        <w:spacing w:line="120" w:lineRule="exact"/>
        <w:rPr>
          <w:lang w:val="en-US"/>
        </w:rPr>
      </w:pPr>
    </w:p>
    <w:p w14:paraId="1D7AD7C5" w14:textId="77777777" w:rsidR="001F7233" w:rsidRDefault="00000000">
      <w:r>
        <w:t>• Quellen- und Datenstand: September 2026; Redaktionsschluss: Oktober 2026. Visumgebühren, Lotterie-Regeln und die Zusatzzahlung beim H-1B ändern sich derzeit besonders schnell. Mehrere Gerichtsverfahren sind noch offen. Prüfe vor jeder Entscheidung die offiziellen Seiten und die Detailkapitel 5 bis 11.</w:t>
      </w:r>
    </w:p>
    <w:p w14:paraId="0CB47098" w14:textId="77777777" w:rsidR="001F7233" w:rsidRDefault="00000000">
      <w:pPr>
        <w:spacing w:line="220" w:lineRule="exact"/>
      </w:pPr>
      <w:r>
        <w:br w:type="page"/>
      </w:r>
    </w:p>
    <w:p w14:paraId="01502A66" w14:textId="77777777" w:rsidR="001F7233" w:rsidRDefault="00000000">
      <w:pPr>
        <w:pStyle w:val="Heading2"/>
        <w:keepNext/>
        <w:spacing w:line="341" w:lineRule="auto"/>
        <w:jc w:val="center"/>
      </w:pPr>
      <w:bookmarkStart w:id="23" w:name="k5"/>
      <w:r>
        <w:rPr>
          <w:rFonts w:ascii="Amazon Ember" w:eastAsia="Amazon Ember" w:hAnsi="Amazon Ember" w:cs="Amazon Ember"/>
          <w:color w:val="0000FF"/>
          <w:sz w:val="36"/>
          <w:szCs w:val="36"/>
        </w:rPr>
        <w:lastRenderedPageBreak/>
        <w:t>Kapitel 5: Das H-1B-Visum</w:t>
      </w:r>
      <w:bookmarkEnd w:id="23"/>
    </w:p>
    <w:p w14:paraId="7B7740DA" w14:textId="77777777" w:rsidR="001F7233" w:rsidRDefault="00000000">
      <w:pPr>
        <w:spacing w:after="140"/>
      </w:pPr>
      <w:r>
        <w:t>Im Regelfall informiert USCIS den künftigen Arbeitgeber bis Ende März über die Auswahl der Registrierung</w:t>
      </w:r>
    </w:p>
    <w:p w14:paraId="28FFD512" w14:textId="77777777" w:rsidR="001F7233" w:rsidRDefault="00000000">
      <w:r>
        <w:rPr>
          <w:b/>
        </w:rPr>
        <w:t xml:space="preserve">KURZ GESAGT: </w:t>
      </w:r>
    </w:p>
    <w:p w14:paraId="799DEBE0" w14:textId="77777777" w:rsidR="001F7233" w:rsidRDefault="00000000">
      <w:r>
        <w:t>• Der H-1B ist ein befristetes Arbeitsvisum für Berufe, die ein Studium voraussetzen. Dein Arbeitgeber beantragt es, du bist an ihn gebunden. Die Laufzeit beträgt 3 + 3 Jahre.</w:t>
      </w:r>
    </w:p>
    <w:p w14:paraId="3A6EF67F" w14:textId="77777777" w:rsidR="001F7233" w:rsidRDefault="00000000">
      <w:r>
        <w:t>Seit der Auswahlrunde für FY 2027 gewichtet USCIS die Zufallsauswahl nach Lohnstufe:</w:t>
      </w:r>
    </w:p>
    <w:p w14:paraId="4DF3455F" w14:textId="77777777" w:rsidR="001F7233" w:rsidRDefault="00000000">
      <w:r>
        <w:t>Die Proklamation 10973 und ihre Verlängerung durch Proklamation 11069 knüpfen die Einreise bestimmter H-1B-Beschäftigter von außer der USA an eine Arbeitgeberzahlung von 100.000 US-Dollar, vorbehaltlich enger Ausnahmen. Ein Gericht hat die Behördenrichtlinien zur Umsetzung am 30. September 2026 aufgehoben und deren Vollzug bis zu einem ordnungsgemäßen Regelungsverfahren untersagt. Prüfe vor jeder Petition die aktuelle Gerichtsentscheidung und die Hinweise von USCIS und State Department. Plane die Zahlung nicht als gesicherte aktuelle Gebühr ein.</w:t>
      </w:r>
    </w:p>
    <w:p w14:paraId="08B9222F" w14:textId="77777777" w:rsidR="001F7233" w:rsidRDefault="00000000">
      <w:r>
        <w:t xml:space="preserve">• Die Behördengebühren des Arbeitgebers stehen auf dem USCIS-Gebührenverzeichnis </w:t>
      </w:r>
      <w:hyperlink r:id="rId91">
        <w:r w:rsidR="001F7233">
          <w:rPr>
            <w:color w:val="0563C1"/>
            <w:u w:val="single"/>
          </w:rPr>
          <w:t>uscis.gov/g-1055</w:t>
        </w:r>
      </w:hyperlink>
      <w:r>
        <w:t>. Einen Teil davon darf er nicht von deinem Gehalt abziehen. Prüfe das Blatt, bevor jemand zahlt oder du kündigst.</w:t>
      </w:r>
    </w:p>
    <w:p w14:paraId="4161224A" w14:textId="77777777" w:rsidR="001F7233" w:rsidRDefault="00000000">
      <w:r>
        <w:t>• Hochschulen und Forschungseinrichtungen (Cap-exempt) brauchen keine Lotterie.</w:t>
      </w:r>
    </w:p>
    <w:p w14:paraId="466D5A15" w14:textId="77777777" w:rsidR="001F7233" w:rsidRDefault="00000000">
      <w:r>
        <w:t xml:space="preserve">• Den aktuellen Stand prüfst du auf </w:t>
      </w:r>
      <w:hyperlink r:id="rId92">
        <w:r w:rsidR="001F7233">
          <w:rPr>
            <w:color w:val="0563C1"/>
            <w:u w:val="single"/>
          </w:rPr>
          <w:t>uscis.gov</w:t>
        </w:r>
      </w:hyperlink>
      <w:r>
        <w:t xml:space="preserve">, </w:t>
      </w:r>
      <w:hyperlink r:id="rId93">
        <w:r w:rsidR="001F7233">
          <w:rPr>
            <w:color w:val="0563C1"/>
            <w:u w:val="single"/>
          </w:rPr>
          <w:t>federalregister.gov</w:t>
        </w:r>
      </w:hyperlink>
      <w:r>
        <w:t xml:space="preserve"> und bei der Kanzlei deines Arbeitgebers.</w:t>
      </w:r>
    </w:p>
    <w:p w14:paraId="6C25B25D" w14:textId="77777777" w:rsidR="001F7233" w:rsidRDefault="001F7233">
      <w:pPr>
        <w:spacing w:line="220" w:lineRule="exact"/>
      </w:pPr>
    </w:p>
    <w:p w14:paraId="7D3898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der H-1B ist und was nicht</w:t>
      </w:r>
    </w:p>
    <w:p w14:paraId="7F4772ED" w14:textId="77777777" w:rsidR="001F7233" w:rsidRDefault="00000000">
      <w:pPr>
        <w:spacing w:after="140"/>
      </w:pPr>
      <w:r>
        <w:rPr>
          <w:i/>
          <w:iCs/>
        </w:rPr>
        <w:t>Der H-1B ist ein Arbeitsvisum auf Zeit für Specialty Occupations. Tätigkeiten, die ein Studium voraussetzen. Umgangssprachlich umfasst er zweierlei: Das Visum ist der Einreisestempel im Pass, den das Konsulat ausstellt. Der Status ist die Aufenthalts- und Arbeitserlaubnis nach der Einreise. Sie steht im elektronischen Einreisenachweis I-94 (ausgestellt vom Grenzschutz CBP) und über sie wacht die Einwanderungsbehörde USCIS. Beides hängt an einem Antrag deines Arbeitgebers, der Petition (Form I-129). Du kannst dich nicht selbst bewerben und darfst nur für den Arbeitgeber arbeiten, der sie gestellt hat.</w:t>
      </w:r>
    </w:p>
    <w:p w14:paraId="7310F531" w14:textId="77777777" w:rsidR="001F7233" w:rsidRDefault="00000000">
      <w:pPr>
        <w:spacing w:after="140"/>
      </w:pPr>
      <w:r>
        <w:t xml:space="preserve">Ein Vorteil gegenüber vielen anderen Visa: Der H-1B erlaubt </w:t>
      </w:r>
      <w:r>
        <w:rPr>
          <w:i/>
          <w:iCs/>
        </w:rPr>
        <w:t>Dual Intent</w:t>
      </w:r>
      <w:r>
        <w:t>, die gleichzeitige Absicht, später eine Green Card zu beantragen, ohne dass dir das schadet (siehe Kapitel </w:t>
      </w:r>
      <w:hyperlink w:anchor="k6">
        <w:r w:rsidR="001F7233">
          <w:t>6</w:t>
        </w:r>
      </w:hyperlink>
      <w:r>
        <w:t xml:space="preserve"> und </w:t>
      </w:r>
      <w:hyperlink w:anchor="k7">
        <w:r w:rsidR="001F7233">
          <w:t>7</w:t>
        </w:r>
      </w:hyperlink>
      <w:r>
        <w:t>).</w:t>
      </w:r>
    </w:p>
    <w:p w14:paraId="6C9B45D2" w14:textId="77777777" w:rsidR="001F7233" w:rsidRDefault="00000000">
      <w:pPr>
        <w:spacing w:after="140"/>
      </w:pPr>
      <w:r>
        <w:t>Zum Vergleich: Eine Blaue Karte EU bekommst du mit anerkanntem Abschluss, Jobangebot und Mindestgehalt ohne Losverfahren. In den USA ist die Zahl neuer H-1B-Plätze gedeckelt, und ohne Zusage eines Arbeitgebers gibt es nicht einmal eine Registrierung – die einzige Lotterie im Leben, für die du erst einen Arbeitsvertrag brauchst, um überhaupt mitspielen zu dürfen. Nicht jeder Arbeitgeber sponsert Visa: Frage schon in der Bewerbung danach (siehe Kapitel </w:t>
      </w:r>
      <w:hyperlink w:anchor="k29">
        <w:r w:rsidR="001F7233">
          <w:t>29</w:t>
        </w:r>
      </w:hyperlink>
      <w:r>
        <w:t>).</w:t>
      </w:r>
    </w:p>
    <w:p w14:paraId="1BD26E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Specialty Occupation und dein Abschluss</w:t>
      </w:r>
    </w:p>
    <w:p w14:paraId="72DB2798" w14:textId="77777777" w:rsidR="001F7233" w:rsidRDefault="00000000">
      <w:pPr>
        <w:spacing w:after="140"/>
      </w:pPr>
      <w:r>
        <w:t>USCIS prüft zuerst die Stelle, dann dich. Die Stelle muss hochspezialisiertes Wissen und mindestens einen US-Bachelor (oder Gleichwertiges) in einem direkt verwandten Fachgebiet verlangen. Es genügt, wenn eines von vier Kriterien erfüllt ist:</w:t>
      </w:r>
    </w:p>
    <w:p w14:paraId="5C8AD679" w14:textId="77777777" w:rsidR="001F7233" w:rsidRDefault="00000000">
      <w:pPr>
        <w:pStyle w:val="ListParagraph"/>
        <w:numPr>
          <w:ilvl w:val="0"/>
          <w:numId w:val="1"/>
        </w:numPr>
        <w:spacing w:after="60"/>
      </w:pPr>
      <w:r>
        <w:t>Der Abschluss ist der übliche Mindeststandard für den Beruf.</w:t>
      </w:r>
    </w:p>
    <w:p w14:paraId="5552BB4B" w14:textId="77777777" w:rsidR="001F7233" w:rsidRDefault="00000000">
      <w:pPr>
        <w:pStyle w:val="ListParagraph"/>
        <w:numPr>
          <w:ilvl w:val="0"/>
          <w:numId w:val="1"/>
        </w:numPr>
        <w:spacing w:after="60"/>
      </w:pPr>
      <w:r>
        <w:t>Er ist bei vergleichbaren Stellen in der Branche üblich.</w:t>
      </w:r>
    </w:p>
    <w:p w14:paraId="61E81631" w14:textId="77777777" w:rsidR="001F7233" w:rsidRDefault="00000000">
      <w:pPr>
        <w:pStyle w:val="ListParagraph"/>
        <w:numPr>
          <w:ilvl w:val="0"/>
          <w:numId w:val="1"/>
        </w:numPr>
        <w:spacing w:after="60"/>
      </w:pPr>
      <w:r>
        <w:lastRenderedPageBreak/>
        <w:t>Der Arbeitgeber verlangt ihn regelmäßig für diese Stelle.</w:t>
      </w:r>
    </w:p>
    <w:p w14:paraId="1FA84FDC" w14:textId="77777777" w:rsidR="001F7233" w:rsidRDefault="00000000">
      <w:pPr>
        <w:pStyle w:val="ListParagraph"/>
        <w:numPr>
          <w:ilvl w:val="0"/>
          <w:numId w:val="1"/>
        </w:numPr>
        <w:spacing w:after="60"/>
      </w:pPr>
      <w:r>
        <w:t>Die Aufgaben sind so komplex, dass sie üblicherweise einen solchen Abschluss voraussetzen.</w:t>
      </w:r>
    </w:p>
    <w:p w14:paraId="170C80A5" w14:textId="77777777" w:rsidR="001F7233" w:rsidRDefault="001F7233">
      <w:pPr>
        <w:spacing w:line="120" w:lineRule="exact"/>
      </w:pPr>
    </w:p>
    <w:p w14:paraId="55AFE5A0" w14:textId="77777777" w:rsidR="001F7233" w:rsidRDefault="00000000">
      <w:pPr>
        <w:spacing w:after="140"/>
      </w:pPr>
      <w:r>
        <w:t>Seit der Modernisierungsregel (in Kraft seit 17. Januar 2025) heißt „direkt verwandt“: Zwischen Studienfach und Aufgaben muss eine logische Verbindung bestehen. Mehrere Fächer können zu einer Stelle passen. Der Arbeitgeber muss belegen, dass die Stelle zum Startdatum wirklich existiert und USCIS darf Arbeitsorte vor Ort prüfen. Verlangt der Beruf im Bundesstaat eine Lizenz, etwa in der Medizin, muss sie vor der Genehmigung vorliegen, nicht schon bei Einreichung.</w:t>
      </w:r>
    </w:p>
    <w:p w14:paraId="580900FE" w14:textId="77777777" w:rsidR="001F7233" w:rsidRDefault="00000000">
      <w:pPr>
        <w:spacing w:after="140"/>
      </w:pPr>
      <w:r>
        <w:t>Dein Abschluss muss einem US-Bachelor entsprechen. Für deutsche Bachelor-, Master- und Diplomabschlüsse belegt das in der Regel ein Bewertungsgutachten (</w:t>
      </w:r>
      <w:r>
        <w:rPr>
          <w:i/>
          <w:iCs/>
        </w:rPr>
        <w:t>Credential Evaluation</w:t>
      </w:r>
      <w:r>
        <w:t>), das die Kanzlei des Arbeitgebers beauftragt. Fehlt ein Studium, kann Berufserfahrung einspringen: Drei Jahre Fachpraxis ersetzen ein Studienjahr. Das ist aufwendig und unsicher. Master-Niveau erreichst du auf diesem Weg nur mit einem Bachelor und mindestens fünf Jahren Berufserfahrung im Fach. Ein Meisterbrief oder eine Ausbildung ersetzen den Bachelor nicht von selbst, weshalb Handwerksberufe meist über andere Wege laufen (siehe Kapitel </w:t>
      </w:r>
      <w:hyperlink w:anchor="k4">
        <w:r w:rsidR="001F7233">
          <w:t>4</w:t>
        </w:r>
      </w:hyperlink>
      <w:r>
        <w:t xml:space="preserve"> und </w:t>
      </w:r>
      <w:hyperlink w:anchor="k9">
        <w:r w:rsidR="001F7233">
          <w:t>9</w:t>
        </w:r>
      </w:hyperlink>
      <w:r>
        <w:t>).</w:t>
      </w:r>
    </w:p>
    <w:p w14:paraId="6C77F041" w14:textId="77777777" w:rsidR="001F7233" w:rsidRDefault="00000000">
      <w:pPr>
        <w:spacing w:after="140"/>
      </w:pPr>
      <w:r>
        <w:t>Wer mehr als die Hälfte der Anteile an der eigenen Firma hält, bekommt Erstgenehmigung und erste Verlängerung nur für je 18 Monate. Das betrifft Gründer (siehe Kapitel </w:t>
      </w:r>
      <w:hyperlink w:anchor="k9">
        <w:r w:rsidR="001F7233">
          <w:t>9</w:t>
        </w:r>
      </w:hyperlink>
      <w:r>
        <w:t>).</w:t>
      </w:r>
    </w:p>
    <w:p w14:paraId="5048E1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Quote und Registrierung: 85.000 Plätze</w:t>
      </w:r>
    </w:p>
    <w:p w14:paraId="1703B1AE" w14:textId="77777777" w:rsidR="001F7233" w:rsidRDefault="00000000">
      <w:pPr>
        <w:spacing w:after="140"/>
      </w:pPr>
      <w:r>
        <w:rPr>
          <w:i/>
          <w:iCs/>
        </w:rPr>
        <w:t xml:space="preserve">Die Höchstgrenze heißt Cap: 65.000 reguläre Plätze plus 20.000 im Master-Kontingent für Master- oder höhere Abschlüsse einer US-Hochschule, zusammen 85.000 neue Petitionen je Fiskaljahr. Das Fiskaljahr (Fiscal Year, FY) der US-Regierung läuft vom 1. Oktober bis </w:t>
      </w:r>
      <w:r>
        <w:rPr>
          <w:i/>
          <w:iCs/>
        </w:rPr>
        <w:lastRenderedPageBreak/>
        <w:t>30. September; FY2027 reicht vom 1. Oktober 2026 bis 30. September 2027, weil mehr Registrierungen eingehen als Plätze existieren, entscheidet ein Losverfahren. Wer in den USA einen Master gemacht hat, zählt für beide Kontingente (siehe Kapitel 8).</w:t>
      </w:r>
    </w:p>
    <w:p w14:paraId="03C426CC" w14:textId="77777777" w:rsidR="001F7233" w:rsidRDefault="00000000">
      <w:pPr>
        <w:spacing w:after="140"/>
      </w:pPr>
      <w:r>
        <w:t xml:space="preserve">Der Arbeitgeber meldet dich im März online an (FY2027: 4. bis 19. März 2026) und zahlt die Registrierungsgebühr. Den Betrag nennt </w:t>
      </w:r>
      <w:hyperlink r:id="rId94">
        <w:r w:rsidR="001F7233">
          <w:rPr>
            <w:color w:val="0563C1"/>
            <w:u w:val="single"/>
          </w:rPr>
          <w:t>uscis.gov/g-1055</w:t>
        </w:r>
      </w:hyperlink>
      <w:r>
        <w:t>. Er ist nicht erstattbar. Registrieren mehrere Arbeitgeber dieselbe Person, zählt sie in der Auswahl nur einmal.</w:t>
      </w:r>
    </w:p>
    <w:p w14:paraId="171117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Lohngewichtete Auswahl: Chancen nach Lohnstufe</w:t>
      </w:r>
    </w:p>
    <w:p w14:paraId="05C46C2F" w14:textId="77777777" w:rsidR="001F7233" w:rsidRDefault="00000000">
      <w:pPr>
        <w:spacing w:after="140"/>
      </w:pPr>
      <w:r>
        <w:rPr>
          <w:i/>
          <w:iCs/>
        </w:rPr>
        <w:t>Seit der Runde für FY2027 ist die Auswahl lohngewichtet (Final Rule vom 29. Dezember 2025, gültig seit 27. Februar 2026). Der Arbeitgeber nennt die höchste der vier Lohnstufen (Level I bis IV), die der angebotene Lohn für deine Berufsgruppe am Arbeitsort erreicht. Bei mehreren Arbeitsorten zählt das niedrigste Level und ein Lohn unter Level I wird als Level I gemeldet. Je höher die Stufe, desto mehr Lose:</w:t>
      </w:r>
    </w:p>
    <w:p w14:paraId="5B7701BE" w14:textId="77777777" w:rsidR="001F7233" w:rsidRDefault="00000000">
      <w:r>
        <w:rPr>
          <w:b/>
        </w:rPr>
        <w:t>Level I</w:t>
      </w:r>
    </w:p>
    <w:p w14:paraId="7F8AB87A" w14:textId="77777777" w:rsidR="001F7233" w:rsidRDefault="00000000">
      <w:r>
        <w:rPr>
          <w:b/>
        </w:rPr>
        <w:t xml:space="preserve">Lohn ab Perzentil: </w:t>
      </w:r>
      <w:r>
        <w:t>17.</w:t>
      </w:r>
    </w:p>
    <w:p w14:paraId="07D41417" w14:textId="77777777" w:rsidR="001F7233" w:rsidRPr="00EA1518" w:rsidRDefault="00000000">
      <w:pPr>
        <w:rPr>
          <w:lang w:val="en-US"/>
        </w:rPr>
      </w:pPr>
      <w:r w:rsidRPr="00EA1518">
        <w:rPr>
          <w:b/>
          <w:lang w:val="en-US"/>
        </w:rPr>
        <w:t xml:space="preserve">Lose: </w:t>
      </w:r>
      <w:r w:rsidRPr="00EA1518">
        <w:rPr>
          <w:lang w:val="en-US"/>
        </w:rPr>
        <w:t>1</w:t>
      </w:r>
    </w:p>
    <w:p w14:paraId="6E135BE4" w14:textId="77777777" w:rsidR="001F7233" w:rsidRPr="00EA1518" w:rsidRDefault="00000000">
      <w:pPr>
        <w:rPr>
          <w:lang w:val="en-US"/>
        </w:rPr>
      </w:pPr>
      <w:r w:rsidRPr="00EA1518">
        <w:rPr>
          <w:b/>
          <w:lang w:val="en-US"/>
        </w:rPr>
        <w:t xml:space="preserve">Chance (DHS-Modell): </w:t>
      </w:r>
      <w:r w:rsidRPr="00EA1518">
        <w:rPr>
          <w:lang w:val="en-US"/>
        </w:rPr>
        <w:t>ca. 15,3 %</w:t>
      </w:r>
    </w:p>
    <w:p w14:paraId="77B93A1A" w14:textId="77777777" w:rsidR="001F7233" w:rsidRDefault="00000000">
      <w:r>
        <w:rPr>
          <w:b/>
        </w:rPr>
        <w:t>Level II</w:t>
      </w:r>
    </w:p>
    <w:p w14:paraId="17F6F674" w14:textId="77777777" w:rsidR="001F7233" w:rsidRDefault="00000000">
      <w:r>
        <w:rPr>
          <w:b/>
        </w:rPr>
        <w:t xml:space="preserve">Lohn ab Perzentil: </w:t>
      </w:r>
      <w:r>
        <w:t>34.</w:t>
      </w:r>
    </w:p>
    <w:p w14:paraId="78596F1E" w14:textId="77777777" w:rsidR="001F7233" w:rsidRPr="00EA1518" w:rsidRDefault="00000000">
      <w:pPr>
        <w:rPr>
          <w:lang w:val="en-US"/>
        </w:rPr>
      </w:pPr>
      <w:r w:rsidRPr="00EA1518">
        <w:rPr>
          <w:b/>
          <w:lang w:val="en-US"/>
        </w:rPr>
        <w:t xml:space="preserve">Lose: </w:t>
      </w:r>
      <w:r w:rsidRPr="00EA1518">
        <w:rPr>
          <w:lang w:val="en-US"/>
        </w:rPr>
        <w:t>2</w:t>
      </w:r>
    </w:p>
    <w:p w14:paraId="1A08CDD5" w14:textId="77777777" w:rsidR="001F7233" w:rsidRPr="00EA1518" w:rsidRDefault="00000000">
      <w:pPr>
        <w:rPr>
          <w:lang w:val="en-US"/>
        </w:rPr>
      </w:pPr>
      <w:r w:rsidRPr="00EA1518">
        <w:rPr>
          <w:b/>
          <w:lang w:val="en-US"/>
        </w:rPr>
        <w:t xml:space="preserve">Chance (DHS-Modell): </w:t>
      </w:r>
      <w:r w:rsidRPr="00EA1518">
        <w:rPr>
          <w:lang w:val="en-US"/>
        </w:rPr>
        <w:t>ca. 30,6 %</w:t>
      </w:r>
    </w:p>
    <w:p w14:paraId="5ECD28A3" w14:textId="77777777" w:rsidR="001F7233" w:rsidRDefault="00000000">
      <w:r>
        <w:rPr>
          <w:b/>
        </w:rPr>
        <w:t>Level III</w:t>
      </w:r>
    </w:p>
    <w:p w14:paraId="7F9CE142" w14:textId="77777777" w:rsidR="001F7233" w:rsidRDefault="00000000">
      <w:r>
        <w:rPr>
          <w:b/>
        </w:rPr>
        <w:t xml:space="preserve">Lohn ab Perzentil: </w:t>
      </w:r>
      <w:r>
        <w:t>50.</w:t>
      </w:r>
    </w:p>
    <w:p w14:paraId="407A9E55" w14:textId="77777777" w:rsidR="001F7233" w:rsidRPr="00EA1518" w:rsidRDefault="00000000">
      <w:pPr>
        <w:rPr>
          <w:lang w:val="en-US"/>
        </w:rPr>
      </w:pPr>
      <w:r w:rsidRPr="00EA1518">
        <w:rPr>
          <w:b/>
          <w:lang w:val="en-US"/>
        </w:rPr>
        <w:t xml:space="preserve">Lose: </w:t>
      </w:r>
      <w:r w:rsidRPr="00EA1518">
        <w:rPr>
          <w:lang w:val="en-US"/>
        </w:rPr>
        <w:t>3</w:t>
      </w:r>
    </w:p>
    <w:p w14:paraId="3B18F85F" w14:textId="77777777" w:rsidR="001F7233" w:rsidRPr="00EA1518" w:rsidRDefault="00000000">
      <w:pPr>
        <w:rPr>
          <w:lang w:val="en-US"/>
        </w:rPr>
      </w:pPr>
      <w:r w:rsidRPr="00EA1518">
        <w:rPr>
          <w:b/>
          <w:lang w:val="en-US"/>
        </w:rPr>
        <w:t xml:space="preserve">Chance (DHS-Modell): </w:t>
      </w:r>
      <w:r w:rsidRPr="00EA1518">
        <w:rPr>
          <w:lang w:val="en-US"/>
        </w:rPr>
        <w:t>ca. 45,9 %</w:t>
      </w:r>
    </w:p>
    <w:p w14:paraId="47FD3804" w14:textId="77777777" w:rsidR="001F7233" w:rsidRDefault="00000000">
      <w:r>
        <w:rPr>
          <w:b/>
        </w:rPr>
        <w:t>Level IV</w:t>
      </w:r>
    </w:p>
    <w:p w14:paraId="585AD3AF" w14:textId="77777777" w:rsidR="001F7233" w:rsidRDefault="00000000">
      <w:r>
        <w:rPr>
          <w:b/>
        </w:rPr>
        <w:t xml:space="preserve">Lohn ab Perzentil: </w:t>
      </w:r>
      <w:r>
        <w:t>67.</w:t>
      </w:r>
    </w:p>
    <w:p w14:paraId="2F77BF6F" w14:textId="77777777" w:rsidR="001F7233" w:rsidRPr="00EA1518" w:rsidRDefault="00000000">
      <w:pPr>
        <w:rPr>
          <w:lang w:val="en-US"/>
        </w:rPr>
      </w:pPr>
      <w:r w:rsidRPr="00EA1518">
        <w:rPr>
          <w:b/>
          <w:lang w:val="en-US"/>
        </w:rPr>
        <w:t xml:space="preserve">Lose: </w:t>
      </w:r>
      <w:r w:rsidRPr="00EA1518">
        <w:rPr>
          <w:lang w:val="en-US"/>
        </w:rPr>
        <w:t>4</w:t>
      </w:r>
    </w:p>
    <w:p w14:paraId="1FF7DD84" w14:textId="77777777" w:rsidR="001F7233" w:rsidRPr="00EA1518" w:rsidRDefault="00000000">
      <w:pPr>
        <w:rPr>
          <w:lang w:val="en-US"/>
        </w:rPr>
      </w:pPr>
      <w:r w:rsidRPr="00EA1518">
        <w:rPr>
          <w:b/>
          <w:lang w:val="en-US"/>
        </w:rPr>
        <w:lastRenderedPageBreak/>
        <w:t xml:space="preserve">Chance (DHS-Modell): </w:t>
      </w:r>
      <w:r w:rsidRPr="00EA1518">
        <w:rPr>
          <w:lang w:val="en-US"/>
        </w:rPr>
        <w:t>ca. 61,2 %</w:t>
      </w:r>
    </w:p>
    <w:p w14:paraId="02F9E2C7" w14:textId="77777777" w:rsidR="001F7233" w:rsidRPr="00EA1518" w:rsidRDefault="001F7233">
      <w:pPr>
        <w:spacing w:line="180" w:lineRule="exact"/>
        <w:rPr>
          <w:lang w:val="en-US"/>
        </w:rPr>
      </w:pPr>
    </w:p>
    <w:p w14:paraId="477DAD41" w14:textId="77777777" w:rsidR="001F7233" w:rsidRDefault="00000000">
      <w:pPr>
        <w:spacing w:after="140"/>
      </w:pPr>
      <w:r>
        <w:t>Die Prozentwerte sind eine Modellrechnung des Heimatschutzministeriums DHS auf Basis der Jahre FY2020 bis FY2024, keine Prognose für ein bestimmtes Jahr. Bei reinem Zufall lag der Wert bei rund 29,6 %.</w:t>
      </w:r>
    </w:p>
    <w:p w14:paraId="3B6C82F6" w14:textId="77777777" w:rsidR="001F7233" w:rsidRDefault="00000000">
      <w:pPr>
        <w:spacing w:after="140"/>
      </w:pPr>
      <w:r>
        <w:t>Was FY2027 wirklich zeigte: 211.600 ordnungsgemäße Registrierungen, 38,5 % weniger als im Vorjahr (343.981). Unter den Ausgewählten waren nur 17,7 % Level I, und 71,5 % hatten einen US-Master oder höher (FY2026: 57 %). Wie viele Registrierungen USCIS auswählte, hat die Behörde nicht veröffentlicht. Die im Netz kursierende Chance von rund 40 % ist nur 85.000 geteilt durch 211.600 und kein Beleg, denn USCIS wählt meist mehr aus, als Plätze da sind (FY2026: 120.141 Auswahlen).</w:t>
      </w:r>
    </w:p>
    <w:p w14:paraId="4CE8FADF" w14:textId="77777777" w:rsidR="001F7233" w:rsidRDefault="00000000">
      <w:pPr>
        <w:spacing w:after="140"/>
      </w:pPr>
      <w:r>
        <w:t>Am 17. Juli 2026 meldete USCIS die Quote als erreicht; eine zweite Runde gab es nicht. Verbreiteter Irrtum: Wer im Konto als „ausgewählt“ steht, hat den H-1B damit schon so gut wie sicher. Tatsächlich ist eine Auswahl keine Genehmigung, sondern nur die Erlaubnis für den Arbeitgeber, in einem Fenster von mindestens 90 Tagen die Petition einzureichen (FY2027: 1. April bis 30. Juni 2026). Wer nicht ausgewählt wird, tritt erst in der nächsten Runde wieder an, für FY2028 voraussichtlich im März 2027 (offiziell noch nicht bestätigt). Was dann als Plan B bleibt, zeigen die Kapitel </w:t>
      </w:r>
      <w:hyperlink w:anchor="k7">
        <w:r w:rsidR="001F7233">
          <w:t>7</w:t>
        </w:r>
      </w:hyperlink>
      <w:r>
        <w:t xml:space="preserve"> bis </w:t>
      </w:r>
      <w:hyperlink w:anchor="k9">
        <w:r w:rsidR="001F7233">
          <w:t>9</w:t>
        </w:r>
      </w:hyperlink>
      <w:r>
        <w:t>. Vor der Registrierung solltest du dir sagen lassen, welche Stufe der Arbeitgeber meldet: Falsche Angaben machen die Registrierung ungültig.</w:t>
      </w:r>
    </w:p>
    <w:p w14:paraId="20ED1F3F" w14:textId="77777777" w:rsidR="001F7233" w:rsidRDefault="001F7233">
      <w:pPr>
        <w:spacing w:line="220" w:lineRule="exact"/>
      </w:pPr>
    </w:p>
    <w:p w14:paraId="43D46C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Zusatzzahlung der Proklamation: gilt, blockiert, vorgeschlagen</w:t>
      </w:r>
    </w:p>
    <w:p w14:paraId="474EC3CB" w14:textId="77777777" w:rsidR="001F7233" w:rsidRDefault="00000000">
      <w:pPr>
        <w:spacing w:after="140"/>
      </w:pPr>
      <w:r>
        <w:t xml:space="preserve">Weil Schlagzeilen Beschlüsse, Urteile und Entwürfe oft vermengen, ordnet die Übersicht die wichtigsten Regelungen nach ihrem </w:t>
      </w:r>
      <w:r>
        <w:lastRenderedPageBreak/>
        <w:t xml:space="preserve">Rechtsstatus. Ein </w:t>
      </w:r>
      <w:r>
        <w:rPr>
          <w:i/>
          <w:iCs/>
        </w:rPr>
        <w:t>NPRM</w:t>
      </w:r>
      <w:r>
        <w:t xml:space="preserve"> (</w:t>
      </w:r>
      <w:r>
        <w:rPr>
          <w:i/>
          <w:iCs/>
        </w:rPr>
        <w:t>Notice of Proposed Rulemaking</w:t>
      </w:r>
      <w:r>
        <w:t>) ist der Entwurf einer Behörde, der nach einer Kommentarphase geändert oder verworfen werden kann. Ob eine Zahlung in der Woche deiner Einreichung fällig ist, liest du auf der USCIS-Alert-Seite. Dieses Kapitel druckt den Betrag nicht.</w:t>
      </w:r>
    </w:p>
    <w:p w14:paraId="33BA1492" w14:textId="77777777" w:rsidR="001F7233" w:rsidRDefault="00000000">
      <w:r>
        <w:rPr>
          <w:b/>
        </w:rPr>
        <w:t>Lohngewichtete Auswahl</w:t>
      </w:r>
    </w:p>
    <w:p w14:paraId="04B3E601" w14:textId="77777777" w:rsidR="001F7233" w:rsidRDefault="00000000">
      <w:r>
        <w:rPr>
          <w:b/>
        </w:rPr>
        <w:t xml:space="preserve">Rechtsstatus: </w:t>
      </w:r>
      <w:r>
        <w:t>Geltendes Recht seit 27. Februar 2026</w:t>
      </w:r>
    </w:p>
    <w:p w14:paraId="048B7A5A" w14:textId="77777777" w:rsidR="001F7233" w:rsidRDefault="00000000">
      <w:r>
        <w:rPr>
          <w:b/>
        </w:rPr>
        <w:t xml:space="preserve">Betrifft dich, wenn …: </w:t>
      </w:r>
      <w:r>
        <w:t>du dich für die Lotterie registrieren lässt</w:t>
      </w:r>
    </w:p>
    <w:p w14:paraId="75E174D5" w14:textId="77777777" w:rsidR="001F7233" w:rsidRDefault="00000000">
      <w:r>
        <w:rPr>
          <w:b/>
        </w:rPr>
        <w:t>Zusatzzahlung nach Proklamation 10973</w:t>
      </w:r>
    </w:p>
    <w:p w14:paraId="654BFAAD" w14:textId="77777777" w:rsidR="001F7233" w:rsidRDefault="00000000">
      <w:r>
        <w:rPr>
          <w:b/>
        </w:rPr>
        <w:t xml:space="preserve">Rechtsstatus: </w:t>
      </w:r>
      <w:r>
        <w:t>Die Proklamation existiert. Ob die Zahlung erhoben wird, steht auf der USCIS-Alert-Seite in der Woche der Einreichung</w:t>
      </w:r>
    </w:p>
    <w:p w14:paraId="2EDC9CE2" w14:textId="77777777" w:rsidR="001F7233" w:rsidRDefault="00000000">
      <w:r>
        <w:rPr>
          <w:b/>
        </w:rPr>
        <w:t xml:space="preserve">Betrifft dich, wenn …: </w:t>
      </w:r>
      <w:r>
        <w:t>du aus Deutschland über das Konsulat einreist</w:t>
      </w:r>
    </w:p>
    <w:p w14:paraId="607B625E" w14:textId="77777777" w:rsidR="001F7233" w:rsidRDefault="00000000">
      <w:r>
        <w:rPr>
          <w:b/>
        </w:rPr>
        <w:t>Weitere Gebühr im DHS-Entwurf</w:t>
      </w:r>
    </w:p>
    <w:p w14:paraId="787988EF" w14:textId="77777777" w:rsidR="001F7233" w:rsidRDefault="00000000">
      <w:r>
        <w:rPr>
          <w:b/>
        </w:rPr>
        <w:t xml:space="preserve">Rechtsstatus: </w:t>
      </w:r>
      <w:r>
        <w:t>Nur Vorschlag, nicht in Kraft, solange es eine Proposed Rule bleibt</w:t>
      </w:r>
    </w:p>
    <w:p w14:paraId="69874264" w14:textId="77777777" w:rsidR="001F7233" w:rsidRDefault="00000000">
      <w:r>
        <w:rPr>
          <w:b/>
        </w:rPr>
        <w:t xml:space="preserve">Betrifft dich, wenn …: </w:t>
      </w:r>
      <w:r>
        <w:t>du dich in einer späteren Saison registrieren lässt</w:t>
      </w:r>
    </w:p>
    <w:p w14:paraId="050AE30E" w14:textId="77777777" w:rsidR="001F7233" w:rsidRDefault="00000000">
      <w:r>
        <w:rPr>
          <w:b/>
        </w:rPr>
        <w:t>Wegfall der 60-Tage-Frist</w:t>
      </w:r>
    </w:p>
    <w:p w14:paraId="0DB532B5" w14:textId="77777777" w:rsidR="001F7233" w:rsidRDefault="00000000">
      <w:r>
        <w:rPr>
          <w:b/>
        </w:rPr>
        <w:t xml:space="preserve">Rechtsstatus: </w:t>
      </w:r>
      <w:r>
        <w:t>Nur Vorschlag, nicht in Kraft</w:t>
      </w:r>
    </w:p>
    <w:p w14:paraId="7B66FA14" w14:textId="77777777" w:rsidR="001F7233" w:rsidRDefault="00000000">
      <w:r>
        <w:rPr>
          <w:b/>
        </w:rPr>
        <w:t xml:space="preserve">Betrifft dich, wenn …: </w:t>
      </w:r>
      <w:r>
        <w:t>du deinen Job verlierst</w:t>
      </w:r>
    </w:p>
    <w:p w14:paraId="3894D78A" w14:textId="77777777" w:rsidR="001F7233" w:rsidRDefault="00000000">
      <w:r>
        <w:rPr>
          <w:b/>
        </w:rPr>
        <w:t>Höhere Lohnstufen (Arbeitsministerium DOL)</w:t>
      </w:r>
    </w:p>
    <w:p w14:paraId="411D8FCA" w14:textId="77777777" w:rsidR="001F7233" w:rsidRDefault="00000000">
      <w:r>
        <w:rPr>
          <w:b/>
        </w:rPr>
        <w:t xml:space="preserve">Rechtsstatus: </w:t>
      </w:r>
      <w:r>
        <w:t>Nur Entwurf, solange keine Endfassung im Federal Register steht</w:t>
      </w:r>
    </w:p>
    <w:p w14:paraId="26221D3D" w14:textId="77777777" w:rsidR="001F7233" w:rsidRDefault="00000000">
      <w:r>
        <w:rPr>
          <w:b/>
        </w:rPr>
        <w:t xml:space="preserve">Betrifft dich, wenn …: </w:t>
      </w:r>
      <w:r>
        <w:t>Gehalt und Lohnstufe deiner Stelle</w:t>
      </w:r>
    </w:p>
    <w:p w14:paraId="05C8735F" w14:textId="77777777" w:rsidR="001F7233" w:rsidRDefault="001F7233">
      <w:pPr>
        <w:spacing w:line="180" w:lineRule="exact"/>
      </w:pPr>
    </w:p>
    <w:p w14:paraId="75FEBE8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Proklamation verlangt</w:t>
      </w:r>
    </w:p>
    <w:p w14:paraId="48E12C85" w14:textId="77777777" w:rsidR="001F7233" w:rsidRDefault="00000000">
      <w:pPr>
        <w:spacing w:after="140"/>
      </w:pPr>
      <w:r>
        <w:t xml:space="preserve">Die Proklamation 10973 knüpft die Einreise von H-1B-Beschäftigten an eine Zahlung des Arbeitgebers über </w:t>
      </w:r>
      <w:hyperlink r:id="rId95">
        <w:r w:rsidR="001F7233">
          <w:rPr>
            <w:color w:val="0563C1"/>
            <w:u w:val="single"/>
          </w:rPr>
          <w:t>pay.gov</w:t>
        </w:r>
      </w:hyperlink>
      <w:r>
        <w:t xml:space="preserve">. Nach der USCIS-Leitlinie betrifft das neue Petitionen für Personen außerhalb der USA, also den typischen Weg aus Deutschland über das Konsulat. Auch Cap-exempt-Arbeitgeber können erfasst sein. Den Betrag und die Ausnahmen liest du auf der USCIS-Alert-Seite in der Woche der </w:t>
      </w:r>
      <w:r>
        <w:lastRenderedPageBreak/>
        <w:t>Einreichung. Dieses Kapitel druckt den Betrag nicht und sagt nicht, dass er gerade erhoben oder nicht erhoben wird.</w:t>
      </w:r>
    </w:p>
    <w:p w14:paraId="0175C98E" w14:textId="77777777" w:rsidR="001F7233" w:rsidRDefault="00000000">
      <w:pPr>
        <w:spacing w:after="140"/>
      </w:pPr>
      <w:r>
        <w:t>Nicht betroffen sind nach der bisherigen Leitlinie Petitionen von vor dem Stichtag der Proklamation, bereits erteilte Visa sowie im Inland genehmigte Statuswechsel, Verlängerungen und Arbeitgeberwechsel. Ausnahmen gewährt nur das DHS, laut USCIS in äußerst seltenen Fällen. Ob das in deiner Woche noch so steht, prüfst du dort.</w:t>
      </w:r>
    </w:p>
    <w:p w14:paraId="1EC1FAE5"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Gerichte daraus gemacht haben</w:t>
      </w:r>
    </w:p>
    <w:p w14:paraId="12C2E069" w14:textId="77777777" w:rsidR="001F7233" w:rsidRDefault="00000000">
      <w:pPr>
        <w:spacing w:after="140"/>
      </w:pPr>
      <w:r>
        <w:t>Gerichte haben über die Umsetzung gestritten. Eine Blockade kann fallen, eine Berufung kann sie bestätigen. Der Stand in der Woche deiner Einreichung steht auf der USCIS-Alert-Seite, nicht in einem älteren Satz dieses Kapitels.</w:t>
      </w:r>
    </w:p>
    <w:p w14:paraId="5927EA7B"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nur vorgeschlagen ist</w:t>
      </w:r>
    </w:p>
    <w:p w14:paraId="6B5B5A11" w14:textId="77777777" w:rsidR="001F7233" w:rsidRDefault="00000000">
      <w:pPr>
        <w:spacing w:after="140"/>
      </w:pPr>
      <w:r>
        <w:t>Das DHS hat Entwürfe veröffentlicht, die eine weitere Gebühr und den Wegfall der 60-Tage-Frist vorsehen. Ein Entwurf bindet niemanden. Ob er gilt, steht im Federal Register als Rule, nicht als Proposed Rule. Den Betrag im Entwurf druckt dieses Kapitel nicht.</w:t>
      </w:r>
    </w:p>
    <w:p w14:paraId="2A9B3D8E" w14:textId="77777777" w:rsidR="001F7233" w:rsidRDefault="00000000">
      <w:r>
        <w:rPr>
          <w:b/>
        </w:rPr>
        <w:t xml:space="preserve">ACHTUNG: </w:t>
      </w:r>
    </w:p>
    <w:p w14:paraId="20954256" w14:textId="77777777" w:rsidR="001F7233" w:rsidRDefault="00000000">
      <w:r>
        <w:t>• Eine gerichtliche Blockade ist keine Abschaffung. Lass dir vom Arbeitgeber schriftlich sagen, wie er vorgeht, wenn die Zahlung wieder verlangt wird und plane so, dass dein Jobangebot auch dann trägt.</w:t>
      </w:r>
    </w:p>
    <w:p w14:paraId="191E973D" w14:textId="77777777" w:rsidR="001F7233" w:rsidRDefault="001F7233">
      <w:pPr>
        <w:spacing w:line="220" w:lineRule="exact"/>
      </w:pPr>
    </w:p>
    <w:p w14:paraId="459CC944"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So prüfst du den Stand</w:t>
      </w:r>
    </w:p>
    <w:p w14:paraId="2AE201D5" w14:textId="77777777" w:rsidR="001F7233" w:rsidRDefault="001F7233">
      <w:pPr>
        <w:pStyle w:val="ListParagraph"/>
        <w:numPr>
          <w:ilvl w:val="0"/>
          <w:numId w:val="9"/>
        </w:numPr>
        <w:spacing w:after="60"/>
      </w:pPr>
      <w:hyperlink r:id="rId96">
        <w:r>
          <w:rPr>
            <w:color w:val="0563C1"/>
            <w:u w:val="single"/>
          </w:rPr>
          <w:t>uscis.gov</w:t>
        </w:r>
      </w:hyperlink>
      <w:r>
        <w:t>, Alerts: Die H-1B-FAQ nennt, ob die Zahlung der Proklamation 10973 in dieser Woche erhoben wird.</w:t>
      </w:r>
    </w:p>
    <w:p w14:paraId="3B6D10D6" w14:textId="77777777" w:rsidR="001F7233" w:rsidRDefault="001F7233">
      <w:pPr>
        <w:pStyle w:val="ListParagraph"/>
        <w:numPr>
          <w:ilvl w:val="0"/>
          <w:numId w:val="2"/>
        </w:numPr>
        <w:spacing w:after="60"/>
      </w:pPr>
      <w:hyperlink r:id="rId97">
        <w:r>
          <w:rPr>
            <w:color w:val="0563C1"/>
            <w:u w:val="single"/>
          </w:rPr>
          <w:t>federalregister.gov</w:t>
        </w:r>
      </w:hyperlink>
      <w:r>
        <w:t>: Suche nach „H-1B“. „Proposed Rule“ ist ein Entwurf, „Rule“ gilt.</w:t>
      </w:r>
    </w:p>
    <w:p w14:paraId="622BAE04" w14:textId="77777777" w:rsidR="001F7233" w:rsidRDefault="001F7233">
      <w:pPr>
        <w:pStyle w:val="ListParagraph"/>
        <w:numPr>
          <w:ilvl w:val="0"/>
          <w:numId w:val="2"/>
        </w:numPr>
        <w:spacing w:after="60"/>
      </w:pPr>
      <w:hyperlink r:id="rId98">
        <w:r>
          <w:rPr>
            <w:color w:val="0563C1"/>
            <w:u w:val="single"/>
          </w:rPr>
          <w:t>uscis.gov/g-1055</w:t>
        </w:r>
      </w:hyperlink>
      <w:r>
        <w:t>: Das Gebührenblatt nennt die aktuellen Posten. Ein aufgeführter Posten ist noch kein Beleg, dass er diese Woche kassiert wird.</w:t>
      </w:r>
    </w:p>
    <w:p w14:paraId="40BFCC36" w14:textId="77777777" w:rsidR="001F7233" w:rsidRDefault="00000000">
      <w:pPr>
        <w:pStyle w:val="ListParagraph"/>
        <w:numPr>
          <w:ilvl w:val="0"/>
          <w:numId w:val="2"/>
        </w:numPr>
        <w:spacing w:after="60"/>
      </w:pPr>
      <w:r>
        <w:rPr>
          <w:b/>
          <w:bCs/>
        </w:rPr>
        <w:t>Kanzlei des Arbeitgebers:</w:t>
      </w:r>
      <w:r>
        <w:t xml:space="preserve"> Die Kanzlei verfolgt jede Veröffentlichung.</w:t>
      </w:r>
    </w:p>
    <w:p w14:paraId="1909F7A8" w14:textId="77777777" w:rsidR="001F7233" w:rsidRDefault="001F7233">
      <w:pPr>
        <w:spacing w:line="120" w:lineRule="exact"/>
      </w:pPr>
    </w:p>
    <w:p w14:paraId="2E6E98D0" w14:textId="77777777" w:rsidR="001F7233" w:rsidRDefault="00000000">
      <w:r>
        <w:rPr>
          <w:b/>
        </w:rPr>
        <w:t xml:space="preserve">MERKE: </w:t>
      </w:r>
    </w:p>
    <w:p w14:paraId="63E9208D" w14:textId="77777777" w:rsidR="001F7233" w:rsidRDefault="00000000">
      <w:r>
        <w:t>• Ein Entwurf bindet niemanden, ein Gerichtsbeschluss gilt bis zur nächsten Instanz, eine Final Rule ab ihrem Startdatum. Frage bei jeder Meldung, in welche der drei Schubladen sie gehört.</w:t>
      </w:r>
    </w:p>
    <w:p w14:paraId="0192BBE2" w14:textId="77777777" w:rsidR="001F7233" w:rsidRDefault="001F7233">
      <w:pPr>
        <w:spacing w:line="220" w:lineRule="exact"/>
      </w:pPr>
    </w:p>
    <w:p w14:paraId="753E8DD6" w14:textId="77777777" w:rsidR="001F7233" w:rsidRDefault="00000000">
      <w:r>
        <w:t>• Redaktionsstand: Oktober 2026. Dieses Kapitel ersetzt keine Beratung. Prüfe die genannte Stelle, bevor jemand zahlt oder du kündigst.</w:t>
      </w:r>
    </w:p>
    <w:p w14:paraId="7BD4488B" w14:textId="77777777" w:rsidR="001F7233" w:rsidRDefault="001F7233">
      <w:pPr>
        <w:spacing w:line="220" w:lineRule="exact"/>
      </w:pPr>
    </w:p>
    <w:p w14:paraId="19F007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und Zeitplan: von der Registrierung bis zur Einreise</w:t>
      </w:r>
    </w:p>
    <w:p w14:paraId="28565E69" w14:textId="77777777" w:rsidR="001F7233" w:rsidRDefault="00000000">
      <w:pPr>
        <w:spacing w:after="140"/>
      </w:pPr>
      <w:r>
        <w:t>Zwischen Registrierung und erstem Arbeitstag liegen mindestens sechs Monate, weil der Start frühestens am 1. Oktober erfolgt. Der Weg im Überblick (Termine nach FY2027, FY2028 wohl ähnlich):</w:t>
      </w:r>
    </w:p>
    <w:p w14:paraId="1470B8C4" w14:textId="77777777" w:rsidR="001F7233" w:rsidRDefault="00000000">
      <w:pPr>
        <w:pStyle w:val="ListParagraph"/>
        <w:numPr>
          <w:ilvl w:val="0"/>
          <w:numId w:val="10"/>
        </w:numPr>
        <w:spacing w:after="60"/>
      </w:pPr>
      <w:r>
        <w:rPr>
          <w:b/>
          <w:bCs/>
        </w:rPr>
        <w:t>Vorbereitung (bis Februar).</w:t>
      </w:r>
      <w:r>
        <w:t xml:space="preserve"> Arbeitgeber und Kanzlei klären Stelle, Gehalt, Lohnstufe und Abschlussbewertung. Ohne verbindliche Jobzusage gibt es keine Registrierung.</w:t>
      </w:r>
    </w:p>
    <w:p w14:paraId="436CE9C8" w14:textId="77777777" w:rsidR="001F7233" w:rsidRDefault="00000000">
      <w:pPr>
        <w:pStyle w:val="ListParagraph"/>
        <w:numPr>
          <w:ilvl w:val="0"/>
          <w:numId w:val="2"/>
        </w:numPr>
        <w:spacing w:after="60"/>
      </w:pPr>
      <w:r>
        <w:t xml:space="preserve">Registrierung (März). Online. Die Gebühr steht auf </w:t>
      </w:r>
      <w:hyperlink r:id="rId99">
        <w:r w:rsidR="001F7233">
          <w:rPr>
            <w:color w:val="0563C1"/>
            <w:u w:val="single"/>
          </w:rPr>
          <w:t>uscis.gov/g-1055</w:t>
        </w:r>
      </w:hyperlink>
      <w:r>
        <w:t>. Der Termin für 2027 steht offiziell noch nicht fest.</w:t>
      </w:r>
    </w:p>
    <w:p w14:paraId="4451686F" w14:textId="77777777" w:rsidR="001F7233" w:rsidRDefault="00000000">
      <w:pPr>
        <w:pStyle w:val="ListParagraph"/>
        <w:numPr>
          <w:ilvl w:val="0"/>
          <w:numId w:val="2"/>
        </w:numPr>
        <w:spacing w:after="60"/>
      </w:pPr>
      <w:r>
        <w:rPr>
          <w:b/>
          <w:bCs/>
        </w:rPr>
        <w:lastRenderedPageBreak/>
        <w:t>Auswahl (bis 31. März).</w:t>
      </w:r>
      <w:r>
        <w:t xml:space="preserve"> USCIS benachrichtigt über das Konto des Arbeitgebers. Ohne Auswahl keine Cap-Petition.</w:t>
      </w:r>
    </w:p>
    <w:p w14:paraId="02204ECF" w14:textId="77777777" w:rsidR="001F7233" w:rsidRDefault="00000000">
      <w:pPr>
        <w:pStyle w:val="ListParagraph"/>
        <w:numPr>
          <w:ilvl w:val="0"/>
          <w:numId w:val="2"/>
        </w:numPr>
        <w:spacing w:after="60"/>
      </w:pPr>
      <w:r>
        <w:rPr>
          <w:b/>
          <w:bCs/>
        </w:rPr>
        <w:t>LCA. Der Arbeitgeber reicht beim DOL die Labor Condition Application (Form ETA-9035E) ein, in der er Lohn und Arbeitsbedingungen versichert. Das DOL prüft binnen sieben Werktagen auf Vollständigkeit. Die LCA ist frühestens sechs Monate vor Beginn möglich.</w:t>
      </w:r>
    </w:p>
    <w:p w14:paraId="2C7BFE91" w14:textId="77777777" w:rsidR="001F7233" w:rsidRDefault="00000000">
      <w:pPr>
        <w:pStyle w:val="ListParagraph"/>
        <w:numPr>
          <w:ilvl w:val="0"/>
          <w:numId w:val="2"/>
        </w:numPr>
        <w:spacing w:after="60"/>
      </w:pPr>
      <w:r>
        <w:rPr>
          <w:b/>
          <w:bCs/>
        </w:rPr>
        <w:t>Petition (ab 1. April).</w:t>
      </w:r>
      <w:r>
        <w:t xml:space="preserve"> Form I-129 mit Kopie der Auswahlbenachrichtigung, im Fenster von mindestens 90 Tagen. Startdatum ist der 1. Oktober oder später, die Einreichung frühestens sechs Monate davor.</w:t>
      </w:r>
    </w:p>
    <w:p w14:paraId="2BE1D054" w14:textId="77777777" w:rsidR="001F7233" w:rsidRDefault="00000000">
      <w:pPr>
        <w:pStyle w:val="ListParagraph"/>
        <w:numPr>
          <w:ilvl w:val="0"/>
          <w:numId w:val="2"/>
        </w:numPr>
        <w:spacing w:after="60"/>
      </w:pPr>
      <w:r>
        <w:t xml:space="preserve">Entscheidung. Die reguläre Bearbeitungszeit schwankt; die aktuelle zeigt USCIS auf der Seite „Processing Times“. Mit Premium Processing (Form I-907) entscheidet USCIS binnen 15 Werktagen. Die Gebühr steht auf </w:t>
      </w:r>
      <w:hyperlink r:id="rId100">
        <w:r w:rsidR="001F7233">
          <w:rPr>
            <w:color w:val="0563C1"/>
            <w:u w:val="single"/>
          </w:rPr>
          <w:t>uscis.gov/g-1055</w:t>
        </w:r>
      </w:hyperlink>
      <w:r>
        <w:t>. Eine Nachforderung von Unterlagen (Request for Evidence, RFE) stoppt die Frist.</w:t>
      </w:r>
    </w:p>
    <w:p w14:paraId="1101F438" w14:textId="77777777" w:rsidR="001F7233" w:rsidRDefault="00000000">
      <w:pPr>
        <w:pStyle w:val="ListParagraph"/>
        <w:numPr>
          <w:ilvl w:val="0"/>
          <w:numId w:val="2"/>
        </w:numPr>
        <w:spacing w:after="60"/>
      </w:pPr>
      <w:r>
        <w:rPr>
          <w:b/>
          <w:bCs/>
        </w:rPr>
        <w:t>Visum oder Statuswechsel.</w:t>
      </w:r>
      <w:r>
        <w:t xml:space="preserve"> Aus Deutschland: DS-160 (Online-Visumantrag), Gebühr, Termin, Interview, Visum. Im Inland (F-1/OPT): Statuswechsel (</w:t>
      </w:r>
      <w:r>
        <w:rPr>
          <w:i/>
          <w:iCs/>
        </w:rPr>
        <w:t>Change of Status</w:t>
      </w:r>
      <w:r>
        <w:t xml:space="preserve">) bei USCIS ohne Konsulat; die Lücke bis zum 1. Oktober überbrückt die </w:t>
      </w:r>
      <w:r>
        <w:rPr>
          <w:i/>
          <w:iCs/>
        </w:rPr>
        <w:t>Cap-Gap</w:t>
      </w:r>
      <w:r>
        <w:t>-Regelung (siehe Kapitel </w:t>
      </w:r>
      <w:hyperlink w:anchor="k8">
        <w:r w:rsidR="001F7233">
          <w:t>8</w:t>
        </w:r>
      </w:hyperlink>
      <w:r>
        <w:t>).</w:t>
      </w:r>
    </w:p>
    <w:p w14:paraId="1302C9AF" w14:textId="77777777" w:rsidR="001F7233" w:rsidRDefault="00000000">
      <w:pPr>
        <w:pStyle w:val="ListParagraph"/>
        <w:numPr>
          <w:ilvl w:val="0"/>
          <w:numId w:val="2"/>
        </w:numPr>
        <w:spacing w:after="60"/>
      </w:pPr>
      <w:r>
        <w:rPr>
          <w:b/>
          <w:bCs/>
        </w:rPr>
        <w:t>Einreise.</w:t>
      </w:r>
      <w:r>
        <w:t xml:space="preserve"> Frühestens zehn Tage vor Beginn der Gültigkeit; CBP stellt den I-94 aus. Arbeiten darfst du erst ab dem Startdatum.</w:t>
      </w:r>
    </w:p>
    <w:p w14:paraId="6D000108" w14:textId="77777777" w:rsidR="001F7233" w:rsidRDefault="001F7233">
      <w:pPr>
        <w:spacing w:line="120" w:lineRule="exact"/>
      </w:pPr>
    </w:p>
    <w:p w14:paraId="3434948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Konsulat in Deutschland</w:t>
      </w:r>
    </w:p>
    <w:p w14:paraId="6032EC5D" w14:textId="77777777" w:rsidR="001F7233" w:rsidRDefault="00000000">
      <w:pPr>
        <w:spacing w:after="140"/>
      </w:pPr>
      <w:r>
        <w:rPr>
          <w:i/>
          <w:iCs/>
        </w:rPr>
        <w:t xml:space="preserve">Zuständig sind die Botschaft Berlin und die Generalkonsulate Frankfurt und München. Seit dem 2. September 2025 müssen fast alle Antragstellenden persönlich zum Interview. Das Verfahren ohne Termin (Interview Waiver, „Dropbox“) gilt für H-1B nicht mehr und laut Kanzleiberichten entfällt auch die frühere Ausnahme für Kinder </w:t>
      </w:r>
      <w:r>
        <w:rPr>
          <w:i/>
          <w:iCs/>
        </w:rPr>
        <w:lastRenderedPageBreak/>
        <w:t>unter 14 und Personen über 79. Den Antrag stellst du im Land deiner Staatsangehörigkeit oder deines Wohnsitzes.</w:t>
      </w:r>
    </w:p>
    <w:p w14:paraId="1CA28627" w14:textId="77777777" w:rsidR="001F7233" w:rsidRDefault="00000000">
      <w:pPr>
        <w:spacing w:after="140"/>
      </w:pPr>
      <w:r>
        <w:t>Für die Wartezeit nannten Terminportale mit Daten des Außenministeriums (</w:t>
      </w:r>
      <w:r>
        <w:rPr>
          <w:i/>
          <w:iCs/>
        </w:rPr>
        <w:t>State Department</w:t>
      </w:r>
      <w:r>
        <w:t>) am 20. September 2026 für H-Visa etwa zwei Monate in Frankfurt, etwa einen Monat in Berlin und weniger als zwei Wochen in München. Das ist nur der nächste freie Termin, nicht die Bearbeitungsdauer, und enthält keine zusätzlichen Prüfungen (</w:t>
      </w:r>
      <w:r>
        <w:rPr>
          <w:i/>
          <w:iCs/>
        </w:rPr>
        <w:t>Administrative Processing</w:t>
      </w:r>
      <w:r>
        <w:t>); verbindlich ist travel.state.gov. Seit dem 15. Dezember 2025 wertet das Konsulat auch Online-Profile aus: Stelle Social-Media-Konten vor dem Termin auf öffentlich und gleiche sie mit DS-160 und Petition ab. Einzelheiten zum Interview stehen in Kapitel </w:t>
      </w:r>
      <w:hyperlink w:anchor="k11">
        <w:r w:rsidR="001F7233">
          <w:t>11</w:t>
        </w:r>
      </w:hyperlink>
      <w:r>
        <w:t>.</w:t>
      </w:r>
    </w:p>
    <w:p w14:paraId="22013BE5" w14:textId="77777777" w:rsidR="001F7233" w:rsidRDefault="00000000">
      <w:pPr>
        <w:spacing w:after="140"/>
      </w:pPr>
      <w:r>
        <w:t xml:space="preserve">Beim Konsulat zahlst du die Antragsgebühr (MRV). Die Höhe steht auf </w:t>
      </w:r>
      <w:hyperlink r:id="rId101">
        <w:r w:rsidR="001F7233">
          <w:rPr>
            <w:color w:val="0563C1"/>
            <w:u w:val="single"/>
          </w:rPr>
          <w:t>travel.state.gov</w:t>
        </w:r>
      </w:hyperlink>
      <w:r>
        <w:t>. Das Gesetz sieht außerdem eine Visa Integrity Fee vor. Die aktuelle veröffentlichte Gebührenliste des State Department führt sie nicht separat auf; prüfe vor dem Termin die konkrete Zahlungsanweisung deines Konsulats. Dieses Kapitel druckt die Beträge nicht.</w:t>
      </w:r>
    </w:p>
    <w:p w14:paraId="24637CBC" w14:textId="77777777" w:rsidR="001F7233" w:rsidRDefault="00000000">
      <w:r>
        <w:rPr>
          <w:b/>
        </w:rPr>
        <w:t xml:space="preserve">ACHTUNG: </w:t>
      </w:r>
    </w:p>
    <w:p w14:paraId="17B50926" w14:textId="77777777" w:rsidR="001F7233" w:rsidRDefault="00000000">
      <w:r>
        <w:t>• Visum und Status sind zwei Dinge. Das Visum im Pass gilt für die Einreise. Wie lange du bleiben und arbeiten darfst, steht im I-94. Ein abgelaufenes Visum beendet deinen Aufenthalt nicht, solange der Status läuft, doch für die Wiedereinreise brauchst du ein neues. Wer im Inland den Status wechselt, etwa von F-1/OPT, sollte vor der Genehmigung nicht ausreisen: Nach der USCIS-Leitlinie vom 20. Oktober 2025 kann das den Antrag gefährden.</w:t>
      </w:r>
    </w:p>
    <w:p w14:paraId="172CA9E9" w14:textId="77777777" w:rsidR="001F7233" w:rsidRDefault="001F7233">
      <w:pPr>
        <w:spacing w:line="220" w:lineRule="exact"/>
      </w:pPr>
    </w:p>
    <w:p w14:paraId="277EFE7A" w14:textId="77777777" w:rsidR="001F7233" w:rsidRDefault="00000000">
      <w:r>
        <w:rPr>
          <w:b/>
        </w:rPr>
        <w:t xml:space="preserve">SPARTIPP: </w:t>
      </w:r>
    </w:p>
    <w:p w14:paraId="4DF555F4" w14:textId="77777777" w:rsidR="001F7233" w:rsidRDefault="00000000">
      <w:r>
        <w:t xml:space="preserve">• Buche Flug, Umzugsfirma und die Kündigung deiner Wohnung erst, wenn das Visum im Pass ist, und wähle stornierbare Tarife. Ein „Temporary Refusal“ (Prüfung nach Section 221(g)) kann die Erteilung verzögern und laut Kanzleien später die ESTA-Nutzung sperren (siehe </w:t>
      </w:r>
      <w:hyperlink w:anchor="k11">
        <w:r w:rsidR="001F7233">
          <w:rPr>
            <w:color w:val="0563C1"/>
            <w:u w:val="single"/>
          </w:rPr>
          <w:t>Kapitel 11</w:t>
        </w:r>
      </w:hyperlink>
      <w:r>
        <w:t>).</w:t>
      </w:r>
    </w:p>
    <w:p w14:paraId="57EF3DFE" w14:textId="77777777" w:rsidR="001F7233" w:rsidRDefault="001F7233">
      <w:pPr>
        <w:spacing w:line="220" w:lineRule="exact"/>
      </w:pPr>
    </w:p>
    <w:p w14:paraId="102A16A3" w14:textId="77777777" w:rsidR="001F7233" w:rsidRDefault="001F7233">
      <w:pPr>
        <w:spacing w:line="220" w:lineRule="exact"/>
      </w:pPr>
    </w:p>
    <w:p w14:paraId="39B32B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Mindestlohn: Prevailing Wage und geplante Änderungen</w:t>
      </w:r>
    </w:p>
    <w:p w14:paraId="298A6882" w14:textId="77777777" w:rsidR="001F7233" w:rsidRDefault="00000000">
      <w:pPr>
        <w:spacing w:after="140"/>
      </w:pPr>
      <w:r>
        <w:rPr>
          <w:i/>
          <w:iCs/>
        </w:rPr>
        <w:t>In der LCA sichert der Arbeitgeber zu, dass er dir mindestens den höheren von zwei Beträgen zahlt: den Lohn vergleichbarer Beschäftigter im eigenen Betrieb oder den ortsüblichen Mindestlohn für den Beruf (Prevailing Wage). Diesen Wert liefert das DOL aus seiner Lohnstatistik OEWS (Occupational Employment and Wage Statistics), gestaffelt nach Beruf, Ort und Stufe. Die Stufen entsprechen den Perzentilen aus der Tabelle oben: Level I heißt, dass 17 % der Beschäftigten des Berufs am Ort weniger verdienen, bei Level IV sind es 67 %.</w:t>
      </w:r>
    </w:p>
    <w:p w14:paraId="3DD7FCB2" w14:textId="77777777" w:rsidR="001F7233" w:rsidRDefault="00000000">
      <w:pPr>
        <w:spacing w:after="140"/>
      </w:pPr>
      <w:r>
        <w:t>Einen einheitlichen Mindestbetrag gibt es deshalb nicht. Die Kanzlei nennt dir den Wert für deine Stelle. Die Lohnpflicht besteht auch bei Nichtbeschäftigung, bis der Arbeitgeber das Arbeitsverhältnis ordnungsgemäß beendet und gemeldet hat.</w:t>
      </w:r>
    </w:p>
    <w:p w14:paraId="22061EB8" w14:textId="77777777" w:rsidR="001F7233" w:rsidRDefault="00000000">
      <w:pPr>
        <w:spacing w:after="140"/>
      </w:pPr>
      <w:r>
        <w:rPr>
          <w:b/>
          <w:bCs/>
        </w:rPr>
        <w:t>Geplante Änderung (nur Entwurf).</w:t>
      </w:r>
      <w:r>
        <w:t xml:space="preserve"> Das DOL hat am 27. März 2026 vorgeschlagen, die Perzentile anzuheben: Level I von 17 auf 34, Level II von 34 auf 52, Level III von 50 auf 70 und Level IV von 67 auf 88. Nach DOL-Schätzung stiege der durchschnittliche Pflichtlohn. Die Schätzung steht im Entwurf, nicht als Betrag in diesem Kapitel. Der Entwurf würde auch für Green-Card-Verfahren (PERM) gelten und ab Wirksamkeit auch für anhängige Anträge. Die Kommentarfrist endete am 26. Mai 2026; bis zum 20. September 2026 gibt es keine Endfassung.</w:t>
      </w:r>
    </w:p>
    <w:p w14:paraId="5FD53B74" w14:textId="77777777" w:rsidR="001F7233" w:rsidRDefault="00000000">
      <w:pPr>
        <w:spacing w:after="140"/>
      </w:pPr>
      <w:r>
        <w:t>Für dich heißt das: Ein Angebot, das heute Level III erreicht, könnte danach nur noch Level II erreichen, also weniger Lose bringen. Frage nach dem Abstand deines Gehalts zur nächsten Stufe.</w:t>
      </w:r>
    </w:p>
    <w:p w14:paraId="1256BD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das alles kostet: wer zahlt was</w:t>
      </w:r>
    </w:p>
    <w:p w14:paraId="24AA712C" w14:textId="77777777" w:rsidR="001F7233" w:rsidRDefault="00000000">
      <w:pPr>
        <w:spacing w:after="140"/>
      </w:pPr>
      <w:r>
        <w:t xml:space="preserve">Die Tabelle nennt die Posten. Die Beträge stehen auf </w:t>
      </w:r>
      <w:hyperlink r:id="rId102">
        <w:r w:rsidR="001F7233">
          <w:rPr>
            <w:color w:val="0563C1"/>
            <w:u w:val="single"/>
          </w:rPr>
          <w:t>uscis.gov/g-1055</w:t>
        </w:r>
      </w:hyperlink>
      <w:r>
        <w:t xml:space="preserve"> und auf </w:t>
      </w:r>
      <w:hyperlink r:id="rId103">
        <w:r w:rsidR="001F7233">
          <w:rPr>
            <w:color w:val="0563C1"/>
            <w:u w:val="single"/>
          </w:rPr>
          <w:t>travel.state.gov</w:t>
        </w:r>
      </w:hyperlink>
      <w:r>
        <w:t>. Dieses Kapitel druckt sie nicht. Als Kleinbetrieb gilt ein Arbeitgeber mit bis zu 25 Beschäftigten. Prüfe das Blatt, bevor jemand zahlt.</w:t>
      </w:r>
    </w:p>
    <w:p w14:paraId="39C47229" w14:textId="77777777" w:rsidR="001F7233" w:rsidRDefault="00000000">
      <w:r>
        <w:rPr>
          <w:b/>
        </w:rPr>
        <w:t>Registrierung</w:t>
      </w:r>
    </w:p>
    <w:p w14:paraId="405C6C2E" w14:textId="77777777" w:rsidR="001F7233" w:rsidRDefault="00000000">
      <w:r>
        <w:rPr>
          <w:b/>
        </w:rPr>
        <w:t xml:space="preserve">Zahlt: </w:t>
      </w:r>
      <w:r>
        <w:t>Arbeitgeber</w:t>
      </w:r>
    </w:p>
    <w:p w14:paraId="34AF0005" w14:textId="77777777" w:rsidR="001F7233" w:rsidRDefault="00000000">
      <w:r>
        <w:rPr>
          <w:b/>
        </w:rPr>
        <w:t xml:space="preserve">Hinweis: </w:t>
      </w:r>
      <w:r>
        <w:t>nicht erstattbar; Betrag auf g-1055</w:t>
      </w:r>
    </w:p>
    <w:p w14:paraId="38A09B74" w14:textId="77777777" w:rsidR="001F7233" w:rsidRDefault="00000000">
      <w:r>
        <w:rPr>
          <w:b/>
        </w:rPr>
        <w:t>Form I-129</w:t>
      </w:r>
    </w:p>
    <w:p w14:paraId="0478909A" w14:textId="77777777" w:rsidR="001F7233" w:rsidRDefault="00000000">
      <w:r>
        <w:rPr>
          <w:b/>
        </w:rPr>
        <w:t xml:space="preserve">Zahlt: </w:t>
      </w:r>
      <w:r>
        <w:t>Arbeitgeber</w:t>
      </w:r>
    </w:p>
    <w:p w14:paraId="20502729" w14:textId="77777777" w:rsidR="001F7233" w:rsidRDefault="00000000">
      <w:r>
        <w:rPr>
          <w:b/>
        </w:rPr>
        <w:t xml:space="preserve">Hinweis: </w:t>
      </w:r>
      <w:r>
        <w:t>Papier, online, Kleinbetrieb und Non-Profit können abweichen</w:t>
      </w:r>
    </w:p>
    <w:p w14:paraId="3DFB00C0" w14:textId="77777777" w:rsidR="001F7233" w:rsidRDefault="00000000">
      <w:r>
        <w:rPr>
          <w:b/>
        </w:rPr>
        <w:t>ACWIA-Gebühr (Ausbildungsabgabe)</w:t>
      </w:r>
    </w:p>
    <w:p w14:paraId="615889B5" w14:textId="77777777" w:rsidR="001F7233" w:rsidRDefault="00000000">
      <w:r>
        <w:rPr>
          <w:b/>
        </w:rPr>
        <w:t xml:space="preserve">Zahlt: </w:t>
      </w:r>
      <w:r>
        <w:t>Arbeitgeber</w:t>
      </w:r>
    </w:p>
    <w:p w14:paraId="1CA7DB4B" w14:textId="77777777" w:rsidR="001F7233" w:rsidRDefault="00000000">
      <w:r>
        <w:rPr>
          <w:b/>
        </w:rPr>
        <w:t xml:space="preserve">Hinweis: </w:t>
      </w:r>
      <w:r>
        <w:t>nicht vom Lohn abziehbar; Hochschulen oft befreit</w:t>
      </w:r>
    </w:p>
    <w:p w14:paraId="6E948D5B" w14:textId="77777777" w:rsidR="001F7233" w:rsidRDefault="00000000">
      <w:r>
        <w:rPr>
          <w:b/>
        </w:rPr>
        <w:t>Fraud-Prevention-Gebühr</w:t>
      </w:r>
    </w:p>
    <w:p w14:paraId="53FFD657" w14:textId="77777777" w:rsidR="001F7233" w:rsidRDefault="00000000">
      <w:r>
        <w:rPr>
          <w:b/>
        </w:rPr>
        <w:t xml:space="preserve">Zahlt: </w:t>
      </w:r>
      <w:r>
        <w:t>Arbeitgeber</w:t>
      </w:r>
    </w:p>
    <w:p w14:paraId="18CEB23B" w14:textId="77777777" w:rsidR="001F7233" w:rsidRDefault="00000000">
      <w:r>
        <w:rPr>
          <w:b/>
        </w:rPr>
        <w:t xml:space="preserve">Hinweis: </w:t>
      </w:r>
      <w:r>
        <w:t>oft nur Erstpetition und Arbeitgeberwechsel</w:t>
      </w:r>
    </w:p>
    <w:p w14:paraId="4C98471E" w14:textId="77777777" w:rsidR="001F7233" w:rsidRDefault="00000000">
      <w:r>
        <w:rPr>
          <w:b/>
        </w:rPr>
        <w:t>Asylum Program Fee</w:t>
      </w:r>
    </w:p>
    <w:p w14:paraId="08ED20E5" w14:textId="77777777" w:rsidR="001F7233" w:rsidRDefault="00000000">
      <w:r>
        <w:rPr>
          <w:b/>
        </w:rPr>
        <w:t xml:space="preserve">Zahlt: </w:t>
      </w:r>
      <w:r>
        <w:t>Arbeitgeber</w:t>
      </w:r>
    </w:p>
    <w:p w14:paraId="0C13A040" w14:textId="77777777" w:rsidR="001F7233" w:rsidRDefault="00000000">
      <w:r>
        <w:rPr>
          <w:b/>
        </w:rPr>
        <w:t xml:space="preserve">Hinweis: </w:t>
      </w:r>
      <w:r>
        <w:t>gesetzliche Abgabe; Kleinbetrieb und Non-Profit können abweichen</w:t>
      </w:r>
    </w:p>
    <w:p w14:paraId="67F76D6C" w14:textId="77777777" w:rsidR="001F7233" w:rsidRDefault="00000000">
      <w:r>
        <w:rPr>
          <w:b/>
        </w:rPr>
        <w:t>Premium Processing</w:t>
      </w:r>
    </w:p>
    <w:p w14:paraId="1A2DAE97" w14:textId="77777777" w:rsidR="001F7233" w:rsidRDefault="00000000">
      <w:r>
        <w:rPr>
          <w:b/>
        </w:rPr>
        <w:t xml:space="preserve">Zahlt: </w:t>
      </w:r>
      <w:r>
        <w:t>Arbeitgeber</w:t>
      </w:r>
    </w:p>
    <w:p w14:paraId="658F8EFA" w14:textId="77777777" w:rsidR="001F7233" w:rsidRDefault="00000000">
      <w:r>
        <w:rPr>
          <w:b/>
        </w:rPr>
        <w:t xml:space="preserve">Hinweis: </w:t>
      </w:r>
      <w:r>
        <w:t>optional; du darfst dich beteiligen</w:t>
      </w:r>
    </w:p>
    <w:p w14:paraId="4F6CE888" w14:textId="77777777" w:rsidR="001F7233" w:rsidRDefault="00000000">
      <w:r>
        <w:rPr>
          <w:b/>
        </w:rPr>
        <w:t>Anwaltskosten</w:t>
      </w:r>
    </w:p>
    <w:p w14:paraId="20218FD6" w14:textId="77777777" w:rsidR="001F7233" w:rsidRDefault="00000000">
      <w:r>
        <w:rPr>
          <w:b/>
        </w:rPr>
        <w:t xml:space="preserve">Zahlt: </w:t>
      </w:r>
      <w:r>
        <w:t>Arbeitgeber</w:t>
      </w:r>
    </w:p>
    <w:p w14:paraId="4297C3D5" w14:textId="77777777" w:rsidR="001F7233" w:rsidRDefault="00000000">
      <w:r>
        <w:rPr>
          <w:b/>
        </w:rPr>
        <w:t xml:space="preserve">Hinweis: </w:t>
      </w:r>
      <w:r>
        <w:t>die Kanzlei nennt das Honorar, nicht dieses Kapitel</w:t>
      </w:r>
    </w:p>
    <w:p w14:paraId="534099F8" w14:textId="77777777" w:rsidR="001F7233" w:rsidRDefault="00000000">
      <w:r>
        <w:rPr>
          <w:b/>
        </w:rPr>
        <w:t>Konsulargebühr (MRV)</w:t>
      </w:r>
    </w:p>
    <w:p w14:paraId="705FA5E5" w14:textId="77777777" w:rsidR="001F7233" w:rsidRDefault="00000000">
      <w:r>
        <w:rPr>
          <w:b/>
        </w:rPr>
        <w:t xml:space="preserve">Zahlt: </w:t>
      </w:r>
      <w:r>
        <w:t>meist du</w:t>
      </w:r>
    </w:p>
    <w:p w14:paraId="206C2420" w14:textId="77777777" w:rsidR="001F7233" w:rsidRDefault="00000000">
      <w:r>
        <w:rPr>
          <w:b/>
        </w:rPr>
        <w:t xml:space="preserve">Hinweis: </w:t>
      </w:r>
      <w:r>
        <w:t>travel.state.gov</w:t>
      </w:r>
    </w:p>
    <w:p w14:paraId="6FB2A2AF" w14:textId="77777777" w:rsidR="001F7233" w:rsidRDefault="00000000">
      <w:r>
        <w:rPr>
          <w:b/>
        </w:rPr>
        <w:t>Visa Integrity Fee</w:t>
      </w:r>
    </w:p>
    <w:p w14:paraId="33180338" w14:textId="77777777" w:rsidR="001F7233" w:rsidRDefault="00000000">
      <w:r>
        <w:rPr>
          <w:b/>
        </w:rPr>
        <w:t xml:space="preserve">Zahlt: </w:t>
      </w:r>
      <w:r>
        <w:t>offen</w:t>
      </w:r>
    </w:p>
    <w:p w14:paraId="3B4047B2" w14:textId="77777777" w:rsidR="001F7233" w:rsidRDefault="00000000">
      <w:r>
        <w:rPr>
          <w:b/>
        </w:rPr>
        <w:lastRenderedPageBreak/>
        <w:t xml:space="preserve">Hinweis: </w:t>
      </w:r>
      <w:r>
        <w:t>ob sie anfällt, sagt das Konsulat</w:t>
      </w:r>
    </w:p>
    <w:p w14:paraId="2C0B5507" w14:textId="77777777" w:rsidR="001F7233" w:rsidRDefault="00000000">
      <w:r>
        <w:rPr>
          <w:b/>
        </w:rPr>
        <w:t>Familie im Inland (I-539, I-765)</w:t>
      </w:r>
    </w:p>
    <w:p w14:paraId="49C9AD75" w14:textId="77777777" w:rsidR="001F7233" w:rsidRDefault="00000000">
      <w:r>
        <w:rPr>
          <w:b/>
        </w:rPr>
        <w:t xml:space="preserve">Zahlt: </w:t>
      </w:r>
      <w:r>
        <w:t>meist du</w:t>
      </w:r>
    </w:p>
    <w:p w14:paraId="59103905" w14:textId="77777777" w:rsidR="001F7233" w:rsidRDefault="00000000">
      <w:r>
        <w:rPr>
          <w:b/>
        </w:rPr>
        <w:t xml:space="preserve">Hinweis: </w:t>
      </w:r>
      <w:r>
        <w:t xml:space="preserve">Verhandlungssache (siehe </w:t>
      </w:r>
      <w:hyperlink w:anchor="k11">
        <w:r w:rsidR="001F7233">
          <w:rPr>
            <w:rStyle w:val="Hyperlink"/>
          </w:rPr>
          <w:t>Kapitel 11</w:t>
        </w:r>
      </w:hyperlink>
      <w:r>
        <w:t>)</w:t>
      </w:r>
    </w:p>
    <w:p w14:paraId="5E6854A6" w14:textId="77777777" w:rsidR="001F7233" w:rsidRDefault="00000000">
      <w:r>
        <w:rPr>
          <w:b/>
        </w:rPr>
        <w:t>Zusatzzahlung Proklamation 10973</w:t>
      </w:r>
    </w:p>
    <w:p w14:paraId="63844A5B" w14:textId="77777777" w:rsidR="001F7233" w:rsidRDefault="00000000">
      <w:r>
        <w:rPr>
          <w:b/>
        </w:rPr>
        <w:t xml:space="preserve">Zahlt: </w:t>
      </w:r>
      <w:r>
        <w:t>Arbeitgeber, wenn sie erhoben wird</w:t>
      </w:r>
    </w:p>
    <w:p w14:paraId="65256E08" w14:textId="77777777" w:rsidR="001F7233" w:rsidRDefault="00000000">
      <w:r>
        <w:rPr>
          <w:b/>
        </w:rPr>
        <w:t xml:space="preserve">Hinweis: </w:t>
      </w:r>
      <w:r>
        <w:t>USCIS-Alert-Seite in der Woche der Einreichung</w:t>
      </w:r>
    </w:p>
    <w:p w14:paraId="67FB151A" w14:textId="77777777" w:rsidR="001F7233" w:rsidRDefault="001F7233">
      <w:pPr>
        <w:spacing w:line="180" w:lineRule="exact"/>
      </w:pPr>
    </w:p>
    <w:p w14:paraId="26656B60" w14:textId="77777777" w:rsidR="001F7233" w:rsidRDefault="00000000">
      <w:pPr>
        <w:spacing w:after="140"/>
      </w:pPr>
      <w:r>
        <w:t>Die 9-11 Response and Biometric Entry-Exit Fee trifft nur bestimmte Arbeitgeber mit vielen H-1B- oder L-1-Beschäftigten. Ob sie gilt und in welcher Höhe, steht auf dem USCIS-Gebührenverzeichnis.</w:t>
      </w:r>
    </w:p>
    <w:p w14:paraId="1BD50F0E" w14:textId="77777777" w:rsidR="001F7233" w:rsidRDefault="00000000">
      <w:r>
        <w:rPr>
          <w:b/>
        </w:rPr>
        <w:t xml:space="preserve">ACHTUNG: </w:t>
      </w:r>
    </w:p>
    <w:p w14:paraId="57AF4302" w14:textId="77777777" w:rsidR="001F7233" w:rsidRDefault="00000000">
      <w:r>
        <w:t>• Der Arbeitgeber darf die ACWIA-Gebühr nicht von dir zurückfordern, ebenso wenig Anwalts- und Petitionskosten, die zum H-1B-Programm gehören (20 CFR 655.731). Vertragsstrafen für vorzeitiges Ausscheiden sind unzulässig. Klauseln über echten pauschalierten Schadensersatz (Liquidated Damages) können nach Landesrecht dagegen erlaubt sein. Lass Rückzahlungsklauseln im Jobangebot (Offer Letter) prüfen, bevor du unterschreibst.</w:t>
      </w:r>
    </w:p>
    <w:p w14:paraId="79AA8308" w14:textId="77777777" w:rsidR="001F7233" w:rsidRDefault="001F7233">
      <w:pPr>
        <w:spacing w:line="220" w:lineRule="exact"/>
      </w:pPr>
    </w:p>
    <w:p w14:paraId="1D71CBE9" w14:textId="77777777" w:rsidR="001F7233" w:rsidRDefault="00000000">
      <w:r>
        <w:rPr>
          <w:b/>
        </w:rPr>
        <w:t xml:space="preserve">SPARTIPP: </w:t>
      </w:r>
    </w:p>
    <w:p w14:paraId="31A862D1" w14:textId="77777777" w:rsidR="001F7233" w:rsidRDefault="00000000">
      <w:r>
        <w:t>• Verhandle vor der Unterschrift, welche Gebühren bei dir landen: Konsulat, Visa Integrity Fee, Anträge der Familie, Umzug. Die regulären Konsular- und USCIS-Gebühren stehen auf travel.state.gov und uscis.gov/g-1055; eine separate Visa Integrity Fee ist dort derzeit nicht ausgewiesen. Folge für sie nur einer konkreten Zahlungsanweisung.</w:t>
      </w:r>
    </w:p>
    <w:p w14:paraId="23E3B61B" w14:textId="77777777" w:rsidR="001F7233" w:rsidRDefault="001F7233">
      <w:pPr>
        <w:spacing w:line="220" w:lineRule="exact"/>
      </w:pPr>
    </w:p>
    <w:p w14:paraId="71CDFC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Dauer: 3 + 3 Jahre und was danach kommt</w:t>
      </w:r>
    </w:p>
    <w:p w14:paraId="066C149F" w14:textId="77777777" w:rsidR="001F7233" w:rsidRDefault="00000000">
      <w:pPr>
        <w:pStyle w:val="ListParagraph"/>
        <w:numPr>
          <w:ilvl w:val="0"/>
          <w:numId w:val="1"/>
        </w:numPr>
        <w:spacing w:after="60"/>
      </w:pPr>
      <w:r>
        <w:rPr>
          <w:b/>
          <w:bCs/>
        </w:rPr>
        <w:t xml:space="preserve">Drei-Jahres-Schritte, wenn für dich eine I-140 (Einwanderungspetition des Arbeitgebers) genehmigt ist, </w:t>
      </w:r>
      <w:r>
        <w:rPr>
          <w:b/>
          <w:bCs/>
        </w:rPr>
        <w:lastRenderedPageBreak/>
        <w:t>aber noch kein Visum verfügbar ist. Das betrifft vor allem lange Warteschlangen wie bei Indien und China.</w:t>
      </w:r>
    </w:p>
    <w:p w14:paraId="7B5FBE0C" w14:textId="77777777" w:rsidR="001F7233" w:rsidRDefault="00000000">
      <w:pPr>
        <w:pStyle w:val="ListParagraph"/>
        <w:numPr>
          <w:ilvl w:val="0"/>
          <w:numId w:val="1"/>
        </w:numPr>
        <w:spacing w:after="60"/>
      </w:pPr>
      <w:r>
        <w:rPr>
          <w:b/>
          <w:bCs/>
        </w:rPr>
        <w:t>Ein-Jahres-Schritte,</w:t>
      </w:r>
      <w:r>
        <w:t xml:space="preserve"> wenn das Arbeitsmarktverfahren PERM oder die I-140 seit mindestens 365 Tagen anhängig ist.</w:t>
      </w:r>
    </w:p>
    <w:p w14:paraId="230ACB98" w14:textId="77777777" w:rsidR="001F7233" w:rsidRDefault="001F7233">
      <w:pPr>
        <w:spacing w:line="120" w:lineRule="exact"/>
      </w:pPr>
    </w:p>
    <w:p w14:paraId="70315C29" w14:textId="77777777" w:rsidR="001F7233" w:rsidRDefault="00000000">
      <w:pPr>
        <w:spacing w:after="140"/>
      </w:pPr>
      <w:r>
        <w:rPr>
          <w:i/>
          <w:iCs/>
        </w:rPr>
        <w:t>Zeiten außer der USA von mehr als 24 Stunden zählen nicht zu den sechs Jahren und lassen sich später zurückholen (Recapture). Den Nachweis (Pässe, I-94, Tickets) führt der Arbeitgeber – sammle also deine Reiseunterlagen. Sind die sechs Jahre ausgeschöpft, ist ein neuer H- oder L-Aufenthalt erst nach einem Jahr außer der USA möglich.</w:t>
      </w:r>
    </w:p>
    <w:p w14:paraId="30A977D9" w14:textId="77777777" w:rsidR="001F7233" w:rsidRDefault="00000000">
      <w:pPr>
        <w:spacing w:after="140"/>
      </w:pPr>
      <w:r>
        <w:t>Für Deutsche ist die Green-Card-Warteschlange in der Regel deutlich kürzer als für Indien oder China. Den Ablauf (PERM, I-140, I-485) erklärt Kapitel </w:t>
      </w:r>
      <w:hyperlink w:anchor="k6">
        <w:r w:rsidR="001F7233">
          <w:t>6</w:t>
        </w:r>
      </w:hyperlink>
      <w:r>
        <w:t>, den Vergleich mit dem H-1B Kapitel </w:t>
      </w:r>
      <w:hyperlink w:anchor="k7">
        <w:r w:rsidR="001F7233">
          <w:t>7</w:t>
        </w:r>
      </w:hyperlink>
      <w:r>
        <w:t>.</w:t>
      </w:r>
    </w:p>
    <w:p w14:paraId="7067897C" w14:textId="77777777" w:rsidR="001F7233" w:rsidRDefault="00000000">
      <w:r>
        <w:rPr>
          <w:b/>
        </w:rPr>
        <w:t xml:space="preserve">MERKE: </w:t>
      </w:r>
    </w:p>
    <w:p w14:paraId="4F124917" w14:textId="77777777" w:rsidR="001F7233" w:rsidRDefault="00000000">
      <w:r>
        <w:t xml:space="preserve">• Die Sechs-Jahres-Uhr läuft, solange du im H-1B-Status in den USA bist. Wann du das Green-Card-Verfahren starten solltest und wie du es vertraglich absicherst, klärt </w:t>
      </w:r>
      <w:hyperlink w:anchor="k7">
        <w:r w:rsidR="001F7233">
          <w:rPr>
            <w:color w:val="0563C1"/>
            <w:u w:val="single"/>
          </w:rPr>
          <w:t>Kapitel 7</w:t>
        </w:r>
      </w:hyperlink>
      <w:r>
        <w:t>.</w:t>
      </w:r>
    </w:p>
    <w:p w14:paraId="0B8AD8B1" w14:textId="77777777" w:rsidR="001F7233" w:rsidRDefault="001F7233">
      <w:pPr>
        <w:spacing w:line="220" w:lineRule="exact"/>
      </w:pPr>
    </w:p>
    <w:p w14:paraId="68A7AF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Cap-exempt-Arbeitgeber: der Weg ohne Lotterie</w:t>
      </w:r>
    </w:p>
    <w:p w14:paraId="04141434" w14:textId="77777777" w:rsidR="001F7233" w:rsidRDefault="00000000">
      <w:pPr>
        <w:spacing w:after="140"/>
      </w:pPr>
      <w:r>
        <w:t xml:space="preserve">Manche Arbeitgeber unterliegen der Quote nicht (Cap-exempt): Hochschulen und ihre verbundenen gemeinnützigen Einrichtungen sowie gemeinnützige oder staatliche Forschungseinrichtungen. Seit 2025 genügt es, wenn Forschung eine fundamentale Aktivität der Einrichtung ist, nicht die Hauptaufgabe. Für dich heißt das: keine Registrierung im März, keine Lotterie, Einreichung ganzjährig. Für Forschende, Postdocs und Lehrende ist das oft der planbarste Weg. Gemeinnützige Arbeitgeber zahlen oft eine niedrigere I-129-Gebühr und eine andere Asylum Program Fee. Die Beträge stehen auf </w:t>
      </w:r>
      <w:hyperlink r:id="rId104">
        <w:r w:rsidR="001F7233">
          <w:rPr>
            <w:color w:val="0563C1"/>
            <w:u w:val="single"/>
          </w:rPr>
          <w:t>uscis.gov/g-1055</w:t>
        </w:r>
      </w:hyperlink>
      <w:r>
        <w:t>.</w:t>
      </w:r>
    </w:p>
    <w:p w14:paraId="1157B5DB" w14:textId="77777777" w:rsidR="001F7233" w:rsidRDefault="00000000">
      <w:pPr>
        <w:spacing w:after="140"/>
      </w:pPr>
      <w:r>
        <w:lastRenderedPageBreak/>
        <w:t>Es gibt Grenzen. Die Proklamation 10973 kann auch Cap-exempt-Arbeitgeber erfassen, wenn die Person aus dem Ausland kommt. Ob die Zahlung in der Woche der Einreichung erhoben wird, steht auf der USCIS-Alert-Seite. Ein späterer Entwurf kann sie ausnehmen oder nicht. Das liest du im Federal Register. Wer später zu einem Arbeitgeber wechselt, der der Quote unterliegt (</w:t>
      </w:r>
      <w:r>
        <w:rPr>
          <w:i/>
          <w:iCs/>
        </w:rPr>
        <w:t>Cap-subject</w:t>
      </w:r>
      <w:r>
        <w:t>), braucht eine Registrierung im März und startet frühestens am 1. Oktober. Bis dahin ist Parallelbeschäftigung möglich, solange die Cap-exempt-Stelle besteht.</w:t>
      </w:r>
    </w:p>
    <w:p w14:paraId="6CE857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w14:paraId="286E7AF1" w14:textId="77777777" w:rsidR="001F7233" w:rsidRDefault="00000000">
      <w:pPr>
        <w:spacing w:after="140"/>
      </w:pPr>
      <w:r>
        <w:rPr>
          <w:b/>
          <w:bCs/>
        </w:rPr>
        <w:t>Das steht dir zu:</w:t>
      </w:r>
    </w:p>
    <w:p w14:paraId="316F25BA" w14:textId="77777777" w:rsidR="001F7233" w:rsidRDefault="00000000">
      <w:pPr>
        <w:pStyle w:val="ListParagraph"/>
        <w:numPr>
          <w:ilvl w:val="0"/>
          <w:numId w:val="1"/>
        </w:numPr>
        <w:spacing w:after="60"/>
      </w:pPr>
      <w:r>
        <w:t>Arbeit beim Arbeitgeber der Petition, in der beschriebenen Stelle und am Ort der LCA.</w:t>
      </w:r>
    </w:p>
    <w:p w14:paraId="10071090" w14:textId="77777777" w:rsidR="001F7233" w:rsidRDefault="00000000">
      <w:pPr>
        <w:pStyle w:val="ListParagraph"/>
        <w:numPr>
          <w:ilvl w:val="0"/>
          <w:numId w:val="1"/>
        </w:numPr>
        <w:spacing w:after="60"/>
      </w:pPr>
      <w:r>
        <w:t>Mindestens der zugesicherte Lohn (siehe oben) und Zusatzleistungen wie Krankenversicherung zu den Bedingungen, die vergleichbare US-Beschäftigte erhalten.</w:t>
      </w:r>
    </w:p>
    <w:p w14:paraId="7A131C6E" w14:textId="77777777" w:rsidR="001F7233" w:rsidRDefault="00000000">
      <w:pPr>
        <w:pStyle w:val="ListParagraph"/>
        <w:numPr>
          <w:ilvl w:val="0"/>
          <w:numId w:val="1"/>
        </w:numPr>
        <w:spacing w:after="60"/>
      </w:pPr>
      <w:r>
        <w:t>Ein Arbeitgeberwechsel ohne neue Lotterie (</w:t>
      </w:r>
      <w:r>
        <w:rPr>
          <w:i/>
          <w:iCs/>
        </w:rPr>
        <w:t>Portabilität</w:t>
      </w:r>
      <w:r>
        <w:t>): Du darfst beim neuen Arbeitgeber arbeiten, sobald dessen Petition eingereicht ist (siehe Kapitel </w:t>
      </w:r>
      <w:hyperlink w:anchor="k30">
        <w:r w:rsidR="001F7233">
          <w:t>30</w:t>
        </w:r>
      </w:hyperlink>
      <w:r>
        <w:t>).</w:t>
      </w:r>
    </w:p>
    <w:p w14:paraId="4A36AA09" w14:textId="77777777" w:rsidR="001F7233" w:rsidRDefault="00000000">
      <w:pPr>
        <w:pStyle w:val="ListParagraph"/>
        <w:numPr>
          <w:ilvl w:val="0"/>
          <w:numId w:val="1"/>
        </w:numPr>
        <w:spacing w:after="60"/>
      </w:pPr>
      <w:r>
        <w:t>Mitreise von Ehepartner und unverheirateten Kindern unter 21 mit H-4. Der Partner darf nur mit eigener Arbeitserlaubnis (</w:t>
      </w:r>
      <w:r>
        <w:rPr>
          <w:i/>
          <w:iCs/>
        </w:rPr>
        <w:t>H-4-EAD</w:t>
      </w:r>
      <w:r>
        <w:t>) arbeiten; die gibt es erst, wenn für dich eine I-140 genehmigt oder der H-1B über sechs Jahre hinaus verlängert ist (siehe Kapitel </w:t>
      </w:r>
      <w:hyperlink w:anchor="k10">
        <w:r w:rsidR="001F7233">
          <w:t>10</w:t>
        </w:r>
      </w:hyperlink>
      <w:r>
        <w:t>).</w:t>
      </w:r>
    </w:p>
    <w:p w14:paraId="2E2601B3" w14:textId="77777777" w:rsidR="001F7233" w:rsidRDefault="00000000">
      <w:pPr>
        <w:pStyle w:val="ListParagraph"/>
        <w:numPr>
          <w:ilvl w:val="0"/>
          <w:numId w:val="1"/>
        </w:numPr>
        <w:spacing w:after="60"/>
      </w:pPr>
      <w:r>
        <w:t>Beschwerde bei der Wage and Hour Division des DOL bei Lohn- oder Bedingungsverstößen. Das DOL kontrolliert seit „Project Firewall“ (September 2025) verstärkt, mit über 175 Ermittlungen.</w:t>
      </w:r>
    </w:p>
    <w:p w14:paraId="031BEF1F" w14:textId="77777777" w:rsidR="001F7233" w:rsidRDefault="001F7233">
      <w:pPr>
        <w:spacing w:line="120" w:lineRule="exact"/>
      </w:pPr>
    </w:p>
    <w:p w14:paraId="61B1297D" w14:textId="77777777" w:rsidR="001F7233" w:rsidRDefault="00000000">
      <w:pPr>
        <w:spacing w:after="140"/>
      </w:pPr>
      <w:r>
        <w:rPr>
          <w:b/>
          <w:bCs/>
        </w:rPr>
        <w:t>Das musst du:</w:t>
      </w:r>
    </w:p>
    <w:p w14:paraId="64918736" w14:textId="77777777" w:rsidR="001F7233" w:rsidRDefault="00000000">
      <w:pPr>
        <w:pStyle w:val="ListParagraph"/>
        <w:numPr>
          <w:ilvl w:val="0"/>
          <w:numId w:val="1"/>
        </w:numPr>
        <w:spacing w:after="60"/>
      </w:pPr>
      <w:r>
        <w:lastRenderedPageBreak/>
        <w:t>Nur für den Sponsor arbeiten. Nebenjob oder Freiberuflichkeit brauchen eine zweite Petition mit eigener LCA.</w:t>
      </w:r>
    </w:p>
    <w:p w14:paraId="3DFD1B8D" w14:textId="77777777" w:rsidR="001F7233" w:rsidRDefault="00000000">
      <w:pPr>
        <w:pStyle w:val="ListParagraph"/>
        <w:numPr>
          <w:ilvl w:val="0"/>
          <w:numId w:val="1"/>
        </w:numPr>
        <w:spacing w:after="60"/>
      </w:pPr>
      <w:r>
        <w:t>Wesentliche Änderungen (Umzug außerhalb des Beschäftigungsgebiets, neue Aufgaben) nur mit neuer LCA und geänderter Petition (siehe Kapitel </w:t>
      </w:r>
      <w:hyperlink w:anchor="k30">
        <w:r w:rsidR="001F7233">
          <w:t>30</w:t>
        </w:r>
      </w:hyperlink>
      <w:r>
        <w:t>).</w:t>
      </w:r>
    </w:p>
    <w:p w14:paraId="3216D082" w14:textId="77777777" w:rsidR="001F7233" w:rsidRDefault="00000000">
      <w:pPr>
        <w:pStyle w:val="ListParagraph"/>
        <w:numPr>
          <w:ilvl w:val="0"/>
          <w:numId w:val="1"/>
        </w:numPr>
        <w:spacing w:after="60"/>
      </w:pPr>
      <w:r>
        <w:t>Eine neue Adresse binnen zehn Tagen mit Formular AR-11 melden.</w:t>
      </w:r>
    </w:p>
    <w:p w14:paraId="3049CE5D" w14:textId="77777777" w:rsidR="001F7233" w:rsidRDefault="00000000">
      <w:pPr>
        <w:pStyle w:val="ListParagraph"/>
        <w:numPr>
          <w:ilvl w:val="0"/>
          <w:numId w:val="1"/>
        </w:numPr>
        <w:spacing w:after="60"/>
      </w:pPr>
      <w:r>
        <w:t>Auf das I-94-Datum achten: Es entscheidet über deinen erlaubten Aufenthalt, nicht das Visum.</w:t>
      </w:r>
    </w:p>
    <w:p w14:paraId="1A7E9609" w14:textId="77777777" w:rsidR="001F7233" w:rsidRDefault="001F7233">
      <w:pPr>
        <w:spacing w:line="120" w:lineRule="exact"/>
      </w:pPr>
    </w:p>
    <w:p w14:paraId="054E9F5B"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Wenn der Job endet</w:t>
      </w:r>
    </w:p>
    <w:p w14:paraId="34440F7F" w14:textId="77777777" w:rsidR="001F7233" w:rsidRDefault="00000000">
      <w:pPr>
        <w:spacing w:after="140"/>
      </w:pPr>
      <w:r>
        <w:t>Heute gilt: bis zu 60 aufeinanderfolgende Tage oder bis zum Ende des zulässigen Aufenthalts, je nachdem, was kürzer ist, einmal je Gültigkeitszeitraum (8 CFR 214.1(l)(2)). Arbeiten darfst du in dieser Zeit nicht. Du kannst einen neuen Sponsor finden, den Status wechseln oder ausreisen. Der Arbeitgeber muss die Beendigung USCIS melden und die angemessenen Rückreisekosten tragen.</w:t>
      </w:r>
    </w:p>
    <w:p w14:paraId="32133FC6" w14:textId="77777777" w:rsidR="001F7233" w:rsidRDefault="00000000">
      <w:pPr>
        <w:spacing w:after="140"/>
      </w:pPr>
      <w:r>
        <w:t>Am 11. September 2026 hat das DHS vorgeschlagen, die Frist zu streichen: Der Statusverstoß träte dann mit dem Ende der Beschäftigung ein, die Ausreise wäre sofort fällig. Die Kommentarfrist endet am 10. November 2026, bis zu einer Endfassung gilt die 60-Tage-Regel.</w:t>
      </w:r>
    </w:p>
    <w:p w14:paraId="27825118" w14:textId="77777777" w:rsidR="001F7233" w:rsidRDefault="00000000">
      <w:pPr>
        <w:spacing w:after="140"/>
      </w:pPr>
      <w:r>
        <w:t>Anders als in Deutschland gibt es keinen allgemeinen Kündigungsschutz (</w:t>
      </w:r>
      <w:r>
        <w:rPr>
          <w:i/>
          <w:iCs/>
        </w:rPr>
        <w:t>At-will Employment</w:t>
      </w:r>
      <w:r>
        <w:t>, Kündigung ohne Grund möglich) – und am Job hängt dein Status. Notfallplan, WARN Act, COBRA und Abfindung stehen in Kapitel </w:t>
      </w:r>
      <w:hyperlink w:anchor="k30">
        <w:r w:rsidR="001F7233">
          <w:t>30</w:t>
        </w:r>
      </w:hyperlink>
      <w:r>
        <w:t>, das Arbeitsrecht in Kapitel </w:t>
      </w:r>
      <w:hyperlink w:anchor="k29">
        <w:r w:rsidR="001F7233">
          <w:t>29</w:t>
        </w:r>
      </w:hyperlink>
      <w:r>
        <w:t>.</w:t>
      </w:r>
    </w:p>
    <w:p w14:paraId="4D6DC81B" w14:textId="77777777" w:rsidR="001F7233" w:rsidRDefault="00000000">
      <w:r>
        <w:rPr>
          <w:b/>
        </w:rPr>
        <w:t xml:space="preserve">ACHTUNG: </w:t>
      </w:r>
    </w:p>
    <w:p w14:paraId="07A28B1B" w14:textId="77777777" w:rsidR="001F7233" w:rsidRDefault="00000000">
      <w:r>
        <w:t xml:space="preserve">• Kündige erst, wenn die Petition des neuen Arbeitgebers eingereicht ist. Die Portabilität greift mit der Einreichung einer nicht offensichtlich aussichtslosen Petition, nicht mit dem Angebot. </w:t>
      </w:r>
      <w:r>
        <w:lastRenderedPageBreak/>
        <w:t xml:space="preserve">Wechselst du von einem Cap-exempt-Arbeitgeber in einen Cap-subject-Job, brauchst du zuerst eine Registrierung im März (siehe </w:t>
      </w:r>
      <w:hyperlink w:anchor="k30">
        <w:r w:rsidR="001F7233">
          <w:rPr>
            <w:color w:val="0563C1"/>
            <w:u w:val="single"/>
          </w:rPr>
          <w:t>Kapitel 30</w:t>
        </w:r>
      </w:hyperlink>
      <w:r>
        <w:t>).</w:t>
      </w:r>
    </w:p>
    <w:p w14:paraId="01BF2F61" w14:textId="77777777" w:rsidR="001F7233" w:rsidRDefault="001F7233">
      <w:pPr>
        <w:spacing w:line="220" w:lineRule="exact"/>
      </w:pPr>
    </w:p>
    <w:p w14:paraId="1E8941EE" w14:textId="77777777" w:rsidR="001F7233" w:rsidRDefault="00000000">
      <w:pPr>
        <w:spacing w:after="140"/>
      </w:pPr>
      <w:r>
        <w:rPr>
          <w:i/>
          <w:iCs/>
        </w:rPr>
        <w:t>Seit dem 18. September 2026 sollen US-Behörden nach einer Präsidialverfügung (Executive Order) bei LCA, Petition und Visum auch frühere Entlassungen ähnlich qualifizierter US-Beschäftigter beim Arbeitgeber beachten; die Umsetzung ist offen. Kanzleien raten, im Bewerbungsprozess nach Stellenabbau in den letzten zwölf Monaten zu fragen.</w:t>
      </w:r>
    </w:p>
    <w:p w14:paraId="12B308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Sozialabgaben in Kürze</w:t>
      </w:r>
    </w:p>
    <w:p w14:paraId="796B39AD" w14:textId="77777777" w:rsidR="001F7233" w:rsidRDefault="00000000">
      <w:pPr>
        <w:spacing w:after="140"/>
      </w:pPr>
      <w:r>
        <w:t xml:space="preserve">Als H-1B-Beschäftigter bist du Arbeitnehmer im normalen US-Steuersystem. Vom Bruttogehalt gehen Bundessteuer, meist Bundesstaatssteuer und die Sozialabgaben </w:t>
      </w:r>
      <w:r>
        <w:rPr>
          <w:i/>
          <w:iCs/>
        </w:rPr>
        <w:t>FICA</w:t>
      </w:r>
      <w:r>
        <w:t xml:space="preserve"> ab: Social Security und Medicare. Die Sätze und die Lohnbemessungsgrenze stehen auf der IRS-Seite. Dieses Kapitel druckt sie nicht. Der Arbeitgeber zahlt seinen Anteil noch einmal. Anders als F-1-Studierende bist du nicht befreit. Eine Doppelversicherung bei Entsendungen vermeidet das Sozialversicherungsabkommen zwischen Deutschland und den USA (siehe Kapitel </w:t>
      </w:r>
      <w:hyperlink w:anchor="k17">
        <w:r w:rsidR="001F7233">
          <w:t>17</w:t>
        </w:r>
      </w:hyperlink>
      <w:r>
        <w:t>). Ab wann dein weltweites Einkommen in den USA steuerpflichtig ist, steht in Kapitel </w:t>
      </w:r>
      <w:hyperlink w:anchor="k28">
        <w:r w:rsidR="001F7233">
          <w:t>28</w:t>
        </w:r>
      </w:hyperlink>
      <w:r>
        <w:t>.</w:t>
      </w:r>
    </w:p>
    <w:p w14:paraId="219095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Das H-1B-Visum</w:t>
      </w:r>
    </w:p>
    <w:p w14:paraId="42B734B7" w14:textId="77777777" w:rsidR="001F7233" w:rsidRDefault="00000000">
      <w:r>
        <w:rPr>
          <w:b/>
        </w:rPr>
        <w:t>Plus: Dual Intent: Der Weg zur Green Card bleibt offen</w:t>
      </w:r>
    </w:p>
    <w:p w14:paraId="096E1CC3" w14:textId="77777777" w:rsidR="001F7233" w:rsidRDefault="00000000">
      <w:r>
        <w:rPr>
          <w:b/>
        </w:rPr>
        <w:t xml:space="preserve">Minus: </w:t>
      </w:r>
      <w:r>
        <w:t>Lotterie: Ohne Auswahl gibt es in diesem Jahr keinen H-1B</w:t>
      </w:r>
    </w:p>
    <w:p w14:paraId="605214DE" w14:textId="77777777" w:rsidR="001F7233" w:rsidRDefault="00000000">
      <w:r>
        <w:rPr>
          <w:b/>
        </w:rPr>
        <w:t>Plus: Der Arbeitgeber trägt fast alle Behördengebühren</w:t>
      </w:r>
    </w:p>
    <w:p w14:paraId="47F7730C" w14:textId="77777777" w:rsidR="001F7233" w:rsidRDefault="00000000">
      <w:r>
        <w:rPr>
          <w:b/>
        </w:rPr>
        <w:t xml:space="preserve">Minus: </w:t>
      </w:r>
      <w:r>
        <w:t>Regeln und die Zusatzzahlung der Proklamation 10973 ändern sich. Den Stand liest du auf der USCIS-Alert-Seite</w:t>
      </w:r>
    </w:p>
    <w:p w14:paraId="7B056A7F" w14:textId="77777777" w:rsidR="001F7233" w:rsidRDefault="00000000">
      <w:r>
        <w:rPr>
          <w:b/>
        </w:rPr>
        <w:t>Plus: Arbeitgeberwechsel ohne neue Lotterie möglich</w:t>
      </w:r>
    </w:p>
    <w:p w14:paraId="19D393DC" w14:textId="77777777" w:rsidR="001F7233" w:rsidRDefault="00000000">
      <w:r>
        <w:rPr>
          <w:b/>
        </w:rPr>
        <w:t xml:space="preserve">Minus: </w:t>
      </w:r>
      <w:r>
        <w:t>Bindung an den Sponsor; bei Jobverlust 60 Tage, deren Wegfall vorgeschlagen ist</w:t>
      </w:r>
    </w:p>
    <w:p w14:paraId="64DC0D00" w14:textId="77777777" w:rsidR="001F7233" w:rsidRDefault="00000000">
      <w:r>
        <w:rPr>
          <w:b/>
        </w:rPr>
        <w:t>Plus: Ehepartner und Kinder dürfen mitkommen</w:t>
      </w:r>
    </w:p>
    <w:p w14:paraId="68EBAE09" w14:textId="77777777" w:rsidR="001F7233" w:rsidRDefault="00000000">
      <w:r>
        <w:rPr>
          <w:b/>
        </w:rPr>
        <w:lastRenderedPageBreak/>
        <w:t xml:space="preserve">Minus: </w:t>
      </w:r>
      <w:r>
        <w:t>H-4-Partner dürfen meist nicht arbeiten</w:t>
      </w:r>
    </w:p>
    <w:p w14:paraId="348084D5" w14:textId="77777777" w:rsidR="001F7233" w:rsidRDefault="00000000">
      <w:r>
        <w:rPr>
          <w:b/>
        </w:rPr>
        <w:t>Plus: Cap-exempt-Arbeitgeber (Hochschulen) ohne Lotterie</w:t>
      </w:r>
    </w:p>
    <w:p w14:paraId="4174B8FE" w14:textId="77777777" w:rsidR="001F7233" w:rsidRDefault="00000000">
      <w:r>
        <w:rPr>
          <w:b/>
        </w:rPr>
        <w:t xml:space="preserve">Minus: </w:t>
      </w:r>
      <w:r>
        <w:t>Konsulat: Interviewpflicht, Online-Prüfung, Wartezeiten</w:t>
      </w:r>
    </w:p>
    <w:p w14:paraId="35E9CB68" w14:textId="77777777" w:rsidR="001F7233" w:rsidRDefault="00000000">
      <w:r>
        <w:rPr>
          <w:b/>
        </w:rPr>
        <w:t>Plus: Reisen mit gültigem Visum möglich</w:t>
      </w:r>
    </w:p>
    <w:p w14:paraId="652D142B" w14:textId="77777777" w:rsidR="001F7233" w:rsidRDefault="00000000">
      <w:r>
        <w:rPr>
          <w:b/>
        </w:rPr>
        <w:t xml:space="preserve">Minus: </w:t>
      </w:r>
      <w:r>
        <w:t>Höchstens sechs Jahre, danach nur mit Green-Card-Verfahren</w:t>
      </w:r>
    </w:p>
    <w:p w14:paraId="0D6BA917" w14:textId="77777777" w:rsidR="001F7233" w:rsidRDefault="001F7233">
      <w:pPr>
        <w:spacing w:line="180" w:lineRule="exact"/>
      </w:pPr>
    </w:p>
    <w:p w14:paraId="764287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4DC520" w14:textId="77777777" w:rsidR="001F7233" w:rsidRDefault="00000000">
      <w:pPr>
        <w:spacing w:after="140"/>
      </w:pPr>
      <w:r>
        <w:t>Kläre zuerst, ob der H-1B dein Weg ist (siehe Kapitel </w:t>
      </w:r>
      <w:hyperlink w:anchor="k4">
        <w:r w:rsidR="001F7233">
          <w:t>4</w:t>
        </w:r>
      </w:hyperlink>
      <w:r>
        <w:t xml:space="preserve"> und </w:t>
      </w:r>
      <w:hyperlink w:anchor="k7">
        <w:r w:rsidR="001F7233">
          <w:t>7</w:t>
        </w:r>
      </w:hyperlink>
      <w:r>
        <w:t>), und sprich früh mit Arbeitgebern über Sponsoring und Gehalt. Lass die Kanzlei prüfen, ob dein Abschluss zur Stelle passt und welche Lohnstufe erreicht wird. Alles zu Konsulat, Kanzlei und Kosten steht in Kapitel </w:t>
      </w:r>
      <w:hyperlink w:anchor="k11">
        <w:r w:rsidR="001F7233">
          <w:t>11</w:t>
        </w:r>
      </w:hyperlink>
      <w:r>
        <w:t>.</w:t>
      </w:r>
    </w:p>
    <w:p w14:paraId="4F905E53" w14:textId="77777777" w:rsidR="001F7233" w:rsidRDefault="00000000">
      <w:r>
        <w:t>• Studienfach und Stelle abgleichen: Passt dein Abschluss direkt zu den Aufgaben? Bewertungsgutachten mit der Kanzlei besprechen.</w:t>
      </w:r>
    </w:p>
    <w:p w14:paraId="707F802C" w14:textId="77777777" w:rsidR="001F7233" w:rsidRDefault="00000000">
      <w:r>
        <w:t>• Arbeitgeber fragen, ob er H-1B sponsert, welche Lohnstufe er meldet und wer welche Gebühren trägt. Alles schriftlich im Offer Letter festhalten.</w:t>
      </w:r>
    </w:p>
    <w:p w14:paraId="66651902" w14:textId="77777777" w:rsidR="001F7233" w:rsidRDefault="00000000">
      <w:r>
        <w:t>• Nachfragen, wie der Arbeitgeber mit der Zusatzzahlung der Proklamation 10973 umgeht, falls die USCIS-Alert-Seite sie in der Woche der Einreichung verlangt.</w:t>
      </w:r>
    </w:p>
    <w:p w14:paraId="4F7D59D6" w14:textId="77777777" w:rsidR="001F7233" w:rsidRDefault="00000000">
      <w:r>
        <w:t>• Nach Stellenabbau in den letzten zwölf Monaten fragen.</w:t>
      </w:r>
    </w:p>
    <w:p w14:paraId="16EC471A" w14:textId="77777777" w:rsidR="001F7233" w:rsidRDefault="00000000">
      <w:r>
        <w:t xml:space="preserve">• Zeitplan rückwärts vom 1. Oktober aufstellen; Registrierungstermin für 2027 auf </w:t>
      </w:r>
      <w:hyperlink r:id="rId105">
        <w:r w:rsidR="001F7233">
          <w:rPr>
            <w:color w:val="0563C1"/>
            <w:u w:val="single"/>
          </w:rPr>
          <w:t>uscis.gov</w:t>
        </w:r>
      </w:hyperlink>
      <w:r>
        <w:t xml:space="preserve"> beobachten.</w:t>
      </w:r>
    </w:p>
    <w:p w14:paraId="01707A8E" w14:textId="77777777" w:rsidR="001F7233" w:rsidRDefault="00000000">
      <w:r>
        <w:t xml:space="preserve">• Vor jeder Entscheidung (Kündigung, Flug, Umzug) </w:t>
      </w:r>
      <w:hyperlink r:id="rId106">
        <w:r w:rsidR="001F7233">
          <w:rPr>
            <w:color w:val="0563C1"/>
            <w:u w:val="single"/>
          </w:rPr>
          <w:t>uscis.gov</w:t>
        </w:r>
      </w:hyperlink>
      <w:r>
        <w:t xml:space="preserve">, </w:t>
      </w:r>
      <w:hyperlink r:id="rId107">
        <w:r w:rsidR="001F7233">
          <w:rPr>
            <w:color w:val="0563C1"/>
            <w:u w:val="single"/>
          </w:rPr>
          <w:t>federalregister.gov</w:t>
        </w:r>
      </w:hyperlink>
      <w:r>
        <w:t xml:space="preserve"> und die Kanzlei zum Stand befragen.</w:t>
      </w:r>
    </w:p>
    <w:p w14:paraId="531A3F59" w14:textId="77777777" w:rsidR="001F7233" w:rsidRDefault="00000000">
      <w:r>
        <w:t>• Nach der Genehmigung Kopien der Auswahlbenachrichtigung und des Genehmigungsbescheids (Approval Notice) sichern.</w:t>
      </w:r>
    </w:p>
    <w:p w14:paraId="30FD2827" w14:textId="77777777" w:rsidR="001F7233" w:rsidRDefault="00000000">
      <w:r>
        <w:t xml:space="preserve">• Konsulattermin buchen und Wartezeit auf </w:t>
      </w:r>
      <w:hyperlink r:id="rId108">
        <w:r w:rsidR="001F7233">
          <w:rPr>
            <w:color w:val="0563C1"/>
            <w:u w:val="single"/>
          </w:rPr>
          <w:t>travel.state.gov</w:t>
        </w:r>
      </w:hyperlink>
      <w:r>
        <w:t xml:space="preserve"> prüfen; Social-Media-Profile vorher auf öffentlich stellen.</w:t>
      </w:r>
    </w:p>
    <w:p w14:paraId="7AFA37E8" w14:textId="77777777" w:rsidR="001F7233" w:rsidRDefault="00000000">
      <w:r>
        <w:t>• Flüge und Wohnungskündigung erst nach Visumerteilung verbindlich machen.</w:t>
      </w:r>
    </w:p>
    <w:p w14:paraId="6C3FB404" w14:textId="77777777" w:rsidR="001F7233" w:rsidRDefault="00000000">
      <w:r>
        <w:lastRenderedPageBreak/>
        <w:t>• Reiseunterlagen für die Sechs-Jahres-Zählung aufbewahren und die Green-Card-Planung mit dem Arbeitgeber besprechen.</w:t>
      </w:r>
    </w:p>
    <w:p w14:paraId="62E9FDA7" w14:textId="77777777" w:rsidR="001F7233" w:rsidRDefault="00000000">
      <w:r>
        <w:t xml:space="preserve">• H-4-Anträge und Kosten für Partner und Kinder klären (siehe </w:t>
      </w:r>
      <w:hyperlink w:anchor="k10">
        <w:r w:rsidR="001F7233">
          <w:rPr>
            <w:color w:val="0563C1"/>
            <w:u w:val="single"/>
          </w:rPr>
          <w:t>Kapitel 10</w:t>
        </w:r>
      </w:hyperlink>
      <w:r>
        <w:t>).</w:t>
      </w:r>
    </w:p>
    <w:p w14:paraId="45B4E7C7" w14:textId="77777777" w:rsidR="001F7233" w:rsidRDefault="001F7233">
      <w:pPr>
        <w:spacing w:line="220" w:lineRule="exact"/>
      </w:pPr>
    </w:p>
    <w:p w14:paraId="482C9D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2A8D9C5" w14:textId="77777777" w:rsidR="001F7233" w:rsidRPr="00EA1518" w:rsidRDefault="00000000">
      <w:pPr>
        <w:pStyle w:val="ListParagraph"/>
        <w:numPr>
          <w:ilvl w:val="0"/>
          <w:numId w:val="1"/>
        </w:numPr>
        <w:spacing w:after="60"/>
        <w:rPr>
          <w:lang w:val="en-US"/>
        </w:rPr>
      </w:pPr>
      <w:r w:rsidRPr="00EA1518">
        <w:rPr>
          <w:lang w:val="en-US"/>
        </w:rPr>
        <w:t>USCIS — H-1B und Specialty Occupations (</w:t>
      </w:r>
      <w:hyperlink r:id="rId109">
        <w:r w:rsidR="001F7233" w:rsidRPr="00EA1518">
          <w:rPr>
            <w:color w:val="0563C1"/>
            <w:u w:val="single"/>
            <w:lang w:val="en-US"/>
          </w:rPr>
          <w:t>uscis.gov/working-in-the-united-states/h-1b-specialty-occupations</w:t>
        </w:r>
      </w:hyperlink>
      <w:r w:rsidRPr="00EA1518">
        <w:rPr>
          <w:lang w:val="en-US"/>
        </w:rPr>
        <w:t>)</w:t>
      </w:r>
    </w:p>
    <w:p w14:paraId="52B74D0E" w14:textId="77777777" w:rsidR="001F7233" w:rsidRDefault="00000000">
      <w:pPr>
        <w:pStyle w:val="ListParagraph"/>
        <w:numPr>
          <w:ilvl w:val="0"/>
          <w:numId w:val="1"/>
        </w:numPr>
        <w:spacing w:after="60"/>
      </w:pPr>
      <w:r>
        <w:t>USCIS — H-1B-FAQ zur Zusatzzahlung der Proklamation 10973 (</w:t>
      </w:r>
      <w:hyperlink r:id="rId110">
        <w:r w:rsidR="001F7233">
          <w:rPr>
            <w:color w:val="0563C1"/>
            <w:u w:val="single"/>
          </w:rPr>
          <w:t>uscis.gov/newsroom/alerts/h-1b-faq</w:t>
        </w:r>
      </w:hyperlink>
      <w:r>
        <w:t>)</w:t>
      </w:r>
    </w:p>
    <w:p w14:paraId="5D1400E7" w14:textId="77777777" w:rsidR="001F7233" w:rsidRDefault="001F7233">
      <w:pPr>
        <w:pStyle w:val="ListParagraph"/>
        <w:numPr>
          <w:ilvl w:val="0"/>
          <w:numId w:val="1"/>
        </w:numPr>
        <w:spacing w:after="60"/>
      </w:pPr>
      <w:hyperlink r:id="rId111">
        <w:r>
          <w:rPr>
            <w:rStyle w:val="Hyperlink"/>
          </w:rPr>
          <w:t>Federal Register – Proklamation 11069 vom 18. September 2026</w:t>
        </w:r>
      </w:hyperlink>
    </w:p>
    <w:p w14:paraId="6373908E" w14:textId="77777777" w:rsidR="001F7233" w:rsidRDefault="001F7233">
      <w:pPr>
        <w:pStyle w:val="ListParagraph"/>
        <w:numPr>
          <w:ilvl w:val="0"/>
          <w:numId w:val="1"/>
        </w:numPr>
        <w:spacing w:after="60"/>
      </w:pPr>
      <w:hyperlink r:id="rId112">
        <w:r w:rsidRPr="00EA1518">
          <w:rPr>
            <w:rStyle w:val="Hyperlink"/>
            <w:lang w:val="en-US"/>
          </w:rPr>
          <w:t xml:space="preserve">N.D. Cal. – order of 30 September 2026, docket 4:25-cv-08454</w:t>
        </w:r>
        <w:r>
          <w:rPr>
            <w:rStyle w:val="Hyperlink"/>
          </w:rPr>
          <w:t/>
        </w:r>
      </w:hyperlink>
    </w:p>
    <w:p w14:paraId="637D9457" w14:textId="77777777" w:rsidR="001F7233" w:rsidRDefault="001F7233">
      <w:pPr>
        <w:pStyle w:val="ListParagraph"/>
        <w:numPr>
          <w:ilvl w:val="0"/>
          <w:numId w:val="1"/>
        </w:numPr>
        <w:spacing w:after="60"/>
      </w:pPr>
      <w:hyperlink r:id="rId113">
        <w:r w:rsidRPr="00EA1518">
          <w:rPr>
            <w:rStyle w:val="Hyperlink"/>
            <w:lang w:val="en-US"/>
          </w:rPr>
          <w:t xml:space="preserve">First Circuit – California v. Mullin, Beschluss vom 24. </w:t>
        </w:r>
        <w:r>
          <w:rPr>
            <w:rStyle w:val="Hyperlink"/>
          </w:rPr>
          <w:t>Juli 2026</w:t>
        </w:r>
      </w:hyperlink>
    </w:p>
    <w:p w14:paraId="63B0B800" w14:textId="77777777" w:rsidR="001F7233" w:rsidRDefault="001F7233">
      <w:pPr>
        <w:pStyle w:val="ListParagraph"/>
        <w:numPr>
          <w:ilvl w:val="0"/>
          <w:numId w:val="1"/>
        </w:numPr>
        <w:spacing w:after="60"/>
      </w:pPr>
      <w:hyperlink r:id="rId114">
        <w:r>
          <w:rPr>
            <w:rStyle w:val="Hyperlink"/>
          </w:rPr>
          <w:t>Federal Register – DHS-Regel zur lohngewichteten H-1B-Auswahl</w:t>
        </w:r>
      </w:hyperlink>
    </w:p>
    <w:p w14:paraId="0D8FD582" w14:textId="77777777" w:rsidR="001F7233" w:rsidRDefault="00000000">
      <w:pPr>
        <w:pStyle w:val="ListParagraph"/>
        <w:numPr>
          <w:ilvl w:val="0"/>
          <w:numId w:val="1"/>
        </w:numPr>
        <w:spacing w:after="60"/>
      </w:pPr>
      <w:r>
        <w:t>USCIS — Gebührenübersicht G-1055 (</w:t>
      </w:r>
      <w:hyperlink r:id="rId115">
        <w:r w:rsidR="001F7233">
          <w:rPr>
            <w:color w:val="0563C1"/>
            <w:u w:val="single"/>
          </w:rPr>
          <w:t>uscis.gov/g-1055</w:t>
        </w:r>
      </w:hyperlink>
      <w:r>
        <w:t>)</w:t>
      </w:r>
    </w:p>
    <w:p w14:paraId="61FE9937" w14:textId="77777777" w:rsidR="001F7233" w:rsidRDefault="00000000">
      <w:pPr>
        <w:pStyle w:val="ListParagraph"/>
        <w:numPr>
          <w:ilvl w:val="0"/>
          <w:numId w:val="1"/>
        </w:numPr>
        <w:spacing w:after="60"/>
      </w:pPr>
      <w:r>
        <w:t>Federal Register — Entwürfe und Final Rules, Suche nach „H-1B“ (</w:t>
      </w:r>
      <w:hyperlink r:id="rId116">
        <w:r w:rsidR="001F7233">
          <w:rPr>
            <w:color w:val="0563C1"/>
            <w:u w:val="single"/>
          </w:rPr>
          <w:t>federalregister.gov</w:t>
        </w:r>
      </w:hyperlink>
      <w:r>
        <w:t>)</w:t>
      </w:r>
    </w:p>
    <w:p w14:paraId="7F48CDA2" w14:textId="77777777" w:rsidR="001F7233" w:rsidRPr="00EA1518" w:rsidRDefault="00000000">
      <w:pPr>
        <w:pStyle w:val="ListParagraph"/>
        <w:numPr>
          <w:ilvl w:val="0"/>
          <w:numId w:val="1"/>
        </w:numPr>
        <w:spacing w:after="60"/>
        <w:rPr>
          <w:lang w:val="en-US"/>
        </w:rPr>
      </w:pPr>
      <w:r w:rsidRPr="00EA1518">
        <w:rPr>
          <w:lang w:val="en-US"/>
        </w:rPr>
        <w:t>DOL — H-1B, LCA und Prevailing Wage (</w:t>
      </w:r>
      <w:hyperlink r:id="rId117">
        <w:r w:rsidR="001F7233" w:rsidRPr="00EA1518">
          <w:rPr>
            <w:color w:val="0563C1"/>
            <w:u w:val="single"/>
            <w:lang w:val="en-US"/>
          </w:rPr>
          <w:t>dol.gov/agencies/eta/foreign-labor/programs/h-1b</w:t>
        </w:r>
      </w:hyperlink>
      <w:r w:rsidRPr="00EA1518">
        <w:rPr>
          <w:lang w:val="en-US"/>
        </w:rPr>
        <w:t>)</w:t>
      </w:r>
    </w:p>
    <w:p w14:paraId="2705CD51" w14:textId="77777777" w:rsidR="001F7233" w:rsidRPr="00EA1518" w:rsidRDefault="00000000">
      <w:pPr>
        <w:pStyle w:val="ListParagraph"/>
        <w:numPr>
          <w:ilvl w:val="0"/>
          <w:numId w:val="1"/>
        </w:numPr>
        <w:spacing w:after="60"/>
        <w:rPr>
          <w:lang w:val="en-US"/>
        </w:rPr>
      </w:pPr>
      <w:r w:rsidRPr="00EA1518">
        <w:rPr>
          <w:lang w:val="en-US"/>
        </w:rPr>
        <w:t>DOL Wage and Hour Division — Project Firewall (</w:t>
      </w:r>
      <w:hyperlink r:id="rId118">
        <w:r w:rsidR="001F7233" w:rsidRPr="00EA1518">
          <w:rPr>
            <w:color w:val="0563C1"/>
            <w:u w:val="single"/>
            <w:lang w:val="en-US"/>
          </w:rPr>
          <w:t>dol.gov/agencies/whd/immigration/h1b/projectfirewall</w:t>
        </w:r>
      </w:hyperlink>
      <w:r w:rsidRPr="00EA1518">
        <w:rPr>
          <w:lang w:val="en-US"/>
        </w:rPr>
        <w:t>)</w:t>
      </w:r>
    </w:p>
    <w:p w14:paraId="24A273DE" w14:textId="77777777" w:rsidR="001F7233" w:rsidRDefault="00000000">
      <w:pPr>
        <w:pStyle w:val="ListParagraph"/>
        <w:numPr>
          <w:ilvl w:val="0"/>
          <w:numId w:val="1"/>
        </w:numPr>
        <w:spacing w:after="60"/>
      </w:pPr>
      <w:r>
        <w:t>State Department — Visagebühren und Wartezeiten (</w:t>
      </w:r>
      <w:hyperlink r:id="rId119">
        <w:r w:rsidR="001F7233">
          <w:rPr>
            <w:color w:val="0563C1"/>
            <w:u w:val="single"/>
          </w:rPr>
          <w:t>travel.state.gov</w:t>
        </w:r>
      </w:hyperlink>
      <w:r>
        <w:t>)</w:t>
      </w:r>
    </w:p>
    <w:p w14:paraId="0743E484" w14:textId="77777777" w:rsidR="001F7233" w:rsidRDefault="00000000">
      <w:pPr>
        <w:pStyle w:val="ListParagraph"/>
        <w:numPr>
          <w:ilvl w:val="0"/>
          <w:numId w:val="1"/>
        </w:numPr>
        <w:spacing w:after="60"/>
      </w:pPr>
      <w:r>
        <w:t>U.S. Botschaft und Konsulate in Deutschland — Visaverfahren (</w:t>
      </w:r>
      <w:hyperlink r:id="rId120">
        <w:r w:rsidR="001F7233">
          <w:rPr>
            <w:color w:val="0563C1"/>
            <w:u w:val="single"/>
          </w:rPr>
          <w:t>de.usembassy.gov/visas</w:t>
        </w:r>
      </w:hyperlink>
      <w:r>
        <w:t>)</w:t>
      </w:r>
    </w:p>
    <w:p w14:paraId="52A25FC3" w14:textId="77777777" w:rsidR="001F7233" w:rsidRDefault="001F7233">
      <w:pPr>
        <w:spacing w:line="120" w:lineRule="exact"/>
      </w:pPr>
    </w:p>
    <w:p w14:paraId="3A40A471" w14:textId="77777777" w:rsidR="001F7233" w:rsidRDefault="00000000">
      <w:r>
        <w:t>• Quellen- und Datenstand: September 2026; Redaktionsschluss: Oktober 2026. Ob die Zusatzzahlung der Proklamation 10973 erhoben wird, liest du in der Woche der Einreichung auf der USCIS-</w:t>
      </w:r>
      <w:r>
        <w:lastRenderedPageBreak/>
        <w:t>Alert-Seite. Gebühren stehen auf uscis.gov/g-1055 und travel.state.gov. Dieses Kapitel druckt sie nicht. Prüfe das, bevor jemand zahlt oder du kündigst.</w:t>
      </w:r>
    </w:p>
    <w:p w14:paraId="5CF14C67" w14:textId="77777777" w:rsidR="001F7233" w:rsidRDefault="00000000">
      <w:pPr>
        <w:spacing w:line="220" w:lineRule="exact"/>
      </w:pPr>
      <w:r>
        <w:br w:type="page"/>
      </w:r>
    </w:p>
    <w:p w14:paraId="300D04F4" w14:textId="77777777" w:rsidR="001F7233" w:rsidRDefault="00000000">
      <w:pPr>
        <w:pStyle w:val="Heading2"/>
        <w:keepNext/>
        <w:spacing w:line="341" w:lineRule="auto"/>
        <w:jc w:val="center"/>
      </w:pPr>
      <w:bookmarkStart w:id="24" w:name="k6"/>
      <w:r>
        <w:rPr>
          <w:rFonts w:ascii="Amazon Ember" w:eastAsia="Amazon Ember" w:hAnsi="Amazon Ember" w:cs="Amazon Ember"/>
          <w:color w:val="0000FF"/>
          <w:sz w:val="36"/>
          <w:szCs w:val="36"/>
        </w:rPr>
        <w:lastRenderedPageBreak/>
        <w:t>Kapitel 6: Die Green Card</w:t>
      </w:r>
      <w:bookmarkEnd w:id="24"/>
    </w:p>
    <w:p w14:paraId="7E83CFF1" w14:textId="77777777" w:rsidR="001F7233" w:rsidRDefault="00000000">
      <w:pPr>
        <w:spacing w:after="140"/>
      </w:pPr>
      <w:r>
        <w:t>Im Visa Bulletin für Oktober 2026, der monatlichen Stichtagsliste des State Department, lautet die Final Action Date für EB-2 in der Spalte „All Chargeability Areas Except Those Listed“ 1. Januar 2025; für EB-3 lautet sie 15. Mai 2024. Ein Priority Date vor dem jeweiligen Stichtag kann. Vorbehaltlich aller übrigen Anforderungen – für die Visaerteilung in Betracht kommen. Der Stichtag ist keine Zeitgarantie und gilt nur für diesen Monat.</w:t>
      </w:r>
    </w:p>
    <w:p w14:paraId="21CD3F72" w14:textId="77777777" w:rsidR="001F7233" w:rsidRDefault="00000000">
      <w:r>
        <w:rPr>
          <w:b/>
        </w:rPr>
        <w:t xml:space="preserve">KURZ GESAGT: </w:t>
      </w:r>
    </w:p>
    <w:p w14:paraId="5A07CBA8" w14:textId="77777777" w:rsidR="001F7233" w:rsidRDefault="00000000">
      <w:r>
        <w:t>• Die Green Card (Lawful Permanent Residence, LPR) ist ein unbefristetes Aufenthaltsrecht mit freier Arbeitswahl. Die Plastikkarte gilt zehn Jahre und wird erneuert, der Status bleibt, solange die USA dein Lebensmittelpunkt sind.</w:t>
      </w:r>
    </w:p>
    <w:p w14:paraId="781CE4AA" w14:textId="77777777" w:rsidR="001F7233" w:rsidRDefault="00000000">
      <w:r>
        <w:t>• Der Regelweg für Fachkräfte führt über den Arbeitgeber: Arbeitsmarktprüfung (PERM), Petition I-140, dann Statusanpassung I-485 im Inland oder Einwanderungsvisum über das Konsulat.</w:t>
      </w:r>
    </w:p>
    <w:p w14:paraId="077D3889" w14:textId="77777777" w:rsidR="001F7233" w:rsidRDefault="00000000">
      <w:r>
        <w:t>• Stand Oktober 2026: EB-1 ist für „Rest der Welt“ (also die meisten Deutschen) ohne Wartezeit. EB-2 wurde zum Start des Fiskaljahres 2027 zurückgestuft und gilt für Priority Dates vor dem 15. März 2026, EB-3 für solche vor dem 15. Mai 2024.</w:t>
      </w:r>
    </w:p>
    <w:p w14:paraId="69EE8D19" w14:textId="77777777" w:rsidR="001F7233" w:rsidRDefault="00000000">
      <w:r>
        <w:t>• Die Zeit steckt im Verfahren, nicht im Stichtag: bei PERM rund 2,5–4,5 Jahre ab Start. Selbstpetitionen (NIW, EB-1A) gehen schneller, wurden 2026 aber nur zu etwa 49 % bzw. 41 % genehmigt.</w:t>
      </w:r>
    </w:p>
    <w:p w14:paraId="7FA7F429" w14:textId="77777777" w:rsidR="001F7233" w:rsidRDefault="00000000">
      <w:r>
        <w:t>• Die Kosten der Arbeitsmarktprüfung trägt der Arbeitgeber, du zahlst die I-485-Gebühren für dich und deine Familie: 1.440 $ je Erwachsenem, 950 $ je Kind unter 14 (Papierantrag).</w:t>
      </w:r>
    </w:p>
    <w:p w14:paraId="694EC14D" w14:textId="77777777" w:rsidR="001F7233" w:rsidRDefault="00000000">
      <w:r>
        <w:t>• Als Green-Card-Inhaber wirst du weltweit in den USA besteuert und Auslandsaufenthalte von mehr als 180 Tagen gefährden den Status.</w:t>
      </w:r>
    </w:p>
    <w:p w14:paraId="0D5AA348" w14:textId="77777777" w:rsidR="001F7233" w:rsidRDefault="001F7233">
      <w:pPr>
        <w:spacing w:line="220" w:lineRule="exact"/>
      </w:pPr>
    </w:p>
    <w:p w14:paraId="6936C1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Green Card ist und was sie nicht ist</w:t>
      </w:r>
    </w:p>
    <w:p w14:paraId="74B385E3" w14:textId="77777777" w:rsidR="001F7233" w:rsidRDefault="00000000">
      <w:pPr>
        <w:spacing w:after="140"/>
      </w:pPr>
      <w:r>
        <w:rPr>
          <w:i/>
          <w:iCs/>
        </w:rPr>
        <w:t>Beim Begriff lohnt Genauigkeit: Ein Visum ist der Einreisestempel im Pass, den das Konsulat ausstellt. Die Green Card dagegen ein Status – eine unbefristete Aufenthaltserlaubnis im Land. Nur die Plastikkarte hat ein Ablaufdatum, denn sie gilt zehn Jahre und wird in den letzten sechs Monaten davor erneuert (Form I-90, 465 $ Papier, 415 $ online).</w:t>
      </w:r>
    </w:p>
    <w:p w14:paraId="26245CF0" w14:textId="77777777" w:rsidR="001F7233" w:rsidRDefault="00000000">
      <w:pPr>
        <w:spacing w:after="140"/>
      </w:pPr>
      <w:r>
        <w:t>Was sie dir gibt: Leben in jedem Bundesstaat, Arbeit für jeden Arbeitgeber oder Selbständigkeit, das Nachholen von Ehepartner und unverheirateten Kindern per Familienpetition (Kapitel 10) und nach fünf Jahren die Einbürgerung (Kapitel 41). Was sie nicht gibt: Wahlrecht, Stellen mit Staatsbürgerschaftserfordernis, ein unbegrenztes Recht auf Abwesenheit. Am nächsten kommt ihr die deutsche Niederlassungserlaubnis: unbefristet, freier Arbeitsmarkt, kein Wahlrecht und sie löst die enge Arbeitgeberbindung des H-1B (Kapitel 5) – allerdings erst spät im Verfahren; der Vergleich beider Wege steht in Kapitel 7.</w:t>
      </w:r>
    </w:p>
    <w:p w14:paraId="5C0E2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Überblick</w:t>
      </w:r>
    </w:p>
    <w:p w14:paraId="25DE2E88" w14:textId="77777777" w:rsidR="001F7233" w:rsidRDefault="00000000">
      <w:pPr>
        <w:spacing w:after="140"/>
      </w:pPr>
      <w:r>
        <w:rPr>
          <w:i/>
          <w:iCs/>
        </w:rPr>
        <w:t>Es gibt fünf Türen: Arbeit, Familie, Investition, Lotterie und die 2025 eingeführte Gold Card. Für die meisten Leser dieses Buchs die Arbeit. Die arbeitsbasierten Kategorien EB-1 bis EB-3 (Employment-Based) teilen sich ein Jahreslimit von 186.317 Visa fürs Fiskaljahr 2026 (EB-1 bis EB-5 zusammen). Ehepartner und unverheiratete Kinder unter 21 sind als Derivate mitgeschützt und teilen Kategorie und Priority Date.</w:t>
      </w:r>
    </w:p>
    <w:p w14:paraId="57ABE39B" w14:textId="77777777" w:rsidR="001F7233" w:rsidRDefault="00000000">
      <w:r>
        <w:rPr>
          <w:b/>
        </w:rPr>
        <w:t>EB-1A</w:t>
      </w:r>
    </w:p>
    <w:p w14:paraId="7847A718" w14:textId="77777777" w:rsidR="001F7233" w:rsidRDefault="00000000">
      <w:r>
        <w:rPr>
          <w:b/>
        </w:rPr>
        <w:t xml:space="preserve">Für wen: </w:t>
      </w:r>
      <w:r>
        <w:t>Außergewöhnliche Fähigkeiten, Selbstpetition</w:t>
      </w:r>
    </w:p>
    <w:p w14:paraId="6FE2323C" w14:textId="77777777" w:rsidR="001F7233" w:rsidRPr="00EA1518" w:rsidRDefault="00000000">
      <w:pPr>
        <w:rPr>
          <w:lang w:val="en-US"/>
        </w:rPr>
      </w:pPr>
      <w:r w:rsidRPr="00EA1518">
        <w:rPr>
          <w:b/>
          <w:lang w:val="en-US"/>
        </w:rPr>
        <w:t xml:space="preserve">PERM: </w:t>
      </w:r>
      <w:r w:rsidRPr="00EA1518">
        <w:rPr>
          <w:lang w:val="en-US"/>
        </w:rPr>
        <w:t>Nein</w:t>
      </w:r>
    </w:p>
    <w:p w14:paraId="53AE2500" w14:textId="77777777" w:rsidR="001F7233" w:rsidRPr="00EA1518" w:rsidRDefault="00000000">
      <w:pPr>
        <w:rPr>
          <w:lang w:val="en-US"/>
        </w:rPr>
      </w:pPr>
      <w:r w:rsidRPr="00EA1518">
        <w:rPr>
          <w:b/>
          <w:lang w:val="en-US"/>
        </w:rPr>
        <w:t xml:space="preserve">I-140-Quote 2026: </w:t>
      </w:r>
      <w:r w:rsidRPr="00EA1518">
        <w:rPr>
          <w:lang w:val="en-US"/>
        </w:rPr>
        <w:t>ca. 41 %</w:t>
      </w:r>
    </w:p>
    <w:p w14:paraId="5ACE5EEB" w14:textId="77777777" w:rsidR="001F7233" w:rsidRDefault="00000000">
      <w:r>
        <w:rPr>
          <w:b/>
        </w:rPr>
        <w:t>EB-1B</w:t>
      </w:r>
    </w:p>
    <w:p w14:paraId="3A1C491E" w14:textId="77777777" w:rsidR="001F7233" w:rsidRDefault="00000000">
      <w:r>
        <w:rPr>
          <w:b/>
        </w:rPr>
        <w:lastRenderedPageBreak/>
        <w:t xml:space="preserve">Für wen: </w:t>
      </w:r>
      <w:r>
        <w:t>Forschende, Professoren mit unbefristetem Angebot</w:t>
      </w:r>
    </w:p>
    <w:p w14:paraId="6A2DE561" w14:textId="77777777" w:rsidR="001F7233" w:rsidRPr="00EA1518" w:rsidRDefault="00000000">
      <w:pPr>
        <w:rPr>
          <w:lang w:val="en-US"/>
        </w:rPr>
      </w:pPr>
      <w:r w:rsidRPr="00EA1518">
        <w:rPr>
          <w:b/>
          <w:lang w:val="en-US"/>
        </w:rPr>
        <w:t xml:space="preserve">PERM: </w:t>
      </w:r>
      <w:r w:rsidRPr="00EA1518">
        <w:rPr>
          <w:lang w:val="en-US"/>
        </w:rPr>
        <w:t>Nein</w:t>
      </w:r>
    </w:p>
    <w:p w14:paraId="7DC5A023" w14:textId="77777777" w:rsidR="001F7233" w:rsidRPr="00EA1518" w:rsidRDefault="00000000">
      <w:pPr>
        <w:rPr>
          <w:lang w:val="en-US"/>
        </w:rPr>
      </w:pPr>
      <w:r w:rsidRPr="00EA1518">
        <w:rPr>
          <w:b/>
          <w:lang w:val="en-US"/>
        </w:rPr>
        <w:t xml:space="preserve">I-140-Quote 2026: </w:t>
      </w:r>
      <w:r w:rsidRPr="00EA1518">
        <w:rPr>
          <w:lang w:val="en-US"/>
        </w:rPr>
        <w:t>ca. 94 %</w:t>
      </w:r>
    </w:p>
    <w:p w14:paraId="219D601E" w14:textId="77777777" w:rsidR="001F7233" w:rsidRDefault="00000000">
      <w:r>
        <w:rPr>
          <w:b/>
        </w:rPr>
        <w:t>EB-1C</w:t>
      </w:r>
    </w:p>
    <w:p w14:paraId="2D7D2D0D" w14:textId="77777777" w:rsidR="001F7233" w:rsidRDefault="00000000">
      <w:r>
        <w:rPr>
          <w:b/>
        </w:rPr>
        <w:t xml:space="preserve">Für wen: </w:t>
      </w:r>
      <w:r>
        <w:t>Führungskräfte mit Konzernbezug (z. B. nach L-1A)</w:t>
      </w:r>
    </w:p>
    <w:p w14:paraId="36361082" w14:textId="77777777" w:rsidR="001F7233" w:rsidRPr="00EA1518" w:rsidRDefault="00000000">
      <w:pPr>
        <w:rPr>
          <w:lang w:val="en-US"/>
        </w:rPr>
      </w:pPr>
      <w:r w:rsidRPr="00EA1518">
        <w:rPr>
          <w:b/>
          <w:lang w:val="en-US"/>
        </w:rPr>
        <w:t xml:space="preserve">PERM: </w:t>
      </w:r>
      <w:r w:rsidRPr="00EA1518">
        <w:rPr>
          <w:lang w:val="en-US"/>
        </w:rPr>
        <w:t>Nein</w:t>
      </w:r>
    </w:p>
    <w:p w14:paraId="53241B53" w14:textId="77777777" w:rsidR="001F7233" w:rsidRPr="00EA1518" w:rsidRDefault="00000000">
      <w:pPr>
        <w:rPr>
          <w:lang w:val="en-US"/>
        </w:rPr>
      </w:pPr>
      <w:r w:rsidRPr="00EA1518">
        <w:rPr>
          <w:b/>
          <w:lang w:val="en-US"/>
        </w:rPr>
        <w:t xml:space="preserve">I-140-Quote 2026: </w:t>
      </w:r>
      <w:r w:rsidRPr="00EA1518">
        <w:rPr>
          <w:lang w:val="en-US"/>
        </w:rPr>
        <w:t>ca. 97 %</w:t>
      </w:r>
    </w:p>
    <w:p w14:paraId="2B391FA9" w14:textId="77777777" w:rsidR="001F7233" w:rsidRDefault="00000000">
      <w:r>
        <w:rPr>
          <w:b/>
        </w:rPr>
        <w:t>EB-2</w:t>
      </w:r>
    </w:p>
    <w:p w14:paraId="49806E6F" w14:textId="77777777" w:rsidR="001F7233" w:rsidRDefault="00000000">
      <w:r>
        <w:rPr>
          <w:b/>
        </w:rPr>
        <w:t xml:space="preserve">Für wen: </w:t>
      </w:r>
      <w:r>
        <w:t>Master oder Bachelor plus fünf Jahre Erfahrung</w:t>
      </w:r>
    </w:p>
    <w:p w14:paraId="5F198292" w14:textId="77777777" w:rsidR="001F7233" w:rsidRPr="00EA1518" w:rsidRDefault="00000000">
      <w:pPr>
        <w:rPr>
          <w:lang w:val="en-US"/>
        </w:rPr>
      </w:pPr>
      <w:r w:rsidRPr="00EA1518">
        <w:rPr>
          <w:b/>
          <w:lang w:val="en-US"/>
        </w:rPr>
        <w:t xml:space="preserve">PERM: </w:t>
      </w:r>
      <w:r w:rsidRPr="00EA1518">
        <w:rPr>
          <w:lang w:val="en-US"/>
        </w:rPr>
        <w:t>Ja</w:t>
      </w:r>
    </w:p>
    <w:p w14:paraId="70B30A9B" w14:textId="77777777" w:rsidR="001F7233" w:rsidRPr="00EA1518" w:rsidRDefault="00000000">
      <w:pPr>
        <w:rPr>
          <w:lang w:val="en-US"/>
        </w:rPr>
      </w:pPr>
      <w:r w:rsidRPr="00EA1518">
        <w:rPr>
          <w:b/>
          <w:lang w:val="en-US"/>
        </w:rPr>
        <w:t xml:space="preserve">I-140-Quote 2026: </w:t>
      </w:r>
      <w:r w:rsidRPr="00EA1518">
        <w:rPr>
          <w:lang w:val="en-US"/>
        </w:rPr>
        <w:t>ca. 97 %</w:t>
      </w:r>
    </w:p>
    <w:p w14:paraId="1FAAC7E8" w14:textId="77777777" w:rsidR="001F7233" w:rsidRDefault="00000000">
      <w:r>
        <w:rPr>
          <w:b/>
        </w:rPr>
        <w:t>EB-2 NIW</w:t>
      </w:r>
    </w:p>
    <w:p w14:paraId="75C3E2D3" w14:textId="77777777" w:rsidR="001F7233" w:rsidRDefault="00000000">
      <w:r>
        <w:rPr>
          <w:b/>
        </w:rPr>
        <w:t xml:space="preserve">Für wen: </w:t>
      </w:r>
      <w:r>
        <w:t>Vorhaben von nationalem Interesse, Selbstpetition</w:t>
      </w:r>
    </w:p>
    <w:p w14:paraId="76E1A6CB" w14:textId="77777777" w:rsidR="001F7233" w:rsidRPr="00EA1518" w:rsidRDefault="00000000">
      <w:pPr>
        <w:rPr>
          <w:lang w:val="en-US"/>
        </w:rPr>
      </w:pPr>
      <w:r w:rsidRPr="00EA1518">
        <w:rPr>
          <w:b/>
          <w:lang w:val="en-US"/>
        </w:rPr>
        <w:t xml:space="preserve">PERM: </w:t>
      </w:r>
      <w:r w:rsidRPr="00EA1518">
        <w:rPr>
          <w:lang w:val="en-US"/>
        </w:rPr>
        <w:t>Nein</w:t>
      </w:r>
    </w:p>
    <w:p w14:paraId="49C8BA8C" w14:textId="77777777" w:rsidR="001F7233" w:rsidRPr="00EA1518" w:rsidRDefault="00000000">
      <w:pPr>
        <w:rPr>
          <w:lang w:val="en-US"/>
        </w:rPr>
      </w:pPr>
      <w:r w:rsidRPr="00EA1518">
        <w:rPr>
          <w:b/>
          <w:lang w:val="en-US"/>
        </w:rPr>
        <w:t xml:space="preserve">I-140-Quote 2026: </w:t>
      </w:r>
      <w:r w:rsidRPr="00EA1518">
        <w:rPr>
          <w:lang w:val="en-US"/>
        </w:rPr>
        <w:t>ca. 49 %</w:t>
      </w:r>
    </w:p>
    <w:p w14:paraId="34A96FFE" w14:textId="77777777" w:rsidR="001F7233" w:rsidRDefault="00000000">
      <w:r>
        <w:rPr>
          <w:b/>
        </w:rPr>
        <w:t>EB-3</w:t>
      </w:r>
    </w:p>
    <w:p w14:paraId="633A22A9" w14:textId="77777777" w:rsidR="001F7233" w:rsidRDefault="00000000">
      <w:r>
        <w:rPr>
          <w:b/>
        </w:rPr>
        <w:t xml:space="preserve">Für wen: </w:t>
      </w:r>
      <w:r>
        <w:t>Fachkräfte und Bachelor-Berufe</w:t>
      </w:r>
    </w:p>
    <w:p w14:paraId="4850A0DC" w14:textId="77777777" w:rsidR="001F7233" w:rsidRPr="00EA1518" w:rsidRDefault="00000000">
      <w:pPr>
        <w:rPr>
          <w:lang w:val="en-US"/>
        </w:rPr>
      </w:pPr>
      <w:r w:rsidRPr="00EA1518">
        <w:rPr>
          <w:b/>
          <w:lang w:val="en-US"/>
        </w:rPr>
        <w:t xml:space="preserve">PERM: </w:t>
      </w:r>
      <w:r w:rsidRPr="00EA1518">
        <w:rPr>
          <w:lang w:val="en-US"/>
        </w:rPr>
        <w:t>Ja</w:t>
      </w:r>
    </w:p>
    <w:p w14:paraId="5837EE3D" w14:textId="77777777" w:rsidR="001F7233" w:rsidRPr="00EA1518" w:rsidRDefault="00000000">
      <w:pPr>
        <w:rPr>
          <w:lang w:val="en-US"/>
        </w:rPr>
      </w:pPr>
      <w:r w:rsidRPr="00EA1518">
        <w:rPr>
          <w:b/>
          <w:lang w:val="en-US"/>
        </w:rPr>
        <w:t xml:space="preserve">I-140-Quote 2026: </w:t>
      </w:r>
      <w:r w:rsidRPr="00EA1518">
        <w:rPr>
          <w:lang w:val="en-US"/>
        </w:rPr>
        <w:t>ca. 97–98 %</w:t>
      </w:r>
    </w:p>
    <w:p w14:paraId="74BB7D96" w14:textId="77777777" w:rsidR="001F7233" w:rsidRPr="00EA1518" w:rsidRDefault="001F7233">
      <w:pPr>
        <w:spacing w:line="180" w:lineRule="exact"/>
        <w:rPr>
          <w:lang w:val="en-US"/>
        </w:rPr>
      </w:pPr>
    </w:p>
    <w:p w14:paraId="57CDE51E" w14:textId="77777777" w:rsidR="001F7233" w:rsidRDefault="00000000">
      <w:pPr>
        <w:spacing w:after="140"/>
      </w:pPr>
      <w:r>
        <w:rPr>
          <w:i/>
          <w:iCs/>
        </w:rPr>
        <w:t>Die Quote ist der Anteil genehmigter an den entschiedenen I-140-Petitionen in den ersten drei Quartalen des Fiskaljahres 2026 (eigene Rechnung aus USCIS-Quartalsdaten). Sonderfälle wie die Schedule A, eine Liste von Mangelberufen (u. a. Pflegekräfte, Physiotherapeuten), kommen ohne PERM aus.</w:t>
      </w:r>
    </w:p>
    <w:p w14:paraId="10DB9308" w14:textId="77777777" w:rsidR="001F7233" w:rsidRDefault="00000000">
      <w:pPr>
        <w:spacing w:after="140"/>
      </w:pPr>
      <w:r>
        <w:t>Die Kategorie richtet sich nach den Anforderungen der Stelle, nicht allein nach deinem Lebenslauf: Verlangt sie einen Master, ist EB-2 möglich, derzeit ohne Stichtag. Bei EB-3 gilt für Deutsche ein Stichtag, neue Fälle warten also. Die Anforderungen müssen der Stelle tatsächlich entsprechen – die Einstufung nimmt die Kanzlei vor.</w:t>
      </w:r>
    </w:p>
    <w:p w14:paraId="52A459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Selbstpetition: NIW und EB-1A</w:t>
      </w:r>
    </w:p>
    <w:p w14:paraId="060285B7" w14:textId="77777777" w:rsidR="001F7233" w:rsidRDefault="00000000">
      <w:pPr>
        <w:spacing w:after="140"/>
      </w:pPr>
      <w:r>
        <w:rPr>
          <w:i/>
          <w:iCs/>
        </w:rPr>
        <w:t>Zwei Wege kommen ohne Arbeitgeber und PERM aus. Beim National Interest Waiver (NIW, Verzicht auf Jobangebot und Arbeitsmarktprüfung) beantragst du die Green Card in EB-2 selbst. Das läuft nach der Entscheidung Matter of Dhanasar (2016) mit drei Prüfschritten: substanzieller Wert und nationale Bedeutung des Vorhabens, gute Position, es voranzubringen und ein Verzicht auf das Jobangebot im US-Interesse. Die EB-1A verlangt einen Spitzenpreis oder drei von zehn Kriterien (etwa Veröffentlichungen, Gutachtertätigkeit, hohe Bezahlung) plus Gesamtwürdigung.</w:t>
      </w:r>
    </w:p>
    <w:p w14:paraId="29D06D70" w14:textId="77777777" w:rsidR="001F7233" w:rsidRDefault="00000000">
      <w:pPr>
        <w:spacing w:after="140"/>
      </w:pPr>
      <w:r>
        <w:t>Beide gelten als Weg für Forschende, Gründer und Spezialisten, seit 2025 aber deutlich härter. Die NIW-Quote lag laut USCIS-Quartalsdaten im ersten Quartal des Fiskaljahres 2026 bei rund 42 %, im dritten bei 55 %, kumuliert bei etwa 49 % (Vergleich Fiskaljahr 2022 laut Kanzleien: rund 96 %). Die EB-1A fiel von 47,5 % auf 32,2 %, kumuliert auf etwa 41 %. Im Januar 2025 überarbeitete USCIS seine NIW-Prüfleitlinien (strukturiertere Prüfung, höhere Anforderungen an Belege, laut Kanzleiangaben).</w:t>
      </w:r>
    </w:p>
    <w:p w14:paraId="3C031EC1" w14:textId="77777777" w:rsidR="001F7233" w:rsidRDefault="00000000">
      <w:r>
        <w:rPr>
          <w:b/>
        </w:rPr>
        <w:t xml:space="preserve">ACHTUNG: </w:t>
      </w:r>
    </w:p>
    <w:p w14:paraId="5EBFAD60" w14:textId="77777777" w:rsidR="001F7233" w:rsidRDefault="00000000">
      <w:r>
        <w:t>• Gut jede zweite NIW-Petition und rund sechs von zehn EB-1A-Petitionen wurden in den ersten drei Quartalen des Fiskaljahres 2026 abgelehnt. Die Quoten sagen nichts über deinen Einzelfall, sprechen aber gegen eine Selbstpetition ohne anwaltliche Vorprüfung. Halte einen Plan B bereit: den Arbeitgeberweg mit PERM, parallel oder als Rückfall.</w:t>
      </w:r>
    </w:p>
    <w:p w14:paraId="7A6B1EDA" w14:textId="77777777" w:rsidR="001F7233" w:rsidRDefault="001F7233">
      <w:pPr>
        <w:spacing w:line="220" w:lineRule="exact"/>
      </w:pPr>
    </w:p>
    <w:p w14:paraId="7A8B8F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über den Arbeitgeber: PERM, I-140, I-485</w:t>
      </w:r>
    </w:p>
    <w:p w14:paraId="57082B38" w14:textId="77777777" w:rsidR="001F7233" w:rsidRDefault="00000000">
      <w:pPr>
        <w:spacing w:after="140"/>
      </w:pPr>
      <w:r>
        <w:rPr>
          <w:i/>
          <w:iCs/>
        </w:rPr>
        <w:t xml:space="preserve">Verbreiteter Irrtum: Nach ein paar Jahren im H-1B kommt die Green Card irgendwann von selbst. Tatsächlich passiert nichts automatisch – </w:t>
      </w:r>
      <w:r>
        <w:rPr>
          <w:i/>
          <w:iCs/>
        </w:rPr>
        <w:lastRenderedPageBreak/>
        <w:t>ohne einen Arbeitgeber, der die Arbeitsmarktprüfung PERM anstößt oder eine eigene Selbstpetition bleibst du auf Dauer im befristeten Status, auch nach zehn Jahren. Die meisten Fachkräfte gehen deshalb aktiv den folgenden Weg, oft aus dem H-1B oder L-1 heraus. Beide Status erlauben Dual Intent, also die gleichzeitige Green-Card-Absicht. Er hat sechs Stationen:</w:t>
      </w:r>
    </w:p>
    <w:p w14:paraId="6F6ED8FC" w14:textId="77777777" w:rsidR="001F7233" w:rsidRDefault="00000000">
      <w:pPr>
        <w:pStyle w:val="ListParagraph"/>
        <w:numPr>
          <w:ilvl w:val="0"/>
          <w:numId w:val="11"/>
        </w:numPr>
        <w:spacing w:after="60"/>
      </w:pPr>
      <w:r>
        <w:rPr>
          <w:b/>
          <w:bCs/>
        </w:rPr>
        <w:t>Lohnbescheid</w:t>
      </w:r>
      <w:r>
        <w:t xml:space="preserve"> (</w:t>
      </w:r>
      <w:r>
        <w:rPr>
          <w:i/>
          <w:iCs/>
        </w:rPr>
        <w:t>Prevailing Wage Determination</w:t>
      </w:r>
      <w:r>
        <w:t>, PWD): Das Arbeitsministerium DOL legt den Mindestlohn für Stelle und Arbeitsort fest (Form ETA-9141).</w:t>
      </w:r>
    </w:p>
    <w:p w14:paraId="0A872CFE" w14:textId="77777777" w:rsidR="001F7233" w:rsidRDefault="00000000">
      <w:pPr>
        <w:pStyle w:val="ListParagraph"/>
        <w:numPr>
          <w:ilvl w:val="0"/>
          <w:numId w:val="2"/>
        </w:numPr>
        <w:spacing w:after="60"/>
      </w:pPr>
      <w:r>
        <w:rPr>
          <w:b/>
          <w:bCs/>
        </w:rPr>
        <w:t>Stellensuche</w:t>
      </w:r>
      <w:r>
        <w:t xml:space="preserve"> (</w:t>
      </w:r>
      <w:r>
        <w:rPr>
          <w:i/>
          <w:iCs/>
        </w:rPr>
        <w:t>Recruitment</w:t>
      </w:r>
      <w:r>
        <w:t>): Der Arbeitgeber schreibt die Stelle vorschriftsmäßig aus: 30 Tage bei der Arbeitsagentur des Bundesstaats, zwei Sonntagsanzeigen, drei weitere Schritte aus einer Liste von zehn, ein interner Aushang, danach 30 Tage Ruhezeit. Meldet sich ein qualifizierter US-Arbeitnehmer, kann die Zertifizierung scheitern.</w:t>
      </w:r>
    </w:p>
    <w:p w14:paraId="7ED5C00C" w14:textId="77777777" w:rsidR="001F7233" w:rsidRDefault="00000000">
      <w:pPr>
        <w:pStyle w:val="ListParagraph"/>
        <w:numPr>
          <w:ilvl w:val="0"/>
          <w:numId w:val="2"/>
        </w:numPr>
        <w:spacing w:after="60"/>
      </w:pPr>
      <w:r>
        <w:rPr>
          <w:b/>
          <w:bCs/>
        </w:rPr>
        <w:t>Antrag ETA-9089</w:t>
      </w:r>
      <w:r>
        <w:t xml:space="preserve"> über das Portal FLAG des DOL. Mit der Einreichung entsteht dein </w:t>
      </w:r>
      <w:r>
        <w:rPr>
          <w:i/>
          <w:iCs/>
        </w:rPr>
        <w:t>Priority Date</w:t>
      </w:r>
      <w:r>
        <w:t>, dein Platz in der Warteschlange.</w:t>
      </w:r>
    </w:p>
    <w:p w14:paraId="693579E7" w14:textId="77777777" w:rsidR="001F7233" w:rsidRDefault="00000000">
      <w:pPr>
        <w:pStyle w:val="ListParagraph"/>
        <w:numPr>
          <w:ilvl w:val="0"/>
          <w:numId w:val="2"/>
        </w:numPr>
        <w:spacing w:after="60"/>
      </w:pPr>
      <w:r>
        <w:rPr>
          <w:b/>
          <w:bCs/>
        </w:rPr>
        <w:t>Prüfung und Zertifizierung:</w:t>
      </w:r>
      <w:r>
        <w:t xml:space="preserve"> Nach der Analystenprüfung bestätigt das DOL die PERM (</w:t>
      </w:r>
      <w:r>
        <w:rPr>
          <w:i/>
          <w:iCs/>
        </w:rPr>
        <w:t>Labor Certification</w:t>
      </w:r>
      <w:r>
        <w:t>), gültig 180 Tage für die nächste Station.</w:t>
      </w:r>
    </w:p>
    <w:p w14:paraId="43928256" w14:textId="77777777" w:rsidR="001F7233" w:rsidRDefault="00000000">
      <w:pPr>
        <w:pStyle w:val="ListParagraph"/>
        <w:numPr>
          <w:ilvl w:val="0"/>
          <w:numId w:val="2"/>
        </w:numPr>
        <w:spacing w:after="60"/>
      </w:pPr>
      <w:r>
        <w:rPr>
          <w:b/>
          <w:bCs/>
        </w:rPr>
        <w:t>Petition I-140</w:t>
      </w:r>
      <w:r>
        <w:t xml:space="preserve"> bei USCIS: Der Arbeitgeber weist Bedarf, Zahlungsfähigkeit und deine Qualifikation nach.</w:t>
      </w:r>
    </w:p>
    <w:p w14:paraId="669EFAE7" w14:textId="77777777" w:rsidR="001F7233" w:rsidRDefault="00000000">
      <w:pPr>
        <w:pStyle w:val="ListParagraph"/>
        <w:numPr>
          <w:ilvl w:val="0"/>
          <w:numId w:val="2"/>
        </w:numPr>
        <w:spacing w:after="60"/>
      </w:pPr>
      <w:r>
        <w:rPr>
          <w:b/>
          <w:bCs/>
        </w:rPr>
        <w:t>I-485 oder Konsulat:</w:t>
      </w:r>
      <w:r>
        <w:t xml:space="preserve"> Sobald dein Priority Date erreicht ist, folgt die Statusanpassung im Inland oder das Einwanderungsvisum (nächster Abschnitt).</w:t>
      </w:r>
    </w:p>
    <w:p w14:paraId="7C0C4BB4" w14:textId="77777777" w:rsidR="001F7233" w:rsidRDefault="001F7233">
      <w:pPr>
        <w:spacing w:line="120" w:lineRule="exact"/>
      </w:pPr>
    </w:p>
    <w:p w14:paraId="7EC125C8" w14:textId="77777777" w:rsidR="001F7233" w:rsidRDefault="00000000">
      <w:r>
        <w:rPr>
          <w:b/>
        </w:rPr>
        <w:t>Lohnbescheid (PWD)</w:t>
      </w:r>
    </w:p>
    <w:p w14:paraId="52D3715A" w14:textId="77777777" w:rsidR="001F7233" w:rsidRDefault="00000000">
      <w:r>
        <w:rPr>
          <w:b/>
        </w:rPr>
        <w:t>Dauer (Datenstand September 2026; geprüft im Oktober 2026): ca. 3,5–4 Monate; DOL bearbeitet Anträge von Mai 2026</w:t>
      </w:r>
    </w:p>
    <w:p w14:paraId="14B061BD" w14:textId="77777777" w:rsidR="001F7233" w:rsidRDefault="00000000">
      <w:r>
        <w:rPr>
          <w:b/>
        </w:rPr>
        <w:t xml:space="preserve">Kosten und wer zahlt: </w:t>
      </w:r>
      <w:r>
        <w:t>Keine DOL-Gebühr</w:t>
      </w:r>
    </w:p>
    <w:p w14:paraId="4DA2538B" w14:textId="77777777" w:rsidR="001F7233" w:rsidRDefault="00000000">
      <w:r>
        <w:rPr>
          <w:b/>
        </w:rPr>
        <w:t>Stellensuche</w:t>
      </w:r>
    </w:p>
    <w:p w14:paraId="676BEB10" w14:textId="77777777" w:rsidR="001F7233" w:rsidRDefault="00000000">
      <w:r>
        <w:rPr>
          <w:b/>
        </w:rPr>
        <w:t>Dauer (Datenstand September 2026; geprüft im Oktober 2026): ca. 2–3 Monate (Schätzung)</w:t>
      </w:r>
    </w:p>
    <w:p w14:paraId="3225B069" w14:textId="77777777" w:rsidR="001F7233" w:rsidRDefault="00000000">
      <w:r>
        <w:rPr>
          <w:b/>
        </w:rPr>
        <w:lastRenderedPageBreak/>
        <w:t xml:space="preserve">Kosten und wer zahlt: </w:t>
      </w:r>
      <w:r>
        <w:t>Anzeigen, Kanzlei: Arbeitgeber</w:t>
      </w:r>
    </w:p>
    <w:p w14:paraId="6AED7FB0" w14:textId="77777777" w:rsidR="001F7233" w:rsidRDefault="00000000">
      <w:r>
        <w:rPr>
          <w:b/>
        </w:rPr>
        <w:t>PERM (ETA-9089)</w:t>
      </w:r>
    </w:p>
    <w:p w14:paraId="34487115" w14:textId="77777777" w:rsidR="001F7233" w:rsidRDefault="00000000">
      <w:r>
        <w:rPr>
          <w:b/>
        </w:rPr>
        <w:t>Dauer (Datenstand September 2026; geprüft im Oktober 2026): Analystenprüfung im Schnitt 336 Tage; Audit dauert länger</w:t>
      </w:r>
    </w:p>
    <w:p w14:paraId="5A270D11" w14:textId="77777777" w:rsidR="001F7233" w:rsidRDefault="00000000">
      <w:r>
        <w:rPr>
          <w:b/>
        </w:rPr>
        <w:t xml:space="preserve">Kosten und wer zahlt: </w:t>
      </w:r>
      <w:r>
        <w:t>Keine DOL-Gebühr; Arbeitgeber</w:t>
      </w:r>
    </w:p>
    <w:p w14:paraId="272D283C" w14:textId="77777777" w:rsidR="001F7233" w:rsidRDefault="00000000">
      <w:r>
        <w:rPr>
          <w:b/>
        </w:rPr>
        <w:t>I-140</w:t>
      </w:r>
    </w:p>
    <w:p w14:paraId="0A6D3E39" w14:textId="77777777" w:rsidR="001F7233" w:rsidRDefault="00000000">
      <w:r>
        <w:rPr>
          <w:b/>
        </w:rPr>
        <w:t>Dauer (Datenstand September 2026; geprüft im Oktober 2026): Reguläre Dauer schwankt. Mit Premium Processing (Form I-907) 15 Werktage (45 bei EB-1C und NIW).</w:t>
      </w:r>
    </w:p>
    <w:p w14:paraId="1BF8BB92" w14:textId="77777777" w:rsidR="001F7233" w:rsidRDefault="00000000">
      <w:r>
        <w:rPr>
          <w:b/>
        </w:rPr>
        <w:t xml:space="preserve">Kosten und wer zahlt: </w:t>
      </w:r>
      <w:r>
        <w:t>715 $ (online 665 $) plus 600 $ Asylum Program Fee; Premium 2.965 $</w:t>
      </w:r>
    </w:p>
    <w:p w14:paraId="30407F9F" w14:textId="77777777" w:rsidR="001F7233" w:rsidRDefault="00000000">
      <w:r>
        <w:rPr>
          <w:b/>
        </w:rPr>
        <w:t>I-485 im Inland</w:t>
      </w:r>
    </w:p>
    <w:p w14:paraId="356CB75A" w14:textId="77777777" w:rsidR="001F7233" w:rsidRDefault="00000000">
      <w:r>
        <w:rPr>
          <w:b/>
        </w:rPr>
        <w:t>Dauer (Datenstand September 2026; geprüft im Oktober 2026): ca. 8–24 Monate (Aggregatorenangaben)</w:t>
      </w:r>
    </w:p>
    <w:p w14:paraId="26C2C134" w14:textId="77777777" w:rsidR="001F7233" w:rsidRDefault="00000000">
      <w:r>
        <w:rPr>
          <w:b/>
        </w:rPr>
        <w:t xml:space="preserve">Kosten und wer zahlt: </w:t>
      </w:r>
      <w:r>
        <w:t>1.440 $ (online 1.390 $) je Erwachsenem: du</w:t>
      </w:r>
    </w:p>
    <w:p w14:paraId="187AA2A3" w14:textId="77777777" w:rsidR="001F7233" w:rsidRDefault="001F7233">
      <w:pPr>
        <w:spacing w:line="180" w:lineRule="exact"/>
      </w:pPr>
    </w:p>
    <w:p w14:paraId="33BE0A47" w14:textId="77777777" w:rsidR="001F7233" w:rsidRDefault="00000000">
      <w:pPr>
        <w:spacing w:after="140"/>
      </w:pPr>
      <w:r>
        <w:t>Zum Tempo: Ende August 2026 prüfte das DOL PERM-Anträge vom November 2025. Wer heute einreicht, kann sich auf rund ein Jahr Wartezeit allein für diesen Schritt einstellen. Nach zertifizierter PERM wird die I-140 in den allermeisten Fällen genehmigt (EB-2 ohne NIW 97 %, EB-3 97–98 %). Die Bremse ist der I-485: Am Ende des dritten Quartals des Fiskaljahres 2026 waren rund 268.000 arbeitsbasierte Anträge anhängig, im Quartal wurden rund 42.000 genehmigt. Beschleunigen lässt sich nur die I-140, nicht der I-485.</w:t>
      </w:r>
    </w:p>
    <w:p w14:paraId="1C9D0F13" w14:textId="77777777" w:rsidR="001F7233" w:rsidRDefault="00000000">
      <w:r>
        <w:rPr>
          <w:b/>
        </w:rPr>
        <w:t xml:space="preserve">ACHTUNG: </w:t>
      </w:r>
    </w:p>
    <w:p w14:paraId="5058181B" w14:textId="77777777" w:rsidR="001F7233" w:rsidRDefault="00000000">
      <w:r>
        <w:t>• Kläre das Sponsoring vor der Vertragsunterschrift schriftlich: Wann startet der Arbeitgeber die PERM, wer zahlt was, was gilt bei einer Kündigung? Die Kosten der Arbeitsmarktprüfung (Anzeigen, Kanzlei) trägt der Arbeitgeber. Er darf sie weder ganz noch teilweise von dir zurückverlangen (Bundesvorschrift 20 CFR 656.12(b)). Nur einen eigenen, gesonderten Anwalt darfst du selbst bezahlen. Prüfe auch, ob der Vertrag Rückzahlungsklauseln enthält – und bedenke: Dein Priority Date entsteht erst mit dem Antrag ETA-9089, jeder Monat Zögern beim Start verschiebt alles.</w:t>
      </w:r>
    </w:p>
    <w:p w14:paraId="5EA1933B" w14:textId="77777777" w:rsidR="001F7233" w:rsidRDefault="001F7233">
      <w:pPr>
        <w:spacing w:line="220" w:lineRule="exact"/>
      </w:pPr>
    </w:p>
    <w:p w14:paraId="779A2C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Nach der I-140: I-485, Arbeitserlaubnis, Jobwechsel</w:t>
      </w:r>
    </w:p>
    <w:p w14:paraId="70BB6368" w14:textId="77777777" w:rsidR="001F7233" w:rsidRDefault="00000000">
      <w:pPr>
        <w:spacing w:after="140"/>
      </w:pPr>
      <w:r>
        <w:rPr>
          <w:i/>
          <w:iCs/>
        </w:rPr>
        <w:t>Ist dein Priority Date nach der USCIS-Tabelle bereits erreicht, kannst du I-140 und I-485 zusammen einreichen (Concurrent Filing). Im Oktober 2026 gilt das für EB-1 (Rest der Welt), weil USCIS diesen Monat die Dates-for-Filing-Tabelle freigegeben hat, gilt es zudem für EB-2 mit Priority Date vor dem 15. März 2026 und EB-3 vor dem 1. August 2024. Mit dem I-485 beantragst du auf Wunsch eine Arbeitserlaubnis (Employment Authorization Document, EAD; Form I-765, 260 $) und ein Reisedokument (Advance Parole; Form I-131, 630 $, online 580 $). Für neue Anträge gilt die EAD seit Dezember 2025 höchstens 18 Monate (vorher fünf Jahre), seit Ende Oktober 2025 laut Kanzleiberichten ohne automatische Fortgeltung bei Verlängerungsanträgen. Auch dein Ehepartner kann mit seinem I-485 eine EAD beantragen und damit für jeden Arbeitgeber arbeiten (Kapitel 10).</w:t>
      </w:r>
    </w:p>
    <w:p w14:paraId="5FE173CE" w14:textId="77777777" w:rsidR="001F7233" w:rsidRDefault="00000000">
      <w:pPr>
        <w:spacing w:after="140"/>
      </w:pPr>
      <w:r>
        <w:t>Was du selbst zahlst: die I-485-Gebühr je Antragsteller, dazu je nach Bedarf EAD und Advance Parole, den Arzt (für das Formular I-693 verlangt USCIS keine Gebühr, die Praxis schon) und Übersetzungen.</w:t>
      </w:r>
    </w:p>
    <w:p w14:paraId="67249CBF" w14:textId="77777777" w:rsidR="001F7233" w:rsidRDefault="00000000">
      <w:r>
        <w:rPr>
          <w:b/>
        </w:rPr>
        <w:t xml:space="preserve">SPARTIPP: </w:t>
      </w:r>
    </w:p>
    <w:p w14:paraId="029E2F58" w14:textId="77777777" w:rsidR="001F7233" w:rsidRDefault="00000000">
      <w:r>
        <w:t>• Reichst du den I-485 online ein, sparst du 50 $ je Antrag. Bei zwei Erwachsenen und zwei Kindern unter 14 sind das 200 $.</w:t>
      </w:r>
    </w:p>
    <w:p w14:paraId="098B0249" w14:textId="77777777" w:rsidR="001F7233" w:rsidRDefault="001F7233">
      <w:pPr>
        <w:spacing w:line="220" w:lineRule="exact"/>
      </w:pPr>
    </w:p>
    <w:p w14:paraId="34E370A8" w14:textId="77777777" w:rsidR="001F7233" w:rsidRDefault="00000000">
      <w:pPr>
        <w:spacing w:after="140"/>
      </w:pPr>
      <w:r>
        <w:t>Nach 180 Tagen mit anhängigem I-485 darfst du den Arbeitgeber wechseln, wenn die I-140 genehmigt oder genehmigungsfähig ist und das neue Angebot in derselben oder einer ähnlichen Tätigkeit liegt (</w:t>
      </w:r>
      <w:r>
        <w:rPr>
          <w:i/>
          <w:iCs/>
        </w:rPr>
        <w:t>AC21</w:t>
      </w:r>
      <w:r>
        <w:t>, Kapitel </w:t>
      </w:r>
      <w:hyperlink w:anchor="k30">
        <w:r w:rsidR="001F7233">
          <w:t>30</w:t>
        </w:r>
      </w:hyperlink>
      <w:r>
        <w:t>). Verlängerungen des H-1B über sechs Jahre hinaus erklärt Kapitel </w:t>
      </w:r>
      <w:hyperlink w:anchor="k5">
        <w:r w:rsidR="001F7233">
          <w:t>5</w:t>
        </w:r>
      </w:hyperlink>
      <w:r>
        <w:t>.</w:t>
      </w:r>
    </w:p>
    <w:p w14:paraId="1465A81A" w14:textId="77777777" w:rsidR="001F7233" w:rsidRDefault="001F7233">
      <w:pPr>
        <w:spacing w:line="220" w:lineRule="exact"/>
      </w:pPr>
    </w:p>
    <w:p w14:paraId="1AEEB8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 Inland oder über das Konsulat?</w:t>
      </w:r>
    </w:p>
    <w:p w14:paraId="531CD740" w14:textId="77777777" w:rsidR="001F7233" w:rsidRDefault="00000000">
      <w:pPr>
        <w:spacing w:after="140"/>
      </w:pPr>
      <w:r>
        <w:rPr>
          <w:i/>
          <w:iCs/>
        </w:rPr>
        <w:t>Ist deine Kategorie current oder dein Priority Date erreicht, führen zwei Türen zur Karte. Bei der Statusanpassung (Adjustment of Status, Form I-485) bleibst du in den USA und wechselst bei USCIS in den LPR-Status. Beim Consular Processing reist du dagegen mit einem Einwanderungsvisum ein. Das Verfahren läuft über das Nationale Visumzentrum (National Visa Center, NVC) und das Generalkonsulat Frankfurt, das laut Kanzleiangaben alle Einwanderungsvisa für Deutschland bearbeitet.</w:t>
      </w:r>
    </w:p>
    <w:p w14:paraId="147A9139" w14:textId="77777777" w:rsidR="001F7233" w:rsidRDefault="00000000">
      <w:r>
        <w:rPr>
          <w:b/>
        </w:rPr>
        <w:t>Geeignet für</w:t>
      </w:r>
    </w:p>
    <w:p w14:paraId="3D220722" w14:textId="77777777" w:rsidR="001F7233" w:rsidRDefault="00000000">
      <w:r>
        <w:rPr>
          <w:b/>
        </w:rPr>
        <w:t xml:space="preserve">I-485 im Inland: </w:t>
      </w:r>
      <w:r>
        <w:t>Wer schon in H-1B oder L-1 im Land ist</w:t>
      </w:r>
    </w:p>
    <w:p w14:paraId="5D786B82" w14:textId="77777777" w:rsidR="001F7233" w:rsidRDefault="00000000">
      <w:r>
        <w:rPr>
          <w:b/>
        </w:rPr>
        <w:t xml:space="preserve">Konsulat Frankfurt: </w:t>
      </w:r>
      <w:r>
        <w:t>Wer in Deutschland lebt oder ausreist</w:t>
      </w:r>
    </w:p>
    <w:p w14:paraId="6FC130FE" w14:textId="77777777" w:rsidR="001F7233" w:rsidRDefault="00000000">
      <w:r>
        <w:rPr>
          <w:b/>
        </w:rPr>
        <w:t>Dauer</w:t>
      </w:r>
    </w:p>
    <w:p w14:paraId="61816726" w14:textId="77777777" w:rsidR="001F7233" w:rsidRDefault="00000000">
      <w:r>
        <w:rPr>
          <w:b/>
        </w:rPr>
        <w:t xml:space="preserve">I-485 im Inland: </w:t>
      </w:r>
      <w:r>
        <w:t>ca. 8–24 Monate</w:t>
      </w:r>
    </w:p>
    <w:p w14:paraId="3C5F05C8" w14:textId="77777777" w:rsidR="001F7233" w:rsidRDefault="00000000">
      <w:r>
        <w:rPr>
          <w:b/>
        </w:rPr>
        <w:t xml:space="preserve">Konsulat Frankfurt: </w:t>
      </w:r>
      <w:r>
        <w:t>ca. 4–8 Monate nach I-140 (Schätzung)</w:t>
      </w:r>
    </w:p>
    <w:p w14:paraId="246D8F7E" w14:textId="77777777" w:rsidR="001F7233" w:rsidRDefault="00000000">
      <w:r>
        <w:rPr>
          <w:b/>
        </w:rPr>
        <w:t>Behördengebühren</w:t>
      </w:r>
    </w:p>
    <w:p w14:paraId="1A269357" w14:textId="77777777" w:rsidR="001F7233" w:rsidRDefault="00000000">
      <w:r>
        <w:rPr>
          <w:b/>
        </w:rPr>
        <w:t xml:space="preserve">I-485 im Inland: </w:t>
      </w:r>
      <w:r>
        <w:t>1.440 $ (online 1.390 $); Kind unter 14 mit Elternteil 950 $ (900 $)</w:t>
      </w:r>
    </w:p>
    <w:p w14:paraId="54EF3DC8" w14:textId="77777777" w:rsidR="001F7233" w:rsidRDefault="00000000">
      <w:r>
        <w:rPr>
          <w:b/>
        </w:rPr>
        <w:t xml:space="preserve">Konsulat Frankfurt: </w:t>
      </w:r>
      <w:r>
        <w:t>Visumantrag DS-260 rund 345 $ je Person (Familienfälle 325 $); USCIS Immigrant Fee 235 $</w:t>
      </w:r>
    </w:p>
    <w:p w14:paraId="7921FEF0" w14:textId="77777777" w:rsidR="001F7233" w:rsidRDefault="00000000">
      <w:r>
        <w:rPr>
          <w:b/>
        </w:rPr>
        <w:t>Ärztliche Prüfung</w:t>
      </w:r>
    </w:p>
    <w:p w14:paraId="283E42DD" w14:textId="77777777" w:rsidR="001F7233" w:rsidRDefault="00000000">
      <w:r>
        <w:rPr>
          <w:b/>
        </w:rPr>
        <w:t xml:space="preserve">I-485 im Inland: </w:t>
      </w:r>
      <w:r>
        <w:t>Formular I-693 bei einem Civil Surgeon in den USA</w:t>
      </w:r>
    </w:p>
    <w:p w14:paraId="7797CD8E" w14:textId="77777777" w:rsidR="001F7233" w:rsidRDefault="00000000">
      <w:r>
        <w:rPr>
          <w:b/>
        </w:rPr>
        <w:t xml:space="preserve">Konsulat Frankfurt: </w:t>
      </w:r>
      <w:r>
        <w:t>Zugelassener Arzt (Panel Physician) in Deutschland</w:t>
      </w:r>
    </w:p>
    <w:p w14:paraId="15B5C669" w14:textId="77777777" w:rsidR="001F7233" w:rsidRDefault="00000000">
      <w:r>
        <w:rPr>
          <w:b/>
        </w:rPr>
        <w:t>Ergebnis</w:t>
      </w:r>
    </w:p>
    <w:p w14:paraId="79896D80" w14:textId="77777777" w:rsidR="001F7233" w:rsidRDefault="00000000">
      <w:r>
        <w:rPr>
          <w:b/>
        </w:rPr>
        <w:t xml:space="preserve">I-485 im Inland: </w:t>
      </w:r>
      <w:r>
        <w:t>Green Card per Post</w:t>
      </w:r>
    </w:p>
    <w:p w14:paraId="283AD305" w14:textId="77777777" w:rsidR="001F7233" w:rsidRDefault="00000000">
      <w:r>
        <w:rPr>
          <w:b/>
        </w:rPr>
        <w:t xml:space="preserve">Konsulat Frankfurt: </w:t>
      </w:r>
      <w:r>
        <w:t>Visum im Pass, nach der Einreise Green Card per Post</w:t>
      </w:r>
    </w:p>
    <w:p w14:paraId="73BE22AE" w14:textId="77777777" w:rsidR="001F7233" w:rsidRDefault="001F7233">
      <w:pPr>
        <w:spacing w:line="180" w:lineRule="exact"/>
      </w:pPr>
    </w:p>
    <w:p w14:paraId="6045726F" w14:textId="77777777" w:rsidR="001F7233" w:rsidRDefault="00000000">
      <w:pPr>
        <w:spacing w:after="140"/>
      </w:pPr>
      <w:r>
        <w:t xml:space="preserve">Die Beträge des Konsulats stammen aus Kanzleiangaben, die aktuelle Gebühr steht auf travel.state.gov. Das Einwanderungsvisum gilt meist sechs Monate; in dieser Zeit musst du einreisen. Fürs Interview brauchst du unter anderem Pass, Geburts-, gegebenenfalls </w:t>
      </w:r>
      <w:r>
        <w:lastRenderedPageBreak/>
        <w:t>Heiratsurkunde und ein polizeiliches Führungszeugnis – das deutsche ab 16 Jahren beim Bundesamt für Justiz (fuehrungszeugnis.bund.de), Verwendungszweck „zur Vorlage bei einer ausländischen Behörde“. Ob eine Übersetzung nötig ist, klärt das Konsulat (Näheres zu Übersetzungen und Apostillen in Kapitel </w:t>
      </w:r>
      <w:hyperlink w:anchor="k19">
        <w:r w:rsidR="001F7233">
          <w:t>19</w:t>
        </w:r>
      </w:hyperlink>
      <w:r>
        <w:t>). Bei gut belegten arbeitsbasierten Fällen entscheidet USCIS im Inland häufig ohne Interview.</w:t>
      </w:r>
    </w:p>
    <w:p w14:paraId="6343E4AA" w14:textId="77777777" w:rsidR="001F7233" w:rsidRDefault="00000000">
      <w:pPr>
        <w:spacing w:after="140"/>
      </w:pPr>
      <w:r>
        <w:t>In der Praxis wählen Beschäftigte, die schon im Land sind, meist den I-485. Das Konsulat passt, wenn du noch in Deutschland lebst, etwa nach einem genehmigten NIW. Bei current-Kategorie kann es nach der I-140 schneller gehen, verlangt aber die Ausreise.</w:t>
      </w:r>
    </w:p>
    <w:p w14:paraId="3EA82D84" w14:textId="77777777" w:rsidR="001F7233" w:rsidRDefault="00000000">
      <w:r>
        <w:rPr>
          <w:b/>
        </w:rPr>
        <w:t xml:space="preserve">ACHTUNG: </w:t>
      </w:r>
    </w:p>
    <w:p w14:paraId="54E70009" w14:textId="77777777" w:rsidR="001F7233" w:rsidRDefault="00000000">
      <w:r>
        <w:t>• Mit ESTA einreisen und dann im Land die Green Card beantragen funktioniert nur für Ehepartner von US-Bürgern. Für alle anderen gilt: Wer mit der Absicht einreist, zu bleiben, ohne das offenzulegen, riskiert den Vorwurf der Täuschung, mit Folgen bis zur Einreisesperre. ESTA erlaubt zudem keine Arbeit (</w:t>
      </w:r>
      <w:hyperlink w:anchor="k9">
        <w:r w:rsidR="001F7233">
          <w:rPr>
            <w:color w:val="0563C1"/>
            <w:u w:val="single"/>
          </w:rPr>
          <w:t>Kapitel 9</w:t>
        </w:r>
      </w:hyperlink>
      <w:r>
        <w:t>). Wer im Ausland lebt, geht das Konsularverfahren.</w:t>
      </w:r>
    </w:p>
    <w:p w14:paraId="3CF9465E" w14:textId="77777777" w:rsidR="001F7233" w:rsidRDefault="001F7233">
      <w:pPr>
        <w:spacing w:line="220" w:lineRule="exact"/>
      </w:pPr>
    </w:p>
    <w:p w14:paraId="420D499B" w14:textId="77777777" w:rsidR="001F7233" w:rsidRDefault="00000000">
      <w:pPr>
        <w:pStyle w:val="Heading3"/>
        <w:keepNext/>
        <w:spacing w:line="341" w:lineRule="auto"/>
        <w:jc w:val="center"/>
      </w:pPr>
      <w:bookmarkStart w:id="25" w:name="idx_Visa_Bulletin"/>
      <w:r>
        <w:rPr>
          <w:rFonts w:ascii="Amazon Ember" w:eastAsia="Amazon Ember" w:hAnsi="Amazon Ember" w:cs="Amazon Ember"/>
          <w:color w:val="0000FF"/>
          <w:sz w:val="36"/>
          <w:szCs w:val="36"/>
        </w:rPr>
        <w:t>Das Visa Bulletin lesen</w:t>
      </w:r>
      <w:bookmarkEnd w:id="25"/>
    </w:p>
    <w:p w14:paraId="12CDA7C3" w14:textId="77777777" w:rsidR="001F7233" w:rsidRDefault="00000000">
      <w:pPr>
        <w:pStyle w:val="Heading3"/>
        <w:keepNext/>
        <w:spacing w:line="341" w:lineRule="auto"/>
        <w:jc w:val="center"/>
      </w:pPr>
      <w:r>
        <w:t xml:space="preserve">Faktenbeispiel für Oktober 2026: Die Final Action Date für EB-2 „All Chargeability Areas Except Those Listed“ war 1. Januar 2025. Ein Priority Date vor diesem Stichtag kann in diesem Monat die Visa-Verfügbarkeit eröffnen, sofern alle weiteren </w:t>
      </w:r>
      <w:r>
        <w:lastRenderedPageBreak/>
        <w:t>Bedingungen erfüllt sind. Der nächste Monatsbulletin kann den Stichtag verschieben.</w:t>
      </w:r>
    </w:p>
    <w:p w14:paraId="76A99F41" w14:textId="77777777" w:rsidR="001F7233" w:rsidRDefault="00000000">
      <w:pPr>
        <w:spacing w:after="140"/>
      </w:pPr>
      <w:r>
        <w:rPr>
          <w:i/>
          <w:iCs/>
        </w:rPr>
        <w:t>Die Zahl der Green Cards ist pro Kategorie gedeckelt, kein Land darf mehr als rund sieben Prozent aller Visa erhalten (FY2026: 28.862 je Land). Deshalb veröffentlicht das State Department monatlich das Visa Bulletin. Drei Begriffe erklären es:</w:t>
      </w:r>
    </w:p>
    <w:p w14:paraId="644F8263" w14:textId="77777777" w:rsidR="001F7233" w:rsidRDefault="00000000">
      <w:pPr>
        <w:pStyle w:val="ListParagraph"/>
        <w:numPr>
          <w:ilvl w:val="0"/>
          <w:numId w:val="1"/>
        </w:numPr>
        <w:spacing w:after="60"/>
      </w:pPr>
      <w:r>
        <w:rPr>
          <w:b/>
          <w:bCs/>
        </w:rPr>
        <w:t>Priority Date (PD):</w:t>
      </w:r>
      <w:r>
        <w:t xml:space="preserve"> dein Platz in der Warteschlange – bei PERM-Fällen der Tag der ETA-9089-Einreichung, sonst (EB-1, NIW) der Tag der I-140-Einreichung. Ein genehmigtes I-140 behält das PD in der Regel auch beim Arbeitgeberwechsel (Kapitel </w:t>
      </w:r>
      <w:hyperlink w:anchor="k30">
        <w:r w:rsidR="001F7233">
          <w:t>30</w:t>
        </w:r>
      </w:hyperlink>
      <w:r>
        <w:t>).</w:t>
      </w:r>
    </w:p>
    <w:p w14:paraId="594A00E1" w14:textId="77777777" w:rsidR="001F7233" w:rsidRDefault="00000000">
      <w:pPr>
        <w:pStyle w:val="ListParagraph"/>
        <w:numPr>
          <w:ilvl w:val="0"/>
          <w:numId w:val="1"/>
        </w:numPr>
        <w:spacing w:after="60"/>
      </w:pPr>
      <w:r>
        <w:rPr>
          <w:b/>
          <w:bCs/>
        </w:rPr>
        <w:t>Stichtag</w:t>
      </w:r>
      <w:r>
        <w:t xml:space="preserve"> (</w:t>
      </w:r>
      <w:r>
        <w:rPr>
          <w:i/>
          <w:iCs/>
        </w:rPr>
        <w:t>Cutoff Date</w:t>
      </w:r>
      <w:r>
        <w:t xml:space="preserve">): Nur wer ein PD davor hat, ist an der Reihe: C steht für </w:t>
      </w:r>
      <w:r>
        <w:rPr>
          <w:i/>
          <w:iCs/>
        </w:rPr>
        <w:t>current</w:t>
      </w:r>
      <w:r>
        <w:t xml:space="preserve"> (alle dran), U für </w:t>
      </w:r>
      <w:r>
        <w:rPr>
          <w:i/>
          <w:iCs/>
        </w:rPr>
        <w:t>unavailable</w:t>
      </w:r>
      <w:r>
        <w:t xml:space="preserve"> (keine Visa).</w:t>
      </w:r>
    </w:p>
    <w:p w14:paraId="0710ADAE" w14:textId="77777777" w:rsidR="001F7233" w:rsidRDefault="00000000">
      <w:pPr>
        <w:pStyle w:val="ListParagraph"/>
        <w:numPr>
          <w:ilvl w:val="0"/>
          <w:numId w:val="1"/>
        </w:numPr>
        <w:spacing w:after="60"/>
      </w:pPr>
      <w:r>
        <w:t>Zwei Tabellen: Final Action Dates zeigen, ab wann genehmigt werden darf, Dates for Filing, ab wann du einreichen darfst. Welche Tabelle für den I-485 zählt, legt USCIS monatlich fest: Für Oktober 2026 gilt bei arbeits- und familienbasierten Anträgen die Dates-for-Filing-Tabelle (</w:t>
      </w:r>
      <w:hyperlink r:id="rId121">
        <w:r w:rsidR="001F7233">
          <w:rPr>
            <w:color w:val="0563C1"/>
            <w:u w:val="single"/>
          </w:rPr>
          <w:t>uscis.gov/green-card</w:t>
        </w:r>
      </w:hyperlink>
      <w:r>
        <w:t>). Genehmigt wird trotzdem erst, wenn das Priority Date auch vor dem Final Action Date liegt.</w:t>
      </w:r>
    </w:p>
    <w:p w14:paraId="25E39BF1" w14:textId="77777777" w:rsidR="001F7233" w:rsidRDefault="001F7233">
      <w:pPr>
        <w:spacing w:line="120" w:lineRule="exact"/>
      </w:pPr>
    </w:p>
    <w:p w14:paraId="27E23B14" w14:textId="77777777" w:rsidR="001F7233" w:rsidRPr="00EA1518" w:rsidRDefault="00000000">
      <w:pPr>
        <w:spacing w:after="140"/>
        <w:rPr>
          <w:lang w:val="en-US"/>
        </w:rPr>
      </w:pPr>
      <w:r>
        <w:rPr>
          <w:i/>
          <w:iCs/>
        </w:rPr>
        <w:t xml:space="preserve">Die geltende Spalte bestimmt dein Geburtsland (Country of Chargeability), nicht dein Pass. Eine in Indien geborene Deutsche zählt zur Spalte Indien. Die Zurechnung über den Ehepartner klärt im Zweifel die Kanzlei. </w:t>
      </w:r>
      <w:r w:rsidRPr="00EA1518">
        <w:rPr>
          <w:i/>
          <w:iCs/>
          <w:lang w:val="en-US"/>
        </w:rPr>
        <w:t>„Rest der Welt“ ist die Spalte „All Chargeability Areas Except Those Listed“.</w:t>
      </w:r>
    </w:p>
    <w:p w14:paraId="2D012F88" w14:textId="77777777" w:rsidR="001F7233" w:rsidRDefault="00000000">
      <w:r>
        <w:rPr>
          <w:b/>
        </w:rPr>
        <w:t>EB-1</w:t>
      </w:r>
    </w:p>
    <w:p w14:paraId="21892FE7" w14:textId="77777777" w:rsidR="001F7233" w:rsidRDefault="00000000">
      <w:r>
        <w:rPr>
          <w:b/>
        </w:rPr>
        <w:t xml:space="preserve">Rest der Welt: </w:t>
      </w:r>
      <w:r>
        <w:t>current (C)</w:t>
      </w:r>
    </w:p>
    <w:p w14:paraId="26FF6CF0" w14:textId="77777777" w:rsidR="001F7233" w:rsidRDefault="00000000">
      <w:r>
        <w:rPr>
          <w:b/>
        </w:rPr>
        <w:t xml:space="preserve">China: </w:t>
      </w:r>
      <w:r>
        <w:t>1. Juli 2023</w:t>
      </w:r>
    </w:p>
    <w:p w14:paraId="3002F99F" w14:textId="77777777" w:rsidR="001F7233" w:rsidRDefault="00000000">
      <w:r>
        <w:rPr>
          <w:b/>
        </w:rPr>
        <w:t xml:space="preserve">Indien: </w:t>
      </w:r>
      <w:r>
        <w:t>1. Februar 2023</w:t>
      </w:r>
    </w:p>
    <w:p w14:paraId="7D2F18B5" w14:textId="77777777" w:rsidR="001F7233" w:rsidRDefault="00000000">
      <w:r>
        <w:rPr>
          <w:b/>
        </w:rPr>
        <w:t>EB-2</w:t>
      </w:r>
    </w:p>
    <w:p w14:paraId="12D3D0B1" w14:textId="77777777" w:rsidR="001F7233" w:rsidRDefault="00000000">
      <w:r>
        <w:rPr>
          <w:b/>
        </w:rPr>
        <w:t xml:space="preserve">Rest der Welt: </w:t>
      </w:r>
      <w:r>
        <w:t>15. März 2026</w:t>
      </w:r>
    </w:p>
    <w:p w14:paraId="62F9D05E" w14:textId="77777777" w:rsidR="001F7233" w:rsidRDefault="00000000">
      <w:r>
        <w:rPr>
          <w:b/>
        </w:rPr>
        <w:lastRenderedPageBreak/>
        <w:t xml:space="preserve">China: </w:t>
      </w:r>
      <w:r>
        <w:t>1. Oktober 2021</w:t>
      </w:r>
    </w:p>
    <w:p w14:paraId="24BB9D96" w14:textId="77777777" w:rsidR="001F7233" w:rsidRDefault="00000000">
      <w:r>
        <w:rPr>
          <w:b/>
        </w:rPr>
        <w:t xml:space="preserve">Indien: </w:t>
      </w:r>
      <w:r>
        <w:t>1. November 2013</w:t>
      </w:r>
    </w:p>
    <w:p w14:paraId="4C994B7F" w14:textId="77777777" w:rsidR="001F7233" w:rsidRDefault="00000000">
      <w:r>
        <w:rPr>
          <w:b/>
        </w:rPr>
        <w:t>EB-3</w:t>
      </w:r>
    </w:p>
    <w:p w14:paraId="2FF23655" w14:textId="77777777" w:rsidR="001F7233" w:rsidRDefault="00000000">
      <w:r>
        <w:rPr>
          <w:b/>
        </w:rPr>
        <w:t xml:space="preserve">Rest der Welt: </w:t>
      </w:r>
      <w:r>
        <w:t>1. August 2024</w:t>
      </w:r>
    </w:p>
    <w:p w14:paraId="7A1B23A2" w14:textId="77777777" w:rsidR="001F7233" w:rsidRDefault="00000000">
      <w:r>
        <w:rPr>
          <w:b/>
        </w:rPr>
        <w:t xml:space="preserve">China: </w:t>
      </w:r>
      <w:r>
        <w:t>8. Januar 2022</w:t>
      </w:r>
    </w:p>
    <w:p w14:paraId="7E32E600" w14:textId="77777777" w:rsidR="001F7233" w:rsidRDefault="00000000">
      <w:r>
        <w:rPr>
          <w:b/>
        </w:rPr>
        <w:t xml:space="preserve">Indien: </w:t>
      </w:r>
      <w:r>
        <w:t>1. Januar 2014</w:t>
      </w:r>
    </w:p>
    <w:p w14:paraId="01AE7A6D" w14:textId="77777777" w:rsidR="001F7233" w:rsidRDefault="001F7233">
      <w:pPr>
        <w:spacing w:line="180" w:lineRule="exact"/>
      </w:pPr>
    </w:p>
    <w:p w14:paraId="1D9B54C8" w14:textId="77777777" w:rsidR="001F7233" w:rsidRDefault="00000000">
      <w:pPr>
        <w:spacing w:after="140"/>
      </w:pPr>
      <w:r>
        <w:t>Beispiel: Ein PERM-Antrag vom Oktober 2025 hat das Priority Date Oktober 2025. In EB-2 liegt das vor dem Filing-Stichtag vom 15. März 2026, der I-485 darf im Oktober 2026 also eingereicht werden. Genehmigt werden kann er erst, wenn das Final Action Date über Oktober 2025 vorrückt. Im Oktober 2026 lag es noch beim 1. Januar 2025. Das Filing Date vom 15. März 2026 erlaubt also die Einreichung, nicht die Genehmigung. In EB-3 liegt dasselbe Datum hinter beiden Stichtagen – noch keine Einreichung. Eine in Indien geborene Kollegin mit demselben Datum wartet in EB-3 hinter dem Stichtag vom 1. Januar 2014 Jahre auf den Aufruf.</w:t>
      </w:r>
    </w:p>
    <w:p w14:paraId="6B104470" w14:textId="77777777" w:rsidR="001F7233" w:rsidRDefault="00000000">
      <w:pPr>
        <w:spacing w:after="140"/>
      </w:pPr>
      <w:r>
        <w:t>Der Verlauf zeigt, wie schnell sich das dreht: EB-2 (Rest der Welt) stand im Oktober 2025 bei 1. Dezember 2023, im März 2026 bei 15. Oktober 2024, von April bis September 2026 war es current. Mit dem Oktober-Bulletin 2026 sprang es auf den 15. März 2026 zurück, EB-3 vom 1. September 2024 auf den 15. Mai 2024. Das State Department begründet die Rückstufung damit, die Ausgabe im neuen Fiskaljahr in den Quartals- und Jahresgrenzen zu halten.</w:t>
      </w:r>
    </w:p>
    <w:p w14:paraId="6A1E6DFA" w14:textId="77777777" w:rsidR="001F7233" w:rsidRDefault="00000000">
      <w:r>
        <w:rPr>
          <w:b/>
        </w:rPr>
        <w:t xml:space="preserve">ACHTUNG: </w:t>
      </w:r>
    </w:p>
    <w:p w14:paraId="2C6E023D" w14:textId="77777777" w:rsidR="001F7233" w:rsidRDefault="00000000">
      <w:r>
        <w:t xml:space="preserve">• Stichtage bewegen sich in beide Richtungen, wie die Rückstufung im Oktober 2026 zeigt. Prüfe jeden Monat </w:t>
      </w:r>
      <w:hyperlink r:id="rId122">
        <w:r w:rsidR="001F7233">
          <w:rPr>
            <w:color w:val="0563C1"/>
            <w:u w:val="single"/>
          </w:rPr>
          <w:t>travel.state.gov/visabulletin</w:t>
        </w:r>
      </w:hyperlink>
      <w:r>
        <w:t xml:space="preserve"> und die USCIS-Seite, welche Tabelle gilt. Erlaubt die Tabelle eine Einreichung und ist die I-140 genehmigt oder wird sie mit eingereicht, reiche den I-485 sofort ein: Ein eingereichter Antrag bleibt bei einer späteren Rückstufung anhängig und wird entschieden, sobald dein PD wieder vor dem Stichtag liegt.</w:t>
      </w:r>
    </w:p>
    <w:p w14:paraId="13589FA7" w14:textId="77777777" w:rsidR="001F7233" w:rsidRDefault="001F7233">
      <w:pPr>
        <w:spacing w:line="220" w:lineRule="exact"/>
      </w:pPr>
    </w:p>
    <w:p w14:paraId="49F173B4" w14:textId="77777777" w:rsidR="001F7233" w:rsidRDefault="00000000">
      <w:r>
        <w:rPr>
          <w:b/>
        </w:rPr>
        <w:t xml:space="preserve">MERKE: </w:t>
      </w:r>
    </w:p>
    <w:p w14:paraId="4EF09668" w14:textId="77777777" w:rsidR="001F7233" w:rsidRDefault="00000000">
      <w:r>
        <w:lastRenderedPageBreak/>
        <w:t>• Die Wartezeit ergibt sich aus Geburtsland, Kategorie und Priority Date. Der Beruf allein entscheidet nichts.</w:t>
      </w:r>
    </w:p>
    <w:p w14:paraId="7EC701B3" w14:textId="77777777" w:rsidR="001F7233" w:rsidRDefault="001F7233">
      <w:pPr>
        <w:spacing w:line="220" w:lineRule="exact"/>
      </w:pPr>
    </w:p>
    <w:p w14:paraId="33991B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wirklich?</w:t>
      </w:r>
    </w:p>
    <w:p w14:paraId="13CB5C90" w14:textId="77777777" w:rsidR="001F7233" w:rsidRDefault="00000000">
      <w:r>
        <w:rPr>
          <w:b/>
        </w:rPr>
        <w:t>PERM, EB-2</w:t>
      </w:r>
    </w:p>
    <w:p w14:paraId="7BAACDC9" w14:textId="77777777" w:rsidR="001F7233" w:rsidRDefault="00000000">
      <w:r>
        <w:rPr>
          <w:b/>
        </w:rPr>
        <w:t xml:space="preserve">Gesamtdauer ab Start: </w:t>
      </w:r>
      <w:r>
        <w:t>ca. 2,5–4,5 Jahre</w:t>
      </w:r>
    </w:p>
    <w:p w14:paraId="62A5912D" w14:textId="77777777" w:rsidR="001F7233" w:rsidRDefault="00000000">
      <w:r>
        <w:rPr>
          <w:b/>
        </w:rPr>
        <w:t xml:space="preserve">Was den Ausschlag gibt: </w:t>
      </w:r>
      <w:r>
        <w:t>Analystenprüfung, I-485</w:t>
      </w:r>
    </w:p>
    <w:p w14:paraId="04BF609D" w14:textId="77777777" w:rsidR="001F7233" w:rsidRDefault="00000000">
      <w:r>
        <w:rPr>
          <w:b/>
        </w:rPr>
        <w:t>PERM, EB-3</w:t>
      </w:r>
    </w:p>
    <w:p w14:paraId="3CEA24C7" w14:textId="77777777" w:rsidR="001F7233" w:rsidRDefault="00000000">
      <w:r>
        <w:rPr>
          <w:b/>
        </w:rPr>
        <w:t xml:space="preserve">Gesamtdauer ab Start: </w:t>
      </w:r>
      <w:r>
        <w:t>wie EB-2, plus Wartezeit</w:t>
      </w:r>
    </w:p>
    <w:p w14:paraId="7D91B38A" w14:textId="77777777" w:rsidR="001F7233" w:rsidRDefault="00000000">
      <w:r>
        <w:rPr>
          <w:b/>
        </w:rPr>
        <w:t xml:space="preserve">Was den Ausschlag gibt: </w:t>
      </w:r>
      <w:r>
        <w:t>Stichtag 15. Mai 2024</w:t>
      </w:r>
    </w:p>
    <w:p w14:paraId="59A1BFC0" w14:textId="77777777" w:rsidR="001F7233" w:rsidRDefault="00000000">
      <w:r>
        <w:rPr>
          <w:b/>
        </w:rPr>
        <w:t>EB-1C, EB-1A, NIW</w:t>
      </w:r>
    </w:p>
    <w:p w14:paraId="2D460417" w14:textId="77777777" w:rsidR="001F7233" w:rsidRDefault="00000000">
      <w:r>
        <w:rPr>
          <w:b/>
        </w:rPr>
        <w:t xml:space="preserve">Gesamtdauer ab Start: </w:t>
      </w:r>
      <w:r>
        <w:t>ca. 1–2,5 Jahre bei Genehmigung</w:t>
      </w:r>
    </w:p>
    <w:p w14:paraId="7217A9F0" w14:textId="77777777" w:rsidR="001F7233" w:rsidRDefault="00000000">
      <w:r>
        <w:rPr>
          <w:b/>
        </w:rPr>
        <w:t xml:space="preserve">Was den Ausschlag gibt: </w:t>
      </w:r>
      <w:r>
        <w:t>Ablehnungsrisiko</w:t>
      </w:r>
    </w:p>
    <w:p w14:paraId="10DF5640" w14:textId="77777777" w:rsidR="001F7233" w:rsidRDefault="00000000">
      <w:r>
        <w:rPr>
          <w:b/>
        </w:rPr>
        <w:t>Ehepartner eines US-Bürgers</w:t>
      </w:r>
    </w:p>
    <w:p w14:paraId="62FC84AE" w14:textId="77777777" w:rsidR="001F7233" w:rsidRDefault="00000000">
      <w:r>
        <w:rPr>
          <w:b/>
        </w:rPr>
        <w:t xml:space="preserve">Gesamtdauer ab Start: </w:t>
      </w:r>
      <w:r>
        <w:t>ca. 20–24 Monate</w:t>
      </w:r>
    </w:p>
    <w:p w14:paraId="0C7AE03B" w14:textId="77777777" w:rsidR="001F7233" w:rsidRDefault="00000000">
      <w:r>
        <w:rPr>
          <w:b/>
        </w:rPr>
        <w:t xml:space="preserve">Was den Ausschlag gibt: </w:t>
      </w:r>
      <w:r>
        <w:t>I-130 ca. 17 Monate, dann Konsulat</w:t>
      </w:r>
    </w:p>
    <w:p w14:paraId="60F8E2D1" w14:textId="77777777" w:rsidR="001F7233" w:rsidRDefault="00000000">
      <w:r>
        <w:rPr>
          <w:b/>
        </w:rPr>
        <w:t>Indien, EB-3</w:t>
      </w:r>
    </w:p>
    <w:p w14:paraId="47224C49" w14:textId="77777777" w:rsidR="001F7233" w:rsidRDefault="00000000">
      <w:r>
        <w:rPr>
          <w:b/>
        </w:rPr>
        <w:t xml:space="preserve">Gesamtdauer ab Start: </w:t>
      </w:r>
      <w:r>
        <w:t>ca. 12–13 Jahre Rückstand</w:t>
      </w:r>
    </w:p>
    <w:p w14:paraId="09D556A1" w14:textId="77777777" w:rsidR="001F7233" w:rsidRDefault="00000000">
      <w:r>
        <w:rPr>
          <w:b/>
        </w:rPr>
        <w:t xml:space="preserve">Was den Ausschlag gibt: </w:t>
      </w:r>
      <w:r>
        <w:t>Stichtag 2014</w:t>
      </w:r>
    </w:p>
    <w:p w14:paraId="58690440" w14:textId="77777777" w:rsidR="001F7233" w:rsidRDefault="001F7233">
      <w:pPr>
        <w:spacing w:line="180" w:lineRule="exact"/>
      </w:pPr>
    </w:p>
    <w:p w14:paraId="4FD4FA11" w14:textId="77777777" w:rsidR="001F7233" w:rsidRDefault="00000000">
      <w:pPr>
        <w:spacing w:after="140"/>
      </w:pPr>
      <w:r>
        <w:rPr>
          <w:i/>
          <w:iCs/>
        </w:rPr>
        <w:t>Bei EB-2/EB-3 addieren sich Lohnbescheid (rund vier Monate), Stellensuche (zwei bis drei), Analystenprüfung (rund elf bis zwölf), I-140 (mit Premium etwa ein Monat) und I-485 (8–24) oder Konsulat (vier bis acht). Das macht gut zwei bis knapp vier Jahre in Einzelposten. Die Schätzung von 2,5–4,5 Jahren enthält auch einen Puffer für Nachforderungen (Requests for Evidence), Audits und Leerlauf zwischen den Schritten. Bei EB-1C, EB-1A und NIW entfällt der Arbeitsmarkttest – der Zeitgewinn. Wer mit H-1B startet, hat sechs Jahre Zeit, das reicht für Deutsche meist aus.</w:t>
      </w:r>
    </w:p>
    <w:p w14:paraId="388A50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Familie, Investor, Lotterie, Gold Card</w:t>
      </w:r>
    </w:p>
    <w:p w14:paraId="2D4B3852" w14:textId="77777777" w:rsidR="001F7233" w:rsidRDefault="00000000">
      <w:pPr>
        <w:pStyle w:val="ListParagraph"/>
        <w:numPr>
          <w:ilvl w:val="0"/>
          <w:numId w:val="1"/>
        </w:numPr>
        <w:spacing w:after="60"/>
      </w:pPr>
      <w:r>
        <w:rPr>
          <w:b/>
          <w:bCs/>
        </w:rPr>
        <w:t>Ehepartner eines US-Bürgers:</w:t>
      </w:r>
      <w:r>
        <w:t xml:space="preserve"> Als </w:t>
      </w:r>
      <w:r>
        <w:rPr>
          <w:i/>
          <w:iCs/>
        </w:rPr>
        <w:t>Immediate Relatives</w:t>
      </w:r>
      <w:r>
        <w:t xml:space="preserve"> (unmittelbare Angehörige) unterliegen sie keiner Quote, keinem Stichtag. Ablauf: Petition I-130 (675 $ Papier, 625 $ online), NVC (DS-260 325 $, Verpflichtungserklärung I-864 mit 120 $ Prüfgebühr), Interview in Frankfurt, Immigrant Fee 235 $. Laut Kanzleien dauert das 2026 rund 17 Monate für die I-130, dann drei bis sechs beim Konsulat. Bei rechtmäßiger Einreise geht auch der I-485 im Inland. Ehepartner eines Green-Card-Inhabers (Kategorie F2A) haben im Oktober 2026 das Final Action Date 22. September 2026, in der Filing-Tabelle sind sie current – Engpass ist die I-130-Bearbeitung (mehr in Kapitel </w:t>
      </w:r>
      <w:hyperlink w:anchor="k9">
        <w:r w:rsidR="001F7233">
          <w:t>9</w:t>
        </w:r>
      </w:hyperlink>
      <w:r>
        <w:t xml:space="preserve"> und </w:t>
      </w:r>
      <w:hyperlink w:anchor="k10">
        <w:r w:rsidR="001F7233">
          <w:t>10</w:t>
        </w:r>
      </w:hyperlink>
      <w:r>
        <w:t>).</w:t>
      </w:r>
    </w:p>
    <w:p w14:paraId="39BC65D3" w14:textId="77777777" w:rsidR="001F7233" w:rsidRDefault="00000000">
      <w:pPr>
        <w:pStyle w:val="ListParagraph"/>
        <w:numPr>
          <w:ilvl w:val="0"/>
          <w:numId w:val="1"/>
        </w:numPr>
        <w:spacing w:after="60"/>
      </w:pPr>
      <w:r>
        <w:rPr>
          <w:b/>
          <w:bCs/>
        </w:rPr>
        <w:t>Investor (EB-5):</w:t>
      </w:r>
      <w:r>
        <w:t xml:space="preserve"> 800.000 $ in einem Zielgebiet (ländlich oder mit hoher Arbeitslosigkeit) beziehungsweise 1.050.000 $ sonst, dazu mindestens zehn Vollzeitstellen – die gesetzlichen Beträge seit dem Reformgesetz von 2022. Die USCIS-Übersichtsseite nannte bei Redaktionsschluss noch höhere Werte einer älteren Regel (900.000 $ und 1,8 Millionen $): prüfe beides vor jeder Investition. Für Fachkräfte kein realistischer Weg (Kapitel </w:t>
      </w:r>
      <w:hyperlink w:anchor="k9">
        <w:r w:rsidR="001F7233">
          <w:t>9</w:t>
        </w:r>
      </w:hyperlink>
      <w:r>
        <w:t>).</w:t>
      </w:r>
    </w:p>
    <w:p w14:paraId="0B9B26CC" w14:textId="77777777" w:rsidR="001F7233" w:rsidRDefault="00000000">
      <w:pPr>
        <w:pStyle w:val="ListParagraph"/>
        <w:numPr>
          <w:ilvl w:val="0"/>
          <w:numId w:val="1"/>
        </w:numPr>
        <w:spacing w:after="60"/>
      </w:pPr>
      <w:r>
        <w:rPr>
          <w:b/>
          <w:bCs/>
        </w:rPr>
        <w:t>Lotterie (Diversity Visa): Das Programm sieht jährlich bis zu 55.000 Visa vor. Seit 31. August 2026 ist die Ausstellung aller Diversity-Visa erneut ausgesetzt; die Interviews können weiterlaufen. DV-2026 endete am 30. September 2026. Für DV-2027 hat das State Department noch keinen Registrierungsbeginn angekündigt. Als Plan taugt die Lotterie nicht (</w:t>
      </w:r>
      <w:hyperlink w:anchor="k9">
        <w:r w:rsidR="001F7233">
          <w:rPr>
            <w:b/>
            <w:bCs/>
          </w:rPr>
          <w:t>Kapitel 9</w:t>
        </w:r>
      </w:hyperlink>
      <w:r>
        <w:rPr>
          <w:b/>
          <w:bCs/>
        </w:rPr>
        <w:t>).</w:t>
      </w:r>
    </w:p>
    <w:p w14:paraId="5A2C1D1A" w14:textId="77777777" w:rsidR="001F7233" w:rsidRDefault="00000000">
      <w:pPr>
        <w:pStyle w:val="ListParagraph"/>
        <w:numPr>
          <w:ilvl w:val="0"/>
          <w:numId w:val="1"/>
        </w:numPr>
        <w:spacing w:after="60"/>
      </w:pPr>
      <w:r>
        <w:rPr>
          <w:b/>
          <w:bCs/>
        </w:rPr>
        <w:t xml:space="preserve">Gold Card: Nur als Randnotiz: 1 Million $ „Geschenk“ (Firmen: 2 Millionen $ je Angestelltem) plus 15.000 $ Gebühr, eingeordnet in EB-1 oder EB-2. Bis Mitte 2026 war nur eine Genehmigung bekannt, eine Klage ist anhängig. Für Deutsche ist die Wartezeit ohnehin kaum ein Argument, weil eB-1 derzeit current ist und EB-2 im Oktober 2026 nur gut 21 Monate Rückstand hatte. Wer eine Million Dollar </w:t>
      </w:r>
      <w:r>
        <w:rPr>
          <w:b/>
          <w:bCs/>
        </w:rPr>
        <w:lastRenderedPageBreak/>
        <w:t>übrig hat, braucht für die Green Card eher einen Steuerberater als einen Ratgeber.</w:t>
      </w:r>
    </w:p>
    <w:p w14:paraId="696542BD" w14:textId="77777777" w:rsidR="001F7233" w:rsidRDefault="001F7233">
      <w:pPr>
        <w:spacing w:line="120" w:lineRule="exact"/>
      </w:pPr>
    </w:p>
    <w:p w14:paraId="6CBE33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w14:paraId="57D49748" w14:textId="77777777" w:rsidR="001F7233" w:rsidRDefault="00000000">
      <w:pPr>
        <w:spacing w:after="140"/>
      </w:pPr>
      <w:r>
        <w:rPr>
          <w:b/>
          <w:bCs/>
        </w:rPr>
        <w:t>Was du darfst.</w:t>
      </w:r>
      <w:r>
        <w:t xml:space="preserve"> Arbeiten für jeden Arbeitgeber, auch selbständig; wohnen, wo du willst; ohne Sponsor bleiben. Nach fünf Jahren Aufenthalt (drei bei dreijähriger Ehe mit einem US-Bürger) kannst du die Einbürgerung beantragen (Formular N-400, 760 $ Papier, 710 $ online; Kapitel </w:t>
      </w:r>
      <w:hyperlink w:anchor="k41">
        <w:r w:rsidR="001F7233">
          <w:t>41</w:t>
        </w:r>
      </w:hyperlink>
      <w:r>
        <w:t>). Ein früh vermiedenes Missverständnis: Bei Bundeswahlen darfst du als Green-Card-Inhaber nicht abstimmen – wer es trotzdem tut, riskiert Strafverfahren und Statusverlust. Beim Führerscheinantrag (Kapitel </w:t>
      </w:r>
      <w:hyperlink w:anchor="k27">
        <w:r w:rsidR="001F7233">
          <w:t>27</w:t>
        </w:r>
      </w:hyperlink>
      <w:r>
        <w:t>) taucht oft die Frage nach der Wählerregistrierung auf; als Nichtbürger lässt du sie aus.</w:t>
      </w:r>
    </w:p>
    <w:p w14:paraId="11BC7E19" w14:textId="77777777" w:rsidR="001F7233" w:rsidRDefault="00000000">
      <w:pPr>
        <w:spacing w:after="140"/>
      </w:pPr>
      <w:r>
        <w:rPr>
          <w:b/>
          <w:bCs/>
        </w:rPr>
        <w:t>Was du musst:</w:t>
      </w:r>
    </w:p>
    <w:p w14:paraId="073E4FDD" w14:textId="77777777" w:rsidR="001F7233" w:rsidRDefault="00000000">
      <w:pPr>
        <w:pStyle w:val="ListParagraph"/>
        <w:numPr>
          <w:ilvl w:val="0"/>
          <w:numId w:val="1"/>
        </w:numPr>
        <w:spacing w:after="60"/>
      </w:pPr>
      <w:r>
        <w:rPr>
          <w:b/>
          <w:bCs/>
        </w:rPr>
        <w:t>Adresse melden:</w:t>
      </w:r>
      <w:r>
        <w:t xml:space="preserve"> Jeder Umzug ist binnen zehn Tagen USCIS zu melden (Form AR-11).</w:t>
      </w:r>
    </w:p>
    <w:p w14:paraId="7C8A8F66" w14:textId="77777777" w:rsidR="001F7233" w:rsidRDefault="00000000">
      <w:pPr>
        <w:pStyle w:val="ListParagraph"/>
        <w:numPr>
          <w:ilvl w:val="0"/>
          <w:numId w:val="1"/>
        </w:numPr>
        <w:spacing w:after="60"/>
      </w:pPr>
      <w:r>
        <w:rPr>
          <w:b/>
          <w:bCs/>
        </w:rPr>
        <w:t>Karte mitführen:</w:t>
      </w:r>
      <w:r>
        <w:t xml:space="preserve"> Die Green Card gehört zu den Dokumenten, die du bei dir trägst.</w:t>
      </w:r>
    </w:p>
    <w:p w14:paraId="6AAC2C25" w14:textId="77777777" w:rsidR="001F7233" w:rsidRDefault="00000000">
      <w:pPr>
        <w:pStyle w:val="ListParagraph"/>
        <w:numPr>
          <w:ilvl w:val="0"/>
          <w:numId w:val="1"/>
        </w:numPr>
        <w:spacing w:after="60"/>
      </w:pPr>
      <w:r>
        <w:rPr>
          <w:b/>
          <w:bCs/>
        </w:rPr>
        <w:t>Steuern:</w:t>
      </w:r>
      <w:r>
        <w:t xml:space="preserve"> Steuererklärung als US-Resident mit weltweitem Einkommen und Meldung ausländischer Konten (Kapitel </w:t>
      </w:r>
      <w:hyperlink w:anchor="k28">
        <w:r w:rsidR="001F7233">
          <w:t>28</w:t>
        </w:r>
      </w:hyperlink>
      <w:r>
        <w:t>).</w:t>
      </w:r>
    </w:p>
    <w:p w14:paraId="6A267D74" w14:textId="77777777" w:rsidR="001F7233" w:rsidRDefault="00000000">
      <w:pPr>
        <w:pStyle w:val="ListParagraph"/>
        <w:numPr>
          <w:ilvl w:val="0"/>
          <w:numId w:val="1"/>
        </w:numPr>
        <w:spacing w:after="60"/>
      </w:pPr>
      <w:r>
        <w:rPr>
          <w:b/>
          <w:bCs/>
        </w:rPr>
        <w:t>Selective Service:</w:t>
      </w:r>
      <w:r>
        <w:t xml:space="preserve"> Männliche Einwanderer zwischen 18 und 25 müssen sich binnen 30 Tagen nach der Einreise beim </w:t>
      </w:r>
      <w:r>
        <w:rPr>
          <w:i/>
          <w:iCs/>
        </w:rPr>
        <w:t>Selective Service</w:t>
      </w:r>
      <w:r>
        <w:t xml:space="preserve"> (Wehrerfassung) registrieren, Jugendliche zu ihrem 18. Geburtstag. Das ist eine Erfassung, kein Wehrdienst.</w:t>
      </w:r>
    </w:p>
    <w:p w14:paraId="61A7A833" w14:textId="77777777" w:rsidR="001F7233" w:rsidRDefault="00000000">
      <w:pPr>
        <w:pStyle w:val="ListParagraph"/>
        <w:numPr>
          <w:ilvl w:val="0"/>
          <w:numId w:val="1"/>
        </w:numPr>
        <w:spacing w:after="60"/>
      </w:pPr>
      <w:r>
        <w:rPr>
          <w:b/>
          <w:bCs/>
        </w:rPr>
        <w:t>Lebensmittelpunkt in den USA:</w:t>
      </w:r>
      <w:r>
        <w:t xml:space="preserve"> Alles Weitere hängt daran.</w:t>
      </w:r>
    </w:p>
    <w:p w14:paraId="77EC9D4B" w14:textId="77777777" w:rsidR="001F7233" w:rsidRDefault="001F7233">
      <w:pPr>
        <w:spacing w:line="120" w:lineRule="exact"/>
      </w:pPr>
    </w:p>
    <w:p w14:paraId="4B5B2E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Reisen, Abwesenheit und der Verlust der Green Card</w:t>
      </w:r>
    </w:p>
    <w:p w14:paraId="040A053A" w14:textId="77777777" w:rsidR="001F7233" w:rsidRDefault="00000000">
      <w:pPr>
        <w:spacing w:after="140"/>
      </w:pPr>
      <w:r>
        <w:t>Die Green Card erlaubt Reisen, bleibt aber nur gültig, solange die USA dein Lebensmittelpunkt sind. Eine feste Tagesgrenze gibt es nicht, wohl aber Schwellen, an denen die Grenzschutzbehörde CBP hinsieht:</w:t>
      </w:r>
    </w:p>
    <w:p w14:paraId="0F77297C" w14:textId="77777777" w:rsidR="001F7233" w:rsidRDefault="00000000">
      <w:r>
        <w:rPr>
          <w:b/>
        </w:rPr>
        <w:t>Unter sechs Monaten</w:t>
      </w:r>
    </w:p>
    <w:p w14:paraId="697F425A" w14:textId="77777777" w:rsidR="001F7233" w:rsidRDefault="00000000">
      <w:r>
        <w:rPr>
          <w:b/>
        </w:rPr>
        <w:t xml:space="preserve">Folge: </w:t>
      </w:r>
      <w:r>
        <w:t>In der Regel unproblematisch</w:t>
      </w:r>
    </w:p>
    <w:p w14:paraId="52215B66" w14:textId="77777777" w:rsidR="001F7233" w:rsidRDefault="00000000">
      <w:r>
        <w:rPr>
          <w:b/>
        </w:rPr>
        <w:t xml:space="preserve">Was du tun kannst: </w:t>
      </w:r>
      <w:r>
        <w:t>Karte und Pass mitführen</w:t>
      </w:r>
    </w:p>
    <w:p w14:paraId="64BC36B0" w14:textId="77777777" w:rsidR="001F7233" w:rsidRDefault="00000000">
      <w:r>
        <w:rPr>
          <w:b/>
        </w:rPr>
        <w:t>Mehr als 180 Tage</w:t>
      </w:r>
    </w:p>
    <w:p w14:paraId="238AE797" w14:textId="77777777" w:rsidR="001F7233" w:rsidRDefault="00000000">
      <w:r>
        <w:rPr>
          <w:b/>
        </w:rPr>
        <w:t xml:space="preserve">Folge: </w:t>
      </w:r>
      <w:r>
        <w:t>CBP prüft, ob du erneut zugelassen wirst (INA 101(a)(13)(C)(ii))</w:t>
      </w:r>
    </w:p>
    <w:p w14:paraId="22E343AE" w14:textId="77777777" w:rsidR="001F7233" w:rsidRDefault="00000000">
      <w:r>
        <w:rPr>
          <w:b/>
        </w:rPr>
        <w:t xml:space="preserve">Was du tun kannst: </w:t>
      </w:r>
      <w:r>
        <w:t>Bindungen belegen (Wohnung, Job, Steuern)</w:t>
      </w:r>
    </w:p>
    <w:p w14:paraId="03A82A0E" w14:textId="77777777" w:rsidR="001F7233" w:rsidRDefault="00000000">
      <w:r>
        <w:rPr>
          <w:b/>
        </w:rPr>
        <w:t>Sechs bis zwölf Monate</w:t>
      </w:r>
    </w:p>
    <w:p w14:paraId="65620545" w14:textId="77777777" w:rsidR="001F7233" w:rsidRDefault="00000000">
      <w:r>
        <w:rPr>
          <w:b/>
        </w:rPr>
        <w:t xml:space="preserve">Folge: </w:t>
      </w:r>
      <w:r>
        <w:t>Erhöhte Vermutung der Aufgabe; für die Einbürgerung gilt der Aufenthalt als unterbrochen (widerlegbar)</w:t>
      </w:r>
    </w:p>
    <w:p w14:paraId="7C710C04" w14:textId="77777777" w:rsidR="001F7233" w:rsidRDefault="00000000">
      <w:r>
        <w:rPr>
          <w:b/>
        </w:rPr>
        <w:t xml:space="preserve">Was du tun kannst: </w:t>
      </w:r>
      <w:r>
        <w:t>Reentry Permit vorher beantragen</w:t>
      </w:r>
    </w:p>
    <w:p w14:paraId="17E7017F" w14:textId="77777777" w:rsidR="001F7233" w:rsidRDefault="00000000">
      <w:r>
        <w:rPr>
          <w:b/>
        </w:rPr>
        <w:t>Ab einem Jahr</w:t>
      </w:r>
    </w:p>
    <w:p w14:paraId="14312B59" w14:textId="77777777" w:rsidR="001F7233" w:rsidRDefault="00000000">
      <w:r>
        <w:rPr>
          <w:b/>
        </w:rPr>
        <w:t xml:space="preserve">Folge: </w:t>
      </w:r>
      <w:r>
        <w:t>Green Card allein reicht nicht zur Wiedereinreise</w:t>
      </w:r>
    </w:p>
    <w:p w14:paraId="3D58B060" w14:textId="77777777" w:rsidR="001F7233" w:rsidRDefault="00000000">
      <w:r>
        <w:rPr>
          <w:b/>
        </w:rPr>
        <w:t xml:space="preserve">Was du tun kannst: </w:t>
      </w:r>
      <w:r>
        <w:t>Reentry Permit oder Rückkehrvisum SB-1</w:t>
      </w:r>
    </w:p>
    <w:p w14:paraId="0E7331D0" w14:textId="77777777" w:rsidR="001F7233" w:rsidRDefault="001F7233">
      <w:pPr>
        <w:spacing w:line="180" w:lineRule="exact"/>
      </w:pPr>
    </w:p>
    <w:p w14:paraId="744AB15B" w14:textId="77777777" w:rsidR="001F7233" w:rsidRDefault="00000000">
      <w:pPr>
        <w:spacing w:after="140"/>
      </w:pPr>
      <w:r>
        <w:rPr>
          <w:i/>
          <w:iCs/>
        </w:rPr>
        <w:t>Das Reentry Permit (Form I-131, 630 $, nur auf Papier) gilt bis zu zwei Jahre. Du beantragst es in den USA, mit Fingerabdrucktermin (Biometrie) vor der Ausreise. Es schützt vor dem Argument, dein Aufenthalt sei nicht mehr vorübergehend. Nicht aber vor dem Vorwurf, du hättest deinen Wohnsitz längst verlegt. Das Rückkehrvisum SB-1 gibt es nur bei Verzögerung außer deiner Kontrolle. Wer dem Grenzbeamten nach sieben Monaten in Deutschland erklärt, er sei nur kurz weg gewesen, hat ein Beweisproblem.</w:t>
      </w:r>
    </w:p>
    <w:p w14:paraId="7082E41F" w14:textId="77777777" w:rsidR="001F7233" w:rsidRDefault="00000000">
      <w:pPr>
        <w:spacing w:after="140"/>
      </w:pPr>
      <w:r>
        <w:rPr>
          <w:i/>
          <w:iCs/>
        </w:rPr>
        <w:t xml:space="preserve">Aufgabe (Abandonment): Du ziehst mit der Absicht weg, dauerhaft im Ausland zu leben. Indizien: lange Abwesenheit, ausländischer Wohnsitz, Steuererklärung als Nonresident. Kanzleien berichten 2025 </w:t>
      </w:r>
      <w:r>
        <w:rPr>
          <w:i/>
          <w:iCs/>
        </w:rPr>
        <w:lastRenderedPageBreak/>
        <w:t>und 2026 von häufigerer Zweitkontrolle (Secondary Inspection) bei der Wiedereinreise. Halte Karte, Steuerbescheide und Mietvertrag griffbereit im Handgepäck, nicht erst zu Hause im Aktenordner.</w:t>
      </w:r>
    </w:p>
    <w:p w14:paraId="68766109" w14:textId="77777777" w:rsidR="001F7233" w:rsidRDefault="00000000">
      <w:r>
        <w:rPr>
          <w:b/>
        </w:rPr>
        <w:t xml:space="preserve">ACHTUNG: </w:t>
      </w:r>
    </w:p>
    <w:p w14:paraId="20758624" w14:textId="77777777" w:rsidR="001F7233" w:rsidRDefault="00000000">
      <w:r>
        <w:t>• Verlangt ein Grenzbeamter, das Formular I-407 (freiwillige Aufgabe der Green Card, kostenlos) zu unterschreiben, bist du dazu nicht verpflichtet. Kanzleien raten, nichts zu unterschreiben und ein Verfahren vor dem Einwanderungsrichter zu verlangen. Bei Streit entscheidet nicht der Beamte am Schalter über den Statusverlust. Wer länger als sechs Monate weg sein will, beantragt das Reentry Permit vor der Ausreise.</w:t>
      </w:r>
    </w:p>
    <w:p w14:paraId="57A7CDD2" w14:textId="77777777" w:rsidR="001F7233" w:rsidRDefault="001F7233">
      <w:pPr>
        <w:spacing w:line="220" w:lineRule="exact"/>
      </w:pPr>
    </w:p>
    <w:p w14:paraId="5B8FDAB6" w14:textId="77777777" w:rsidR="001F7233" w:rsidRDefault="00000000">
      <w:r>
        <w:rPr>
          <w:b/>
        </w:rPr>
        <w:t xml:space="preserve">MERKE: </w:t>
      </w:r>
    </w:p>
    <w:p w14:paraId="38C667C3" w14:textId="77777777" w:rsidR="001F7233" w:rsidRDefault="00000000">
      <w:r>
        <w:t>• Die Green Card bleibt, solange die USA dein Lebensmittelpunkt sind. Nicht die Tage im Reisepass allein entscheiden, sondern das Gesamtbild aus Wohnung, Arbeit, Steuern und Absicht.</w:t>
      </w:r>
    </w:p>
    <w:p w14:paraId="2E87700B" w14:textId="77777777" w:rsidR="001F7233" w:rsidRDefault="001F7233">
      <w:pPr>
        <w:spacing w:line="220" w:lineRule="exact"/>
      </w:pPr>
    </w:p>
    <w:p w14:paraId="1CE2256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bedingte Green Card</w:t>
      </w:r>
    </w:p>
    <w:p w14:paraId="2AC26864" w14:textId="77777777" w:rsidR="001F7233" w:rsidRDefault="00000000">
      <w:pPr>
        <w:spacing w:after="140"/>
      </w:pPr>
      <w:r>
        <w:t>Ist die Ehe mit dem US-Partner bei der Genehmigung jünger als zwei Jahre, erhältst du zunächst eine auf zwei Jahre befristete („bedingte“) Green Card (Kategorie CR-1). In den 90 Tagen vor Ablauf beantragst du gemeinsam mit dem Partner die Aufhebung der Bedingung mit Form I-751 (750 $ Papier, 700 $ online). Versäumst du die Frist, droht der Verlust des Status. EB-5-Investoren erhalten ebenfalls zunächst eine bedingte Karte (Aufhebung mit I-829, 3.750 $).</w:t>
      </w:r>
    </w:p>
    <w:p w14:paraId="7F2B9B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Ab der Green Card weltweit</w:t>
      </w:r>
    </w:p>
    <w:p w14:paraId="46E9CE98" w14:textId="77777777" w:rsidR="001F7233" w:rsidRDefault="00000000">
      <w:pPr>
        <w:spacing w:after="140"/>
      </w:pPr>
      <w:r>
        <w:t xml:space="preserve">Mit der Green Card giltst du für die US-Steuer als </w:t>
      </w:r>
      <w:r>
        <w:rPr>
          <w:i/>
          <w:iCs/>
        </w:rPr>
        <w:t>Resident</w:t>
      </w:r>
      <w:r>
        <w:t>. Die USA besteuern dein weltweites Einkommen – auch Mieten, Zinsen und Renten aus Deutschland – und verlangen Meldungen über Auslandskonten (</w:t>
      </w:r>
      <w:r>
        <w:rPr>
          <w:i/>
          <w:iCs/>
        </w:rPr>
        <w:t>FBAR</w:t>
      </w:r>
      <w:r>
        <w:t xml:space="preserve">, der Bericht über ausländische Bankkonten, </w:t>
      </w:r>
      <w:r>
        <w:lastRenderedPageBreak/>
        <w:t>und Form 8938). Das Doppelbesteuerungsabkommen Deutschland–USA mildert die doppelte Belastung, hebt sie aber nicht immer auf (Kapitel </w:t>
      </w:r>
      <w:hyperlink w:anchor="k28">
        <w:r w:rsidR="001F7233">
          <w:t>28</w:t>
        </w:r>
      </w:hyperlink>
      <w:r>
        <w:t xml:space="preserve"> für die USA, Kapitel </w:t>
      </w:r>
      <w:hyperlink w:anchor="k17">
        <w:r w:rsidR="001F7233">
          <w:t>17</w:t>
        </w:r>
      </w:hyperlink>
      <w:r>
        <w:t xml:space="preserve"> für die deutsche Seite). Kern ist die Dauer: Wer nach Deutschland zurückgeht und die Karte behält, bleibt steuerlich US-Resident, bis er sie formell aufgibt.</w:t>
      </w:r>
    </w:p>
    <w:p w14:paraId="12A78632" w14:textId="77777777" w:rsidR="001F7233" w:rsidRDefault="00000000">
      <w:pPr>
        <w:spacing w:after="140"/>
      </w:pPr>
      <w:r>
        <w:t xml:space="preserve">Die </w:t>
      </w:r>
      <w:r>
        <w:rPr>
          <w:i/>
          <w:iCs/>
        </w:rPr>
        <w:t>Exit Tax</w:t>
      </w:r>
      <w:r>
        <w:t xml:space="preserve"> trifft, wer die Green Card nach mindestens acht der letzten 15 Jahre aufgibt (</w:t>
      </w:r>
      <w:r>
        <w:rPr>
          <w:i/>
          <w:iCs/>
        </w:rPr>
        <w:t>Long-term Resident</w:t>
      </w:r>
      <w:r>
        <w:t xml:space="preserve">) und als </w:t>
      </w:r>
      <w:r>
        <w:rPr>
          <w:i/>
          <w:iCs/>
        </w:rPr>
        <w:t>Covered Expatriate</w:t>
      </w:r>
      <w:r>
        <w:t xml:space="preserve"> gilt. Dafür genügt eine von drei Voraussetzungen: eine durchschnittliche Einkommensteuer der letzten fünf Jahre von über 211.000 $ (2026), ein Nettovermögen ab 2 Millionen $, oder der fehlende Nachweis, alle Steuerpflichten der letzten fünf Jahre erfüllt zu haben. Dann gilt dein Vermögen als verkauft, Gewinne über 910.000 $ (2026) sind steuerpflichtig. Wer alle Erklärungen lückenlos abgegeben hat und unter den Schwellen bleibt, ist nicht betroffen (zur Rückkehr: Kapitel </w:t>
      </w:r>
      <w:hyperlink w:anchor="k42">
        <w:r w:rsidR="001F7233">
          <w:t>42</w:t>
        </w:r>
      </w:hyperlink>
      <w:r>
        <w:t>).</w:t>
      </w:r>
    </w:p>
    <w:p w14:paraId="3FD3F1FF" w14:textId="77777777" w:rsidR="001F7233" w:rsidRDefault="00000000">
      <w:r>
        <w:rPr>
          <w:b/>
        </w:rPr>
        <w:t xml:space="preserve">ACHTUNG: </w:t>
      </w:r>
    </w:p>
    <w:p w14:paraId="40F7A891" w14:textId="77777777" w:rsidR="001F7233" w:rsidRDefault="00000000">
      <w:r>
        <w:t>• Gib keine Steuererklärung als Nonresident ab, solange du die Green Card besitzt, ohne dich vorher beraten zu lassen. USCIS wertet das als Indiz für die Aufgabe des Status.</w:t>
      </w:r>
    </w:p>
    <w:p w14:paraId="780A8FD9" w14:textId="77777777" w:rsidR="001F7233" w:rsidRDefault="001F7233">
      <w:pPr>
        <w:spacing w:line="220" w:lineRule="exact"/>
      </w:pPr>
    </w:p>
    <w:p w14:paraId="483D7B7B" w14:textId="77777777" w:rsidR="001F7233" w:rsidRDefault="00000000">
      <w:r>
        <w:t xml:space="preserve">• Dieses Kapitel erklärt Regeln und Praxis, ersetzt aber keine Beratung durch eine Einwanderungsanwältin, einen Einwanderungsanwalt oder einen Steuerberater. Wie du jemanden findest und was das kostet, steht in </w:t>
      </w:r>
      <w:hyperlink w:anchor="k11">
        <w:r w:rsidR="001F7233">
          <w:rPr>
            <w:color w:val="0563C1"/>
            <w:u w:val="single"/>
          </w:rPr>
          <w:t>Kapitel 11</w:t>
        </w:r>
      </w:hyperlink>
      <w:r>
        <w:t>.</w:t>
      </w:r>
    </w:p>
    <w:p w14:paraId="79B6FD10" w14:textId="77777777" w:rsidR="001F7233" w:rsidRDefault="001F7233">
      <w:pPr>
        <w:spacing w:line="220" w:lineRule="exact"/>
      </w:pPr>
    </w:p>
    <w:p w14:paraId="7C1757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seit 2025 geändert hat</w:t>
      </w:r>
    </w:p>
    <w:p w14:paraId="268F6EFF" w14:textId="77777777" w:rsidR="001F7233" w:rsidRDefault="00000000">
      <w:pPr>
        <w:pStyle w:val="ListParagraph"/>
        <w:numPr>
          <w:ilvl w:val="0"/>
          <w:numId w:val="1"/>
        </w:numPr>
        <w:spacing w:after="60"/>
      </w:pPr>
      <w:r>
        <w:rPr>
          <w:b/>
          <w:bCs/>
        </w:rPr>
        <w:t>Kinder (CSPA):</w:t>
      </w:r>
      <w:r>
        <w:t xml:space="preserve"> Für Anträge ab dem 15. August 2025 gilt für die Altersberechnung die Final-Action-Dates-Tabelle; bei EB-1 (Rest der Welt, derzeit current) besteht kaum Risiko, bei EB-2 und EB-3 lohnt seit der Rückstufung im Oktober 2026 ein Blick der Kanzlei auf ältere Kinder. H-4-Kinder verlieren den H-4-Status mit 21 unabhängig davon (Kapitel </w:t>
      </w:r>
      <w:hyperlink w:anchor="k10">
        <w:r w:rsidR="001F7233">
          <w:t>10</w:t>
        </w:r>
      </w:hyperlink>
      <w:r>
        <w:t>).</w:t>
      </w:r>
    </w:p>
    <w:p w14:paraId="67A1F04B" w14:textId="77777777" w:rsidR="001F7233" w:rsidRDefault="00000000">
      <w:pPr>
        <w:pStyle w:val="ListParagraph"/>
        <w:numPr>
          <w:ilvl w:val="0"/>
          <w:numId w:val="1"/>
        </w:numPr>
        <w:spacing w:after="60"/>
      </w:pPr>
      <w:r>
        <w:rPr>
          <w:b/>
          <w:bCs/>
        </w:rPr>
        <w:lastRenderedPageBreak/>
        <w:t>Länderspezifische Sperren: Die Prüfsperren für bestimmte Staatsangehörigkeiten oder Geburtsländer und die Pause bei Einwanderungsvisa für 75 Länder nennen Deutschland nicht. Gerichte haben sie im Juni bzw. August 2026 aufgehoben (Berufungen sind möglich). Wer in einem Listenland geboren wurde, fragt die Kanzlei.</w:t>
      </w:r>
    </w:p>
    <w:p w14:paraId="4A8C6E46" w14:textId="77777777" w:rsidR="001F7233" w:rsidRDefault="00000000">
      <w:pPr>
        <w:pStyle w:val="ListParagraph"/>
        <w:numPr>
          <w:ilvl w:val="0"/>
          <w:numId w:val="1"/>
        </w:numPr>
        <w:spacing w:after="60"/>
      </w:pPr>
      <w:r>
        <w:rPr>
          <w:b/>
          <w:bCs/>
        </w:rPr>
        <w:t>Gebühren:</w:t>
      </w:r>
      <w:r>
        <w:t xml:space="preserve"> Die Zusatzgebühren aus dem Gesetz H.R. 1 (Pub. L. 119-21) betreffen I-140 und I-485 nicht (Gebührenblatt G-1055, Stand 9. September 2026).</w:t>
      </w:r>
    </w:p>
    <w:p w14:paraId="086F4508" w14:textId="77777777" w:rsidR="001F7233" w:rsidRDefault="001F7233">
      <w:pPr>
        <w:spacing w:line="120" w:lineRule="exact"/>
      </w:pPr>
    </w:p>
    <w:p w14:paraId="2FB7EF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Green Card</w:t>
      </w:r>
    </w:p>
    <w:p w14:paraId="3E7DA914" w14:textId="77777777" w:rsidR="001F7233" w:rsidRDefault="00000000">
      <w:r>
        <w:rPr>
          <w:b/>
        </w:rPr>
        <w:t>Plus: Unbefristetes Aufenthaltsrecht, freie Arbeits- und Ortswahl</w:t>
      </w:r>
    </w:p>
    <w:p w14:paraId="75CC2FA4" w14:textId="77777777" w:rsidR="001F7233" w:rsidRDefault="00000000">
      <w:r>
        <w:rPr>
          <w:b/>
        </w:rPr>
        <w:t xml:space="preserve">Minus: </w:t>
      </w:r>
      <w:r>
        <w:t>Dauer bei PERM: 2,5–4,5 Jahre, bis zum I-485 an den Arbeitgeber gebunden</w:t>
      </w:r>
    </w:p>
    <w:p w14:paraId="354C9C71" w14:textId="77777777" w:rsidR="001F7233" w:rsidRDefault="00000000">
      <w:r>
        <w:rPr>
          <w:b/>
        </w:rPr>
        <w:t>Plus: Für Deutsche derzeit EB-1 und EB-2 ohne Stichtag</w:t>
      </w:r>
    </w:p>
    <w:p w14:paraId="571A6A40" w14:textId="77777777" w:rsidR="001F7233" w:rsidRDefault="00000000">
      <w:r>
        <w:rPr>
          <w:b/>
        </w:rPr>
        <w:t xml:space="preserve">Minus: </w:t>
      </w:r>
      <w:r>
        <w:t>Kategorien schwanken: Rückstufung möglich, EB-3 mit Stichtag</w:t>
      </w:r>
    </w:p>
    <w:p w14:paraId="2B6AF2DE" w14:textId="77777777" w:rsidR="001F7233" w:rsidRDefault="00000000">
      <w:r>
        <w:rPr>
          <w:b/>
        </w:rPr>
        <w:t>Plus: Ehepartner und Kinder ziehen mit; Partner kann per EAD arbeiten</w:t>
      </w:r>
    </w:p>
    <w:p w14:paraId="40F3EB6A" w14:textId="77777777" w:rsidR="001F7233" w:rsidRDefault="00000000">
      <w:r>
        <w:rPr>
          <w:b/>
        </w:rPr>
        <w:t>Minus: Familie zahlt selbst: z. B. 4.780 $ I-485-Gebühren bei zwei Erwachsenen und zwei Kindern unter 14, plus Arzt und Übersetzungen</w:t>
      </w:r>
    </w:p>
    <w:p w14:paraId="689B2742" w14:textId="77777777" w:rsidR="001F7233" w:rsidRDefault="00000000">
      <w:r>
        <w:rPr>
          <w:b/>
        </w:rPr>
        <w:t>Plus: Kein Sponsor mehr nötig, stabile Grundlage für Hypothek und Schule</w:t>
      </w:r>
    </w:p>
    <w:p w14:paraId="233E0271" w14:textId="77777777" w:rsidR="001F7233" w:rsidRDefault="00000000">
      <w:r>
        <w:rPr>
          <w:b/>
        </w:rPr>
        <w:t xml:space="preserve">Minus: </w:t>
      </w:r>
      <w:r>
        <w:t>Weltweite Steuerpflicht, Meldepflichten, Exit Tax nach acht Jahren</w:t>
      </w:r>
    </w:p>
    <w:p w14:paraId="1CF07F5F" w14:textId="77777777" w:rsidR="001F7233" w:rsidRDefault="00000000">
      <w:r>
        <w:rPr>
          <w:b/>
        </w:rPr>
        <w:t>Plus: Weg zur Einbürgerung und zum Doppelpass (</w:t>
      </w:r>
      <w:hyperlink w:anchor="k41">
        <w:r w:rsidR="001F7233">
          <w:rPr>
            <w:rStyle w:val="Hyperlink"/>
            <w:b/>
          </w:rPr>
          <w:t>Kapitel 41</w:t>
        </w:r>
      </w:hyperlink>
      <w:r>
        <w:rPr>
          <w:b/>
        </w:rPr>
        <w:t>)</w:t>
      </w:r>
    </w:p>
    <w:p w14:paraId="51531C94" w14:textId="77777777" w:rsidR="001F7233" w:rsidRDefault="00000000">
      <w:r>
        <w:rPr>
          <w:b/>
        </w:rPr>
        <w:t xml:space="preserve">Minus: </w:t>
      </w:r>
      <w:r>
        <w:t>Auslandsaufenthalte über 180 Tage gefährden den Status</w:t>
      </w:r>
    </w:p>
    <w:p w14:paraId="7C7C3506" w14:textId="77777777" w:rsidR="001F7233" w:rsidRDefault="00000000">
      <w:r>
        <w:rPr>
          <w:b/>
        </w:rPr>
        <w:t>Plus: Selbstpetition ohne Arbeitgeber möglich</w:t>
      </w:r>
    </w:p>
    <w:p w14:paraId="440B3086" w14:textId="77777777" w:rsidR="001F7233" w:rsidRDefault="00000000">
      <w:r>
        <w:rPr>
          <w:b/>
        </w:rPr>
        <w:t xml:space="preserve">Minus: </w:t>
      </w:r>
      <w:r>
        <w:t>Bei NIW und EB-1A wurden im Fiskaljahr 2026 nur rund 49 % bzw. 41 % genehmigt</w:t>
      </w:r>
    </w:p>
    <w:p w14:paraId="7C515C91" w14:textId="77777777" w:rsidR="001F7233" w:rsidRDefault="001F7233">
      <w:pPr>
        <w:spacing w:line="180" w:lineRule="exact"/>
      </w:pPr>
    </w:p>
    <w:p w14:paraId="585929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F943324" w14:textId="77777777" w:rsidR="001F7233" w:rsidRDefault="00000000">
      <w:pPr>
        <w:spacing w:after="140"/>
      </w:pPr>
      <w:r>
        <w:t>Klär zuerst, welche Kategorie zu dir passt: Stelle mit Masteranforderung (EB-2), Konzernwechsel (EB-1C) oder Spitzenleistung (NIW, EB-1A). Prüfe dein Geburtsland gegen die Spalten des Bulletins, sprich mit dem Arbeitgeber über Startzeitpunkt und Kosten, bevor du unterschreibst, und hole eine erste anwaltliche Einschätzung ein (Kapitel </w:t>
      </w:r>
      <w:hyperlink w:anchor="k11">
        <w:r w:rsidR="001F7233">
          <w:t>11</w:t>
        </w:r>
      </w:hyperlink>
      <w:r>
        <w:t>). Ist dein Priority Date erreicht, handle zügig: Rund um den Fiskaljahreswechsel am 1. Oktober kann sich der Stichtag deiner Kategorie ändern.</w:t>
      </w:r>
    </w:p>
    <w:p w14:paraId="237AD6EE" w14:textId="77777777" w:rsidR="001F7233" w:rsidRDefault="00000000">
      <w:r>
        <w:t>• Geburtsland prüfen: Welche Spalte des Visa Bulletin gilt für dich?</w:t>
      </w:r>
    </w:p>
    <w:p w14:paraId="3A941CD6" w14:textId="77777777" w:rsidR="001F7233" w:rsidRDefault="00000000">
      <w:r>
        <w:t>• Vor der Vertragsunterschrift schriftlich klären: Startzeitpunkt der PERM, Kostenübernahme, Rückzahlungsklauseln</w:t>
      </w:r>
    </w:p>
    <w:p w14:paraId="5F23164E" w14:textId="77777777" w:rsidR="001F7233" w:rsidRDefault="00000000">
      <w:r>
        <w:t>• Kategorie mit der Kanzlei festlegen (EB-2, EB-3, EB-1C, NIW oder EB-1A) und einen Plan B bereithalten.</w:t>
      </w:r>
    </w:p>
    <w:p w14:paraId="601BA2FF" w14:textId="77777777" w:rsidR="001F7233" w:rsidRDefault="00000000">
      <w:r>
        <w:t>• Visa Bulletin monatlich prüfen (</w:t>
      </w:r>
      <w:hyperlink r:id="rId123">
        <w:r w:rsidR="001F7233">
          <w:rPr>
            <w:color w:val="0563C1"/>
            <w:u w:val="single"/>
          </w:rPr>
          <w:t>travel.state.gov/visabulletin</w:t>
        </w:r>
      </w:hyperlink>
      <w:r>
        <w:t>), USCIS-Tabelle für den I-485 beachten</w:t>
      </w:r>
    </w:p>
    <w:p w14:paraId="1F4909B9" w14:textId="77777777" w:rsidR="001F7233" w:rsidRDefault="00000000">
      <w:r>
        <w:t>• Priority Date notieren, Bescheide (I-797) und PERM-Zertifikat aufbewahren</w:t>
      </w:r>
    </w:p>
    <w:p w14:paraId="5006C610" w14:textId="77777777" w:rsidR="001F7233" w:rsidRDefault="00000000">
      <w:r>
        <w:t>• Rücklage für die I-485-Gebühren der ganzen Familie und den Civil-Surgeon-Termin bilden</w:t>
      </w:r>
    </w:p>
    <w:p w14:paraId="2EE93512" w14:textId="77777777" w:rsidR="001F7233" w:rsidRDefault="00000000">
      <w:r>
        <w:t>• Bei Konsularverfahren früh Führungszeugnis, Geburts- und Heiratsurkunden besorgen (</w:t>
      </w:r>
      <w:hyperlink w:anchor="k19">
        <w:r w:rsidR="001F7233">
          <w:rPr>
            <w:color w:val="0563C1"/>
            <w:u w:val="single"/>
          </w:rPr>
          <w:t>Kapitel 19</w:t>
        </w:r>
      </w:hyperlink>
      <w:r>
        <w:t>)</w:t>
      </w:r>
    </w:p>
    <w:p w14:paraId="43A5C489" w14:textId="77777777" w:rsidR="001F7233" w:rsidRDefault="00000000">
      <w:r>
        <w:t>• Alle Auslandsreisen mit Datum in einer Liste führen. Vor Reisen über sechs Monate das Reentry Permit beantragen.</w:t>
      </w:r>
    </w:p>
    <w:p w14:paraId="4971A32C" w14:textId="77777777" w:rsidR="001F7233" w:rsidRDefault="00000000">
      <w:r>
        <w:t>• Steuererklärungen lückenlos als Resident abgeben, keine Nonresident-Erklärung ohne Beratung</w:t>
      </w:r>
    </w:p>
    <w:p w14:paraId="278D9BF0" w14:textId="77777777" w:rsidR="001F7233" w:rsidRDefault="00000000">
      <w:r>
        <w:t>• Adressänderungen binnen zehn Tagen melden (Form AR-11)</w:t>
      </w:r>
    </w:p>
    <w:p w14:paraId="7EA40E91" w14:textId="77777777" w:rsidR="001F7233" w:rsidRDefault="001F7233">
      <w:pPr>
        <w:spacing w:line="220" w:lineRule="exact"/>
      </w:pPr>
    </w:p>
    <w:p w14:paraId="76CFBC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A797CEC" w14:textId="77777777" w:rsidR="001F7233" w:rsidRDefault="001F7233">
      <w:pPr>
        <w:pStyle w:val="ListParagraph"/>
        <w:numPr>
          <w:ilvl w:val="0"/>
          <w:numId w:val="1"/>
        </w:numPr>
        <w:spacing w:after="60"/>
      </w:pPr>
      <w:hyperlink r:id="rId124">
        <w:r>
          <w:rPr>
            <w:color w:val="0563C1"/>
            <w:u w:val="single"/>
          </w:rPr>
          <w:t>travel.state.gov/visabulletin</w:t>
        </w:r>
      </w:hyperlink>
      <w:r>
        <w:t xml:space="preserve"> — Visa Bulletin (Stichtage) und Konsulargebühren</w:t>
      </w:r>
    </w:p>
    <w:p w14:paraId="41BA3470" w14:textId="77777777" w:rsidR="001F7233" w:rsidRDefault="001F7233">
      <w:pPr>
        <w:pStyle w:val="ListParagraph"/>
        <w:numPr>
          <w:ilvl w:val="0"/>
          <w:numId w:val="1"/>
        </w:numPr>
        <w:spacing w:after="60"/>
      </w:pPr>
      <w:hyperlink r:id="rId125">
        <w:r>
          <w:rPr>
            <w:color w:val="0563C1"/>
            <w:u w:val="single"/>
          </w:rPr>
          <w:t>uscis.gov/green-card</w:t>
        </w:r>
      </w:hyperlink>
      <w:r>
        <w:t xml:space="preserve"> — Wege, Verfahren, Tabellen für den I-485</w:t>
      </w:r>
    </w:p>
    <w:p w14:paraId="1F7A8A33" w14:textId="77777777" w:rsidR="001F7233" w:rsidRDefault="001F7233">
      <w:pPr>
        <w:pStyle w:val="ListParagraph"/>
        <w:numPr>
          <w:ilvl w:val="0"/>
          <w:numId w:val="1"/>
        </w:numPr>
        <w:spacing w:after="60"/>
      </w:pPr>
      <w:hyperlink r:id="rId126">
        <w:r>
          <w:rPr>
            <w:color w:val="0563C1"/>
            <w:u w:val="single"/>
          </w:rPr>
          <w:t>uscis.gov/g-1055</w:t>
        </w:r>
      </w:hyperlink>
      <w:r>
        <w:t xml:space="preserve"> — Gebührenverzeichnis von USCIS</w:t>
      </w:r>
    </w:p>
    <w:p w14:paraId="3B149461" w14:textId="77777777" w:rsidR="001F7233" w:rsidRDefault="001F7233">
      <w:pPr>
        <w:pStyle w:val="ListParagraph"/>
        <w:numPr>
          <w:ilvl w:val="0"/>
          <w:numId w:val="1"/>
        </w:numPr>
        <w:spacing w:after="60"/>
      </w:pPr>
      <w:hyperlink r:id="rId127">
        <w:r>
          <w:rPr>
            <w:color w:val="0563C1"/>
            <w:u w:val="single"/>
          </w:rPr>
          <w:t>flag.dol.gov/processingtimes</w:t>
        </w:r>
      </w:hyperlink>
      <w:r>
        <w:t xml:space="preserve"> — Bearbeitungszeiten für Lohnbescheid und PERM</w:t>
      </w:r>
    </w:p>
    <w:p w14:paraId="1F8D1C84" w14:textId="77777777" w:rsidR="001F7233" w:rsidRDefault="001F7233">
      <w:pPr>
        <w:pStyle w:val="ListParagraph"/>
        <w:numPr>
          <w:ilvl w:val="0"/>
          <w:numId w:val="1"/>
        </w:numPr>
        <w:spacing w:after="60"/>
      </w:pPr>
      <w:hyperlink r:id="rId128">
        <w:r>
          <w:rPr>
            <w:color w:val="0563C1"/>
            <w:u w:val="single"/>
          </w:rPr>
          <w:t>de.usembassy.gov</w:t>
        </w:r>
      </w:hyperlink>
      <w:r>
        <w:t xml:space="preserve"> — Botschaft und Konsulate in Deutschland (Einwanderungsvisa)</w:t>
      </w:r>
    </w:p>
    <w:p w14:paraId="038BAE2D" w14:textId="77777777" w:rsidR="001F7233" w:rsidRPr="00EA1518" w:rsidRDefault="001F7233">
      <w:pPr>
        <w:pStyle w:val="ListParagraph"/>
        <w:numPr>
          <w:ilvl w:val="0"/>
          <w:numId w:val="1"/>
        </w:numPr>
        <w:spacing w:after="60"/>
        <w:rPr>
          <w:lang w:val="en-US"/>
        </w:rPr>
      </w:pPr>
      <w:hyperlink r:id="rId129">
        <w:r w:rsidRPr="00EA1518">
          <w:rPr>
            <w:color w:val="0563C1"/>
            <w:u w:val="single"/>
            <w:lang w:val="en-US"/>
          </w:rPr>
          <w:t>federalregister.gov</w:t>
        </w:r>
      </w:hyperlink>
      <w:r w:rsidRPr="00EA1518">
        <w:rPr>
          <w:lang w:val="en-US"/>
        </w:rPr>
        <w:t xml:space="preserve"> — Suche „Public Charge Ground of Inadmissibility“ (91 FR 45324)</w:t>
      </w:r>
    </w:p>
    <w:p w14:paraId="20A5ACFF" w14:textId="77777777" w:rsidR="001F7233" w:rsidRDefault="001F7233">
      <w:pPr>
        <w:pStyle w:val="ListParagraph"/>
        <w:numPr>
          <w:ilvl w:val="0"/>
          <w:numId w:val="1"/>
        </w:numPr>
        <w:spacing w:after="60"/>
      </w:pPr>
      <w:hyperlink r:id="rId130">
        <w:r>
          <w:rPr>
            <w:color w:val="0563C1"/>
            <w:u w:val="single"/>
          </w:rPr>
          <w:t>irs.gov/individuals/international-taxpayers</w:t>
        </w:r>
      </w:hyperlink>
      <w:r>
        <w:t xml:space="preserve"> — Steuerpflicht und Exit Tax</w:t>
      </w:r>
    </w:p>
    <w:p w14:paraId="0EEA7267" w14:textId="77777777" w:rsidR="001F7233" w:rsidRDefault="001F7233">
      <w:pPr>
        <w:pStyle w:val="ListParagraph"/>
        <w:numPr>
          <w:ilvl w:val="0"/>
          <w:numId w:val="1"/>
        </w:numPr>
        <w:spacing w:after="60"/>
      </w:pPr>
      <w:hyperlink r:id="rId131">
        <w:r>
          <w:rPr>
            <w:color w:val="0563C1"/>
            <w:u w:val="single"/>
          </w:rPr>
          <w:t>sss.gov</w:t>
        </w:r>
      </w:hyperlink>
      <w:r>
        <w:t xml:space="preserve"> — Selective Service: Registrierungspflicht</w:t>
      </w:r>
    </w:p>
    <w:p w14:paraId="5333A2FF" w14:textId="77777777" w:rsidR="001F7233" w:rsidRDefault="001F7233">
      <w:pPr>
        <w:spacing w:line="120" w:lineRule="exact"/>
      </w:pPr>
    </w:p>
    <w:p w14:paraId="7F00F8B5" w14:textId="77777777" w:rsidR="001F7233" w:rsidRDefault="00000000">
      <w:r>
        <w:t>Redaktionsstand: Oktober 2026; Visa Bulletin: Oktober 2026.</w:t>
      </w:r>
    </w:p>
    <w:p w14:paraId="6352436B" w14:textId="77777777" w:rsidR="001F7233" w:rsidRDefault="00000000">
      <w:pPr>
        <w:spacing w:line="220" w:lineRule="exact"/>
      </w:pPr>
      <w:r>
        <w:br w:type="page"/>
      </w:r>
    </w:p>
    <w:p w14:paraId="65F14FE3" w14:textId="77777777" w:rsidR="001F7233" w:rsidRDefault="00000000">
      <w:pPr>
        <w:pStyle w:val="Heading2"/>
        <w:keepNext/>
        <w:spacing w:line="341" w:lineRule="auto"/>
        <w:jc w:val="center"/>
      </w:pPr>
      <w:bookmarkStart w:id="26" w:name="k7"/>
      <w:r>
        <w:rPr>
          <w:rFonts w:ascii="Amazon Ember" w:eastAsia="Amazon Ember" w:hAnsi="Amazon Ember" w:cs="Amazon Ember"/>
          <w:color w:val="0000FF"/>
          <w:sz w:val="36"/>
          <w:szCs w:val="36"/>
        </w:rPr>
        <w:lastRenderedPageBreak/>
        <w:t>Kapitel 7: H-1B oder Green Card? Der direkte Vergleich</w:t>
      </w:r>
      <w:bookmarkEnd w:id="26"/>
    </w:p>
    <w:p w14:paraId="7592A681" w14:textId="77777777" w:rsidR="001F7233" w:rsidRDefault="00000000">
      <w:pPr>
        <w:spacing w:after="140"/>
      </w:pPr>
      <w:r>
        <w:rPr>
          <w:i/>
          <w:iCs/>
        </w:rPr>
        <w:t>Im Jobangebot aus Detroit steht ein Satz, der nach Zusage klingt: The Company may sponsor you for permanent residence. Das Unternehmen „kann“ dich also für die Green Card unterstützen. Kann, nicht wird, und ohne Datum. Zwischen dem H-1B, der dich ins Land bringt und der Green Card, die dich unabhängig macht, liegen meist zweieinhalb bis viereinhalb Jahre Verfahren und ein paar entscheidende Sätze im Vertrag. Dieses Kapitel stellt beide Aufenthaltsformen gegen, zeichnet den klassischen Weg vom einen zum anderen nach und sagt ehrlich, wer die Green Card wirklich braucht.</w:t>
      </w:r>
    </w:p>
    <w:p w14:paraId="160AAA69" w14:textId="77777777" w:rsidR="001F7233" w:rsidRDefault="00000000">
      <w:r>
        <w:rPr>
          <w:b/>
        </w:rPr>
        <w:t xml:space="preserve">KURZ GESAGT: </w:t>
      </w:r>
    </w:p>
    <w:p w14:paraId="32384840" w14:textId="77777777" w:rsidR="001F7233" w:rsidRDefault="00000000">
      <w:r>
        <w:t>• H-1B und Green Card sind zwei Etappen, keine Konkurrenten: Der H-1B erlaubt bis zu sechs Jahre Arbeit, gebunden an einen Arbeitgeber. Die Green Card gilt unbefristet, erlaubt jeden Arbeitgeber und gibt dem Partner die Arbeitserlaubnis.</w:t>
      </w:r>
    </w:p>
    <w:p w14:paraId="34388B61" w14:textId="77777777" w:rsidR="001F7233" w:rsidRDefault="00000000">
      <w:r>
        <w:t>• Für Deutsche gilt im Oktober 2026: EB-1 ist ohne Warteschlange („current“), EB-2 wurde auf den Stichtag 1. Januar 2025 zurückgestuft, EB-3 liegt beim 15. Mai 2024; das Verfahren über den Arbeitgeber dauert grob 2,5–4,5 Jahre.</w:t>
      </w:r>
    </w:p>
    <w:p w14:paraId="7847D0B1" w14:textId="77777777" w:rsidR="001F7233" w:rsidRDefault="00000000">
      <w:r>
        <w:t>• Starte früh: Das Priority Date entsteht erst mit der PERM-Einreichung, während die Sechs-Jahres-Uhr des H-1B läuft. Lass Zeitpunkt, Kosten und Fortführung schriftlich zusagen – die PERM-Kosten trägt der Arbeitgeber.</w:t>
      </w:r>
    </w:p>
    <w:p w14:paraId="761E08F0" w14:textId="77777777" w:rsidR="001F7233" w:rsidRDefault="00000000">
      <w:r>
        <w:t>• Klappt die Lotterie nicht: Plan A ist der nächste Anlauf oder ein quotenfreier Arbeitgeber, Plan B ein anderes Visum oder das Studium, Plan C die Green Card direkt (</w:t>
      </w:r>
      <w:hyperlink w:anchor="k8">
        <w:r w:rsidR="001F7233">
          <w:rPr>
            <w:color w:val="0563C1"/>
            <w:u w:val="single"/>
          </w:rPr>
          <w:t>Kapitel 8</w:t>
        </w:r>
      </w:hyperlink>
      <w:r>
        <w:t xml:space="preserve"> und 9).</w:t>
      </w:r>
    </w:p>
    <w:p w14:paraId="7949DC17" w14:textId="77777777" w:rsidR="001F7233" w:rsidRDefault="00000000">
      <w:r>
        <w:t>• Nicht jeder braucht eine Green Card. Sie bringt Freiheit, aber auch weltweite Steuerpflicht und Pflichten beim Wohnsitz.</w:t>
      </w:r>
    </w:p>
    <w:p w14:paraId="218D56C4" w14:textId="77777777" w:rsidR="001F7233" w:rsidRDefault="001F7233">
      <w:pPr>
        <w:spacing w:line="220" w:lineRule="exact"/>
      </w:pPr>
    </w:p>
    <w:p w14:paraId="464673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Etappen, kein Entweder-oder</w:t>
      </w:r>
    </w:p>
    <w:p w14:paraId="17BC3965" w14:textId="77777777" w:rsidR="001F7233" w:rsidRDefault="00000000">
      <w:pPr>
        <w:spacing w:after="140"/>
      </w:pPr>
      <w:r>
        <w:t xml:space="preserve">Wer fragt „H-1B oder Green Card?“, stellt die Frage schief. Verbreiteter Irrtum: Man müsse sich für eines von beidem entscheiden. Tatsächlich ist der H-1B ein befristeter Status: Du arbeitest für den sponsernden Arbeitgeber, grundsätzlich bis zu sechs Jahre; mögliche Verlängerungen und anrechenbare Auslandszeiten erläutert </w:t>
      </w:r>
      <w:hyperlink w:anchor="k5">
        <w:r w:rsidR="001F7233">
          <w:t>Kapitel 5</w:t>
        </w:r>
      </w:hyperlink>
      <w:r>
        <w:t xml:space="preserve"> (Kapitel 5). Die Green Card (offiziell Lawful Permanent Residence, kurz LPR: unbefristetes Aufenthaltsrecht) ist das Ziel, das du meist über den Arbeitgeber erreichst (</w:t>
      </w:r>
      <w:hyperlink w:anchor="k6">
        <w:r w:rsidR="001F7233">
          <w:t>Kapitel 6</w:t>
        </w:r>
      </w:hyperlink>
      <w:r>
        <w:t>). Der H-1B erlaubt das ausdrücklich: Die Absicht, später die Green Card zu beantragen, schadet dir nicht (Dual Intent). Die eigentliche Entscheidung ist deshalb nicht das Ob, sondern der Zeitpunkt des Übergangs.</w:t>
      </w:r>
    </w:p>
    <w:p w14:paraId="2AF2A133" w14:textId="77777777" w:rsidR="001F7233" w:rsidRDefault="00000000">
      <w:pPr>
        <w:spacing w:after="140"/>
      </w:pPr>
      <w:r>
        <w:t>Der Vergleich mit Deutschland zeigt, warum das fremd wirkt. Eine Fachkraft mit Blauer Karte EU kann nach 27 Monaten, mit Deutschkenntnissen (B1) nach 21 Monaten, eine Niederlassungserlaubnis beantragen (§ 18c Aufenthaltsgesetz), ohne dass der Arbeitgeber ein eigenes Verfahren führen muss. Das ist ein Gedanke, der deutschen Ohren mit ihrer Vorliebe für feste Fristen erst einmal tröstlich vorkommt. In den USA liegt der Übergang zum unbefristeten Recht dagegen in der Hand des Arbeitgebers, dauert meist länger und beginnt erst mit dessen erstem Antrag.</w:t>
      </w:r>
    </w:p>
    <w:p w14:paraId="391EDC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große Vergleich: 20 Kriterien</w:t>
      </w:r>
    </w:p>
    <w:p w14:paraId="6FF52C7D" w14:textId="77777777" w:rsidR="001F7233" w:rsidRDefault="00000000">
      <w:pPr>
        <w:spacing w:after="140"/>
      </w:pPr>
      <w:r>
        <w:t>Die drei Tabellen stellen H-1B und erteilte Green Card gegenüber. Zwischen Antrag und Erteilung bleibst du meist im H-1B-Status; was du beim Jobwechsel darfst, steht in Kapitel </w:t>
      </w:r>
      <w:hyperlink w:anchor="k30">
        <w:r w:rsidR="001F7233">
          <w:t>30</w:t>
        </w:r>
      </w:hyperlink>
      <w:r>
        <w:t>.</w:t>
      </w:r>
    </w:p>
    <w:p w14:paraId="2BB8A70E"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 und Bindung</w:t>
      </w:r>
    </w:p>
    <w:p w14:paraId="65ED9070" w14:textId="77777777" w:rsidR="001F7233" w:rsidRDefault="00000000">
      <w:r>
        <w:rPr>
          <w:b/>
        </w:rPr>
        <w:t>Rechtsnatur</w:t>
      </w:r>
    </w:p>
    <w:p w14:paraId="65CAF60C" w14:textId="77777777" w:rsidR="001F7233" w:rsidRDefault="00000000">
      <w:r>
        <w:rPr>
          <w:b/>
        </w:rPr>
        <w:t xml:space="preserve">H-1B: </w:t>
      </w:r>
      <w:r>
        <w:t>Befristeter Status (Nichteinwanderer), Dual Intent erlaubt</w:t>
      </w:r>
    </w:p>
    <w:p w14:paraId="364E10A3" w14:textId="77777777" w:rsidR="001F7233" w:rsidRDefault="00000000">
      <w:r>
        <w:rPr>
          <w:b/>
        </w:rPr>
        <w:lastRenderedPageBreak/>
        <w:t xml:space="preserve">Green Card: </w:t>
      </w:r>
      <w:r>
        <w:t>Unbefristetes Aufenthaltsrecht (LPR)</w:t>
      </w:r>
    </w:p>
    <w:p w14:paraId="6BE114BB" w14:textId="77777777" w:rsidR="001F7233" w:rsidRDefault="00000000">
      <w:r>
        <w:rPr>
          <w:b/>
        </w:rPr>
        <w:t>Dauer</w:t>
      </w:r>
    </w:p>
    <w:p w14:paraId="34E529C5" w14:textId="77777777" w:rsidR="001F7233" w:rsidRDefault="00000000">
      <w:r>
        <w:rPr>
          <w:b/>
        </w:rPr>
        <w:t xml:space="preserve">H-1B: </w:t>
      </w:r>
      <w:r>
        <w:t>3 + 3 Jahre; länger nur mit laufendem Green-Card-Verfahren</w:t>
      </w:r>
    </w:p>
    <w:p w14:paraId="56802A54" w14:textId="77777777" w:rsidR="001F7233" w:rsidRDefault="00000000">
      <w:r>
        <w:rPr>
          <w:b/>
        </w:rPr>
        <w:t xml:space="preserve">Green Card: </w:t>
      </w:r>
      <w:r>
        <w:t>Unbefristet; Karte alle 10 Jahre erneuern (I-90: 465 $ Papier, 415 $ online)</w:t>
      </w:r>
    </w:p>
    <w:p w14:paraId="0DE4C876" w14:textId="77777777" w:rsidR="001F7233" w:rsidRDefault="00000000">
      <w:r>
        <w:rPr>
          <w:b/>
        </w:rPr>
        <w:t>Zugang</w:t>
      </w:r>
    </w:p>
    <w:p w14:paraId="1CEB1895" w14:textId="77777777" w:rsidR="001F7233" w:rsidRDefault="00000000">
      <w:r>
        <w:rPr>
          <w:b/>
        </w:rPr>
        <w:t>H-1B: gewichtete Auswahl im Frühjahr, jährlich bis zu 85.000 quotenpflichtige Plätze; quotenfreie Arbeitgeber ausgenommen</w:t>
      </w:r>
    </w:p>
    <w:p w14:paraId="021ACB13" w14:textId="77777777" w:rsidR="001F7233" w:rsidRDefault="00000000">
      <w:r>
        <w:rPr>
          <w:b/>
        </w:rPr>
        <w:t xml:space="preserve">Green Card: </w:t>
      </w:r>
      <w:r>
        <w:t>Kein Los, aber Jahreskontingente mit Warteschlange (Visa Bulletin)</w:t>
      </w:r>
    </w:p>
    <w:p w14:paraId="58ED3B31" w14:textId="77777777" w:rsidR="001F7233" w:rsidRDefault="00000000">
      <w:r>
        <w:rPr>
          <w:b/>
        </w:rPr>
        <w:t>Arbeitgeberbindung</w:t>
      </w:r>
    </w:p>
    <w:p w14:paraId="2004B5D9" w14:textId="77777777" w:rsidR="001F7233" w:rsidRDefault="00000000">
      <w:r>
        <w:rPr>
          <w:b/>
        </w:rPr>
        <w:t xml:space="preserve">H-1B: </w:t>
      </w:r>
      <w:r>
        <w:t>Nur der Sponsor, nur die beschriebene Stelle am beschriebenen Ort</w:t>
      </w:r>
    </w:p>
    <w:p w14:paraId="6FC117A7" w14:textId="77777777" w:rsidR="001F7233" w:rsidRDefault="00000000">
      <w:r>
        <w:rPr>
          <w:b/>
        </w:rPr>
        <w:t xml:space="preserve">Green Card: </w:t>
      </w:r>
      <w:r>
        <w:t>Jeder Arbeitgeber, jede Tätigkeit</w:t>
      </w:r>
    </w:p>
    <w:p w14:paraId="5DB548FE" w14:textId="77777777" w:rsidR="001F7233" w:rsidRDefault="00000000">
      <w:r>
        <w:rPr>
          <w:b/>
        </w:rPr>
        <w:t>Jobwechsel</w:t>
      </w:r>
    </w:p>
    <w:p w14:paraId="0EBE24B3" w14:textId="77777777" w:rsidR="001F7233" w:rsidRDefault="00000000">
      <w:r>
        <w:rPr>
          <w:b/>
        </w:rPr>
        <w:t xml:space="preserve">H-1B: </w:t>
      </w:r>
      <w:r>
        <w:t>Ohne neue Lotterie (Portabilität), aber mit neuer Petition des neuen Arbeitgebers</w:t>
      </w:r>
    </w:p>
    <w:p w14:paraId="2F929423" w14:textId="77777777" w:rsidR="001F7233" w:rsidRDefault="00000000">
      <w:r>
        <w:rPr>
          <w:b/>
        </w:rPr>
        <w:t xml:space="preserve">Green Card: </w:t>
      </w:r>
      <w:r>
        <w:t>Frei, kein Antrag bei der Behörde</w:t>
      </w:r>
    </w:p>
    <w:p w14:paraId="2549C388" w14:textId="77777777" w:rsidR="001F7233" w:rsidRDefault="00000000">
      <w:r>
        <w:rPr>
          <w:b/>
        </w:rPr>
        <w:t>Nebenjob, Selbständigkeit</w:t>
      </w:r>
    </w:p>
    <w:p w14:paraId="19DEF075" w14:textId="77777777" w:rsidR="001F7233" w:rsidRDefault="00000000">
      <w:r>
        <w:rPr>
          <w:b/>
        </w:rPr>
        <w:t xml:space="preserve">H-1B: </w:t>
      </w:r>
      <w:r>
        <w:t>Nur mit zweiter Petition eines zweiten Arbeitgebers; freiberuflich nicht möglich</w:t>
      </w:r>
    </w:p>
    <w:p w14:paraId="18BB66E3" w14:textId="77777777" w:rsidR="001F7233" w:rsidRDefault="00000000">
      <w:r>
        <w:rPr>
          <w:b/>
        </w:rPr>
        <w:t xml:space="preserve">Green Card: </w:t>
      </w:r>
      <w:r>
        <w:t>Erlaubt, auch Firmengründung</w:t>
      </w:r>
    </w:p>
    <w:p w14:paraId="6866D6A6" w14:textId="77777777" w:rsidR="001F7233" w:rsidRDefault="00000000">
      <w:r>
        <w:rPr>
          <w:b/>
        </w:rPr>
        <w:t>Jobverlust</w:t>
      </w:r>
    </w:p>
    <w:p w14:paraId="4C458362" w14:textId="77777777" w:rsidR="001F7233" w:rsidRDefault="00000000">
      <w:r>
        <w:rPr>
          <w:b/>
        </w:rPr>
        <w:t>H-1B: mögliche Ermessens-Nachfrist bis zu 60 Tage nach Beschäftigungsende; kein automatisches Arbeitsrecht währenddessen</w:t>
      </w:r>
    </w:p>
    <w:p w14:paraId="21CE21B7" w14:textId="77777777" w:rsidR="001F7233" w:rsidRDefault="00000000">
      <w:r>
        <w:rPr>
          <w:b/>
        </w:rPr>
        <w:t xml:space="preserve">Green Card: </w:t>
      </w:r>
      <w:r>
        <w:t>Status bleibt, kein Aufenthaltsdruck</w:t>
      </w:r>
    </w:p>
    <w:p w14:paraId="7BF03E85" w14:textId="77777777" w:rsidR="001F7233" w:rsidRDefault="00000000">
      <w:r>
        <w:rPr>
          <w:b/>
        </w:rPr>
        <w:t>Umzug im Land</w:t>
      </w:r>
    </w:p>
    <w:p w14:paraId="4A9B7ABD" w14:textId="77777777" w:rsidR="001F7233" w:rsidRDefault="00000000">
      <w:r>
        <w:rPr>
          <w:b/>
        </w:rPr>
        <w:t xml:space="preserve">H-1B: </w:t>
      </w:r>
      <w:r>
        <w:t>Anderes Beschäftigungsgebiet: geänderte Petition mit neuer Lohnbestätigung (LCA)</w:t>
      </w:r>
    </w:p>
    <w:p w14:paraId="49C07967" w14:textId="77777777" w:rsidR="001F7233" w:rsidRDefault="00000000">
      <w:r>
        <w:rPr>
          <w:b/>
        </w:rPr>
        <w:t xml:space="preserve">Green Card: </w:t>
      </w:r>
      <w:r>
        <w:t>Frei; Adresse binnen 10 Tagen melden (AR-11, gilt für alle)</w:t>
      </w:r>
    </w:p>
    <w:p w14:paraId="77FE4EF7" w14:textId="77777777" w:rsidR="001F7233" w:rsidRDefault="001F7233">
      <w:pPr>
        <w:spacing w:line="180" w:lineRule="exact"/>
      </w:pPr>
    </w:p>
    <w:p w14:paraId="72283ECE"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Familie</w:t>
      </w:r>
    </w:p>
    <w:p w14:paraId="0CFE6664" w14:textId="77777777" w:rsidR="001F7233" w:rsidRDefault="00000000">
      <w:r>
        <w:rPr>
          <w:b/>
        </w:rPr>
        <w:t>Arbeit des Partners</w:t>
      </w:r>
    </w:p>
    <w:p w14:paraId="16AAC00E" w14:textId="77777777" w:rsidR="001F7233" w:rsidRDefault="00000000">
      <w:r>
        <w:rPr>
          <w:b/>
        </w:rPr>
        <w:t xml:space="preserve">H-1B: </w:t>
      </w:r>
      <w:r>
        <w:t>H-4-Arbeitserlaubnis erst mit genehmigter I-140 oder Verlängerung über sechs Jahre hinaus</w:t>
      </w:r>
    </w:p>
    <w:p w14:paraId="2F9695A1" w14:textId="77777777" w:rsidR="001F7233" w:rsidRDefault="00000000">
      <w:r>
        <w:rPr>
          <w:b/>
        </w:rPr>
        <w:t xml:space="preserve">Green Card: </w:t>
      </w:r>
      <w:r>
        <w:t>Partner arbeitet frei; schon bei laufender I-485 Arbeitserlaubnis möglich (260 $)</w:t>
      </w:r>
    </w:p>
    <w:p w14:paraId="3EF71256" w14:textId="77777777" w:rsidR="001F7233" w:rsidRDefault="00000000">
      <w:r>
        <w:rPr>
          <w:b/>
        </w:rPr>
        <w:t>Kinder und Altersgrenze</w:t>
      </w:r>
    </w:p>
    <w:p w14:paraId="278746B5" w14:textId="77777777" w:rsidR="001F7233" w:rsidRDefault="00000000">
      <w:r>
        <w:rPr>
          <w:b/>
        </w:rPr>
        <w:t xml:space="preserve">H-1B: </w:t>
      </w:r>
      <w:r>
        <w:t>H-4 endet mit dem 21. Geburtstag, dann ist ein eigener Status nötig</w:t>
      </w:r>
    </w:p>
    <w:p w14:paraId="0BB062F3" w14:textId="77777777" w:rsidR="001F7233" w:rsidRDefault="00000000">
      <w:r>
        <w:rPr>
          <w:b/>
        </w:rPr>
        <w:t xml:space="preserve">Green Card: </w:t>
      </w:r>
      <w:r>
        <w:t>Unverheiratete Kinder unter 21 sind mitberechtigt; die Regel CSPA schützt oft vor dem Herausaltern</w:t>
      </w:r>
    </w:p>
    <w:p w14:paraId="08D0CBEA" w14:textId="77777777" w:rsidR="001F7233" w:rsidRDefault="00000000">
      <w:r>
        <w:rPr>
          <w:b/>
        </w:rPr>
        <w:t>Studium der Kinder</w:t>
      </w:r>
    </w:p>
    <w:p w14:paraId="4D2B75FF" w14:textId="77777777" w:rsidR="001F7233" w:rsidRDefault="00000000">
      <w:r>
        <w:rPr>
          <w:b/>
        </w:rPr>
        <w:t xml:space="preserve">H-1B: </w:t>
      </w:r>
      <w:r>
        <w:t>Je nach Bundesstaat oft Tarif für Nicht-Ansässige, keine Bundesstudienhilfe</w:t>
      </w:r>
    </w:p>
    <w:p w14:paraId="175A9500" w14:textId="77777777" w:rsidR="001F7233" w:rsidRDefault="00000000">
      <w:r>
        <w:rPr>
          <w:b/>
        </w:rPr>
        <w:t xml:space="preserve">Green Card: </w:t>
      </w:r>
      <w:r>
        <w:t>Bundesstudienhilfe (FAFSA) möglich; Tarife je nach Bundesstaat</w:t>
      </w:r>
    </w:p>
    <w:p w14:paraId="0912E0EB" w14:textId="77777777" w:rsidR="001F7233" w:rsidRDefault="001F7233">
      <w:pPr>
        <w:spacing w:line="180" w:lineRule="exact"/>
      </w:pPr>
    </w:p>
    <w:p w14:paraId="344B4886"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Reisen, Geld und Sicherheit</w:t>
      </w:r>
    </w:p>
    <w:p w14:paraId="472A1C83" w14:textId="77777777" w:rsidR="001F7233" w:rsidRDefault="00000000">
      <w:r>
        <w:rPr>
          <w:b/>
        </w:rPr>
        <w:t>Reisen</w:t>
      </w:r>
    </w:p>
    <w:p w14:paraId="3594B3A5" w14:textId="77777777" w:rsidR="001F7233" w:rsidRDefault="00000000">
      <w:r>
        <w:rPr>
          <w:b/>
        </w:rPr>
        <w:t xml:space="preserve">H-1B: </w:t>
      </w:r>
      <w:r>
        <w:t>Wiedereinreise mit gültigem Visum im Pass; ist es abgelaufen, neues Visum im Konsulat</w:t>
      </w:r>
    </w:p>
    <w:p w14:paraId="24BC838E" w14:textId="77777777" w:rsidR="001F7233" w:rsidRDefault="00000000">
      <w:r>
        <w:rPr>
          <w:b/>
        </w:rPr>
        <w:t xml:space="preserve">Green Card: </w:t>
      </w:r>
      <w:r>
        <w:t>Wiedereinreise mit Green Card und Reisepass, kein Konsulat</w:t>
      </w:r>
    </w:p>
    <w:p w14:paraId="6F0FA46B" w14:textId="77777777" w:rsidR="001F7233" w:rsidRDefault="00000000">
      <w:r>
        <w:rPr>
          <w:b/>
        </w:rPr>
        <w:t>Lange Auslandszeit</w:t>
      </w:r>
    </w:p>
    <w:p w14:paraId="462381CD" w14:textId="77777777" w:rsidR="001F7233" w:rsidRDefault="00000000">
      <w:r>
        <w:rPr>
          <w:b/>
        </w:rPr>
        <w:t xml:space="preserve">H-1B: </w:t>
      </w:r>
      <w:r>
        <w:t>Zeit im Ausland (über 24 Stunden) zählt nicht zu den sechs Jahren (Recapture)</w:t>
      </w:r>
    </w:p>
    <w:p w14:paraId="5B3762B9" w14:textId="77777777" w:rsidR="001F7233" w:rsidRDefault="00000000">
      <w:r>
        <w:rPr>
          <w:b/>
        </w:rPr>
        <w:t>Green Card: Über 180 Tage: Prüfung durch den Grenzschutz. Ab einem Jahr ohne Reentry Permit gilt die Karte nicht mehr als Einreisedokument.</w:t>
      </w:r>
    </w:p>
    <w:p w14:paraId="76D33775" w14:textId="77777777" w:rsidR="001F7233" w:rsidRDefault="00000000">
      <w:r>
        <w:rPr>
          <w:b/>
        </w:rPr>
        <w:t>Steuern</w:t>
      </w:r>
    </w:p>
    <w:p w14:paraId="2003850F" w14:textId="77777777" w:rsidR="001F7233" w:rsidRDefault="00000000">
      <w:r>
        <w:rPr>
          <w:b/>
        </w:rPr>
        <w:t xml:space="preserve">H-1B: </w:t>
      </w:r>
      <w:r>
        <w:t>In der Regel steuerlich ansässig; die Ansässigkeit endet mit dem Wegzug</w:t>
      </w:r>
    </w:p>
    <w:p w14:paraId="4214462C" w14:textId="77777777" w:rsidR="001F7233" w:rsidRDefault="00000000">
      <w:r>
        <w:rPr>
          <w:b/>
        </w:rPr>
        <w:lastRenderedPageBreak/>
        <w:t xml:space="preserve">Green Card: </w:t>
      </w:r>
      <w:r>
        <w:t>Weltweit steuerpflichtig bis zur formellen Aufgabe; ab 8 von 15 Jahren droht die Exit Tax</w:t>
      </w:r>
    </w:p>
    <w:p w14:paraId="1ED4E8E4" w14:textId="77777777" w:rsidR="001F7233" w:rsidRDefault="00000000">
      <w:r>
        <w:rPr>
          <w:b/>
        </w:rPr>
        <w:t>Hypothek</w:t>
      </w:r>
    </w:p>
    <w:p w14:paraId="68F743AC" w14:textId="77777777" w:rsidR="001F7233" w:rsidRDefault="00000000">
      <w:r>
        <w:rPr>
          <w:b/>
        </w:rPr>
        <w:t xml:space="preserve">H-1B: </w:t>
      </w:r>
      <w:r>
        <w:t>Konformkredit möglich, oft mit Mindest-Restlaufzeit des Visums; FHA seit 25. Mai 2025 ausgeschlossen</w:t>
      </w:r>
    </w:p>
    <w:p w14:paraId="70EC1D4F" w14:textId="77777777" w:rsidR="001F7233" w:rsidRDefault="00000000">
      <w:r>
        <w:rPr>
          <w:b/>
        </w:rPr>
        <w:t xml:space="preserve">Green Card: </w:t>
      </w:r>
      <w:r>
        <w:t>Zugang wie US-Bürger, auch FHA mit kleiner Anzahlung (</w:t>
      </w:r>
      <w:hyperlink w:anchor="k14">
        <w:r w:rsidR="001F7233">
          <w:rPr>
            <w:rStyle w:val="Hyperlink"/>
          </w:rPr>
          <w:t>Kapitel 14</w:t>
        </w:r>
      </w:hyperlink>
      <w:r>
        <w:t>)</w:t>
      </w:r>
    </w:p>
    <w:p w14:paraId="2D2D5B42" w14:textId="77777777" w:rsidR="001F7233" w:rsidRDefault="00000000">
      <w:r>
        <w:rPr>
          <w:b/>
        </w:rPr>
        <w:t>Krankenversicherung</w:t>
      </w:r>
    </w:p>
    <w:p w14:paraId="4012BAAF" w14:textId="77777777" w:rsidR="001F7233" w:rsidRDefault="00000000">
      <w:r>
        <w:rPr>
          <w:b/>
        </w:rPr>
        <w:t xml:space="preserve">H-1B: </w:t>
      </w:r>
      <w:r>
        <w:t>Meist Arbeitgeberplan; ab 2027 keine Marktplatz-Zuschüsse</w:t>
      </w:r>
    </w:p>
    <w:p w14:paraId="29909EE5" w14:textId="77777777" w:rsidR="001F7233" w:rsidRDefault="00000000">
      <w:r>
        <w:rPr>
          <w:b/>
        </w:rPr>
        <w:t xml:space="preserve">Green Card: </w:t>
      </w:r>
      <w:r>
        <w:t>Marktplatz-Zuschüsse je nach Einkommen möglich (</w:t>
      </w:r>
      <w:hyperlink w:anchor="k26">
        <w:r w:rsidR="001F7233">
          <w:rPr>
            <w:rStyle w:val="Hyperlink"/>
          </w:rPr>
          <w:t>Kapitel 26</w:t>
        </w:r>
      </w:hyperlink>
      <w:r>
        <w:t>)</w:t>
      </w:r>
    </w:p>
    <w:p w14:paraId="2C2C906F" w14:textId="77777777" w:rsidR="001F7233" w:rsidRDefault="00000000">
      <w:r>
        <w:rPr>
          <w:b/>
        </w:rPr>
        <w:t>Arbeitslosengeld</w:t>
      </w:r>
    </w:p>
    <w:p w14:paraId="44ADB29D" w14:textId="77777777" w:rsidR="001F7233" w:rsidRDefault="00000000">
      <w:r>
        <w:rPr>
          <w:b/>
        </w:rPr>
        <w:t xml:space="preserve">H-1B: </w:t>
      </w:r>
      <w:r>
        <w:t>Anspruch in der Praxis uneinheitlich, nicht einplanen</w:t>
      </w:r>
    </w:p>
    <w:p w14:paraId="56AA0507" w14:textId="77777777" w:rsidR="001F7233" w:rsidRDefault="00000000">
      <w:r>
        <w:rPr>
          <w:b/>
        </w:rPr>
        <w:t xml:space="preserve">Green Card: </w:t>
      </w:r>
      <w:r>
        <w:t>Regeln des Bundesstaats wie für andere Beschäftigte</w:t>
      </w:r>
    </w:p>
    <w:p w14:paraId="538FCF22" w14:textId="77777777" w:rsidR="001F7233" w:rsidRDefault="00000000">
      <w:r>
        <w:rPr>
          <w:b/>
        </w:rPr>
        <w:t>Kosten</w:t>
      </w:r>
    </w:p>
    <w:p w14:paraId="4F0A3347" w14:textId="77777777" w:rsidR="001F7233" w:rsidRDefault="00000000">
      <w:r>
        <w:rPr>
          <w:b/>
        </w:rPr>
        <w:t xml:space="preserve">H-1B: </w:t>
      </w:r>
      <w:r>
        <w:t>Arbeitgeber zahlt Behördengebühren (Großbetrieb ca. 3.380 $); du meist Konsulat und Familienanträge</w:t>
      </w:r>
    </w:p>
    <w:p w14:paraId="555E0229" w14:textId="77777777" w:rsidR="001F7233" w:rsidRDefault="00000000">
      <w:r>
        <w:rPr>
          <w:b/>
        </w:rPr>
        <w:t>Green Card: PERM und I-140 zahlt der Arbeitgeber. Die I-485 meist du: 1.440 $ je Erwachsenem, 950 $ je Kind unter 14 mit Elternteil (Papier).</w:t>
      </w:r>
    </w:p>
    <w:p w14:paraId="1285B0CB" w14:textId="77777777" w:rsidR="001F7233" w:rsidRDefault="00000000">
      <w:r>
        <w:rPr>
          <w:b/>
        </w:rPr>
        <w:t>Einbürgerung, Wahlrecht</w:t>
      </w:r>
    </w:p>
    <w:p w14:paraId="2DDC23AE" w14:textId="77777777" w:rsidR="001F7233" w:rsidRDefault="00000000">
      <w:r>
        <w:rPr>
          <w:b/>
        </w:rPr>
        <w:t xml:space="preserve">H-1B: </w:t>
      </w:r>
      <w:r>
        <w:t>Kein Weg zur Staatsbürgerschaft, kein Wahlrecht</w:t>
      </w:r>
    </w:p>
    <w:p w14:paraId="71518C12" w14:textId="77777777" w:rsidR="001F7233" w:rsidRDefault="00000000">
      <w:r>
        <w:rPr>
          <w:b/>
        </w:rPr>
        <w:t xml:space="preserve">Green Card: </w:t>
      </w:r>
      <w:r>
        <w:t>Einbürgerung frühestens nach 5 Jahren (</w:t>
      </w:r>
      <w:hyperlink w:anchor="k41">
        <w:r w:rsidR="001F7233">
          <w:rPr>
            <w:rStyle w:val="Hyperlink"/>
          </w:rPr>
          <w:t>Kapitel 41</w:t>
        </w:r>
      </w:hyperlink>
      <w:r>
        <w:t>); Wahlrecht erst als Staatsbürger</w:t>
      </w:r>
    </w:p>
    <w:p w14:paraId="607781C7" w14:textId="77777777" w:rsidR="001F7233" w:rsidRDefault="00000000">
      <w:r>
        <w:rPr>
          <w:b/>
        </w:rPr>
        <w:t>Regeländerungen</w:t>
      </w:r>
    </w:p>
    <w:p w14:paraId="63BA9737" w14:textId="77777777" w:rsidR="001F7233" w:rsidRDefault="00000000">
      <w:r>
        <w:rPr>
          <w:b/>
        </w:rPr>
        <w:t xml:space="preserve">H-1B: </w:t>
      </w:r>
      <w:r>
        <w:t>Stark betroffen: Lotterie, Gebühren, Lohnstufen, 60-Tage-Frist</w:t>
      </w:r>
    </w:p>
    <w:p w14:paraId="084816B7" w14:textId="77777777" w:rsidR="001F7233" w:rsidRDefault="00000000">
      <w:r>
        <w:rPr>
          <w:b/>
        </w:rPr>
        <w:t xml:space="preserve">Green Card: </w:t>
      </w:r>
      <w:r>
        <w:t>Erteilte Karte stabiler; im Verfahren Risiko durch Stichtage, Prüfregeln, Gebühren</w:t>
      </w:r>
    </w:p>
    <w:p w14:paraId="509C1603" w14:textId="77777777" w:rsidR="001F7233" w:rsidRDefault="001F7233">
      <w:pPr>
        <w:spacing w:line="180" w:lineRule="exact"/>
      </w:pPr>
    </w:p>
    <w:p w14:paraId="0F055F63" w14:textId="77777777" w:rsidR="001F7233" w:rsidRDefault="00000000">
      <w:r>
        <w:rPr>
          <w:b/>
        </w:rPr>
        <w:t xml:space="preserve">MERKE: </w:t>
      </w:r>
    </w:p>
    <w:p w14:paraId="5C291AD3" w14:textId="77777777" w:rsidR="001F7233" w:rsidRDefault="00000000">
      <w:r>
        <w:t>• Die Green Card bringt dir nicht mehr Gehalt, sondern Verhandlungsmacht. Wer nicht mehr am Sponsor hängt, kann wechseln, pausieren oder gehen, ohne dass der Aufenthalt daran zerbricht.</w:t>
      </w:r>
    </w:p>
    <w:p w14:paraId="2FF703E5" w14:textId="77777777" w:rsidR="001F7233" w:rsidRDefault="001F7233">
      <w:pPr>
        <w:spacing w:line="220" w:lineRule="exact"/>
      </w:pPr>
    </w:p>
    <w:p w14:paraId="325D29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klassische Weg: vom H-1B zur Green Card</w:t>
      </w:r>
    </w:p>
    <w:p w14:paraId="3B11E8BD" w14:textId="77777777" w:rsidR="001F7233" w:rsidRDefault="00000000">
      <w:r>
        <w:rPr>
          <w:b/>
        </w:rPr>
        <w:t>Zusage im Vertrag</w:t>
      </w:r>
    </w:p>
    <w:p w14:paraId="391A74CD" w14:textId="77777777" w:rsidR="001F7233" w:rsidRDefault="00000000">
      <w:r>
        <w:rPr>
          <w:b/>
        </w:rPr>
        <w:t xml:space="preserve">Dauer (ca.): </w:t>
      </w:r>
      <w:r>
        <w:t>vor der Unterschrift</w:t>
      </w:r>
    </w:p>
    <w:p w14:paraId="46FFA3A8" w14:textId="77777777" w:rsidR="001F7233" w:rsidRDefault="00000000">
      <w:r>
        <w:rPr>
          <w:b/>
        </w:rPr>
        <w:t xml:space="preserve">Zahlt: </w:t>
      </w:r>
      <w:r>
        <w:t>–</w:t>
      </w:r>
    </w:p>
    <w:p w14:paraId="58362CEF" w14:textId="77777777" w:rsidR="001F7233" w:rsidRDefault="00000000">
      <w:r>
        <w:rPr>
          <w:b/>
        </w:rPr>
        <w:t>H-1B-Start</w:t>
      </w:r>
    </w:p>
    <w:p w14:paraId="3166C2EA" w14:textId="77777777" w:rsidR="001F7233" w:rsidRDefault="00000000">
      <w:r>
        <w:rPr>
          <w:b/>
        </w:rPr>
        <w:t xml:space="preserve">Was passiert: </w:t>
      </w:r>
      <w:r>
        <w:t>Registrierung im März, Beginn frühestens 1. Oktober (</w:t>
      </w:r>
      <w:hyperlink w:anchor="k5">
        <w:r w:rsidR="001F7233">
          <w:rPr>
            <w:rStyle w:val="Hyperlink"/>
          </w:rPr>
          <w:t>Kapitel 5</w:t>
        </w:r>
      </w:hyperlink>
      <w:r>
        <w:t>)</w:t>
      </w:r>
    </w:p>
    <w:p w14:paraId="4E5048AC" w14:textId="77777777" w:rsidR="001F7233" w:rsidRDefault="00000000">
      <w:r>
        <w:rPr>
          <w:b/>
        </w:rPr>
        <w:t xml:space="preserve">Dauer (ca.): </w:t>
      </w:r>
      <w:r>
        <w:t>Monat 0</w:t>
      </w:r>
    </w:p>
    <w:p w14:paraId="7900DB21" w14:textId="77777777" w:rsidR="001F7233" w:rsidRDefault="00000000">
      <w:r>
        <w:rPr>
          <w:b/>
        </w:rPr>
        <w:t xml:space="preserve">Zahlt: </w:t>
      </w:r>
      <w:r>
        <w:t>Arbeitgeber</w:t>
      </w:r>
    </w:p>
    <w:p w14:paraId="30E3695D" w14:textId="77777777" w:rsidR="001F7233" w:rsidRDefault="00000000">
      <w:r>
        <w:rPr>
          <w:b/>
        </w:rPr>
        <w:t>Lohnfeststellung (PWD)</w:t>
      </w:r>
    </w:p>
    <w:p w14:paraId="1F4DEFAD" w14:textId="77777777" w:rsidR="001F7233" w:rsidRDefault="00000000">
      <w:r>
        <w:rPr>
          <w:b/>
        </w:rPr>
        <w:t xml:space="preserve">Was passiert: </w:t>
      </w:r>
      <w:r>
        <w:t>Das DOL legt den ortsüblichen Mindestlohn der Stelle fest (Prevailing Wage Determination, Form ETA-9141)</w:t>
      </w:r>
    </w:p>
    <w:p w14:paraId="0BF07FFD" w14:textId="77777777" w:rsidR="001F7233" w:rsidRDefault="00000000">
      <w:r>
        <w:rPr>
          <w:b/>
        </w:rPr>
        <w:t xml:space="preserve">Dauer (ca.): </w:t>
      </w:r>
      <w:r>
        <w:t>3,5–4 Monate</w:t>
      </w:r>
    </w:p>
    <w:p w14:paraId="246AD2F8" w14:textId="77777777" w:rsidR="001F7233" w:rsidRDefault="00000000">
      <w:r>
        <w:rPr>
          <w:b/>
        </w:rPr>
        <w:t xml:space="preserve">Zahlt: </w:t>
      </w:r>
      <w:r>
        <w:t>Arbeitgeber</w:t>
      </w:r>
    </w:p>
    <w:p w14:paraId="312C4791" w14:textId="77777777" w:rsidR="001F7233" w:rsidRDefault="00000000">
      <w:r>
        <w:rPr>
          <w:b/>
        </w:rPr>
        <w:t>Anzeigenphase</w:t>
      </w:r>
    </w:p>
    <w:p w14:paraId="0AC2467E" w14:textId="77777777" w:rsidR="001F7233" w:rsidRDefault="00000000">
      <w:r>
        <w:rPr>
          <w:b/>
        </w:rPr>
        <w:t xml:space="preserve">Was passiert: </w:t>
      </w:r>
      <w:r>
        <w:t>Arbeitgeber sucht öffentlich US-Bewerber, danach 30 Tage Ruhezeit</w:t>
      </w:r>
    </w:p>
    <w:p w14:paraId="5A1707D2" w14:textId="77777777" w:rsidR="001F7233" w:rsidRDefault="00000000">
      <w:r>
        <w:rPr>
          <w:b/>
        </w:rPr>
        <w:t xml:space="preserve">Dauer (ca.): </w:t>
      </w:r>
      <w:r>
        <w:t>2–3 Monate</w:t>
      </w:r>
    </w:p>
    <w:p w14:paraId="4093D809" w14:textId="77777777" w:rsidR="001F7233" w:rsidRDefault="00000000">
      <w:r>
        <w:rPr>
          <w:b/>
        </w:rPr>
        <w:t xml:space="preserve">Zahlt: </w:t>
      </w:r>
      <w:r>
        <w:t>Arbeitgeber</w:t>
      </w:r>
    </w:p>
    <w:p w14:paraId="02D39575" w14:textId="77777777" w:rsidR="001F7233" w:rsidRDefault="00000000">
      <w:r>
        <w:rPr>
          <w:b/>
        </w:rPr>
        <w:t>PERM (Form ETA-9089)</w:t>
      </w:r>
    </w:p>
    <w:p w14:paraId="0A196839" w14:textId="77777777" w:rsidR="001F7233" w:rsidRDefault="00000000">
      <w:r>
        <w:rPr>
          <w:b/>
        </w:rPr>
        <w:t xml:space="preserve">Was passiert: </w:t>
      </w:r>
      <w:r>
        <w:t>Einreichung beim DOL; damit entsteht das Priority Date</w:t>
      </w:r>
    </w:p>
    <w:p w14:paraId="0BC00776" w14:textId="77777777" w:rsidR="001F7233" w:rsidRDefault="00000000">
      <w:r>
        <w:rPr>
          <w:b/>
        </w:rPr>
        <w:t xml:space="preserve">Dauer (ca.): </w:t>
      </w:r>
      <w:r>
        <w:t>Prüfung im Schnitt rund 11 Monate</w:t>
      </w:r>
    </w:p>
    <w:p w14:paraId="60EAFF8A" w14:textId="77777777" w:rsidR="001F7233" w:rsidRDefault="00000000">
      <w:r>
        <w:rPr>
          <w:b/>
        </w:rPr>
        <w:t xml:space="preserve">Zahlt: </w:t>
      </w:r>
      <w:r>
        <w:t>Arbeitgeber</w:t>
      </w:r>
    </w:p>
    <w:p w14:paraId="325A3F3B" w14:textId="77777777" w:rsidR="001F7233" w:rsidRDefault="00000000">
      <w:r>
        <w:rPr>
          <w:b/>
        </w:rPr>
        <w:t>I-140</w:t>
      </w:r>
    </w:p>
    <w:p w14:paraId="4B38952C" w14:textId="77777777" w:rsidR="001F7233" w:rsidRDefault="00000000">
      <w:r>
        <w:rPr>
          <w:b/>
        </w:rPr>
        <w:t xml:space="preserve">Was passiert: </w:t>
      </w:r>
      <w:r>
        <w:t>Einwanderungspetition bei USCIS; mit Premium Processing (2.965 $) etwa 15 Werktage</w:t>
      </w:r>
    </w:p>
    <w:p w14:paraId="54BF918C" w14:textId="77777777" w:rsidR="001F7233" w:rsidRDefault="00000000">
      <w:r>
        <w:rPr>
          <w:b/>
        </w:rPr>
        <w:t xml:space="preserve">Dauer (ca.): </w:t>
      </w:r>
      <w:r>
        <w:t>Wochen bis Monate</w:t>
      </w:r>
    </w:p>
    <w:p w14:paraId="543F9C86" w14:textId="77777777" w:rsidR="001F7233" w:rsidRDefault="00000000">
      <w:r>
        <w:rPr>
          <w:b/>
        </w:rPr>
        <w:t xml:space="preserve">Zahlt: </w:t>
      </w:r>
      <w:r>
        <w:t>Arbeitgeber</w:t>
      </w:r>
    </w:p>
    <w:p w14:paraId="27649367" w14:textId="77777777" w:rsidR="001F7233" w:rsidRDefault="00000000">
      <w:r>
        <w:rPr>
          <w:b/>
        </w:rPr>
        <w:t>I-485</w:t>
      </w:r>
    </w:p>
    <w:p w14:paraId="58779E46" w14:textId="77777777" w:rsidR="001F7233" w:rsidRDefault="00000000">
      <w:r>
        <w:rPr>
          <w:b/>
        </w:rPr>
        <w:lastRenderedPageBreak/>
        <w:t xml:space="preserve">Was passiert: </w:t>
      </w:r>
      <w:r>
        <w:t>Antrag im Inland, bei „current“ gleichzeitig mit der I-140 möglich; Arbeitserlaubnis und Reisepapiere beantragbar</w:t>
      </w:r>
    </w:p>
    <w:p w14:paraId="7FFFC4AF" w14:textId="77777777" w:rsidR="001F7233" w:rsidRDefault="00000000">
      <w:r>
        <w:rPr>
          <w:b/>
        </w:rPr>
        <w:t xml:space="preserve">Dauer (ca.): </w:t>
      </w:r>
      <w:r>
        <w:t>8–24 Monate</w:t>
      </w:r>
    </w:p>
    <w:p w14:paraId="122964F0" w14:textId="77777777" w:rsidR="001F7233" w:rsidRDefault="00000000">
      <w:r>
        <w:rPr>
          <w:b/>
        </w:rPr>
        <w:t xml:space="preserve">Zahlt: </w:t>
      </w:r>
      <w:r>
        <w:t>meist du</w:t>
      </w:r>
    </w:p>
    <w:p w14:paraId="59120C4D" w14:textId="77777777" w:rsidR="001F7233" w:rsidRDefault="00000000">
      <w:r>
        <w:rPr>
          <w:b/>
        </w:rPr>
        <w:t>Green Card</w:t>
      </w:r>
    </w:p>
    <w:p w14:paraId="246EB9E5" w14:textId="77777777" w:rsidR="001F7233" w:rsidRDefault="00000000">
      <w:r>
        <w:rPr>
          <w:b/>
        </w:rPr>
        <w:t xml:space="preserve">Was passiert: </w:t>
      </w:r>
      <w:r>
        <w:t>Die Karte kommt per Post, die Familie erhält sie mit</w:t>
      </w:r>
    </w:p>
    <w:p w14:paraId="46DE4A73" w14:textId="77777777" w:rsidR="001F7233" w:rsidRDefault="00000000">
      <w:r>
        <w:rPr>
          <w:b/>
        </w:rPr>
        <w:t xml:space="preserve">Dauer (ca.): </w:t>
      </w:r>
      <w:r>
        <w:t>Gesamt ca. 2,5–4,5 Jahre</w:t>
      </w:r>
    </w:p>
    <w:p w14:paraId="58DB09D3" w14:textId="77777777" w:rsidR="001F7233" w:rsidRDefault="00000000">
      <w:r>
        <w:rPr>
          <w:b/>
        </w:rPr>
        <w:t xml:space="preserve">Zahlt: </w:t>
      </w:r>
      <w:r>
        <w:t>–</w:t>
      </w:r>
    </w:p>
    <w:p w14:paraId="6614BAA4" w14:textId="77777777" w:rsidR="001F7233" w:rsidRDefault="00000000">
      <w:r>
        <w:rPr>
          <w:b/>
        </w:rPr>
        <w:t>Einbürgerung (optional)</w:t>
      </w:r>
    </w:p>
    <w:p w14:paraId="4449215C" w14:textId="77777777" w:rsidR="001F7233" w:rsidRDefault="00000000">
      <w:r>
        <w:rPr>
          <w:b/>
        </w:rPr>
        <w:t xml:space="preserve">Was passiert: </w:t>
      </w:r>
      <w:r>
        <w:t>Frühestens 5 Jahre nach der Erteilung (</w:t>
      </w:r>
      <w:hyperlink w:anchor="k41">
        <w:r w:rsidR="001F7233">
          <w:rPr>
            <w:rStyle w:val="Hyperlink"/>
          </w:rPr>
          <w:t>Kapitel 41</w:t>
        </w:r>
      </w:hyperlink>
      <w:r>
        <w:t>)</w:t>
      </w:r>
    </w:p>
    <w:p w14:paraId="4491A2F5" w14:textId="77777777" w:rsidR="001F7233" w:rsidRDefault="00000000">
      <w:r>
        <w:rPr>
          <w:b/>
        </w:rPr>
        <w:t xml:space="preserve">Dauer (ca.): </w:t>
      </w:r>
      <w:r>
        <w:t>ab Erteilung</w:t>
      </w:r>
    </w:p>
    <w:p w14:paraId="2225775C" w14:textId="77777777" w:rsidR="001F7233" w:rsidRDefault="00000000">
      <w:r>
        <w:rPr>
          <w:b/>
        </w:rPr>
        <w:t xml:space="preserve">Zahlt: </w:t>
      </w:r>
      <w:r>
        <w:t>du</w:t>
      </w:r>
    </w:p>
    <w:p w14:paraId="1260BC8C" w14:textId="77777777" w:rsidR="001F7233" w:rsidRDefault="001F7233">
      <w:pPr>
        <w:spacing w:line="180" w:lineRule="exact"/>
      </w:pPr>
    </w:p>
    <w:p w14:paraId="242DFC36" w14:textId="77777777" w:rsidR="001F7233" w:rsidRDefault="00000000">
      <w:pPr>
        <w:spacing w:after="140"/>
      </w:pPr>
      <w:r>
        <w:t>Die Werte für Lohnfeststellung und PERM stammen aus den DOL-Bearbeitungszeiten vom 31. August 2026 (bearbeitet: Lohnanträge von Mai 2026, PERM-Anträge mit Priority Date November 2025). H-1B-Inhaber wählen für die letzte Etappe meist die I-485 im Inland; das Konsularverfahren in Frankfurt ginge nach eigener Schätzung schneller (4–8 Monate), verlangt aber die Ausreise (Kapitel </w:t>
      </w:r>
      <w:hyperlink w:anchor="k6">
        <w:r w:rsidR="001F7233">
          <w:t>6</w:t>
        </w:r>
      </w:hyperlink>
      <w:r>
        <w:t>).</w:t>
      </w:r>
    </w:p>
    <w:p w14:paraId="133163AF" w14:textId="77777777" w:rsidR="001F7233" w:rsidRDefault="00000000">
      <w:pPr>
        <w:spacing w:after="140"/>
      </w:pPr>
      <w:r>
        <w:t xml:space="preserve">Zwei Regeln des Gesetzes </w:t>
      </w:r>
      <w:r>
        <w:rPr>
          <w:i/>
          <w:iCs/>
        </w:rPr>
        <w:t>AC21</w:t>
      </w:r>
      <w:r>
        <w:t xml:space="preserve"> halten deinen H-1B über die sechs Jahre hinaus am Leben (Kapitel </w:t>
      </w:r>
      <w:hyperlink w:anchor="k5">
        <w:r w:rsidR="001F7233">
          <w:t>5</w:t>
        </w:r>
      </w:hyperlink>
      <w:r>
        <w:t>). Ein-Jahres-Schritte gelten, wenn PERM oder I-140 seit 365 Tagen anhängig ist. Drei-Jahres-Schritte gelten, wenn die I-140 genehmigt ist, für dich aber noch kein Visum zur Verfügung steht.</w:t>
      </w:r>
    </w:p>
    <w:p w14:paraId="68C9EFA9" w14:textId="77777777" w:rsidR="001F7233" w:rsidRDefault="00000000">
      <w:pPr>
        <w:pStyle w:val="Heading4"/>
        <w:keepNext/>
        <w:spacing w:line="341" w:lineRule="auto"/>
        <w:jc w:val="center"/>
      </w:pPr>
      <w:r>
        <w:t>Die Lage für Deutsche: monatlich mit dem Visa Bulletin prüfen</w:t>
      </w:r>
    </w:p>
    <w:p w14:paraId="25FC245A" w14:textId="77777777" w:rsidR="001F7233" w:rsidRDefault="00000000">
      <w:pPr>
        <w:spacing w:after="140"/>
      </w:pPr>
      <w:r>
        <w:rPr>
          <w:i/>
          <w:iCs/>
        </w:rPr>
        <w:t>Für die Warteschlange zählt das Geburtsland. Deutsche gehören zur Gruppe „Rest der Welt“, nicht zu Indien oder China, wo die Wartezeiten Jahre bis Jahrzehnte betragen (Indien EB-3: Stichtag 1. Januar 2014). Das Visa Bulletin, die monatliche Stichtagsliste des State Department, nennt für Oktober 2026, den ersten Monat des Fiskaljahres 2027, diese Stichtage (Final Action Dates):</w:t>
      </w:r>
    </w:p>
    <w:p w14:paraId="550B5122" w14:textId="77777777" w:rsidR="001F7233" w:rsidRDefault="00000000">
      <w:pPr>
        <w:pStyle w:val="ListParagraph"/>
        <w:numPr>
          <w:ilvl w:val="0"/>
          <w:numId w:val="1"/>
        </w:numPr>
        <w:spacing w:after="60"/>
      </w:pPr>
      <w:r>
        <w:rPr>
          <w:b/>
          <w:bCs/>
        </w:rPr>
        <w:t>EB-1</w:t>
      </w:r>
      <w:r>
        <w:t xml:space="preserve"> (außergewöhnliche Fähigkeiten, Forschende, Konzernmanager): current, also ohne Wartezeit.</w:t>
      </w:r>
    </w:p>
    <w:p w14:paraId="2E346749" w14:textId="77777777" w:rsidR="001F7233" w:rsidRDefault="00000000">
      <w:pPr>
        <w:pStyle w:val="ListParagraph"/>
        <w:numPr>
          <w:ilvl w:val="0"/>
          <w:numId w:val="1"/>
        </w:numPr>
        <w:spacing w:after="60"/>
      </w:pPr>
      <w:r>
        <w:rPr>
          <w:b/>
          <w:bCs/>
        </w:rPr>
        <w:lastRenderedPageBreak/>
        <w:t>EB-2</w:t>
      </w:r>
      <w:r>
        <w:t xml:space="preserve"> (Master oder Bachelor plus fünf Jahre Berufserfahrung mit wachsender Verantwortung): 15. März 2026. Von April bis September 2026 war die Kategorie current, im Oktober 2025 lag der Stichtag beim 1. Dezember 2023.</w:t>
      </w:r>
    </w:p>
    <w:p w14:paraId="2B6B1E82" w14:textId="77777777" w:rsidR="001F7233" w:rsidRDefault="00000000">
      <w:pPr>
        <w:pStyle w:val="ListParagraph"/>
        <w:numPr>
          <w:ilvl w:val="0"/>
          <w:numId w:val="1"/>
        </w:numPr>
        <w:spacing w:after="60"/>
      </w:pPr>
      <w:r>
        <w:rPr>
          <w:b/>
          <w:bCs/>
        </w:rPr>
        <w:t>EB-3</w:t>
      </w:r>
      <w:r>
        <w:t xml:space="preserve"> (Bachelor oder Fachkräfte mit mindestens zwei Jahren Erfahrung): 1. August 2024. Nur Fälle mit früherem Priority Date kommen zum Zug, ein heute eingereichtes PERM liegt dahinter.</w:t>
      </w:r>
    </w:p>
    <w:p w14:paraId="477E238A" w14:textId="77777777" w:rsidR="001F7233" w:rsidRDefault="001F7233">
      <w:pPr>
        <w:spacing w:line="120" w:lineRule="exact"/>
      </w:pPr>
    </w:p>
    <w:p w14:paraId="4D263575" w14:textId="77777777" w:rsidR="001F7233" w:rsidRDefault="00000000">
      <w:pPr>
        <w:spacing w:after="140"/>
      </w:pPr>
      <w:r>
        <w:t>Einreichen darfst du den I-485 im Oktober 2026 nach der großzügigeren Dates-for-Filing-Tabelle, die USCIS freigegeben hat: EB-2 bis Priority Date 15. März 2026, EB-3 bis 1. August 2024. Genehmigt wird erst, wenn auch das Final Action Date erreicht ist.</w:t>
      </w:r>
    </w:p>
    <w:p w14:paraId="4DDD988E" w14:textId="77777777" w:rsidR="001F7233" w:rsidRDefault="00000000">
      <w:pPr>
        <w:spacing w:after="140"/>
      </w:pPr>
      <w:r>
        <w:rPr>
          <w:i/>
          <w:iCs/>
        </w:rPr>
        <w:t>„Current“ heißt: Das Priority Date spielt keine Rolle, die I-485 kann zusammen mit der I-140 eingereicht werden (Concurrent Filing). Welche Kategorie gilt, bestimmen die Mindestanforderungen der Stelle, nicht dein Lebenslauf. Frage die Kanzlei früh, ob die Stelle EB-2-fähig ist.</w:t>
      </w:r>
    </w:p>
    <w:p w14:paraId="49324B43" w14:textId="77777777" w:rsidR="001F7233" w:rsidRDefault="00000000">
      <w:r>
        <w:rPr>
          <w:b/>
        </w:rPr>
        <w:t xml:space="preserve">ACHTUNG: </w:t>
      </w:r>
    </w:p>
    <w:p w14:paraId="297E34B7" w14:textId="77777777" w:rsidR="001F7233" w:rsidRDefault="00000000">
      <w:r>
        <w:t>• „Current“ ist eine Momentaufnahme. EB-2 war sechs Monate lang current und fiel mit dem Oktober-Bulletin 2026, dem ersten des Fiskaljahres 2027, auf den 15. März 2026 zurück. Plane nie so, als bliebe ein Stichtag stehen und reiche die I-485 ein, sobald die geltende Tabelle es erlaubt.</w:t>
      </w:r>
    </w:p>
    <w:p w14:paraId="69B90F1E" w14:textId="77777777" w:rsidR="001F7233" w:rsidRDefault="001F7233">
      <w:pPr>
        <w:spacing w:line="220" w:lineRule="exact"/>
      </w:pPr>
    </w:p>
    <w:p w14:paraId="7B85EC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startest und wie du es vertraglich absicherst</w:t>
      </w:r>
    </w:p>
    <w:p w14:paraId="5BCB2AF2" w14:textId="77777777" w:rsidR="001F7233" w:rsidRDefault="00000000">
      <w:pPr>
        <w:spacing w:after="140"/>
      </w:pPr>
      <w:r>
        <w:t xml:space="preserve">Kein Arbeitgeber ist verpflichtet, ein Green-Card-Verfahren zu führen. Ohne Zusage bleibt der H-1B ein Visum, dessen reguläre Höchstdauer grundsätzlich sechs Jahre beträgt; mögliche Verlängerungen und anrechenbare Auslandszeiten erläutert Kapitel </w:t>
      </w:r>
      <w:r>
        <w:lastRenderedPageBreak/>
        <w:t>5. Zwei Fragen entscheiden, ob aus der Etappe ein Weg wird: wann das Verfahren beginnt und wie verbindlich die Zusage ist.</w:t>
      </w:r>
    </w:p>
    <w:p w14:paraId="1C3B65C0" w14:textId="77777777" w:rsidR="001F7233" w:rsidRDefault="00000000">
      <w:pPr>
        <w:spacing w:after="140"/>
      </w:pPr>
      <w:r>
        <w:rPr>
          <w:b/>
          <w:bCs/>
        </w:rPr>
        <w:t>Wann. Das Priority Date, dein Platz in der Warteschlange, entsteht erst mit der Einreichung des PERM-Antrags, nicht mit dem Jobangebot. PERM ist die Arbeitsmarktprüfung, bei der der Arbeitgeber nachweist, keine geeigneten US-Bewerber gefunden zu haben. Rechne rückwärts vom Ende der sechs Jahre:</w:t>
      </w:r>
    </w:p>
    <w:p w14:paraId="2DBB3671" w14:textId="77777777" w:rsidR="001F7233" w:rsidRDefault="00000000">
      <w:pPr>
        <w:pStyle w:val="ListParagraph"/>
        <w:numPr>
          <w:ilvl w:val="0"/>
          <w:numId w:val="12"/>
        </w:numPr>
        <w:spacing w:after="60"/>
      </w:pPr>
      <w:r>
        <w:t>Für eine Ein-Jahres-Verlängerung muss PERM oder I-140 mindestens 365 Tage anhängig sein. Die PERM-Einreichung muss also spätestens zu Beginn des sechsten Jahres liegen.</w:t>
      </w:r>
    </w:p>
    <w:p w14:paraId="02244FAB" w14:textId="77777777" w:rsidR="001F7233" w:rsidRDefault="00000000">
      <w:pPr>
        <w:pStyle w:val="ListParagraph"/>
        <w:numPr>
          <w:ilvl w:val="0"/>
          <w:numId w:val="2"/>
        </w:numPr>
        <w:spacing w:after="60"/>
      </w:pPr>
      <w:r>
        <w:t>Davor liegen die Lohnfeststellung (derzeit 3,5–4 Monate) und die Anzeigenphase (2–3 Monate).</w:t>
      </w:r>
    </w:p>
    <w:p w14:paraId="4610F297" w14:textId="77777777" w:rsidR="001F7233" w:rsidRDefault="00000000">
      <w:pPr>
        <w:pStyle w:val="ListParagraph"/>
        <w:numPr>
          <w:ilvl w:val="0"/>
          <w:numId w:val="2"/>
        </w:numPr>
        <w:spacing w:after="60"/>
      </w:pPr>
      <w:r>
        <w:t>Der Startschuss muss demnach spätestens im fünften Jahr fallen (eigene Rechnung).</w:t>
      </w:r>
    </w:p>
    <w:p w14:paraId="13376FCA" w14:textId="77777777" w:rsidR="001F7233" w:rsidRDefault="001F7233">
      <w:pPr>
        <w:spacing w:line="120" w:lineRule="exact"/>
      </w:pPr>
    </w:p>
    <w:p w14:paraId="50C85633" w14:textId="77777777" w:rsidR="001F7233" w:rsidRDefault="00000000">
      <w:pPr>
        <w:spacing w:after="140"/>
      </w:pPr>
      <w:r>
        <w:t>Das ist die Untergrenze, kein Plan: Eine Nachforderung, ein Audit oder ein Jobwechsel fressen den Puffer schnell. Vernünftig ist ein fester Termin in den ersten sechs bis zwölf Monaten. Verhandle ein Datum statt eines offenen „später“.</w:t>
      </w:r>
    </w:p>
    <w:p w14:paraId="309FB6BF" w14:textId="77777777" w:rsidR="001F7233" w:rsidRDefault="00000000">
      <w:pPr>
        <w:spacing w:after="140"/>
      </w:pPr>
      <w:r>
        <w:rPr>
          <w:b/>
          <w:bCs/>
        </w:rPr>
        <w:t>Wie.</w:t>
      </w:r>
      <w:r>
        <w:t xml:space="preserve"> Lass diese Punkte vor der Unterschrift im Jobangebot (</w:t>
      </w:r>
      <w:r>
        <w:rPr>
          <w:i/>
          <w:iCs/>
        </w:rPr>
        <w:t>Offer Letter</w:t>
      </w:r>
      <w:r>
        <w:t>) oder im Arbeitsvertrag festhalten:</w:t>
      </w:r>
    </w:p>
    <w:p w14:paraId="7A329D84" w14:textId="77777777" w:rsidR="001F7233" w:rsidRDefault="00000000">
      <w:pPr>
        <w:pStyle w:val="ListParagraph"/>
        <w:numPr>
          <w:ilvl w:val="0"/>
          <w:numId w:val="1"/>
        </w:numPr>
        <w:spacing w:after="60"/>
      </w:pPr>
      <w:r>
        <w:rPr>
          <w:b/>
          <w:bCs/>
        </w:rPr>
        <w:t>Termin:</w:t>
      </w:r>
      <w:r>
        <w:t xml:space="preserve"> Der Arbeitgeber beantragt die Lohnfeststellung spätestens zu einem festen Zeitpunkt nach Arbeitsbeginn.</w:t>
      </w:r>
    </w:p>
    <w:p w14:paraId="02D1D2E2" w14:textId="77777777" w:rsidR="001F7233" w:rsidRDefault="00000000">
      <w:pPr>
        <w:pStyle w:val="ListParagraph"/>
        <w:numPr>
          <w:ilvl w:val="0"/>
          <w:numId w:val="1"/>
        </w:numPr>
        <w:spacing w:after="60"/>
      </w:pPr>
      <w:r>
        <w:rPr>
          <w:b/>
          <w:bCs/>
        </w:rPr>
        <w:t>Verbindlichkeit:</w:t>
      </w:r>
      <w:r>
        <w:t xml:space="preserve"> „wird“ statt „kann“ oder „prüft“ – eine Absichtserklärung ohne Datum hilft nicht.</w:t>
      </w:r>
    </w:p>
    <w:p w14:paraId="4693DA61" w14:textId="77777777" w:rsidR="001F7233" w:rsidRDefault="00000000">
      <w:pPr>
        <w:pStyle w:val="ListParagraph"/>
        <w:numPr>
          <w:ilvl w:val="0"/>
          <w:numId w:val="1"/>
        </w:numPr>
        <w:spacing w:after="60"/>
      </w:pPr>
      <w:r>
        <w:rPr>
          <w:b/>
          <w:bCs/>
        </w:rPr>
        <w:t>Kosten: Der Arbeitgeber trägt alle PERM-Kosten und in der Praxis auch die I-140-Gebühren (715 $ Papier, 665 $ online, plus 600 $ Asylum Program Fee). Wer die I-485 der Familie zahlt, klärst du schriftlich.</w:t>
      </w:r>
    </w:p>
    <w:p w14:paraId="312D9083" w14:textId="77777777" w:rsidR="001F7233" w:rsidRDefault="00000000">
      <w:pPr>
        <w:pStyle w:val="ListParagraph"/>
        <w:numPr>
          <w:ilvl w:val="0"/>
          <w:numId w:val="1"/>
        </w:numPr>
        <w:spacing w:after="60"/>
      </w:pPr>
      <w:r>
        <w:rPr>
          <w:b/>
          <w:bCs/>
        </w:rPr>
        <w:t>Durchführung:</w:t>
      </w:r>
      <w:r>
        <w:t xml:space="preserve"> Er führt das Verfahren bis zur Green Card fort, stellt nötige Bescheinigungen aus.</w:t>
      </w:r>
    </w:p>
    <w:p w14:paraId="3C0DB0D4" w14:textId="77777777" w:rsidR="001F7233" w:rsidRDefault="00000000">
      <w:pPr>
        <w:pStyle w:val="ListParagraph"/>
        <w:numPr>
          <w:ilvl w:val="0"/>
          <w:numId w:val="1"/>
        </w:numPr>
        <w:spacing w:after="60"/>
      </w:pPr>
      <w:r>
        <w:rPr>
          <w:b/>
          <w:bCs/>
        </w:rPr>
        <w:lastRenderedPageBreak/>
        <w:t>Kündigung:</w:t>
      </w:r>
      <w:r>
        <w:t xml:space="preserve"> Frage, was mit dem Verfahren geschieht, wenn er dir kündigt. Garantieren kann er wenig, aber du solltest die Antwort kennen.</w:t>
      </w:r>
    </w:p>
    <w:p w14:paraId="74459A8A" w14:textId="77777777" w:rsidR="001F7233" w:rsidRDefault="001F7233">
      <w:pPr>
        <w:spacing w:line="120" w:lineRule="exact"/>
      </w:pPr>
    </w:p>
    <w:p w14:paraId="2D46A50F" w14:textId="77777777" w:rsidR="001F7233" w:rsidRDefault="00000000">
      <w:r>
        <w:rPr>
          <w:b/>
        </w:rPr>
        <w:t xml:space="preserve">ACHTUNG: </w:t>
      </w:r>
    </w:p>
    <w:p w14:paraId="0A36ECEC" w14:textId="77777777" w:rsidR="001F7233" w:rsidRDefault="00000000">
      <w:r>
        <w:t>• Die Kosten der PERM-Arbeitsmarktprüfung (Anzeigen, Anwalt) darf der Arbeitgeber weder ganz noch teilweise von dir zurückverlangen (20 CFR 656.12(b)); erlaubt ist nur ein eigener, gesonderter Anwalt auf eigene Kosten. Lass Rückzahlungsklauseln prüfen, bevor du unterschreibst (</w:t>
      </w:r>
      <w:hyperlink w:anchor="k11">
        <w:r w:rsidR="001F7233">
          <w:rPr>
            <w:color w:val="0563C1"/>
            <w:u w:val="single"/>
          </w:rPr>
          <w:t>Kapitel 11</w:t>
        </w:r>
      </w:hyperlink>
      <w:r>
        <w:t>).</w:t>
      </w:r>
    </w:p>
    <w:p w14:paraId="782BBD3F" w14:textId="77777777" w:rsidR="001F7233" w:rsidRDefault="001F7233">
      <w:pPr>
        <w:spacing w:line="220" w:lineRule="exact"/>
      </w:pPr>
    </w:p>
    <w:p w14:paraId="41081DD6" w14:textId="77777777" w:rsidR="001F7233" w:rsidRDefault="001F7233">
      <w:pPr>
        <w:spacing w:line="220" w:lineRule="exact"/>
      </w:pPr>
    </w:p>
    <w:p w14:paraId="6F6D6FA2" w14:textId="77777777" w:rsidR="001F7233" w:rsidRDefault="00000000">
      <w:r>
        <w:rPr>
          <w:b/>
        </w:rPr>
        <w:t xml:space="preserve">SPARTIPP: </w:t>
      </w:r>
    </w:p>
    <w:p w14:paraId="54609256" w14:textId="77777777" w:rsidR="001F7233" w:rsidRDefault="00000000">
      <w:r>
        <w:t>• Kinder unter 14 zahlen die I-485 nur dann ermäßigt (950 $ Papier, 900 $ online statt 1.440 $ bzw. 1.390 $), wenn der Antrag zusammen mit dem eines Elternteils eingereicht wird. Reiche die Anträge der Familie deshalb gemeinsam ein.</w:t>
      </w:r>
    </w:p>
    <w:p w14:paraId="17DACA15" w14:textId="77777777" w:rsidR="001F7233" w:rsidRDefault="001F7233">
      <w:pPr>
        <w:spacing w:line="220" w:lineRule="exact"/>
      </w:pPr>
    </w:p>
    <w:p w14:paraId="3F873D21" w14:textId="77777777" w:rsidR="001F7233" w:rsidRDefault="00000000">
      <w:r>
        <w:rPr>
          <w:b/>
        </w:rPr>
        <w:t xml:space="preserve">ACHTUNG: </w:t>
      </w:r>
    </w:p>
    <w:p w14:paraId="4240E8FD" w14:textId="77777777" w:rsidR="001F7233" w:rsidRDefault="00000000">
      <w:r>
        <w:t xml:space="preserve">Wechselt ein Arbeitgeber, bevor die I-140 genehmigt ist, beginnt das Verfahren meist von vorn. Eine genehmigte I-140 muss mindestens 180 Tage alt sein, damit das Priority Date in der Regel erhalten bleibt. Für den Wechsel zu gleicher oder ähnlicher Tätigkeit muss die I-485 seit mindestens 180 Tagen anhängig sein (siehe </w:t>
      </w:r>
      <w:hyperlink w:anchor="k30">
        <w:r w:rsidR="001F7233">
          <w:rPr>
            <w:color w:val="0563C1"/>
            <w:u w:val="single"/>
          </w:rPr>
          <w:t>Kapitel 30</w:t>
        </w:r>
      </w:hyperlink>
      <w:r>
        <w:t>).</w:t>
      </w:r>
    </w:p>
    <w:p w14:paraId="4F370F1F" w14:textId="77777777" w:rsidR="001F7233" w:rsidRDefault="001F7233">
      <w:pPr>
        <w:spacing w:line="220" w:lineRule="exact"/>
      </w:pPr>
    </w:p>
    <w:p w14:paraId="0E4BF0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Lotterie nicht klappt: Plan A, B und C</w:t>
      </w:r>
    </w:p>
    <w:p w14:paraId="125A23B5" w14:textId="77777777" w:rsidR="001F7233" w:rsidRDefault="00000000">
      <w:pPr>
        <w:spacing w:after="140"/>
      </w:pPr>
      <w:r>
        <w:t>Rechne mit der Absage: Im März 2026 standen 85.000 Plätzen 211.600 gültige Registrierungen gegenüber (Kapitel </w:t>
      </w:r>
      <w:hyperlink w:anchor="k5">
        <w:r w:rsidR="001F7233">
          <w:t>5</w:t>
        </w:r>
      </w:hyperlink>
      <w:r>
        <w:t>). Lege den Ersatzweg fest, bevor du kündigst oder die Wohnung auflöst.</w:t>
      </w:r>
    </w:p>
    <w:p w14:paraId="27188F7A" w14:textId="77777777" w:rsidR="001F7233" w:rsidRDefault="00000000">
      <w:r>
        <w:rPr>
          <w:b/>
        </w:rPr>
        <w:t>A</w:t>
      </w:r>
    </w:p>
    <w:p w14:paraId="7445020D" w14:textId="77777777" w:rsidR="001F7233" w:rsidRDefault="00000000">
      <w:r>
        <w:rPr>
          <w:b/>
        </w:rPr>
        <w:lastRenderedPageBreak/>
        <w:t xml:space="preserve">Weg: </w:t>
      </w:r>
      <w:r>
        <w:t>Nächster Anlauf im März (FY2028 voraussichtlich März 2027, offiziell offen) oder quotenfreier Arbeitgeber (Hochschule, Forschung)</w:t>
      </w:r>
    </w:p>
    <w:p w14:paraId="166C988C" w14:textId="77777777" w:rsidR="001F7233" w:rsidRDefault="00000000">
      <w:r>
        <w:rPr>
          <w:b/>
        </w:rPr>
        <w:t xml:space="preserve">Was du brauchst: </w:t>
      </w:r>
      <w:r>
        <w:t>Jobzusage, höhere Lohnstufe (Level IV = 4 Lose statt 1)</w:t>
      </w:r>
    </w:p>
    <w:p w14:paraId="5F24F505" w14:textId="77777777" w:rsidR="001F7233" w:rsidRDefault="00000000">
      <w:r>
        <w:rPr>
          <w:b/>
        </w:rPr>
        <w:t xml:space="preserve">Kapitel: </w:t>
      </w:r>
      <w:r>
        <w:t>5, 8</w:t>
      </w:r>
    </w:p>
    <w:p w14:paraId="27D8A991" w14:textId="77777777" w:rsidR="001F7233" w:rsidRDefault="00000000">
      <w:r>
        <w:rPr>
          <w:b/>
        </w:rPr>
        <w:t>B</w:t>
      </w:r>
    </w:p>
    <w:p w14:paraId="3DEDF6F8" w14:textId="77777777" w:rsidR="001F7233" w:rsidRDefault="00000000">
      <w:r>
        <w:rPr>
          <w:b/>
        </w:rPr>
        <w:t xml:space="preserve">Weg: </w:t>
      </w:r>
      <w:r>
        <w:t>L-1 (Konzernversetzung), O-1, E-2 oder Studium mit F-1 und OPT</w:t>
      </w:r>
    </w:p>
    <w:p w14:paraId="6D285305" w14:textId="77777777" w:rsidR="001F7233" w:rsidRDefault="00000000">
      <w:r>
        <w:rPr>
          <w:b/>
        </w:rPr>
        <w:t xml:space="preserve">Was du brauchst: </w:t>
      </w:r>
      <w:r>
        <w:t>Konzernbezug, Spitzenleistung, Kapital oder Zeit und Geld</w:t>
      </w:r>
    </w:p>
    <w:p w14:paraId="3F05D93B" w14:textId="77777777" w:rsidR="001F7233" w:rsidRDefault="00000000">
      <w:r>
        <w:rPr>
          <w:b/>
        </w:rPr>
        <w:t xml:space="preserve">Kapitel: </w:t>
      </w:r>
      <w:r>
        <w:t>8, 9</w:t>
      </w:r>
    </w:p>
    <w:p w14:paraId="5E6B945C" w14:textId="77777777" w:rsidR="001F7233" w:rsidRDefault="00000000">
      <w:r>
        <w:rPr>
          <w:b/>
        </w:rPr>
        <w:t>C</w:t>
      </w:r>
    </w:p>
    <w:p w14:paraId="602764C9" w14:textId="77777777" w:rsidR="001F7233" w:rsidRDefault="00000000">
      <w:r>
        <w:rPr>
          <w:b/>
        </w:rPr>
        <w:t>Weg: Green Card ohne H-1B: NIW oder EB-1A (Selbstpetition), EB-1C für Konzernmanager, Heirat.</w:t>
      </w:r>
    </w:p>
    <w:p w14:paraId="62526B47" w14:textId="77777777" w:rsidR="001F7233" w:rsidRPr="00B8323E" w:rsidRDefault="00000000">
      <w:pPr>
        <w:rPr>
          <w:lang w:val="en-US"/>
        </w:rPr>
      </w:pPr>
      <w:r>
        <w:rPr>
          <w:b/>
        </w:rPr>
        <w:t xml:space="preserve">Was du brauchst: </w:t>
      </w:r>
      <w:r>
        <w:t xml:space="preserve">Dichte Belege; Genehmigung im 3. </w:t>
      </w:r>
      <w:r w:rsidRPr="00B8323E">
        <w:rPr>
          <w:lang w:val="en-US"/>
        </w:rPr>
        <w:t>Quartal FY2026: NIW 55 %, EB-1A 32 %</w:t>
      </w:r>
    </w:p>
    <w:p w14:paraId="0EEA7117" w14:textId="77777777" w:rsidR="001F7233" w:rsidRDefault="00000000">
      <w:r>
        <w:rPr>
          <w:b/>
        </w:rPr>
        <w:t xml:space="preserve">Kapitel: </w:t>
      </w:r>
      <w:r>
        <w:t>6, 9</w:t>
      </w:r>
    </w:p>
    <w:p w14:paraId="53014137" w14:textId="77777777" w:rsidR="001F7233" w:rsidRDefault="001F7233">
      <w:pPr>
        <w:spacing w:line="180" w:lineRule="exact"/>
      </w:pPr>
    </w:p>
    <w:p w14:paraId="722FCE38" w14:textId="77777777" w:rsidR="001F7233" w:rsidRDefault="00000000">
      <w:pPr>
        <w:spacing w:after="140"/>
      </w:pPr>
      <w:r>
        <w:t>Beachte zwei Dinge: Mehrere Arbeitgeber erhöhen deine Lotteriechance nicht – registrieren mehrere dieselbe Person, zählt sie nur einmal und Plan C ist mit NIW und EB-1A riskanter, als er klingt. I-140-Petitionen nach bestandener PERM-Prüfung (EB-2, EB-3) wurden in den ersten drei Quartalen des Fiskaljahres 2026 zu rund 97 % genehmigt. Diese Selbstpetitionen wurden deutlich seltener genehmigt (kumuliert NIW 49 %, EB-1A 41 %). Als Plan D bleibt Deutschland, ohne Niederlage: Der L-1 setzt ohnehin ein Jahr im Konzern im Ausland voraus, und ein wachsendes Profil stärkt O-1 und NIW. Gold Card (1 Mio. $) und EB-5 sind Wege für Vermögende (Kapitel 9).</w:t>
      </w:r>
    </w:p>
    <w:p w14:paraId="2F0722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wirklich eine Green Card braucht</w:t>
      </w:r>
    </w:p>
    <w:p w14:paraId="3FB4C8C4" w14:textId="77777777" w:rsidR="001F7233" w:rsidRDefault="00000000">
      <w:pPr>
        <w:spacing w:after="140"/>
      </w:pPr>
      <w:r>
        <w:t xml:space="preserve">Die ehrliche Antwort: weniger Menschen, als es zu Beginn scheint und mehr, als sie sich eingestehen. Viele planen zu Beginn in Jahren </w:t>
      </w:r>
      <w:r>
        <w:lastRenderedPageBreak/>
        <w:t>(„drei, vielleicht fünf“) und merken erst nach der ersten Verlängerung, wie sehr sie inzwischen in Schulen, Freundschaften und Hypothek denken und immer seltener in einem Rückflugtermin. Prüfe nüchtern, was zu dir passt.</w:t>
      </w:r>
    </w:p>
    <w:p w14:paraId="1586E850" w14:textId="77777777" w:rsidR="001F7233" w:rsidRDefault="00000000">
      <w:pPr>
        <w:spacing w:after="140"/>
      </w:pPr>
      <w:r>
        <w:t>Die Green Card lohnt sich vor allem, wenn du</w:t>
      </w:r>
    </w:p>
    <w:p w14:paraId="738B081F" w14:textId="77777777" w:rsidR="001F7233" w:rsidRDefault="00000000">
      <w:pPr>
        <w:pStyle w:val="ListParagraph"/>
        <w:numPr>
          <w:ilvl w:val="0"/>
          <w:numId w:val="1"/>
        </w:numPr>
        <w:spacing w:after="60"/>
      </w:pPr>
      <w:r>
        <w:t>länger als die sechs H-1B-Jahre bleiben willst oder das nicht sicher ausschließen kannst;</w:t>
      </w:r>
    </w:p>
    <w:p w14:paraId="37C37CE8" w14:textId="77777777" w:rsidR="001F7233" w:rsidRDefault="00000000">
      <w:pPr>
        <w:pStyle w:val="ListParagraph"/>
        <w:numPr>
          <w:ilvl w:val="0"/>
          <w:numId w:val="1"/>
        </w:numPr>
        <w:spacing w:after="60"/>
      </w:pPr>
      <w:r>
        <w:t>deinem Partner nicht dauerhaft die Arbeit verwehren willst (Kapitel </w:t>
      </w:r>
      <w:hyperlink w:anchor="k10">
        <w:r w:rsidR="001F7233">
          <w:t>10</w:t>
        </w:r>
      </w:hyperlink>
      <w:r>
        <w:t>);</w:t>
      </w:r>
    </w:p>
    <w:p w14:paraId="619B9CA2" w14:textId="77777777" w:rsidR="001F7233" w:rsidRDefault="00000000">
      <w:pPr>
        <w:pStyle w:val="ListParagraph"/>
        <w:numPr>
          <w:ilvl w:val="0"/>
          <w:numId w:val="1"/>
        </w:numPr>
        <w:spacing w:after="60"/>
      </w:pPr>
      <w:r>
        <w:t>Kinder hast, die in den USA zur Schule und später an die Universität gehen, samt Herausaltern mit 21.</w:t>
      </w:r>
    </w:p>
    <w:p w14:paraId="29D4D037" w14:textId="77777777" w:rsidR="001F7233" w:rsidRDefault="00000000">
      <w:pPr>
        <w:pStyle w:val="ListParagraph"/>
        <w:numPr>
          <w:ilvl w:val="0"/>
          <w:numId w:val="1"/>
        </w:numPr>
        <w:spacing w:after="60"/>
      </w:pPr>
      <w:r>
        <w:t>ein Haus kaufen (Kapitel </w:t>
      </w:r>
      <w:hyperlink w:anchor="k14">
        <w:r w:rsidR="001F7233">
          <w:t>14</w:t>
        </w:r>
      </w:hyperlink>
      <w:r>
        <w:t>) oder dich selbständig machen willst;</w:t>
      </w:r>
    </w:p>
    <w:p w14:paraId="64448DE4" w14:textId="77777777" w:rsidR="001F7233" w:rsidRDefault="00000000">
      <w:pPr>
        <w:pStyle w:val="ListParagraph"/>
        <w:numPr>
          <w:ilvl w:val="0"/>
          <w:numId w:val="1"/>
        </w:numPr>
        <w:spacing w:after="60"/>
      </w:pPr>
      <w:r>
        <w:t>bei einem Stellenabbau nicht auch den Aufenthalt verlieren möchtest (Kapitel </w:t>
      </w:r>
      <w:hyperlink w:anchor="k30">
        <w:r w:rsidR="001F7233">
          <w:t>30</w:t>
        </w:r>
      </w:hyperlink>
      <w:r>
        <w:t>).</w:t>
      </w:r>
    </w:p>
    <w:p w14:paraId="350461B5" w14:textId="77777777" w:rsidR="001F7233" w:rsidRDefault="001F7233">
      <w:pPr>
        <w:spacing w:line="120" w:lineRule="exact"/>
      </w:pPr>
    </w:p>
    <w:p w14:paraId="04253C97" w14:textId="77777777" w:rsidR="001F7233" w:rsidRDefault="00000000">
      <w:pPr>
        <w:spacing w:after="140"/>
      </w:pPr>
      <w:r>
        <w:t>Du kommst ohne Green Card gut aus, wenn du</w:t>
      </w:r>
    </w:p>
    <w:p w14:paraId="23922C8C" w14:textId="77777777" w:rsidR="001F7233" w:rsidRDefault="00000000">
      <w:pPr>
        <w:pStyle w:val="ListParagraph"/>
        <w:numPr>
          <w:ilvl w:val="0"/>
          <w:numId w:val="1"/>
        </w:numPr>
        <w:spacing w:after="60"/>
      </w:pPr>
      <w:r>
        <w:t>drei bis sechs Jahre Erfahrung sammeln und zurückkehren willst (Kapitel </w:t>
      </w:r>
      <w:hyperlink w:anchor="k42">
        <w:r w:rsidR="001F7233">
          <w:t>42</w:t>
        </w:r>
      </w:hyperlink>
      <w:r>
        <w:t>);</w:t>
      </w:r>
    </w:p>
    <w:p w14:paraId="39C3B979" w14:textId="77777777" w:rsidR="001F7233" w:rsidRDefault="00000000">
      <w:pPr>
        <w:pStyle w:val="ListParagraph"/>
        <w:numPr>
          <w:ilvl w:val="0"/>
          <w:numId w:val="1"/>
        </w:numPr>
        <w:spacing w:after="60"/>
      </w:pPr>
      <w:r>
        <w:t>als Konzernbeschäftigter versetzt wirst und die Rückkehr fest eingeplant ist (Kapitel </w:t>
      </w:r>
      <w:hyperlink w:anchor="k9">
        <w:r w:rsidR="001F7233">
          <w:t>9</w:t>
        </w:r>
      </w:hyperlink>
      <w:r>
        <w:t>);</w:t>
      </w:r>
    </w:p>
    <w:p w14:paraId="24AF1CCB" w14:textId="77777777" w:rsidR="001F7233" w:rsidRDefault="00000000">
      <w:pPr>
        <w:pStyle w:val="ListParagraph"/>
        <w:numPr>
          <w:ilvl w:val="0"/>
          <w:numId w:val="1"/>
        </w:numPr>
        <w:spacing w:after="60"/>
      </w:pPr>
      <w:r>
        <w:t>deine steuerliche Lage in Deutschland nicht mit einer weltweiten US-Steuerpflicht belasten willst (Kapitel </w:t>
      </w:r>
      <w:hyperlink w:anchor="k17">
        <w:r w:rsidR="001F7233">
          <w:t>17</w:t>
        </w:r>
      </w:hyperlink>
      <w:r>
        <w:t xml:space="preserve"> und </w:t>
      </w:r>
      <w:hyperlink w:anchor="k28">
        <w:r w:rsidR="001F7233">
          <w:t>28</w:t>
        </w:r>
      </w:hyperlink>
      <w:r>
        <w:t>).</w:t>
      </w:r>
    </w:p>
    <w:p w14:paraId="6CF0564F" w14:textId="77777777" w:rsidR="001F7233" w:rsidRDefault="001F7233">
      <w:pPr>
        <w:spacing w:line="120" w:lineRule="exact"/>
      </w:pPr>
    </w:p>
    <w:p w14:paraId="5B2C083D" w14:textId="77777777" w:rsidR="001F7233" w:rsidRDefault="00000000">
      <w:r>
        <w:rPr>
          <w:b/>
        </w:rPr>
        <w:t xml:space="preserve">ACHTUNG: </w:t>
      </w:r>
    </w:p>
    <w:p w14:paraId="4344E999" w14:textId="77777777" w:rsidR="001F7233" w:rsidRDefault="00000000">
      <w:r>
        <w:t xml:space="preserve">• Die Green Card ist kein Sicherheitsnetz, das du aus Deutschland heraus behältst. Nach mehr als 180 Tagen außerhalb der USA musst du bei der Einreise mit Fragen rechnen. Ab einem Jahr gilt die Karte ohne Reentry Permit (Wiedereinreiseerlaubnis für bis zu zwei Jahre, in den USA zu beantragen; Gebühr: 630 $) nicht mehr als Einreisedokument. Wer dauerhaft zurückzieht, gibt sie formell auf (Form I-407, 0 $) und unterschreibt nichts unter Druck an der Grenze. Wer die Karte in 8 der letzten 15 Jahre hatte und hohes Einkommen (durchschnittliche </w:t>
      </w:r>
      <w:r>
        <w:lastRenderedPageBreak/>
        <w:t>Einkommensteuer der letzten fünf Jahre über 211.000 $) oder Vermögen (ab 2 Mio. $) mitbringt, kann der Exit Tax unterliegen (</w:t>
      </w:r>
      <w:hyperlink w:anchor="k42">
        <w:r w:rsidR="001F7233">
          <w:rPr>
            <w:color w:val="0563C1"/>
            <w:u w:val="single"/>
          </w:rPr>
          <w:t>Kapitel 42</w:t>
        </w:r>
      </w:hyperlink>
      <w:r>
        <w:t>).</w:t>
      </w:r>
    </w:p>
    <w:p w14:paraId="45C25977" w14:textId="77777777" w:rsidR="001F7233" w:rsidRDefault="001F7233">
      <w:pPr>
        <w:spacing w:line="220" w:lineRule="exact"/>
      </w:pPr>
    </w:p>
    <w:p w14:paraId="4BEEFD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stabil ist welcher Status?</w:t>
      </w:r>
    </w:p>
    <w:p w14:paraId="2A84C356" w14:textId="77777777" w:rsidR="001F7233" w:rsidRDefault="00000000">
      <w:pPr>
        <w:spacing w:after="140"/>
      </w:pPr>
      <w:r>
        <w:t>Beide Wege stehen unter politischer Beobachtung, aber unterschiedlich stark. Die Übersicht nennt nur, was für deine Planung zählt (Stand 20. September 2026), ohne die Maßnahmen zu bewerten.</w:t>
      </w:r>
    </w:p>
    <w:p w14:paraId="42467669" w14:textId="77777777" w:rsidR="001F7233" w:rsidRDefault="00000000">
      <w:pPr>
        <w:spacing w:after="140"/>
      </w:pPr>
      <w:r>
        <w:rPr>
          <w:b/>
          <w:bCs/>
        </w:rPr>
        <w:t xml:space="preserve">H-1B (Einzelheiten Kapitel </w:t>
      </w:r>
      <w:hyperlink w:anchor="k5">
        <w:r w:rsidR="001F7233">
          <w:t>5</w:t>
        </w:r>
      </w:hyperlink>
      <w:r>
        <w:rPr>
          <w:b/>
          <w:bCs/>
        </w:rPr>
        <w:t>): Proklamation 10973 führte für bestimmte Fälle aus dem Ausland eine Arbeitgeberzahlung von 100.000 US-Dollar ein; Proklamation 11069 verlängerte die Beschränkung bis 21. September 2027. Die Behördenrichtlinien zur Umsetzung wurden am 30. September 2026 durch ein Bundesgericht aufgehoben; deren Vollzug ist bis zu einem ordnungsgemäßen Regelungsverfahren untersagt. Der First Circuit hatte zuvor am 24. Juli den Antrag der Regierung auf eine Aussetzung im Verfahren California v. Mullin abgelehnt. Die Proklamation besteht als präsidiale Anordnung fort, aber die Zahlung ist nach dem Urteil nicht als aktuell durchsetzbare Behördengebühr zu behandeln. Der weitere Ausgang der Verfahren kann das ändern. Nur vorgeschlagen, nicht in Kraft: eine neue DHS-Gebühr von 103.265 US-Dollar und weitere DOL-Lohnregeln. Eine künftige Regierung kann Proklamationen oder Verwaltungsvorschriften ändern; neue Gebühren und dauerhafte Programmänderungen hängen außerdem von Gesetz, Regelungsverfahren und Gerichtsentscheidungen ab.</w:t>
      </w:r>
    </w:p>
    <w:p w14:paraId="24396E84" w14:textId="77777777" w:rsidR="001F7233" w:rsidRDefault="00000000">
      <w:pPr>
        <w:spacing w:after="140"/>
      </w:pPr>
      <w:r>
        <w:rPr>
          <w:b/>
          <w:bCs/>
        </w:rPr>
        <w:t>Green Card:</w:t>
      </w:r>
      <w:r>
        <w:t xml:space="preserve"> Im Verfahren wirken andere Hebel: Stichtage können zurückspringen, der DOL-Entwurf höherer Lohnstufen würde auch PERM betreffen, einschließlich anhängiger Anträge. Die neue </w:t>
      </w:r>
      <w:r>
        <w:rPr>
          <w:i/>
          <w:iCs/>
        </w:rPr>
        <w:t>Public-Charge</w:t>
      </w:r>
      <w:r>
        <w:t xml:space="preserve">-Regel (Prüfung, ob du dauerhaft auf staatliche Leistungen angewiesen sein könntest) gilt für Anträge ab 18. September 2026; </w:t>
      </w:r>
      <w:r>
        <w:lastRenderedPageBreak/>
        <w:t>bei gesichertem Arbeitseinkommen dürfte das Risiko gering sein (Einschätzung, keine Garantie). Auch für die Einbürgerung gelten neue Prüfregeln (Kapitel </w:t>
      </w:r>
      <w:hyperlink w:anchor="k41">
        <w:r w:rsidR="001F7233">
          <w:t>41</w:t>
        </w:r>
      </w:hyperlink>
      <w:r>
        <w:t>). Kanzleien berichten zudem häufigere Zusatzkontrollen an der Grenze: Führe Karte und Nachweise deiner Bindungen in die USA mit.</w:t>
      </w:r>
    </w:p>
    <w:p w14:paraId="4A5185A9" w14:textId="77777777" w:rsidR="001F7233" w:rsidRDefault="00000000">
      <w:pPr>
        <w:spacing w:after="140"/>
      </w:pPr>
      <w:r>
        <w:t>Rechtlich ist die erteilte Karte deutlich stabiler als jeder befristete Status, verloren geht sie vor allem durch Wegzug, Betrug oder bestimmte Straftaten. Praktisch heißt das: Unterlagen vollständig halten, vor jedem Schritt den Stand prüfen, einen Ersatzweg parat haben.</w:t>
      </w:r>
    </w:p>
    <w:p w14:paraId="348177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H-1B oder Green Card? Der direkte Vergleich</w:t>
      </w:r>
    </w:p>
    <w:p w14:paraId="65DA80B8" w14:textId="77777777" w:rsidR="001F7233" w:rsidRDefault="00000000">
      <w:r>
        <w:rPr>
          <w:b/>
        </w:rPr>
        <w:t xml:space="preserve">Plus: </w:t>
      </w:r>
      <w:r>
        <w:t>Die Tabelle bewertet die Entscheidung, das Green-Card-Verfahren früh anzustoßen.</w:t>
      </w:r>
    </w:p>
    <w:p w14:paraId="0A88F980" w14:textId="77777777" w:rsidR="001F7233" w:rsidRDefault="00000000">
      <w:r>
        <w:rPr>
          <w:b/>
        </w:rPr>
        <w:t>Plus: Unabhängigkeit vom Sponsor: freier Jobwechsel, Nebenjob, Firmengründung</w:t>
      </w:r>
    </w:p>
    <w:p w14:paraId="43D85122" w14:textId="77777777" w:rsidR="001F7233" w:rsidRDefault="00000000">
      <w:r>
        <w:rPr>
          <w:b/>
        </w:rPr>
        <w:t xml:space="preserve">Minus: </w:t>
      </w:r>
      <w:r>
        <w:t>Verfahren dauert meist 2,5–4,5 Jahre, mit Stichtags- und Rückstufungsrisiko</w:t>
      </w:r>
    </w:p>
    <w:p w14:paraId="5CAD5094" w14:textId="77777777" w:rsidR="001F7233" w:rsidRDefault="00000000">
      <w:r>
        <w:rPr>
          <w:b/>
        </w:rPr>
        <w:t>Plus: Partner darf ohne Einschränkung arbeiten</w:t>
      </w:r>
    </w:p>
    <w:p w14:paraId="7FF925B0" w14:textId="77777777" w:rsidR="001F7233" w:rsidRDefault="00000000">
      <w:r>
        <w:rPr>
          <w:b/>
        </w:rPr>
        <w:t xml:space="preserve">Minus: </w:t>
      </w:r>
      <w:r>
        <w:t>Bis zur Erteilung bleibt die Bindung an den Sponsor</w:t>
      </w:r>
    </w:p>
    <w:p w14:paraId="1427CEAC" w14:textId="77777777" w:rsidR="001F7233" w:rsidRDefault="00000000">
      <w:r>
        <w:rPr>
          <w:b/>
        </w:rPr>
        <w:t>Plus: Kinder altern mit 21 nicht heraus, Zugang zu Bundesstudienhilfe</w:t>
      </w:r>
    </w:p>
    <w:p w14:paraId="5630482B" w14:textId="77777777" w:rsidR="001F7233" w:rsidRDefault="00000000">
      <w:r>
        <w:rPr>
          <w:b/>
        </w:rPr>
        <w:t xml:space="preserve">Minus: </w:t>
      </w:r>
      <w:r>
        <w:t>Kosten für die Familie: I-485 allein rund 4.780 $ für zwei Erwachsene und zwei Kinder unter 14</w:t>
      </w:r>
    </w:p>
    <w:p w14:paraId="154D6F7E" w14:textId="77777777" w:rsidR="001F7233" w:rsidRDefault="00000000">
      <w:r>
        <w:rPr>
          <w:b/>
        </w:rPr>
        <w:t>Plus: Kein Ablauf nach sechs Jahren, kein Konsulat bei Reisen</w:t>
      </w:r>
    </w:p>
    <w:p w14:paraId="56BAEE64" w14:textId="77777777" w:rsidR="001F7233" w:rsidRDefault="00000000">
      <w:r>
        <w:rPr>
          <w:b/>
        </w:rPr>
        <w:t xml:space="preserve">Minus: </w:t>
      </w:r>
      <w:r>
        <w:t>Weltweite Steuerpflicht mit Meldepflichten (</w:t>
      </w:r>
      <w:hyperlink w:anchor="k28">
        <w:r w:rsidR="001F7233">
          <w:rPr>
            <w:rStyle w:val="Hyperlink"/>
          </w:rPr>
          <w:t>Kapitel 28</w:t>
        </w:r>
      </w:hyperlink>
      <w:r>
        <w:t>)</w:t>
      </w:r>
    </w:p>
    <w:p w14:paraId="5C586651" w14:textId="77777777" w:rsidR="001F7233" w:rsidRDefault="00000000">
      <w:r>
        <w:rPr>
          <w:b/>
        </w:rPr>
        <w:t>Plus: Bessere Hypothekenoptionen (FHA), Marktplatz-Zuschüsse</w:t>
      </w:r>
    </w:p>
    <w:p w14:paraId="465A1228" w14:textId="77777777" w:rsidR="001F7233" w:rsidRDefault="00000000">
      <w:r>
        <w:rPr>
          <w:b/>
        </w:rPr>
        <w:t xml:space="preserve">Minus: </w:t>
      </w:r>
      <w:r>
        <w:t>Lange Abwesenheit gefährdet den Status</w:t>
      </w:r>
    </w:p>
    <w:p w14:paraId="0877757B" w14:textId="77777777" w:rsidR="001F7233" w:rsidRDefault="00000000">
      <w:r>
        <w:rPr>
          <w:b/>
        </w:rPr>
        <w:t>Plus: Einbürgerung nach 5 Jahren möglich</w:t>
      </w:r>
    </w:p>
    <w:p w14:paraId="69E2A734" w14:textId="77777777" w:rsidR="001F7233" w:rsidRDefault="00000000">
      <w:r>
        <w:rPr>
          <w:b/>
        </w:rPr>
        <w:lastRenderedPageBreak/>
        <w:t xml:space="preserve">Minus: </w:t>
      </w:r>
      <w:r>
        <w:t>Exit Tax bei Aufgabe nach 8 von 15 Jahren, wenn Einkommen oder Vermögen hoch sind</w:t>
      </w:r>
    </w:p>
    <w:p w14:paraId="37356695" w14:textId="77777777" w:rsidR="001F7233" w:rsidRDefault="001F7233">
      <w:pPr>
        <w:spacing w:line="180" w:lineRule="exact"/>
      </w:pPr>
    </w:p>
    <w:p w14:paraId="16AD43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FF65E5B" w14:textId="77777777" w:rsidR="001F7233" w:rsidRDefault="00000000">
      <w:r>
        <w:t>• Bleibeabsicht klären: Wie lange möchte deine Familie realistisch bleiben. Was bedeutet das für Partner, Kinder, Steuern?</w:t>
      </w:r>
    </w:p>
    <w:p w14:paraId="798E7018" w14:textId="77777777" w:rsidR="001F7233" w:rsidRDefault="00000000">
      <w:r>
        <w:t>• Im Jobangebot festhalten: Termin für die Lohnfeststellung, Kostenübernahme für PERM und I-140, Fortführung bis zur Green Card.</w:t>
      </w:r>
    </w:p>
    <w:p w14:paraId="686F3AE8" w14:textId="77777777" w:rsidR="001F7233" w:rsidRDefault="00000000">
      <w:r>
        <w:t>• Klären, welche Kategorie die Stelle hat (EB-2 oder EB-3) und ob die Mindestanforderungen erfüllt sind.</w:t>
      </w:r>
    </w:p>
    <w:p w14:paraId="0E33CF98" w14:textId="77777777" w:rsidR="001F7233" w:rsidRDefault="00000000">
      <w:r>
        <w:t>• Rückwärts rechnen: Ende der sechs Jahre, PERM-Einreichung spätestens 365 Tage davor, gut sechs Monate Vorlauf davor.</w:t>
      </w:r>
    </w:p>
    <w:p w14:paraId="74AFB09D" w14:textId="77777777" w:rsidR="001F7233" w:rsidRDefault="00000000">
      <w:r>
        <w:t>• Vor jedem Schritt Visa Bulletin und USCIS-Filing-Charts prüfen. Ist die Kategorie current, die I-485 ohne Verzug einreichen lassen.</w:t>
      </w:r>
    </w:p>
    <w:p w14:paraId="1317724C" w14:textId="77777777" w:rsidR="001F7233" w:rsidRDefault="00000000">
      <w:r>
        <w:t>• Rücklage für Familienanträge bilden: I-485 je Person (1.440 $ bzw. 950 $ für Kinder unter 14), Arztuntersuchung, Arbeitserlaubnis.</w:t>
      </w:r>
    </w:p>
    <w:p w14:paraId="05887972" w14:textId="77777777" w:rsidR="001F7233" w:rsidRDefault="00000000">
      <w:r>
        <w:t>• Vor jedem Jobwechsel klären, wo das Verfahren steht (Priority Date, I-140-Genehmigung, 180 Tage I-485).</w:t>
      </w:r>
    </w:p>
    <w:p w14:paraId="5FA7C7DB" w14:textId="77777777" w:rsidR="001F7233" w:rsidRDefault="00000000">
      <w:r>
        <w:t>• Plan A, B und C mit Terminen aufschreiben, bevor du kündigst oder eine Wohnung auflöst.</w:t>
      </w:r>
    </w:p>
    <w:p w14:paraId="42AAF44D" w14:textId="77777777" w:rsidR="001F7233" w:rsidRDefault="00000000">
      <w:r>
        <w:t>• Zeugnisse, Urkunden, Reisepässe und I-94-Nachweise sammeln (</w:t>
      </w:r>
      <w:hyperlink w:anchor="k19">
        <w:r w:rsidR="001F7233">
          <w:rPr>
            <w:color w:val="0563C1"/>
            <w:u w:val="single"/>
          </w:rPr>
          <w:t>Kapitel 19</w:t>
        </w:r>
      </w:hyperlink>
      <w:r>
        <w:t>).</w:t>
      </w:r>
    </w:p>
    <w:p w14:paraId="336AFC59" w14:textId="77777777" w:rsidR="001F7233" w:rsidRDefault="00000000">
      <w:r>
        <w:t xml:space="preserve">• Neue Regeln regelmäßig prüfen: </w:t>
      </w:r>
      <w:hyperlink r:id="rId132">
        <w:r w:rsidR="001F7233">
          <w:rPr>
            <w:color w:val="0563C1"/>
            <w:u w:val="single"/>
          </w:rPr>
          <w:t>uscis.gov</w:t>
        </w:r>
      </w:hyperlink>
      <w:r>
        <w:t xml:space="preserve">, </w:t>
      </w:r>
      <w:hyperlink r:id="rId133">
        <w:r w:rsidR="001F7233">
          <w:rPr>
            <w:color w:val="0563C1"/>
            <w:u w:val="single"/>
          </w:rPr>
          <w:t>federalregister.gov</w:t>
        </w:r>
      </w:hyperlink>
      <w:r>
        <w:t xml:space="preserve"> und die Kanzlei des Arbeitgebers.</w:t>
      </w:r>
    </w:p>
    <w:p w14:paraId="2A5FBC06" w14:textId="77777777" w:rsidR="001F7233" w:rsidRDefault="001F7233">
      <w:pPr>
        <w:spacing w:line="220" w:lineRule="exact"/>
      </w:pPr>
    </w:p>
    <w:p w14:paraId="35BCF5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D32F3A4" w14:textId="77777777" w:rsidR="001F7233" w:rsidRPr="00B8323E" w:rsidRDefault="00000000">
      <w:pPr>
        <w:pStyle w:val="ListParagraph"/>
        <w:numPr>
          <w:ilvl w:val="0"/>
          <w:numId w:val="1"/>
        </w:numPr>
        <w:spacing w:after="60"/>
        <w:rPr>
          <w:lang w:val="en-US"/>
        </w:rPr>
      </w:pPr>
      <w:r w:rsidRPr="00B8323E">
        <w:rPr>
          <w:lang w:val="en-US"/>
        </w:rPr>
        <w:t>State Department — Visa Bulletin (</w:t>
      </w:r>
      <w:hyperlink r:id="rId134">
        <w:r w:rsidR="001F7233" w:rsidRPr="00B8323E">
          <w:rPr>
            <w:color w:val="0563C1"/>
            <w:u w:val="single"/>
            <w:lang w:val="en-US"/>
          </w:rPr>
          <w:t>travel.state.gov</w:t>
        </w:r>
      </w:hyperlink>
      <w:r w:rsidRPr="00B8323E">
        <w:rPr>
          <w:lang w:val="en-US"/>
        </w:rPr>
        <w:t>, Rubrik „Visa Bulletin“)</w:t>
      </w:r>
    </w:p>
    <w:p w14:paraId="16B9A80F" w14:textId="77777777" w:rsidR="001F7233" w:rsidRPr="00B8323E" w:rsidRDefault="00000000">
      <w:pPr>
        <w:pStyle w:val="ListParagraph"/>
        <w:numPr>
          <w:ilvl w:val="0"/>
          <w:numId w:val="1"/>
        </w:numPr>
        <w:spacing w:after="60"/>
        <w:rPr>
          <w:lang w:val="en-US"/>
        </w:rPr>
      </w:pPr>
      <w:r w:rsidRPr="00B8323E">
        <w:rPr>
          <w:lang w:val="en-US"/>
        </w:rPr>
        <w:t>USCIS — Filing-Charts für die Statusanpassung (</w:t>
      </w:r>
      <w:hyperlink r:id="rId135">
        <w:r w:rsidR="001F7233" w:rsidRPr="00B8323E">
          <w:rPr>
            <w:color w:val="0563C1"/>
            <w:u w:val="single"/>
            <w:lang w:val="en-US"/>
          </w:rPr>
          <w:t>uscis.gov</w:t>
        </w:r>
      </w:hyperlink>
      <w:r w:rsidRPr="00B8323E">
        <w:rPr>
          <w:lang w:val="en-US"/>
        </w:rPr>
        <w:t>, Suche „Adjustment of Status Filing Charts“)</w:t>
      </w:r>
    </w:p>
    <w:p w14:paraId="6B70F3E1" w14:textId="77777777" w:rsidR="001F7233" w:rsidRDefault="00000000">
      <w:pPr>
        <w:pStyle w:val="ListParagraph"/>
        <w:numPr>
          <w:ilvl w:val="0"/>
          <w:numId w:val="1"/>
        </w:numPr>
        <w:spacing w:after="60"/>
      </w:pPr>
      <w:r>
        <w:lastRenderedPageBreak/>
        <w:t>DOL — Bearbeitungszeiten für PWD und PERM (</w:t>
      </w:r>
      <w:hyperlink r:id="rId136">
        <w:r w:rsidR="001F7233">
          <w:rPr>
            <w:color w:val="0563C1"/>
            <w:u w:val="single"/>
          </w:rPr>
          <w:t>flag.dol.gov/processingtimes</w:t>
        </w:r>
      </w:hyperlink>
      <w:r>
        <w:t>)</w:t>
      </w:r>
    </w:p>
    <w:p w14:paraId="6748F3ED" w14:textId="77777777" w:rsidR="001F7233" w:rsidRDefault="00000000">
      <w:pPr>
        <w:pStyle w:val="ListParagraph"/>
        <w:numPr>
          <w:ilvl w:val="0"/>
          <w:numId w:val="1"/>
        </w:numPr>
        <w:spacing w:after="60"/>
      </w:pPr>
      <w:r>
        <w:t>USCIS — Gebührenübersicht G-1055 (</w:t>
      </w:r>
      <w:hyperlink r:id="rId137">
        <w:r w:rsidR="001F7233">
          <w:rPr>
            <w:color w:val="0563C1"/>
            <w:u w:val="single"/>
          </w:rPr>
          <w:t>uscis.gov/g-1055</w:t>
        </w:r>
      </w:hyperlink>
      <w:r>
        <w:t>)</w:t>
      </w:r>
    </w:p>
    <w:p w14:paraId="74C2A83B" w14:textId="77777777" w:rsidR="001F7233" w:rsidRDefault="00000000">
      <w:pPr>
        <w:pStyle w:val="ListParagraph"/>
        <w:numPr>
          <w:ilvl w:val="0"/>
          <w:numId w:val="1"/>
        </w:numPr>
        <w:spacing w:after="60"/>
      </w:pPr>
      <w:r>
        <w:t>Arbeitsministerium — Kosten der Arbeitserlaubnis-Zertifizierung, 20 CFR 656.12 (</w:t>
      </w:r>
      <w:hyperlink r:id="rId138">
        <w:r w:rsidR="001F7233">
          <w:rPr>
            <w:color w:val="0563C1"/>
            <w:u w:val="single"/>
          </w:rPr>
          <w:t>ecfr.gov</w:t>
        </w:r>
      </w:hyperlink>
      <w:r>
        <w:t>, Suche „20 CFR 656.12“)</w:t>
      </w:r>
    </w:p>
    <w:p w14:paraId="6ABCD72B" w14:textId="77777777" w:rsidR="001F7233" w:rsidRDefault="00000000">
      <w:pPr>
        <w:pStyle w:val="ListParagraph"/>
        <w:numPr>
          <w:ilvl w:val="0"/>
          <w:numId w:val="1"/>
        </w:numPr>
        <w:spacing w:after="60"/>
      </w:pPr>
      <w:r>
        <w:t>Federal Register — Vorschläge und Endregeln, Suche „H-1B“ oder „public charge“ (</w:t>
      </w:r>
      <w:hyperlink r:id="rId139">
        <w:r w:rsidR="001F7233">
          <w:rPr>
            <w:color w:val="0563C1"/>
            <w:u w:val="single"/>
          </w:rPr>
          <w:t>federalregister.gov</w:t>
        </w:r>
      </w:hyperlink>
      <w:r>
        <w:t>)</w:t>
      </w:r>
    </w:p>
    <w:p w14:paraId="699770A6" w14:textId="77777777" w:rsidR="001F7233" w:rsidRDefault="00000000">
      <w:pPr>
        <w:pStyle w:val="ListParagraph"/>
        <w:numPr>
          <w:ilvl w:val="0"/>
          <w:numId w:val="1"/>
        </w:numPr>
        <w:spacing w:after="60"/>
      </w:pPr>
      <w:r>
        <w:t>Aufenthaltsgesetz — § 18c, Niederlassungserlaubnis für Fachkräfte (</w:t>
      </w:r>
      <w:hyperlink r:id="rId140">
        <w:r w:rsidR="001F7233">
          <w:rPr>
            <w:color w:val="0563C1"/>
            <w:u w:val="single"/>
          </w:rPr>
          <w:t>gesetze-im-internet.de/aufenthg_2004/__18c.html</w:t>
        </w:r>
      </w:hyperlink>
      <w:r>
        <w:t>)</w:t>
      </w:r>
    </w:p>
    <w:p w14:paraId="71C97CF3" w14:textId="77777777" w:rsidR="001F7233" w:rsidRDefault="001F7233">
      <w:pPr>
        <w:spacing w:line="120" w:lineRule="exact"/>
      </w:pPr>
    </w:p>
    <w:p w14:paraId="59CB5EA7" w14:textId="77777777" w:rsidR="001F7233" w:rsidRDefault="00000000">
      <w:r>
        <w:t>Diese Angaben ändern sich schnell. Prüfe die monatlichen Stichtage im Visa Bulletin, die Bearbeitungszeiten von DOL und USCIS (</w:t>
      </w:r>
      <w:hyperlink r:id="rId141">
        <w:r w:rsidR="001F7233">
          <w:rPr>
            <w:color w:val="0563C1"/>
            <w:u w:val="single"/>
          </w:rPr>
          <w:t>uscis.gov</w:t>
        </w:r>
      </w:hyperlink>
      <w:r>
        <w:t xml:space="preserve">) sowie die aktuellen USCIS-Gebühren. Auch der Status der 100.000-$-Zahlung, der Vorschläge zu 103.265 $, zum Wegfall der 60-Tage-Frist und zu höheren Lohnstufen kann sich ändern. Änderungen werden im </w:t>
      </w:r>
      <w:hyperlink r:id="rId142">
        <w:r w:rsidR="001F7233">
          <w:rPr>
            <w:color w:val="0563C1"/>
            <w:u w:val="single"/>
          </w:rPr>
          <w:t>federalregister.gov</w:t>
        </w:r>
      </w:hyperlink>
      <w:r>
        <w:t xml:space="preserve"> veröffentlicht; auch die Regeln der Registrierung im März 2027 können sich noch ändern.</w:t>
      </w:r>
    </w:p>
    <w:p w14:paraId="69FB078E" w14:textId="77777777" w:rsidR="001F7233" w:rsidRDefault="00000000">
      <w:pPr>
        <w:spacing w:line="220" w:lineRule="exact"/>
      </w:pPr>
      <w:r>
        <w:br w:type="page"/>
      </w:r>
    </w:p>
    <w:p w14:paraId="5E5DB916" w14:textId="77777777" w:rsidR="001F7233" w:rsidRDefault="00000000">
      <w:pPr>
        <w:pStyle w:val="Heading2"/>
        <w:keepNext/>
        <w:spacing w:line="341" w:lineRule="auto"/>
        <w:jc w:val="center"/>
      </w:pPr>
      <w:bookmarkStart w:id="27" w:name="k8"/>
      <w:r>
        <w:rPr>
          <w:rFonts w:ascii="Amazon Ember" w:eastAsia="Amazon Ember" w:hAnsi="Amazon Ember" w:cs="Amazon Ember"/>
          <w:color w:val="0000FF"/>
          <w:sz w:val="36"/>
          <w:szCs w:val="36"/>
        </w:rPr>
        <w:lastRenderedPageBreak/>
        <w:t>Kapitel 8: Der Studienweg: F-1, OPT und der spätere Statuswechsel</w:t>
      </w:r>
      <w:bookmarkEnd w:id="27"/>
    </w:p>
    <w:p w14:paraId="4C926D6A" w14:textId="77777777" w:rsidR="001F7233" w:rsidRDefault="00000000">
      <w:pPr>
        <w:spacing w:after="140"/>
      </w:pPr>
      <w:r>
        <w:rPr>
          <w:i/>
          <w:iCs/>
        </w:rPr>
        <w:t>Ein H-1B-Visum bekommst du nur mit einem Arbeitgeber und viele Arbeitgeber stellen lieber jemanden ein, der schon im Land ist, eine SSN hat und morgen anfangen kann statt in sechs Monaten. Der Studienweg löst dieses Henne-Ei-Problem: Du kommst als Student mit einem F-1-Visum, arbeitest nach dem Abschluss mit einer befristeten Arbeitserlaubnis (Optional Practical Training, OPT) und wechselst später im Inland in den H-1B-Status. Der Weg ist real, er ist aber teuer und 2025/26 ist er unsicherer geworden, als er es lange war.</w:t>
      </w:r>
    </w:p>
    <w:p w14:paraId="287C4EFB" w14:textId="77777777" w:rsidR="001F7233" w:rsidRDefault="00000000">
      <w:r>
        <w:rPr>
          <w:b/>
        </w:rPr>
        <w:t xml:space="preserve">KURZ GESAGT: </w:t>
      </w:r>
    </w:p>
    <w:p w14:paraId="43EEB3FF" w14:textId="77777777" w:rsidR="001F7233" w:rsidRDefault="00000000">
      <w:r>
        <w:t>• F-1 ist ein Studentenstatus, kein Einwanderungsweg: Du musst glaubhaft machen, dass du zurückkehrst. Erst der H-1B-Status erlaubt offen den Wunsch nach einer Green Card (Dual Intent, doppelte Absicht).</w:t>
      </w:r>
    </w:p>
    <w:p w14:paraId="377C1C0C" w14:textId="77777777" w:rsidR="001F7233" w:rsidRDefault="00000000">
      <w:r>
        <w:t>• Ablauf: Zulassung, Form I-20, Finanznachweis, SEVIS-Gebühr (350 $), Visum (185 $), Interview.</w:t>
      </w:r>
    </w:p>
    <w:p w14:paraId="2F4CCD1B" w14:textId="77777777" w:rsidR="001F7233" w:rsidRDefault="00000000">
      <w:r>
        <w:t>• Ein zweijähriger Master kostet grob 70.000–150.000 $ mit Lebenshaltung und Krankenversicherung.</w:t>
      </w:r>
    </w:p>
    <w:p w14:paraId="306548FF" w14:textId="77777777" w:rsidR="001F7233" w:rsidRDefault="00000000">
      <w:r>
        <w:t>• Danach folgen OPT (12 Monate) und mit STEM-Abschluss (Naturwissenschaft, Technik, Ingenieurwesen, Mathematik) weitere 24 Monate: drei bis vier Chancen in der H-1B-Lotterie.</w:t>
      </w:r>
    </w:p>
    <w:p w14:paraId="38AE1D5A" w14:textId="77777777" w:rsidR="001F7233" w:rsidRDefault="00000000">
      <w:r>
        <w:t>• Der Statuswechsel im Inland ist von der 100.000-$-Zahlung ausgenommen; ein Entwurf vom 25. August 2026 würde das ändern, ist aber nicht in Kraft.</w:t>
      </w:r>
    </w:p>
    <w:p w14:paraId="0AA8E0D0" w14:textId="77777777" w:rsidR="001F7233" w:rsidRDefault="00000000">
      <w:r>
        <w:t>• Die Regeln sind in Bewegung: SEVIS-Kündigungen, Social-Media-Prüfung, strengere CPT-Auslegung und eine gerichtlich gestoppte Regel zur festen Aufenthaltsdauer.</w:t>
      </w:r>
    </w:p>
    <w:p w14:paraId="0BC53A3F" w14:textId="77777777" w:rsidR="001F7233" w:rsidRDefault="001F7233">
      <w:pPr>
        <w:spacing w:line="220" w:lineRule="exact"/>
      </w:pPr>
    </w:p>
    <w:p w14:paraId="28583C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Für wen sich der Weg lohnt</w:t>
      </w:r>
    </w:p>
    <w:p w14:paraId="5C18F4B9" w14:textId="77777777" w:rsidR="001F7233" w:rsidRDefault="00000000">
      <w:pPr>
        <w:spacing w:after="140"/>
      </w:pPr>
      <w:r>
        <w:t>Der Studienweg ist keine Abkürzung, sondern eine Investition mit Restrisiko: Du bezahlst ein bis zwei Jahre Studium und erhältst einen US-Abschluss und Zeit im Land. Bis zu drei Jahre Arbeit mit OPT und STEM-OPT bedeuten mehrere Lotterie-Chancen, ohne dass du zwischendurch nach Deutschland zurückmusst – eine Garantie für ein H-1B-Visum ist das nicht (Kapitel </w:t>
      </w:r>
      <w:hyperlink w:anchor="k5">
        <w:r w:rsidR="001F7233">
          <w:t>5</w:t>
        </w:r>
      </w:hyperlink>
      <w:r>
        <w:t>).</w:t>
      </w:r>
    </w:p>
    <w:p w14:paraId="447139D2" w14:textId="77777777" w:rsidR="001F7233" w:rsidRDefault="00000000">
      <w:pPr>
        <w:spacing w:after="140"/>
      </w:pPr>
      <w:r>
        <w:t>Viele gehen ihn: Im Studienjahr 2024/25 waren 1.177.766 internationale Studierende in den USA eingeschrieben, 294.253 von ihnen arbeiteten mit OPT (+21 %). Aus Deutschland kamen 9.123 (Open Doors und DAAD).</w:t>
      </w:r>
    </w:p>
    <w:p w14:paraId="46C3F43F" w14:textId="77777777" w:rsidR="001F7233" w:rsidRDefault="00000000">
      <w:pPr>
        <w:spacing w:after="140"/>
      </w:pPr>
      <w:r>
        <w:rPr>
          <w:b/>
          <w:bCs/>
        </w:rPr>
        <w:t>Der Weg passt, wenn:</w:t>
      </w:r>
    </w:p>
    <w:p w14:paraId="667DEF40" w14:textId="77777777" w:rsidR="001F7233" w:rsidRDefault="00000000">
      <w:pPr>
        <w:pStyle w:val="ListParagraph"/>
        <w:numPr>
          <w:ilvl w:val="0"/>
          <w:numId w:val="1"/>
        </w:numPr>
        <w:spacing w:after="60"/>
      </w:pPr>
      <w:r>
        <w:t>du den Master fachlich ohnehin willst, etwa in Informatik, Ingenieurwesen oder Naturwissenschaften,</w:t>
      </w:r>
    </w:p>
    <w:p w14:paraId="08504657" w14:textId="77777777" w:rsidR="001F7233" w:rsidRDefault="00000000">
      <w:pPr>
        <w:pStyle w:val="ListParagraph"/>
        <w:numPr>
          <w:ilvl w:val="0"/>
          <w:numId w:val="1"/>
        </w:numPr>
        <w:spacing w:after="60"/>
      </w:pPr>
      <w:r>
        <w:t>du die Kosten aus Ersparnissen, Familie oder Stipendium trägst und ein Scheitern der Lotterie finanziell verkraftest.</w:t>
      </w:r>
    </w:p>
    <w:p w14:paraId="0AA73427" w14:textId="77777777" w:rsidR="001F7233" w:rsidRDefault="00000000">
      <w:pPr>
        <w:pStyle w:val="ListParagraph"/>
        <w:numPr>
          <w:ilvl w:val="0"/>
          <w:numId w:val="1"/>
        </w:numPr>
        <w:spacing w:after="60"/>
      </w:pPr>
      <w:r>
        <w:t>du allein kommst oder mit einem Partner, der die Zeit ohne Arbeitserlaubnis übersteht.</w:t>
      </w:r>
    </w:p>
    <w:p w14:paraId="4B8866A7" w14:textId="77777777" w:rsidR="001F7233" w:rsidRDefault="001F7233">
      <w:pPr>
        <w:spacing w:line="120" w:lineRule="exact"/>
      </w:pPr>
    </w:p>
    <w:p w14:paraId="4AD6EE22" w14:textId="77777777" w:rsidR="001F7233" w:rsidRDefault="00000000">
      <w:pPr>
        <w:spacing w:after="140"/>
      </w:pPr>
      <w:r>
        <w:rPr>
          <w:b/>
          <w:bCs/>
        </w:rPr>
        <w:t>Der Weg passt weniger, wenn:</w:t>
      </w:r>
    </w:p>
    <w:p w14:paraId="327A638C" w14:textId="77777777" w:rsidR="001F7233" w:rsidRDefault="00000000">
      <w:pPr>
        <w:pStyle w:val="ListParagraph"/>
        <w:numPr>
          <w:ilvl w:val="0"/>
          <w:numId w:val="1"/>
        </w:numPr>
        <w:spacing w:after="60"/>
      </w:pPr>
      <w:r>
        <w:t>du schon ein Jobangebot mit Sponsoring hast: Dann sind der direkte H-1B-Weg (Kapitel </w:t>
      </w:r>
      <w:hyperlink w:anchor="k5">
        <w:r w:rsidR="001F7233">
          <w:t>5</w:t>
        </w:r>
      </w:hyperlink>
      <w:r>
        <w:t>) oder ein L-1 (Kapitel </w:t>
      </w:r>
      <w:hyperlink w:anchor="k9">
        <w:r w:rsidR="001F7233">
          <w:t>9</w:t>
        </w:r>
      </w:hyperlink>
      <w:r>
        <w:t>) schneller und billiger,</w:t>
      </w:r>
    </w:p>
    <w:p w14:paraId="1C49B97E" w14:textId="77777777" w:rsidR="001F7233" w:rsidRDefault="00000000">
      <w:pPr>
        <w:pStyle w:val="ListParagraph"/>
        <w:numPr>
          <w:ilvl w:val="0"/>
          <w:numId w:val="1"/>
        </w:numPr>
        <w:spacing w:after="60"/>
      </w:pPr>
      <w:r>
        <w:t>du berufserfahren bist und vor allem das Land wechseln willst: Zwei Jahre Einkommensverzicht kosten oft mehr als die Studiengebühren,</w:t>
      </w:r>
    </w:p>
    <w:p w14:paraId="535DE320" w14:textId="77777777" w:rsidR="001F7233" w:rsidRDefault="00000000">
      <w:pPr>
        <w:pStyle w:val="ListParagraph"/>
        <w:numPr>
          <w:ilvl w:val="0"/>
          <w:numId w:val="1"/>
        </w:numPr>
        <w:spacing w:after="60"/>
      </w:pPr>
      <w:r>
        <w:t>deine Familie auf ein zweites Einkommen angewiesen ist, denn ein Partner mit F-2-Status darf nicht arbeiten.</w:t>
      </w:r>
    </w:p>
    <w:p w14:paraId="53DF1FFC" w14:textId="77777777" w:rsidR="001F7233" w:rsidRDefault="001F7233">
      <w:pPr>
        <w:spacing w:line="120" w:lineRule="exact"/>
      </w:pPr>
    </w:p>
    <w:p w14:paraId="31DAECD3" w14:textId="77777777" w:rsidR="001F7233" w:rsidRDefault="00000000">
      <w:pPr>
        <w:spacing w:after="140"/>
      </w:pPr>
      <w:r>
        <w:lastRenderedPageBreak/>
        <w:t>Die ehrliche Rechnung: Studienkosten plus entgangenes Gehalt gegen die Chance auf einen Einstieg in den US-Arbeitsmarkt (Gehaltsspannen: Kapitel </w:t>
      </w:r>
      <w:hyperlink w:anchor="k29">
        <w:r w:rsidR="001F7233">
          <w:t>29</w:t>
        </w:r>
      </w:hyperlink>
      <w:r>
        <w:t>, Entscheidungsrahmen: Kapitel </w:t>
      </w:r>
      <w:hyperlink w:anchor="k3">
        <w:r w:rsidR="001F7233">
          <w:t>3</w:t>
        </w:r>
      </w:hyperlink>
      <w:r>
        <w:t>).</w:t>
      </w:r>
    </w:p>
    <w:p w14:paraId="36BC32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läuft das F-1-Verfahren</w:t>
      </w:r>
    </w:p>
    <w:p w14:paraId="6CDD7B74" w14:textId="77777777" w:rsidR="001F7233" w:rsidRDefault="00000000">
      <w:pPr>
        <w:spacing w:after="140"/>
      </w:pPr>
      <w:r>
        <w:rPr>
          <w:i/>
          <w:iCs/>
        </w:rPr>
        <w:t>Zuerst die saubere Trennung: Das F-1-Visum steht im Pass und kommt vom Konsulat, es ist die Eintrittskarte. Der F-1-Status entsteht bei der Einreise (Nachweis: I-94 und Form I-20) und erlaubt Aufenthalt und Studium. Der Ablauf in sieben Schritten:</w:t>
      </w:r>
    </w:p>
    <w:p w14:paraId="07D5F732" w14:textId="77777777" w:rsidR="001F7233" w:rsidRDefault="00000000">
      <w:pPr>
        <w:pStyle w:val="ListParagraph"/>
        <w:numPr>
          <w:ilvl w:val="0"/>
          <w:numId w:val="13"/>
        </w:numPr>
        <w:spacing w:after="60"/>
      </w:pPr>
      <w:r>
        <w:rPr>
          <w:b/>
          <w:bCs/>
        </w:rPr>
        <w:t>Zulassung</w:t>
      </w:r>
      <w:r>
        <w:t xml:space="preserve"> an einer Hochschule, die vom </w:t>
      </w:r>
      <w:r>
        <w:rPr>
          <w:i/>
          <w:iCs/>
        </w:rPr>
        <w:t>Student and Exchange Visitor Program</w:t>
      </w:r>
      <w:r>
        <w:t xml:space="preserve"> (SEVP) zertifiziert ist. Bewerbung, Sprachtest und Anerkennung deines Abschlusses regelt jede Hochschule selbst.</w:t>
      </w:r>
    </w:p>
    <w:p w14:paraId="3678FBED" w14:textId="77777777" w:rsidR="001F7233" w:rsidRDefault="00000000">
      <w:pPr>
        <w:pStyle w:val="ListParagraph"/>
        <w:numPr>
          <w:ilvl w:val="0"/>
          <w:numId w:val="2"/>
        </w:numPr>
        <w:spacing w:after="60"/>
      </w:pPr>
      <w:r>
        <w:rPr>
          <w:b/>
          <w:bCs/>
        </w:rPr>
        <w:t>Form I-20</w:t>
      </w:r>
      <w:r>
        <w:t xml:space="preserve"> (</w:t>
      </w:r>
      <w:r>
        <w:rPr>
          <w:i/>
          <w:iCs/>
        </w:rPr>
        <w:t>Certificate of Eligibility</w:t>
      </w:r>
      <w:r>
        <w:t xml:space="preserve">): Die Hochschule stellt dir das Zulassungsdokument aus, mit Programmdauer und Kostenschätzung. Ansprechperson ist der </w:t>
      </w:r>
      <w:r>
        <w:rPr>
          <w:i/>
          <w:iCs/>
        </w:rPr>
        <w:t>Designated School Official</w:t>
      </w:r>
      <w:r>
        <w:t xml:space="preserve"> (DSO) im International Office.</w:t>
      </w:r>
    </w:p>
    <w:p w14:paraId="5A6586DE" w14:textId="77777777" w:rsidR="001F7233" w:rsidRDefault="00000000">
      <w:pPr>
        <w:pStyle w:val="ListParagraph"/>
        <w:numPr>
          <w:ilvl w:val="0"/>
          <w:numId w:val="2"/>
        </w:numPr>
        <w:spacing w:after="60"/>
      </w:pPr>
      <w:r>
        <w:rPr>
          <w:b/>
          <w:bCs/>
        </w:rPr>
        <w:t>Finanznachweis:</w:t>
      </w:r>
      <w:r>
        <w:t xml:space="preserve"> Du belegst mit Unterlagen, dass du die Kosten laut I-20 tragen kannst: Kontoauszüge, Stipendienbescheide, Förderzusagen von Angehörigen.</w:t>
      </w:r>
    </w:p>
    <w:p w14:paraId="03F3CF57" w14:textId="77777777" w:rsidR="001F7233" w:rsidRDefault="00000000">
      <w:pPr>
        <w:pStyle w:val="ListParagraph"/>
        <w:numPr>
          <w:ilvl w:val="0"/>
          <w:numId w:val="2"/>
        </w:numPr>
        <w:spacing w:after="60"/>
      </w:pPr>
      <w:r>
        <w:rPr>
          <w:b/>
          <w:bCs/>
        </w:rPr>
        <w:t>SEVIS-Gebühr: Die Gebühr I-901 beträgt 350 $ und wird online bei der Einwanderungs- und Zollbehörde ICE bezahlt (SEVIS ist die Datenbank, in der die Behörden Studierende erfassen). Die Quittung nimmst du zum Interview mit.</w:t>
      </w:r>
    </w:p>
    <w:p w14:paraId="3B65E42B" w14:textId="77777777" w:rsidR="001F7233" w:rsidRDefault="00000000">
      <w:pPr>
        <w:pStyle w:val="ListParagraph"/>
        <w:numPr>
          <w:ilvl w:val="0"/>
          <w:numId w:val="2"/>
        </w:numPr>
        <w:spacing w:after="60"/>
      </w:pPr>
      <w:r>
        <w:rPr>
          <w:b/>
          <w:bCs/>
        </w:rPr>
        <w:t>DS-160 und Visumgebühr:</w:t>
      </w:r>
      <w:r>
        <w:t xml:space="preserve"> Du füllst das Online-Formular DS-160 aus, samt Social-Media-Konten der letzten fünf Jahre, und zahlst 185 $.</w:t>
      </w:r>
    </w:p>
    <w:p w14:paraId="4EEF1BDD" w14:textId="77777777" w:rsidR="001F7233" w:rsidRDefault="00000000">
      <w:pPr>
        <w:pStyle w:val="ListParagraph"/>
        <w:numPr>
          <w:ilvl w:val="0"/>
          <w:numId w:val="2"/>
        </w:numPr>
        <w:spacing w:after="60"/>
      </w:pPr>
      <w:r>
        <w:t xml:space="preserve">Interview in der Botschaft Berlin oder den Konsulaten Frankfurt und München. Der Verzicht auf das Gespräch wurde im September 2025 weitgehend abgeschafft; rechne mit einem persönlichen Termin, buche früh (Wartezeiten: </w:t>
      </w:r>
      <w:hyperlink r:id="rId143">
        <w:r w:rsidR="001F7233">
          <w:rPr>
            <w:color w:val="0563C1"/>
            <w:u w:val="single"/>
          </w:rPr>
          <w:t>travel.state.gov</w:t>
        </w:r>
      </w:hyperlink>
      <w:r>
        <w:t xml:space="preserve">). Das Gesetz sieht zusätzlich eine Visa Integrity Fee vor; der </w:t>
      </w:r>
      <w:r>
        <w:lastRenderedPageBreak/>
        <w:t>Ausgangsbetrag beträgt 250 $ und wird gesetzlich angepasst. Die aktuelle veröffentlichte Gebührenliste des State Department führt sie nicht als separate Konsulargebühr auf. Plane sie nicht als fälligen Betrag ein, solange das Konsulat keine konkrete Zahlungsanweisung gibt.</w:t>
      </w:r>
    </w:p>
    <w:p w14:paraId="460CC9BF" w14:textId="77777777" w:rsidR="001F7233" w:rsidRDefault="00000000">
      <w:pPr>
        <w:pStyle w:val="ListParagraph"/>
        <w:numPr>
          <w:ilvl w:val="0"/>
          <w:numId w:val="2"/>
        </w:numPr>
        <w:spacing w:after="60"/>
      </w:pPr>
      <w:r>
        <w:rPr>
          <w:b/>
          <w:bCs/>
        </w:rPr>
        <w:t>Einreise: Üblich ist die Einreise frühestens 30 Tage vor Programmbeginn. Das Visum wird bis zu 365 Tage vorher ausgestellt. Der Grenzschutz (CBP) trägt deinen Status ein.</w:t>
      </w:r>
    </w:p>
    <w:p w14:paraId="73A483C5" w14:textId="77777777" w:rsidR="001F7233" w:rsidRDefault="001F7233">
      <w:pPr>
        <w:spacing w:line="120" w:lineRule="exact"/>
      </w:pPr>
    </w:p>
    <w:p w14:paraId="095FFF2D" w14:textId="77777777" w:rsidR="001F7233" w:rsidRDefault="00000000">
      <w:r>
        <w:rPr>
          <w:b/>
        </w:rPr>
        <w:t xml:space="preserve">ACHTUNG: </w:t>
      </w:r>
    </w:p>
    <w:p w14:paraId="42CD1652" w14:textId="77777777" w:rsidR="001F7233" w:rsidRDefault="00000000">
      <w:r>
        <w:t>• F-1 ist ein Visum für Personen ohne Einwanderungsabsicht. Das Konsulat prüft, ob du nach dem Studium zurückkehren willst (INA 214(b)): Belege deine Bindungen an Deutschland und erkläre ehrlich, wozu du den Abschluss brauchst. Beantworte Fragen wahrheitsgemäß und knapp – Falschangaben können dauerhafte Einreisesperren auslösen. Wer fest plant zu bleiben, klärt mit einem Einwanderungsanwalt vor dem Interview, wie er das ehrlich darstellt.</w:t>
      </w:r>
    </w:p>
    <w:p w14:paraId="50DE31BD" w14:textId="77777777" w:rsidR="001F7233" w:rsidRDefault="001F7233">
      <w:pPr>
        <w:spacing w:line="220" w:lineRule="exact"/>
      </w:pPr>
    </w:p>
    <w:p w14:paraId="7726F3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das Studium kostet</w:t>
      </w:r>
    </w:p>
    <w:p w14:paraId="2C52BFC7" w14:textId="77777777" w:rsidR="001F7233" w:rsidRDefault="00000000">
      <w:pPr>
        <w:spacing w:after="140"/>
      </w:pPr>
      <w:r>
        <w:t>Die Studiengebühren (</w:t>
      </w:r>
      <w:r>
        <w:rPr>
          <w:i/>
          <w:iCs/>
        </w:rPr>
        <w:t>Tuition</w:t>
      </w:r>
      <w:r>
        <w:t>) sind der größte Posten und streuen stark. Wer die Zahl zum ersten Mal schwarz auf weiß auf der I-20 liest, hält meist kurz die Luft an, bevor er zum Taschenrechner greift. Die Tabelle zeigt Größenordnungen pro Studienjahr für einen Master (Stand 2026); verbindlich sind Hochschulseite und I-20.</w:t>
      </w:r>
    </w:p>
    <w:p w14:paraId="7D940756" w14:textId="77777777" w:rsidR="001F7233" w:rsidRDefault="00000000">
      <w:r>
        <w:rPr>
          <w:b/>
        </w:rPr>
        <w:t>Studiengebühren, öffentliche Hochschule</w:t>
      </w:r>
    </w:p>
    <w:p w14:paraId="32EA6A79" w14:textId="77777777" w:rsidR="001F7233" w:rsidRDefault="00000000">
      <w:r>
        <w:rPr>
          <w:b/>
        </w:rPr>
        <w:t xml:space="preserve">Spanne pro Jahr: </w:t>
      </w:r>
      <w:r>
        <w:t>20.000–35.000 $</w:t>
      </w:r>
    </w:p>
    <w:p w14:paraId="66038417" w14:textId="77777777" w:rsidR="001F7233" w:rsidRDefault="00000000">
      <w:r>
        <w:rPr>
          <w:b/>
        </w:rPr>
        <w:t xml:space="preserve">Anmerkung: </w:t>
      </w:r>
      <w:r>
        <w:t>Internationale zahlen meist den Auslandstarif</w:t>
      </w:r>
    </w:p>
    <w:p w14:paraId="2FEF41EB" w14:textId="77777777" w:rsidR="001F7233" w:rsidRDefault="00000000">
      <w:r>
        <w:rPr>
          <w:b/>
        </w:rPr>
        <w:t>Studiengebühren, private Hochschule</w:t>
      </w:r>
    </w:p>
    <w:p w14:paraId="08C0ACDD" w14:textId="77777777" w:rsidR="001F7233" w:rsidRDefault="00000000">
      <w:r>
        <w:rPr>
          <w:b/>
        </w:rPr>
        <w:t xml:space="preserve">Spanne pro Jahr: </w:t>
      </w:r>
      <w:r>
        <w:t>30.000–75.000 $</w:t>
      </w:r>
    </w:p>
    <w:p w14:paraId="62B4619D" w14:textId="77777777" w:rsidR="001F7233" w:rsidRDefault="00000000">
      <w:r>
        <w:rPr>
          <w:b/>
        </w:rPr>
        <w:t xml:space="preserve">Anmerkung: </w:t>
      </w:r>
      <w:r>
        <w:t>Boston University: 73.364 $ (2026/27)</w:t>
      </w:r>
    </w:p>
    <w:p w14:paraId="3D11C13E" w14:textId="77777777" w:rsidR="001F7233" w:rsidRDefault="00000000">
      <w:r>
        <w:rPr>
          <w:b/>
        </w:rPr>
        <w:t>Lebenshaltung inkl. Miete</w:t>
      </w:r>
    </w:p>
    <w:p w14:paraId="6D2F2F01" w14:textId="77777777" w:rsidR="001F7233" w:rsidRDefault="00000000">
      <w:r>
        <w:rPr>
          <w:b/>
        </w:rPr>
        <w:lastRenderedPageBreak/>
        <w:t xml:space="preserve">Spanne pro Jahr: </w:t>
      </w:r>
      <w:r>
        <w:t>15.000–30.000 $</w:t>
      </w:r>
    </w:p>
    <w:p w14:paraId="462B1E24" w14:textId="77777777" w:rsidR="001F7233" w:rsidRDefault="00000000">
      <w:r>
        <w:rPr>
          <w:b/>
        </w:rPr>
        <w:t xml:space="preserve">Anmerkung: </w:t>
      </w:r>
      <w:r>
        <w:t>Boston University: rund 27.000 $ für neun Monate</w:t>
      </w:r>
    </w:p>
    <w:p w14:paraId="7F3030C1" w14:textId="77777777" w:rsidR="001F7233" w:rsidRDefault="00000000">
      <w:r>
        <w:rPr>
          <w:b/>
        </w:rPr>
        <w:t>Krankenversicherung</w:t>
      </w:r>
    </w:p>
    <w:p w14:paraId="76CB489B" w14:textId="77777777" w:rsidR="001F7233" w:rsidRDefault="00000000">
      <w:r>
        <w:rPr>
          <w:b/>
        </w:rPr>
        <w:t xml:space="preserve">Spanne pro Jahr: </w:t>
      </w:r>
      <w:r>
        <w:t>1.800–4.000 $</w:t>
      </w:r>
    </w:p>
    <w:p w14:paraId="6FAD631C" w14:textId="77777777" w:rsidR="001F7233" w:rsidRDefault="00000000">
      <w:r>
        <w:rPr>
          <w:b/>
        </w:rPr>
        <w:t xml:space="preserve">Anmerkung: </w:t>
      </w:r>
      <w:r>
        <w:t>Uni-Plan; Boston University: 3.715 $</w:t>
      </w:r>
    </w:p>
    <w:p w14:paraId="69C00C4D" w14:textId="77777777" w:rsidR="001F7233" w:rsidRDefault="00000000">
      <w:r>
        <w:rPr>
          <w:b/>
        </w:rPr>
        <w:t>Einmalig: SEVIS und Visum; Visa Integrity Fee separat prüfen</w:t>
      </w:r>
    </w:p>
    <w:p w14:paraId="07A4CBCE" w14:textId="77777777" w:rsidR="001F7233" w:rsidRDefault="00000000">
      <w:r>
        <w:rPr>
          <w:b/>
        </w:rPr>
        <w:t xml:space="preserve">Spanne pro Jahr: </w:t>
      </w:r>
      <w:r>
        <w:t>785 $</w:t>
      </w:r>
    </w:p>
    <w:p w14:paraId="582B4B8B" w14:textId="77777777" w:rsidR="001F7233" w:rsidRDefault="00000000">
      <w:r>
        <w:rPr>
          <w:b/>
        </w:rPr>
        <w:t xml:space="preserve">Anmerkung: </w:t>
      </w:r>
      <w:r>
        <w:t>Summe aus 350, 185 und 250 $</w:t>
      </w:r>
    </w:p>
    <w:p w14:paraId="0FFDE5B2" w14:textId="77777777" w:rsidR="001F7233" w:rsidRDefault="001F7233">
      <w:pPr>
        <w:spacing w:line="180" w:lineRule="exact"/>
      </w:pPr>
    </w:p>
    <w:p w14:paraId="1A619B1C" w14:textId="77777777" w:rsidR="001F7233" w:rsidRDefault="00000000">
      <w:pPr>
        <w:spacing w:after="140"/>
      </w:pPr>
      <w:r>
        <w:t>Für einen zweijährigen Master ergeben sich damit grob 70.000–150.000 $; ein einjähriges Programm halbiert den Betrag ungefähr. Elite-Universitäten liegen darüber: Die I-20 der Boston University weist für neun Monate 105.566 $ aus. Diese Summe musst du im Visumverfahren belegen können.</w:t>
      </w:r>
    </w:p>
    <w:p w14:paraId="2D8832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Stipendien, Assistenzstellen, BAföG</w:t>
      </w:r>
    </w:p>
    <w:p w14:paraId="5D081999" w14:textId="77777777" w:rsidR="001F7233" w:rsidRDefault="00000000">
      <w:pPr>
        <w:pStyle w:val="ListParagraph"/>
        <w:numPr>
          <w:ilvl w:val="0"/>
          <w:numId w:val="1"/>
        </w:numPr>
        <w:spacing w:after="60"/>
      </w:pPr>
      <w:r>
        <w:t>Fulbright: Die Fulbright-Kommission in Deutschland vergibt in rund 20 Programmen bis zu 700 Stipendien pro Jahr. Master-Programme starten im August oder September 2027; neue Ausschreibungen erscheinen Ende 2026 oder Anfang 2027 (</w:t>
      </w:r>
      <w:hyperlink r:id="rId144">
        <w:r w:rsidR="001F7233">
          <w:rPr>
            <w:color w:val="0563C1"/>
            <w:u w:val="single"/>
          </w:rPr>
          <w:t>fulbright.de</w:t>
        </w:r>
      </w:hyperlink>
      <w:r>
        <w:t>).</w:t>
      </w:r>
    </w:p>
    <w:p w14:paraId="1ACADC46" w14:textId="77777777" w:rsidR="001F7233" w:rsidRDefault="00000000">
      <w:pPr>
        <w:pStyle w:val="ListParagraph"/>
        <w:numPr>
          <w:ilvl w:val="0"/>
          <w:numId w:val="1"/>
        </w:numPr>
        <w:spacing w:after="60"/>
      </w:pPr>
      <w:r>
        <w:t xml:space="preserve">DAAD: Das Masterstipendium für die USA umfasst laut DAAD 1.250 € im Monat, einen Zuschuss zu den Studiengebühren von bis zu 18.000 € pro Jahr, Reisekostenzuschuss und Versicherungen, längstens 24 Monate. Dein Abschluss darf nicht länger als fünf Jahre zurückliegen. Die Bewerbungsfrist liegt fast ein Jahr vor Studienbeginn: 1. Oktober 2026 für einen Start im September 2027 (Raten und Fristen ändern sich; prüfe </w:t>
      </w:r>
      <w:hyperlink r:id="rId145">
        <w:r w:rsidR="001F7233">
          <w:rPr>
            <w:color w:val="0563C1"/>
            <w:u w:val="single"/>
          </w:rPr>
          <w:t>daad.de</w:t>
        </w:r>
      </w:hyperlink>
      <w:r>
        <w:t>).</w:t>
      </w:r>
    </w:p>
    <w:p w14:paraId="73712D29" w14:textId="77777777" w:rsidR="001F7233" w:rsidRDefault="00000000">
      <w:pPr>
        <w:pStyle w:val="ListParagraph"/>
        <w:numPr>
          <w:ilvl w:val="0"/>
          <w:numId w:val="1"/>
        </w:numPr>
        <w:spacing w:after="60"/>
      </w:pPr>
      <w:r>
        <w:rPr>
          <w:b/>
          <w:bCs/>
        </w:rPr>
        <w:t xml:space="preserve">Assistenzstellen: Eine Teaching oder Research Assistantship (Lehr- oder Forschungsstelle mit Gehalt, oft mit Gebührenerlass) ist im Master selten, in der Promotion in </w:t>
      </w:r>
      <w:r>
        <w:rPr>
          <w:b/>
          <w:bCs/>
        </w:rPr>
        <w:lastRenderedPageBreak/>
        <w:t>STEM-Fächern üblich. Frage im Zulassungsverfahren gezielt danach.</w:t>
      </w:r>
    </w:p>
    <w:p w14:paraId="57DE85E3" w14:textId="77777777" w:rsidR="001F7233" w:rsidRDefault="00000000">
      <w:pPr>
        <w:pStyle w:val="ListParagraph"/>
        <w:numPr>
          <w:ilvl w:val="0"/>
          <w:numId w:val="1"/>
        </w:numPr>
        <w:spacing w:after="60"/>
      </w:pPr>
      <w:r>
        <w:rPr>
          <w:b/>
          <w:bCs/>
        </w:rPr>
        <w:t>Auslands-BAföG: Nach § 5 Abs. 2 BAföG lässt sich ein Studium in den USA fördern, wenn es mindestens ein Semester oder sechs Monate dauert. Die Höhe hängt vom Einzelfall ab; Auskunft gibt das passende Amt für Ausbildungsförderung.</w:t>
      </w:r>
    </w:p>
    <w:p w14:paraId="0EC34962" w14:textId="77777777" w:rsidR="001F7233" w:rsidRDefault="001F7233">
      <w:pPr>
        <w:spacing w:line="120" w:lineRule="exact"/>
      </w:pPr>
    </w:p>
    <w:p w14:paraId="74E2E800" w14:textId="77777777" w:rsidR="001F7233" w:rsidRDefault="00000000">
      <w:r>
        <w:rPr>
          <w:b/>
        </w:rPr>
        <w:t xml:space="preserve">ACHTUNG: </w:t>
      </w:r>
    </w:p>
    <w:p w14:paraId="3FEB3911" w14:textId="77777777" w:rsidR="001F7233" w:rsidRDefault="00000000">
      <w:r>
        <w:t>• Wer mit Regierungsgeld gefördert wird, etwa über Fulbright, bekommt oft ein J-1-Visum statt F-1. Dann kann die Zwei-Jahres-Regel (Section 212(e)) greifen: Du müsstest zwei Jahre außer der USA verbringen, bevor du in H-1B, L-1 oder Green Card wechseln darfst, sofern kein Verzicht (Waiver) gewährt wird. Frage vor der Annahme schriftlich nach, welches Visum das Stipendium auslöst.</w:t>
      </w:r>
    </w:p>
    <w:p w14:paraId="3DF91EC3" w14:textId="77777777" w:rsidR="001F7233" w:rsidRDefault="001F7233">
      <w:pPr>
        <w:spacing w:line="220" w:lineRule="exact"/>
      </w:pPr>
    </w:p>
    <w:p w14:paraId="191DF3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 während des Studiums</w:t>
      </w:r>
    </w:p>
    <w:p w14:paraId="2D19658D" w14:textId="77777777" w:rsidR="001F7233" w:rsidRDefault="00000000">
      <w:pPr>
        <w:spacing w:after="140"/>
      </w:pPr>
      <w:r>
        <w:t xml:space="preserve">Verbreiteter Irrtum: Wer als Student in den USA lebt, kann sich nebenbei mit denselben Aushilfsjobs über Wasser halten wie zu Hause – kellnern, Nachhilfe geben, Kisten schleppen. Tatsächlich sind die Grenzen eng gezogen, und im ersten Studienjahr sind deine Möglichkeiten besonders begrenzt. </w:t>
      </w:r>
      <w:r>
        <w:rPr>
          <w:i/>
          <w:iCs/>
        </w:rPr>
        <w:t>On-campus</w:t>
      </w:r>
      <w:r>
        <w:t xml:space="preserve"> (auf dem Uni-Gelände) darfst du im Semester bis zu 20 Stunden pro Woche arbeiten, in den Ferien Vollzeit: Bibliothek, Mensa, Labor, Assistenzstelle. Dafür brauchst du eine Sozialversicherungsnummer (Kapitel </w:t>
      </w:r>
      <w:hyperlink w:anchor="k24">
        <w:r w:rsidR="001F7233">
          <w:t>24</w:t>
        </w:r>
      </w:hyperlink>
      <w:r>
        <w:t>). Außerhalb des Campus ist Arbeit erst nach einem vollen akademischen Jahr und nur mit Genehmigung erlaubt; Lieferdienst, Freelance-Aufträge oder bezahlte Nachhilfe ohne Erlaubnis sind ein Statusverstoß.</w:t>
      </w:r>
    </w:p>
    <w:p w14:paraId="42598CD1" w14:textId="77777777" w:rsidR="001F7233" w:rsidRDefault="00000000">
      <w:pPr>
        <w:spacing w:after="140"/>
      </w:pPr>
      <w:r>
        <w:rPr>
          <w:i/>
          <w:iCs/>
        </w:rPr>
        <w:t xml:space="preserve">Die wichtigste Genehmigung während des Studiums ist Curricular Practical Training (CPT): ein Praktikum oder eine Stelle, die Teil deines Studiengangs ist. Dein DSO muss sie vor dem ersten Arbeitstag </w:t>
      </w:r>
      <w:r>
        <w:rPr>
          <w:i/>
          <w:iCs/>
        </w:rPr>
        <w:lastRenderedPageBreak/>
        <w:t>genehmigen und in SEVIS eintragen. Wer 12 Monate oder länger in Vollzeit-CPT arbeitet, verliert den Anspruch auf OPT.</w:t>
      </w:r>
    </w:p>
    <w:p w14:paraId="007C096B" w14:textId="77777777" w:rsidR="001F7233" w:rsidRDefault="00000000">
      <w:r>
        <w:rPr>
          <w:b/>
        </w:rPr>
        <w:t xml:space="preserve">ACHTUNG: </w:t>
      </w:r>
    </w:p>
    <w:p w14:paraId="3181F908" w14:textId="77777777" w:rsidR="001F7233" w:rsidRDefault="00000000">
      <w:r>
        <w:t>• Das SEVP hat am 12. und 24. August 2026 die Auslegung von CPT verengt: Das Praktikum muss verpflichtender Bestandteil des Studiengangs für alle Studierenden sein. Wahlfächer und optionale Praktika genügen nicht, frühere Genehmigungen begründen keinen Anspruch, Schulen haften für fehlerhafte Freigaben. Als Überbrückung nach OPT-Ende oder verlorener Lotterie taugt CPT damit nicht und die Leitlinie gilt unabhängig von der gestoppten Aufenthaltsregel weiter. Frage vor der Einschreibung schriftlich, ob das Praktikum im Programm verpflichtend ist.</w:t>
      </w:r>
    </w:p>
    <w:p w14:paraId="623B735C" w14:textId="77777777" w:rsidR="001F7233" w:rsidRDefault="001F7233">
      <w:pPr>
        <w:spacing w:line="220" w:lineRule="exact"/>
      </w:pPr>
    </w:p>
    <w:p w14:paraId="1DC572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OPT und STEM-OPT</w:t>
      </w:r>
    </w:p>
    <w:p w14:paraId="3AC23FF1" w14:textId="77777777" w:rsidR="001F7233" w:rsidRDefault="00000000">
      <w:pPr>
        <w:spacing w:after="140"/>
      </w:pPr>
      <w:r>
        <w:rPr>
          <w:i/>
          <w:iCs/>
        </w:rPr>
        <w:t>OPT ist das Herzstück des Studienwegs: eine Arbeitserlaubnis (Employment Authorization Document, EAD) für Arbeit in deinem Fachgebiet. Du beantragst sie mit Form I-765 bei USCIS, nachdem dein DSO die Empfehlung in SEVIS eingetragen hat. Arbeiten darfst du erst ab dem Startdatum auf der EAD-Karte.</w:t>
      </w:r>
    </w:p>
    <w:p w14:paraId="491BE3AE" w14:textId="77777777" w:rsidR="001F7233" w:rsidRDefault="00000000">
      <w:r>
        <w:rPr>
          <w:b/>
        </w:rPr>
        <w:t>Dauer</w:t>
      </w:r>
    </w:p>
    <w:p w14:paraId="4DFA6FF7" w14:textId="77777777" w:rsidR="001F7233" w:rsidRDefault="00000000">
      <w:r>
        <w:rPr>
          <w:b/>
        </w:rPr>
        <w:t xml:space="preserve">OPT: </w:t>
      </w:r>
      <w:r>
        <w:t>12 Monate je Abschlussniveau</w:t>
      </w:r>
    </w:p>
    <w:p w14:paraId="1BA623D6" w14:textId="77777777" w:rsidR="001F7233" w:rsidRDefault="00000000">
      <w:r>
        <w:rPr>
          <w:b/>
        </w:rPr>
        <w:t xml:space="preserve">STEM-OPT-Verlängerung: </w:t>
      </w:r>
      <w:r>
        <w:t>zusätzlich 24 Monate (insgesamt 36)</w:t>
      </w:r>
    </w:p>
    <w:p w14:paraId="4FB978B2" w14:textId="77777777" w:rsidR="001F7233" w:rsidRDefault="00000000">
      <w:r>
        <w:rPr>
          <w:b/>
        </w:rPr>
        <w:t>Antrag</w:t>
      </w:r>
    </w:p>
    <w:p w14:paraId="19582819" w14:textId="77777777" w:rsidR="001F7233" w:rsidRDefault="00000000">
      <w:r>
        <w:rPr>
          <w:b/>
        </w:rPr>
        <w:t xml:space="preserve">OPT: </w:t>
      </w:r>
      <w:r>
        <w:t>90 Tage vor bis 60 Tage nach Studienende</w:t>
      </w:r>
    </w:p>
    <w:p w14:paraId="6606FBFB" w14:textId="77777777" w:rsidR="001F7233" w:rsidRDefault="00000000">
      <w:r>
        <w:rPr>
          <w:b/>
        </w:rPr>
        <w:t xml:space="preserve">STEM-OPT-Verlängerung: </w:t>
      </w:r>
      <w:r>
        <w:t>bis 90 Tage vor Ablauf der EAD</w:t>
      </w:r>
    </w:p>
    <w:p w14:paraId="34FDAF2A" w14:textId="77777777" w:rsidR="001F7233" w:rsidRDefault="00000000">
      <w:r>
        <w:rPr>
          <w:b/>
        </w:rPr>
        <w:t>Bedingung</w:t>
      </w:r>
    </w:p>
    <w:p w14:paraId="0335B614" w14:textId="77777777" w:rsidR="001F7233" w:rsidRDefault="00000000">
      <w:r>
        <w:rPr>
          <w:b/>
        </w:rPr>
        <w:t xml:space="preserve">OPT: </w:t>
      </w:r>
      <w:r>
        <w:t>Stelle passt zum Fach, mind. 20 Std./Woche</w:t>
      </w:r>
    </w:p>
    <w:p w14:paraId="3E96CC3F" w14:textId="77777777" w:rsidR="001F7233" w:rsidRDefault="00000000">
      <w:r>
        <w:rPr>
          <w:b/>
        </w:rPr>
        <w:t xml:space="preserve">STEM-OPT-Verlängerung: </w:t>
      </w:r>
      <w:r>
        <w:t>STEM-Abschluss, E-Verify-Arbeitgeber, Ausbildungsplan</w:t>
      </w:r>
    </w:p>
    <w:p w14:paraId="3A266275" w14:textId="77777777" w:rsidR="001F7233" w:rsidRDefault="00000000">
      <w:r>
        <w:rPr>
          <w:b/>
        </w:rPr>
        <w:t>Arbeitslos höchstens</w:t>
      </w:r>
    </w:p>
    <w:p w14:paraId="6D9BFD9D" w14:textId="77777777" w:rsidR="001F7233" w:rsidRDefault="00000000">
      <w:r>
        <w:rPr>
          <w:b/>
        </w:rPr>
        <w:t xml:space="preserve">OPT: </w:t>
      </w:r>
      <w:r>
        <w:t>90 Tage</w:t>
      </w:r>
    </w:p>
    <w:p w14:paraId="145D6B72" w14:textId="77777777" w:rsidR="001F7233" w:rsidRDefault="00000000">
      <w:r>
        <w:rPr>
          <w:b/>
        </w:rPr>
        <w:t xml:space="preserve">STEM-OPT-Verlängerung: </w:t>
      </w:r>
      <w:r>
        <w:t>insgesamt 150 Tage</w:t>
      </w:r>
    </w:p>
    <w:p w14:paraId="5EEFAE2F" w14:textId="77777777" w:rsidR="001F7233" w:rsidRDefault="001F7233">
      <w:pPr>
        <w:spacing w:line="180" w:lineRule="exact"/>
      </w:pPr>
    </w:p>
    <w:p w14:paraId="2BFA1CA3" w14:textId="77777777" w:rsidR="001F7233" w:rsidRDefault="00000000">
      <w:pPr>
        <w:spacing w:after="140"/>
      </w:pPr>
      <w:r>
        <w:rPr>
          <w:i/>
          <w:iCs/>
        </w:rPr>
        <w:t>Nach der DSO-Empfehlung bleiben 30 Tage für den OPT-Antrag (STEM-OPT: 60 Tage). Form I-765 kostet 520 $ auf Papier und 470 $ online, Premium Processing 1.780 $. E-Verify ist das Online-System, mit dem Arbeitgeber die Arbeitsberechtigung prüfen. Nicht jeder nimmt teil, und ohne E-Verify gibt es keine STEM-OPT. Arbeitgeber und du erstellt zudem einen Ausbildungsplan (Form I-983); die Behörde kann den Arbeitsplatz besuchen. Bei rechtzeitigem STEM-Antrag darfst du bis zu 180 Tage über das EAD-Ende hinaus weiterarbeiten. Eine zweite STEM-OPT gibt es nur mit einem höheren STEM-Abschluss.</w:t>
      </w:r>
    </w:p>
    <w:p w14:paraId="352971B5" w14:textId="77777777" w:rsidR="001F7233" w:rsidRDefault="00000000">
      <w:r>
        <w:rPr>
          <w:b/>
        </w:rPr>
        <w:t xml:space="preserve">SPARTIPP: </w:t>
      </w:r>
    </w:p>
    <w:p w14:paraId="11FBF417" w14:textId="77777777" w:rsidR="001F7233" w:rsidRDefault="00000000">
      <w:r>
        <w:t>• Reiche den I-765 online ein: 470 statt 520 $ pro Antrag. Beantrage früh, ab 90 Tage vor Studienende – wer zu spät dran ist, zahlt für Premium Processing 1.780 $.</w:t>
      </w:r>
    </w:p>
    <w:p w14:paraId="09CFC6D6" w14:textId="77777777" w:rsidR="001F7233" w:rsidRDefault="001F7233">
      <w:pPr>
        <w:spacing w:line="220" w:lineRule="exact"/>
      </w:pPr>
    </w:p>
    <w:p w14:paraId="030BC73A" w14:textId="77777777" w:rsidR="001F7233" w:rsidRDefault="00000000">
      <w:r>
        <w:rPr>
          <w:b/>
        </w:rPr>
        <w:t xml:space="preserve">ACHTUNG: </w:t>
      </w:r>
    </w:p>
    <w:p w14:paraId="75E6BA7C" w14:textId="77777777" w:rsidR="001F7233" w:rsidRDefault="00000000">
      <w:r>
        <w:t>• Zähle deine Arbeitslosentage mit (90 bei OPT, insgesamt 150 mit STEM-OPT) und melde jeden Arbeitgeberwechsel binnen 10 Tagen deinem DSO, sonst kann dein SEVIS-Eintrag beendet werden und der Status ist verloren. Unerlaubte Arbeit gefährdet außerdem den späteren Statuswechsel.</w:t>
      </w:r>
    </w:p>
    <w:p w14:paraId="2F8D0CA7" w14:textId="77777777" w:rsidR="001F7233" w:rsidRDefault="001F7233">
      <w:pPr>
        <w:spacing w:line="220" w:lineRule="exact"/>
      </w:pPr>
    </w:p>
    <w:p w14:paraId="512B38E9" w14:textId="77777777" w:rsidR="001F7233" w:rsidRDefault="00000000">
      <w:pPr>
        <w:spacing w:after="140"/>
      </w:pPr>
      <w:r>
        <w:t>OPT beruht auf einer Verordnung, nicht auf einem Gesetz, und lässt sich per Regel ändern. Was eine Behörde per Federstrich gewährt, kann sie per Federstrich auch wieder einkassieren. Ein DHS-Entwurf zur Neufassung wird nicht vor Februar 2027 erwartet; eine Gebührenregel für OPT hat am 14. September 2026 die Prüfung im Weißen Haus bestanden, ihre Höhe ist unbekannt. Plane deshalb nicht blind mit 36 gesicherten Monaten.</w:t>
      </w:r>
    </w:p>
    <w:p w14:paraId="02331F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Statuswechsel: vom Studium zum H-1B</w:t>
      </w:r>
    </w:p>
    <w:p w14:paraId="7E3D2E30" w14:textId="77777777" w:rsidR="001F7233" w:rsidRDefault="00000000">
      <w:pPr>
        <w:spacing w:after="140"/>
      </w:pPr>
      <w:r>
        <w:t xml:space="preserve">Der entscheidende Moment kommt im März. Dein Arbeitgeber registriert dich für die H-1B-Lotterie (Fiskaljahr 2027, kurz FY2027: 4. bis 19. März 2026, 215 $ je Registrierung); das Ergebnis liegt bis Ende März vor. Bei Auswahl reicht er zwischen 1. April und 30. Juni die Petition (Form I-129) ein und beantragt den </w:t>
      </w:r>
      <w:r>
        <w:rPr>
          <w:i/>
          <w:iCs/>
        </w:rPr>
        <w:t>Change of Status</w:t>
      </w:r>
      <w:r>
        <w:t>: den Statuswechsel im Inland von F-1 zu H-1B, ohne Ausreise und ohne Konsulat. Der H-1B-Status beginnt frühestens am 1. Oktober (Verfahren im Detail: Kapitel </w:t>
      </w:r>
      <w:hyperlink w:anchor="k5">
        <w:r w:rsidR="001F7233">
          <w:t>5</w:t>
        </w:r>
      </w:hyperlink>
      <w:r>
        <w:t>).</w:t>
      </w:r>
    </w:p>
    <w:p w14:paraId="0C21F06A" w14:textId="77777777" w:rsidR="001F7233" w:rsidRDefault="00000000">
      <w:pPr>
        <w:spacing w:after="140"/>
      </w:pPr>
      <w:r>
        <w:rPr>
          <w:i/>
          <w:iCs/>
        </w:rPr>
        <w:t>Ein Problem: Dein OPT endet oft vor dem 1. Oktober. Die Cap-Gap-Regel überbrückt die Lücke – reicht dein Arbeitgeber rechtzeitig eine Cap-H-1B-Petition mit Startdatum 1. Oktober ein und ist dein F-1-Status oder OPT gültig, laufen Status und Arbeitserlaubnis bis zum 1. April des Folgejahres weiter (Regel seit 17. Januar 2025). Läuft deine EAD-Karte vor dem Ende des Einreichungsfensters ab, muss die Petition vor dem Ablaufdatum eingehen.</w:t>
      </w:r>
    </w:p>
    <w:p w14:paraId="0D10B833" w14:textId="77777777" w:rsidR="001F7233" w:rsidRDefault="00000000">
      <w:r>
        <w:rPr>
          <w:b/>
        </w:rPr>
        <w:t xml:space="preserve">ACHTUNG: </w:t>
      </w:r>
    </w:p>
    <w:p w14:paraId="55773E04" w14:textId="77777777" w:rsidR="001F7233" w:rsidRDefault="00000000">
      <w:r>
        <w:t>• Reise während des laufenden Statuswechsels oder der Cap-Gap-Zeit nur, wenn die Genehmigung schon vorliegt. Sonst gilt die Petition als aufgegeben und die Ausreise vor der Entscheidung kann die 100.000-$-Zahlung auslösen (derzeit gerichtlich blockiert). Kläre jede Reise vorher mit dem Anwalt des Arbeitgebers.</w:t>
      </w:r>
    </w:p>
    <w:p w14:paraId="5A92EFDA" w14:textId="77777777" w:rsidR="001F7233" w:rsidRDefault="001F7233">
      <w:pPr>
        <w:spacing w:line="220" w:lineRule="exact"/>
      </w:pPr>
    </w:p>
    <w:p w14:paraId="52085436" w14:textId="77777777" w:rsidR="001F7233" w:rsidRDefault="00000000">
      <w:pPr>
        <w:spacing w:after="140"/>
      </w:pPr>
      <w:r>
        <w:t>Zur 100.000-$-Zahlung: Proklamation 10973 vom 19. September 2025 erfasste bestimmte neue H-1B-Petitionen für Personen außerhalb der USA; Proklamation 11069 verlängerte sie am 18. September 2026 bis zum 21. September 2027. Die Behörden dürfen die Zahlung derzeit nicht durchsetzen. Der First Circuit lehnte am 24. Juli 2026 eine Aussetzung der Aufhebung im Verfahren California v. Mullin ab. Am 30. September 2026 untersagte ein Bundesgericht in Kalifornien den Behörden vorläufig, die Proklamation von 2025 und ihre Verlängerung umzusetzen oder durchzusetzen, bis das erforderliche Regelungsverfahren abgeschlossen ist. Eine vorgeschlagene DHS-Gebühr von 103.265 $ für H-1B-Cap-Petitionen ist davon getrennt; die Kommentierungsfrist endete am 24. September 2026. Der Vorschlag ist keine geltende Regel. Stand der Rechtslage: 30. September 2026.</w:t>
      </w:r>
    </w:p>
    <w:p w14:paraId="249389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Chancen in der Lotterie</w:t>
      </w:r>
    </w:p>
    <w:p w14:paraId="4B103884" w14:textId="77777777" w:rsidR="001F7233" w:rsidRDefault="00000000">
      <w:pPr>
        <w:spacing w:after="140"/>
      </w:pPr>
      <w:r>
        <w:rPr>
          <w:i/>
          <w:iCs/>
        </w:rPr>
        <w:t>Ein US-Masterabschluss eröffnet eine zusätzliche Auswahlmöglichkeit: Neben der regulären H-1B-Obergrenze gibt es bis zu 20.000 zusätzliche Plätze für geeignete Abschlüsse einer US-Hochschule. Seit FY 2027 ist auch diese Auswahl lohngewichtet. Eine Registrierung kann je nach Berechtigung in beiden Pools berücksichtigt werden. Die Auswahlwahrscheinlichkeit hängt von der Lohnstufe, der jeweiligen Poolgröße und der Zahl der Registrierungen ab. DHS schätzte vor Inkrafttreten der Regel modellabhängige Chancen von etwa 15 Prozent für Level I bis etwa 61 Prozent für Level IV. Diese Prognosen sind keine individuellen oder aktuellen Quoten.</w:t>
      </w:r>
    </w:p>
    <w:p w14:paraId="4855016F" w14:textId="77777777" w:rsidR="001F7233" w:rsidRDefault="00000000">
      <w:pPr>
        <w:spacing w:after="140"/>
      </w:pPr>
      <w:r>
        <w:t>USCIS meldete für FY 2027 211.600 gültige Registrierungen. Laut der Proklamation vom September 2026 entfielen unter den ausgewählten Registrierungen rund 46,3 Prozent auf die zwei höchsten Lohnstufen und 17,8 Prozent auf Level I. Das sind Anteile der Auswahl, keine individuelle Gewinnchance. Lass dir vom Arbeitgeber die gemeldete Lohnstufe und den verwendeten Arbeitsort bestätigen. Die Auswahl bleibt ein Zwischenschritt und keine Genehmigung.</w:t>
      </w:r>
    </w:p>
    <w:p w14:paraId="0024E5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Zeitleiste: Studium, OPT, H-1B, Green Card</w:t>
      </w:r>
    </w:p>
    <w:p w14:paraId="227ABD1C" w14:textId="77777777" w:rsidR="001F7233" w:rsidRDefault="00000000">
      <w:pPr>
        <w:spacing w:after="140"/>
      </w:pPr>
      <w:r>
        <w:t>Beispiel für einen Master-Abschluss im Mai 2028, abgeleitet aus den Fristen (kein festes Schema):</w:t>
      </w:r>
    </w:p>
    <w:p w14:paraId="59B5A93F" w14:textId="77777777" w:rsidR="001F7233" w:rsidRDefault="00000000">
      <w:r>
        <w:rPr>
          <w:b/>
        </w:rPr>
        <w:t>Zulassung, I-20, Visum</w:t>
      </w:r>
    </w:p>
    <w:p w14:paraId="292AC874" w14:textId="77777777" w:rsidR="001F7233" w:rsidRDefault="00000000">
      <w:r>
        <w:rPr>
          <w:b/>
        </w:rPr>
        <w:t xml:space="preserve">Zeitraum: </w:t>
      </w:r>
      <w:r>
        <w:t>2026, vor Studienstart</w:t>
      </w:r>
    </w:p>
    <w:p w14:paraId="6958D990" w14:textId="77777777" w:rsidR="001F7233" w:rsidRDefault="00000000">
      <w:r>
        <w:rPr>
          <w:b/>
        </w:rPr>
        <w:t xml:space="preserve">Status: </w:t>
      </w:r>
      <w:r>
        <w:t>F-1-Visum</w:t>
      </w:r>
    </w:p>
    <w:p w14:paraId="109F57D6" w14:textId="77777777" w:rsidR="001F7233" w:rsidRDefault="00000000">
      <w:r>
        <w:rPr>
          <w:b/>
        </w:rPr>
        <w:t xml:space="preserve">Wichtig: </w:t>
      </w:r>
      <w:r>
        <w:t>Finanznachweis, Interview</w:t>
      </w:r>
    </w:p>
    <w:p w14:paraId="4BF95D25" w14:textId="77777777" w:rsidR="001F7233" w:rsidRDefault="00000000">
      <w:r>
        <w:rPr>
          <w:b/>
        </w:rPr>
        <w:t>Master</w:t>
      </w:r>
    </w:p>
    <w:p w14:paraId="38773B52" w14:textId="77777777" w:rsidR="001F7233" w:rsidRDefault="00000000">
      <w:r>
        <w:rPr>
          <w:b/>
        </w:rPr>
        <w:t xml:space="preserve">Zeitraum: </w:t>
      </w:r>
      <w:r>
        <w:t>Aug. 2026 bis Mai 2028</w:t>
      </w:r>
    </w:p>
    <w:p w14:paraId="512B7B53" w14:textId="77777777" w:rsidR="001F7233" w:rsidRDefault="00000000">
      <w:r>
        <w:rPr>
          <w:b/>
        </w:rPr>
        <w:t xml:space="preserve">Status: </w:t>
      </w:r>
      <w:r>
        <w:t>F-1</w:t>
      </w:r>
    </w:p>
    <w:p w14:paraId="0C270462" w14:textId="77777777" w:rsidR="001F7233" w:rsidRDefault="00000000">
      <w:r>
        <w:rPr>
          <w:b/>
        </w:rPr>
        <w:t xml:space="preserve">Wichtig: </w:t>
      </w:r>
      <w:r>
        <w:t>On-campus, CPT nach DSO-Freigabe</w:t>
      </w:r>
    </w:p>
    <w:p w14:paraId="4FDFE649" w14:textId="77777777" w:rsidR="001F7233" w:rsidRDefault="00000000">
      <w:r>
        <w:rPr>
          <w:b/>
        </w:rPr>
        <w:t>OPT</w:t>
      </w:r>
    </w:p>
    <w:p w14:paraId="5B9271AF" w14:textId="77777777" w:rsidR="001F7233" w:rsidRDefault="00000000">
      <w:r>
        <w:rPr>
          <w:b/>
        </w:rPr>
        <w:t xml:space="preserve">Zeitraum: </w:t>
      </w:r>
      <w:r>
        <w:t>Juni 2028 bis Mai 2029</w:t>
      </w:r>
    </w:p>
    <w:p w14:paraId="1C202762" w14:textId="77777777" w:rsidR="001F7233" w:rsidRDefault="00000000">
      <w:r>
        <w:rPr>
          <w:b/>
        </w:rPr>
        <w:t xml:space="preserve">Status: </w:t>
      </w:r>
      <w:r>
        <w:t>F-1 mit EAD</w:t>
      </w:r>
    </w:p>
    <w:p w14:paraId="1893A828" w14:textId="77777777" w:rsidR="001F7233" w:rsidRDefault="00000000">
      <w:r>
        <w:rPr>
          <w:b/>
        </w:rPr>
        <w:t xml:space="preserve">Wichtig: </w:t>
      </w:r>
      <w:r>
        <w:t>höchstens 90 Tage arbeitslos</w:t>
      </w:r>
    </w:p>
    <w:p w14:paraId="73A6B9EE" w14:textId="77777777" w:rsidR="001F7233" w:rsidRDefault="00000000">
      <w:r>
        <w:rPr>
          <w:b/>
        </w:rPr>
        <w:t>STEM-OPT</w:t>
      </w:r>
    </w:p>
    <w:p w14:paraId="5E37D087" w14:textId="77777777" w:rsidR="001F7233" w:rsidRDefault="00000000">
      <w:r>
        <w:rPr>
          <w:b/>
        </w:rPr>
        <w:t xml:space="preserve">Zeitraum: </w:t>
      </w:r>
      <w:r>
        <w:t>Juni 2029 bis Mai 2031</w:t>
      </w:r>
    </w:p>
    <w:p w14:paraId="1E47A8A1" w14:textId="77777777" w:rsidR="001F7233" w:rsidRDefault="00000000">
      <w:r>
        <w:rPr>
          <w:b/>
        </w:rPr>
        <w:t xml:space="preserve">Status: </w:t>
      </w:r>
      <w:r>
        <w:t>F-1 mit STEM-EAD</w:t>
      </w:r>
    </w:p>
    <w:p w14:paraId="3E1CFD4F" w14:textId="77777777" w:rsidR="001F7233" w:rsidRDefault="00000000">
      <w:r>
        <w:rPr>
          <w:b/>
        </w:rPr>
        <w:t xml:space="preserve">Wichtig: </w:t>
      </w:r>
      <w:r>
        <w:t>E-Verify, Form I-983</w:t>
      </w:r>
    </w:p>
    <w:p w14:paraId="792E8AD9" w14:textId="77777777" w:rsidR="001F7233" w:rsidRDefault="00000000">
      <w:r>
        <w:rPr>
          <w:b/>
        </w:rPr>
        <w:t>H-1B-Lotterien</w:t>
      </w:r>
    </w:p>
    <w:p w14:paraId="0991AE28" w14:textId="77777777" w:rsidR="001F7233" w:rsidRDefault="00000000">
      <w:r>
        <w:rPr>
          <w:b/>
        </w:rPr>
        <w:t xml:space="preserve">Zeitraum: </w:t>
      </w:r>
      <w:r>
        <w:t>März 2028, 2029, 2030, mit Cap-Gap 2031</w:t>
      </w:r>
    </w:p>
    <w:p w14:paraId="34D2E9CE" w14:textId="77777777" w:rsidR="001F7233" w:rsidRDefault="00000000">
      <w:r>
        <w:rPr>
          <w:b/>
        </w:rPr>
        <w:t xml:space="preserve">Status: </w:t>
      </w:r>
      <w:r>
        <w:t>–</w:t>
      </w:r>
    </w:p>
    <w:p w14:paraId="1A60634C" w14:textId="77777777" w:rsidR="001F7233" w:rsidRDefault="00000000">
      <w:r>
        <w:rPr>
          <w:b/>
        </w:rPr>
        <w:t xml:space="preserve">Wichtig: </w:t>
      </w:r>
      <w:r>
        <w:t>drei bis vier Versuche</w:t>
      </w:r>
    </w:p>
    <w:p w14:paraId="7ECE1DD1" w14:textId="77777777" w:rsidR="001F7233" w:rsidRDefault="00000000">
      <w:r>
        <w:rPr>
          <w:b/>
        </w:rPr>
        <w:t>H-1B</w:t>
      </w:r>
    </w:p>
    <w:p w14:paraId="445AD881" w14:textId="77777777" w:rsidR="001F7233" w:rsidRDefault="00000000">
      <w:r>
        <w:rPr>
          <w:b/>
        </w:rPr>
        <w:t xml:space="preserve">Zeitraum: </w:t>
      </w:r>
      <w:r>
        <w:t>ab 1. Oktober nach Gewinn</w:t>
      </w:r>
    </w:p>
    <w:p w14:paraId="6C30B72F" w14:textId="77777777" w:rsidR="001F7233" w:rsidRDefault="00000000">
      <w:r>
        <w:rPr>
          <w:b/>
        </w:rPr>
        <w:t xml:space="preserve">Wichtig: </w:t>
      </w:r>
      <w:r>
        <w:t>3 + 3 Jahre, Dual Intent</w:t>
      </w:r>
    </w:p>
    <w:p w14:paraId="23F07C9D" w14:textId="77777777" w:rsidR="001F7233" w:rsidRDefault="00000000">
      <w:r>
        <w:rPr>
          <w:b/>
        </w:rPr>
        <w:t>Green Card</w:t>
      </w:r>
    </w:p>
    <w:p w14:paraId="5BE9544C" w14:textId="77777777" w:rsidR="001F7233" w:rsidRDefault="00000000">
      <w:r>
        <w:rPr>
          <w:b/>
        </w:rPr>
        <w:t xml:space="preserve">Zeitraum: </w:t>
      </w:r>
      <w:r>
        <w:t>früh im H-1B starten</w:t>
      </w:r>
    </w:p>
    <w:p w14:paraId="2153C978" w14:textId="77777777" w:rsidR="001F7233" w:rsidRDefault="00000000">
      <w:r>
        <w:rPr>
          <w:b/>
        </w:rPr>
        <w:t xml:space="preserve">Wichtig: </w:t>
      </w:r>
      <w:r>
        <w:t>PERM, I-140, I-485 (</w:t>
      </w:r>
      <w:hyperlink w:anchor="k6">
        <w:r w:rsidR="001F7233">
          <w:rPr>
            <w:rStyle w:val="Hyperlink"/>
          </w:rPr>
          <w:t>Kapitel 6</w:t>
        </w:r>
      </w:hyperlink>
      <w:r>
        <w:t>, 7)</w:t>
      </w:r>
    </w:p>
    <w:p w14:paraId="2664BC9D" w14:textId="77777777" w:rsidR="001F7233" w:rsidRDefault="001F7233">
      <w:pPr>
        <w:spacing w:line="180" w:lineRule="exact"/>
      </w:pPr>
    </w:p>
    <w:p w14:paraId="01A49979" w14:textId="77777777" w:rsidR="001F7233" w:rsidRDefault="00000000">
      <w:pPr>
        <w:spacing w:after="140"/>
      </w:pPr>
      <w:r>
        <w:lastRenderedPageBreak/>
        <w:t>Voraussetzung für die späteren Versuche ist ein STEM-OPT-fähiger Job bei einem E-Verify-Arbeitgeber.</w:t>
      </w:r>
    </w:p>
    <w:p w14:paraId="22A060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das Dual-Intent-Problem</w:t>
      </w:r>
    </w:p>
    <w:p w14:paraId="7DA48711" w14:textId="77777777" w:rsidR="001F7233" w:rsidRDefault="00000000">
      <w:pPr>
        <w:spacing w:after="140"/>
      </w:pPr>
      <w:r>
        <w:t>Verbreiteter Irrtum: Ein US-Studium sei bereits der erste Schritt zur Einwanderung, quasi Green Card auf Raten. Tatsächlich gilt rechtlich eher das Gegenteil: Das Einwanderungsgesetz (</w:t>
      </w:r>
      <w:r>
        <w:rPr>
          <w:i/>
          <w:iCs/>
        </w:rPr>
        <w:t>INA 214(b)</w:t>
      </w:r>
      <w:r>
        <w:t>) unterstellt jedem Nichteinwanderer zunächst die Absicht, dauerhaft zu bleiben, und verlangt von den meisten den Nachweis, dass genau das nicht stimmt. Ausgenommen von dieser Vermutung sind nur L, V und H-1B; F, E und O gehören nicht dazu. Deshalb musst du beim F-1-Interview die Rückkehrabsicht belegen, während H-1B-Inhaber offen eine Green Card anstreben dürfen. Ein Plan, der erst später entsteht, ist rechtlich nicht per se schädlich; wie streng die Behörden eine schon früh gefasste Absicht (</w:t>
      </w:r>
      <w:r>
        <w:rPr>
          <w:i/>
          <w:iCs/>
        </w:rPr>
        <w:t>Preconceived Intent</w:t>
      </w:r>
      <w:r>
        <w:t>) bewerten, ist Einzelfall und gehört in die Hände einer Kanzlei. Die übliche Route: F-1, OPT, H-1B, dann PERM und I-140 über den Arbeitgeber (Kapitel </w:t>
      </w:r>
      <w:hyperlink w:anchor="k6">
        <w:r w:rsidR="001F7233">
          <w:t>6</w:t>
        </w:r>
      </w:hyperlink>
      <w:r>
        <w:t xml:space="preserve"> und </w:t>
      </w:r>
      <w:hyperlink w:anchor="k7">
        <w:r w:rsidR="001F7233">
          <w:t>7</w:t>
        </w:r>
      </w:hyperlink>
      <w:r>
        <w:t>).</w:t>
      </w:r>
    </w:p>
    <w:p w14:paraId="2BDE82F6" w14:textId="77777777" w:rsidR="001F7233" w:rsidRDefault="00000000">
      <w:r>
        <w:rPr>
          <w:b/>
        </w:rPr>
        <w:t xml:space="preserve">MERKE: </w:t>
      </w:r>
    </w:p>
    <w:p w14:paraId="1252E944" w14:textId="77777777" w:rsidR="001F7233" w:rsidRDefault="00000000">
      <w:r>
        <w:t>• Der Studienweg kauft dir Zeit und Lotterie-Chancen, aber kein Aufenthaltsrecht. Erst mit dem H-1B-Status ist eine Green-Card-Absicht offen erlaubt.</w:t>
      </w:r>
    </w:p>
    <w:p w14:paraId="11CB9DA3" w14:textId="77777777" w:rsidR="001F7233" w:rsidRDefault="001F7233">
      <w:pPr>
        <w:spacing w:line="220" w:lineRule="exact"/>
      </w:pPr>
    </w:p>
    <w:p w14:paraId="4B6B38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Plan B: Wenn die Lotterie nicht klappt</w:t>
      </w:r>
    </w:p>
    <w:p w14:paraId="6B532424" w14:textId="77777777" w:rsidR="001F7233" w:rsidRDefault="00000000">
      <w:pPr>
        <w:spacing w:after="140"/>
      </w:pPr>
      <w:r>
        <w:t>Rechne von Anfang an damit, dass du mehrmals nicht gezogen wirst. Diese Wege bleiben:</w:t>
      </w:r>
    </w:p>
    <w:p w14:paraId="6F9E60DA" w14:textId="77777777" w:rsidR="001F7233" w:rsidRDefault="00000000">
      <w:pPr>
        <w:pStyle w:val="ListParagraph"/>
        <w:numPr>
          <w:ilvl w:val="0"/>
          <w:numId w:val="1"/>
        </w:numPr>
        <w:spacing w:after="60"/>
      </w:pPr>
      <w:r>
        <w:rPr>
          <w:b/>
          <w:bCs/>
        </w:rPr>
        <w:t>Weitere Versuche:</w:t>
      </w:r>
      <w:r>
        <w:t xml:space="preserve"> OPT und STEM-OPT geben dir drei, mit Cap-Gap vier Registrierungen, sofern du einen passenden Job bei einem E-Verify-Arbeitgeber hast.</w:t>
      </w:r>
    </w:p>
    <w:p w14:paraId="29F67B11" w14:textId="77777777" w:rsidR="001F7233" w:rsidRDefault="00000000">
      <w:pPr>
        <w:pStyle w:val="ListParagraph"/>
        <w:numPr>
          <w:ilvl w:val="0"/>
          <w:numId w:val="1"/>
        </w:numPr>
        <w:spacing w:after="60"/>
      </w:pPr>
      <w:r>
        <w:rPr>
          <w:b/>
          <w:bCs/>
        </w:rPr>
        <w:lastRenderedPageBreak/>
        <w:t>Cap-exempt-H-1B:</w:t>
      </w:r>
      <w:r>
        <w:t xml:space="preserve"> Hochschulen, verbundene gemeinnützige Einrichtungen und Forschungsinstitute unterliegen keiner Quote; die Einreichung ist ganzjährig möglich (Kapitel </w:t>
      </w:r>
      <w:hyperlink w:anchor="k5">
        <w:r w:rsidR="001F7233">
          <w:t>5</w:t>
        </w:r>
      </w:hyperlink>
      <w:r>
        <w:t>).</w:t>
      </w:r>
    </w:p>
    <w:p w14:paraId="6FDBF5FE" w14:textId="77777777" w:rsidR="001F7233" w:rsidRDefault="00000000">
      <w:pPr>
        <w:pStyle w:val="ListParagraph"/>
        <w:numPr>
          <w:ilvl w:val="0"/>
          <w:numId w:val="1"/>
        </w:numPr>
        <w:spacing w:after="60"/>
      </w:pPr>
      <w:r>
        <w:rPr>
          <w:b/>
          <w:bCs/>
        </w:rPr>
        <w:t>O-1:</w:t>
      </w:r>
      <w:r>
        <w:t xml:space="preserve"> für außergewöhnliche Leistungen, belegt über mindestens drei von acht Kriterien (Kapitel </w:t>
      </w:r>
      <w:hyperlink w:anchor="k9">
        <w:r w:rsidR="001F7233">
          <w:t>9</w:t>
        </w:r>
      </w:hyperlink>
      <w:r>
        <w:t>).</w:t>
      </w:r>
    </w:p>
    <w:p w14:paraId="647901AA" w14:textId="77777777" w:rsidR="001F7233" w:rsidRDefault="00000000">
      <w:pPr>
        <w:pStyle w:val="ListParagraph"/>
        <w:numPr>
          <w:ilvl w:val="0"/>
          <w:numId w:val="1"/>
        </w:numPr>
        <w:spacing w:after="60"/>
      </w:pPr>
      <w:r>
        <w:rPr>
          <w:b/>
          <w:bCs/>
        </w:rPr>
        <w:t>L-1:</w:t>
      </w:r>
      <w:r>
        <w:t xml:space="preserve"> nach mindestens einem Jahr bei einem verbundenen Konzernunternehmen im Ausland; Zeit in den USA zählt dafür nicht (Kapitel </w:t>
      </w:r>
      <w:hyperlink w:anchor="k9">
        <w:r w:rsidR="001F7233">
          <w:t>9</w:t>
        </w:r>
      </w:hyperlink>
      <w:r>
        <w:t>).</w:t>
      </w:r>
    </w:p>
    <w:p w14:paraId="1141C248" w14:textId="77777777" w:rsidR="001F7233" w:rsidRDefault="00000000">
      <w:pPr>
        <w:pStyle w:val="ListParagraph"/>
        <w:numPr>
          <w:ilvl w:val="0"/>
          <w:numId w:val="1"/>
        </w:numPr>
        <w:spacing w:after="60"/>
      </w:pPr>
      <w:r>
        <w:rPr>
          <w:b/>
          <w:bCs/>
        </w:rPr>
        <w:t>E-2:</w:t>
      </w:r>
      <w:r>
        <w:t xml:space="preserve"> für Gründerinnen und Gründer mit eigener Investition; Deutschland ist Vertragsstaat (Kapitel </w:t>
      </w:r>
      <w:hyperlink w:anchor="k9">
        <w:r w:rsidR="001F7233">
          <w:t>9</w:t>
        </w:r>
      </w:hyperlink>
      <w:r>
        <w:t>).</w:t>
      </w:r>
    </w:p>
    <w:p w14:paraId="22C710BC" w14:textId="77777777" w:rsidR="001F7233" w:rsidRDefault="00000000">
      <w:pPr>
        <w:pStyle w:val="ListParagraph"/>
        <w:numPr>
          <w:ilvl w:val="0"/>
          <w:numId w:val="1"/>
        </w:numPr>
        <w:spacing w:after="60"/>
      </w:pPr>
      <w:r>
        <w:rPr>
          <w:b/>
          <w:bCs/>
        </w:rPr>
        <w:t>Green Card direkt:</w:t>
      </w:r>
      <w:r>
        <w:t xml:space="preserve"> Für Hochqualifizierte kommt ein </w:t>
      </w:r>
      <w:r>
        <w:rPr>
          <w:i/>
          <w:iCs/>
        </w:rPr>
        <w:t>National Interest Waiver</w:t>
      </w:r>
      <w:r>
        <w:t xml:space="preserve"> infrage (Kapitel </w:t>
      </w:r>
      <w:hyperlink w:anchor="k6">
        <w:r w:rsidR="001F7233">
          <w:t>6</w:t>
        </w:r>
      </w:hyperlink>
      <w:r>
        <w:t>).</w:t>
      </w:r>
    </w:p>
    <w:p w14:paraId="49D9C833" w14:textId="77777777" w:rsidR="001F7233" w:rsidRDefault="00000000">
      <w:pPr>
        <w:pStyle w:val="ListParagraph"/>
        <w:numPr>
          <w:ilvl w:val="0"/>
          <w:numId w:val="1"/>
        </w:numPr>
        <w:spacing w:after="60"/>
      </w:pPr>
      <w:r>
        <w:rPr>
          <w:b/>
          <w:bCs/>
        </w:rPr>
        <w:t>Weiterer Abschluss:</w:t>
      </w:r>
      <w:r>
        <w:t xml:space="preserve"> Er bringt neues OPT, kostet aber erneut Zeit und Geld.</w:t>
      </w:r>
    </w:p>
    <w:p w14:paraId="42E22671" w14:textId="77777777" w:rsidR="001F7233" w:rsidRDefault="00000000">
      <w:pPr>
        <w:pStyle w:val="ListParagraph"/>
        <w:numPr>
          <w:ilvl w:val="0"/>
          <w:numId w:val="1"/>
        </w:numPr>
        <w:spacing w:after="60"/>
      </w:pPr>
      <w:r>
        <w:rPr>
          <w:b/>
          <w:bCs/>
        </w:rPr>
        <w:t>Rückkehr:</w:t>
      </w:r>
      <w:r>
        <w:t xml:space="preserve"> Ein US-Abschluss und Berufserfahrung zählen auch in Deutschland (Kapitel </w:t>
      </w:r>
      <w:hyperlink w:anchor="k42">
        <w:r w:rsidR="001F7233">
          <w:t>42</w:t>
        </w:r>
      </w:hyperlink>
      <w:r>
        <w:t>).</w:t>
      </w:r>
    </w:p>
    <w:p w14:paraId="78E995B0" w14:textId="77777777" w:rsidR="001F7233" w:rsidRDefault="001F7233">
      <w:pPr>
        <w:spacing w:line="120" w:lineRule="exact"/>
      </w:pPr>
    </w:p>
    <w:p w14:paraId="34207C92" w14:textId="77777777" w:rsidR="001F7233" w:rsidRDefault="00000000">
      <w:pPr>
        <w:spacing w:after="140"/>
      </w:pPr>
      <w:r>
        <w:t>Nach dem Ende von OPT oder STEM-OPT bleiben dir 60 Tage zur Ausreise, wenn du nicht in einen anderen Status wechselst. Lege Plan B deshalb vor dem letzten OPT-Jahr fest, nicht danach.</w:t>
      </w:r>
    </w:p>
    <w:p w14:paraId="5D57BB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Partner und Kinder mit F-2</w:t>
      </w:r>
    </w:p>
    <w:p w14:paraId="09CC0A8E" w14:textId="77777777" w:rsidR="001F7233" w:rsidRDefault="00000000">
      <w:pPr>
        <w:spacing w:after="140"/>
      </w:pPr>
      <w:r>
        <w:t>Ehepartner und Kinder unter 21 reisen mit F-2. Der Partner darf nicht arbeiten und nur ein Freizeitstudium in Teilzeit aufnehmen; der Wechsel in einen eigenen F-1-Status geht per Form I-539 (470 $ auf Papier, 420 $ online). Kinder dürfen Vollzeit zur Schule (Kapitel </w:t>
      </w:r>
      <w:hyperlink w:anchor="k36">
        <w:r w:rsidR="001F7233">
          <w:t>36</w:t>
        </w:r>
      </w:hyperlink>
      <w:r>
        <w:t>). Rechne den Finanznachweis mit: Die I-20 der Boston University verlangt für einen Angehörigen 12.563 $ zusätzlich, für zwei 22.735 $. Nach dem Statuswechsel erhält der Partner H-4, mit Arbeitserlaubnis nur unter besonderen Bedingungen (Kapitel </w:t>
      </w:r>
      <w:hyperlink w:anchor="k10">
        <w:r w:rsidR="001F7233">
          <w:t>10</w:t>
        </w:r>
      </w:hyperlink>
      <w:r>
        <w:t>).</w:t>
      </w:r>
    </w:p>
    <w:p w14:paraId="73BD98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Krankenversicherung an der Uni</w:t>
      </w:r>
    </w:p>
    <w:p w14:paraId="4B9887FC" w14:textId="77777777" w:rsidR="001F7233" w:rsidRDefault="00000000">
      <w:pPr>
        <w:spacing w:after="140"/>
      </w:pPr>
      <w:r>
        <w:t>Eine bundesweite Pflicht für F-1-Studierende gibt es nicht, aber fast jede Hochschule verlangt einen Nachweis oder bucht ihren eigenen Plan automatisch. Ein Verzicht (</w:t>
      </w:r>
      <w:r>
        <w:rPr>
          <w:i/>
          <w:iCs/>
        </w:rPr>
        <w:t>Waiver</w:t>
      </w:r>
      <w:r>
        <w:t>) klappt nur mit gleichwertigem Schutz, an manchen Hochschulen nur mit einer US-Police. Die Jahresbeiträge 2026/27 reichen von etwa 1.800 $ (Purdue Fort Wayne) über 2.759 $ (American University) und 3.418 $ (Roger Williams University) bis 3.715 $ (Boston University). Ob deine deutsche Auslandsversicherung zählt, klärst du vor dem Kauf mit dem International Office (Kapitel </w:t>
      </w:r>
      <w:hyperlink w:anchor="k18">
        <w:r w:rsidR="001F7233">
          <w:t>18</w:t>
        </w:r>
      </w:hyperlink>
      <w:r>
        <w:t>); wie es mit Arbeitgeberversicherung und Alternativen weitergeht, steht in Kapitel </w:t>
      </w:r>
      <w:hyperlink w:anchor="k26">
        <w:r w:rsidR="001F7233">
          <w:t>26</w:t>
        </w:r>
      </w:hyperlink>
      <w:r>
        <w:t>.</w:t>
      </w:r>
    </w:p>
    <w:p w14:paraId="35A5B0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als F-1</w:t>
      </w:r>
    </w:p>
    <w:p w14:paraId="307BA127" w14:textId="77777777" w:rsidR="001F7233" w:rsidRDefault="00000000">
      <w:pPr>
        <w:spacing w:after="140"/>
      </w:pPr>
      <w:r>
        <w:rPr>
          <w:i/>
          <w:iCs/>
        </w:rPr>
        <w:t>Als F-1-Studierender bist du steuerlich zunächst Nichtresident: Fünf Kalenderjahre lang zählen deine Tage nicht für den Substantial Presence Test (den Aufenthaltstest des IRS), wobei auch ein angefangenes Jahr als volles zählt. Für erlaubte Arbeit, auch OPT und CPT, bist du in dieser Zeit von Sozialversicherungs- und Medicare-Beiträgen (FICA) befreit. Fälschlich abgezogen, holst du sie mit Form 8316 zurück. Im Beispiel der Zeitleiste (Einreise 2026) endet die Befreiung mit dem Jahr 2030, also noch während STEM-OPT.</w:t>
      </w:r>
    </w:p>
    <w:p w14:paraId="11E22D5D" w14:textId="77777777" w:rsidR="001F7233" w:rsidRDefault="00000000">
      <w:pPr>
        <w:spacing w:after="140"/>
      </w:pPr>
      <w:r>
        <w:t>Die Form 8843 gibst du jedes Jahr ab, auch ohne Einkommen; für Stipendien und Assistentengehalt nutzt du Form 1040-NR. Das Steuerabkommen Deutschland–USA (Art. 20) hilft: Zahlungen aus dem Ausland für Unterhalt und Ausbildung sind steuerfrei, ebenso Arbeitseinkommen bis 9.000 $ pro Jahr, solange der Aufenthalt höchstens vier Jahre dauert. Wird die Frist überschritten, kann der gesamte Aufenthalt besteuert werden (Kapitel </w:t>
      </w:r>
      <w:hyperlink w:anchor="k28">
        <w:r w:rsidR="001F7233">
          <w:t>28</w:t>
        </w:r>
      </w:hyperlink>
      <w:r>
        <w:t>, deutsche Seite: Kapitel </w:t>
      </w:r>
      <w:hyperlink w:anchor="k17">
        <w:r w:rsidR="001F7233">
          <w:t>17</w:t>
        </w:r>
      </w:hyperlink>
      <w:r>
        <w:t>).</w:t>
      </w:r>
    </w:p>
    <w:p w14:paraId="2CF2F4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Risiken und Änderungen 2025/26</w:t>
      </w:r>
    </w:p>
    <w:p w14:paraId="7F90D5D9" w14:textId="77777777" w:rsidR="001F7233" w:rsidRDefault="00000000">
      <w:pPr>
        <w:spacing w:after="140"/>
      </w:pPr>
      <w:r>
        <w:t>Bisher erhalten F-1-Studierende einen Aufenthalt „für die Dauer des Status“ (</w:t>
      </w:r>
      <w:r>
        <w:rPr>
          <w:i/>
          <w:iCs/>
        </w:rPr>
        <w:t>Duration of Status</w:t>
      </w:r>
      <w:r>
        <w:t>), also ohne festes Enddatum im I-94. Das Heimatschutzministerium (DHS) wollte das ändern, das Gericht hat es vorerst verhindert. Der Überblick (Stand 20. September 2026):</w:t>
      </w:r>
    </w:p>
    <w:p w14:paraId="7268D22D" w14:textId="77777777" w:rsidR="001F7233" w:rsidRDefault="00000000">
      <w:r>
        <w:rPr>
          <w:b/>
        </w:rPr>
        <w:t>SEVIS-Kündigungen</w:t>
      </w:r>
    </w:p>
    <w:p w14:paraId="3A53FB5D" w14:textId="77777777" w:rsidR="001F7233" w:rsidRDefault="00000000">
      <w:r>
        <w:rPr>
          <w:b/>
        </w:rPr>
        <w:t xml:space="preserve">Stand: </w:t>
      </w:r>
      <w:r>
        <w:t>Im April 2025 wurden mehrere tausend Einträge beendet, teils wiederhergestellt; über 100 Klagen, Streit offen</w:t>
      </w:r>
    </w:p>
    <w:p w14:paraId="42DEF1BB" w14:textId="77777777" w:rsidR="001F7233" w:rsidRDefault="00000000">
      <w:r>
        <w:rPr>
          <w:b/>
        </w:rPr>
        <w:t xml:space="preserve">Was du tun kannst: </w:t>
      </w:r>
      <w:r>
        <w:t>Status sauber halten, I-20, I-94 und Belege aufbewahren</w:t>
      </w:r>
    </w:p>
    <w:p w14:paraId="7DEC6FB1" w14:textId="77777777" w:rsidR="001F7233" w:rsidRDefault="00000000">
      <w:r>
        <w:rPr>
          <w:b/>
        </w:rPr>
        <w:t>Social-Media-Prüfung</w:t>
      </w:r>
    </w:p>
    <w:p w14:paraId="7285D48E" w14:textId="77777777" w:rsidR="001F7233" w:rsidRDefault="00000000">
      <w:r>
        <w:rPr>
          <w:b/>
        </w:rPr>
        <w:t xml:space="preserve">Stand: </w:t>
      </w:r>
      <w:r>
        <w:t>Seit 18. Juni 2025 für F/M/J, seit 15. Dezember 2025 auch für H-1B/H-4</w:t>
      </w:r>
    </w:p>
    <w:p w14:paraId="13384426" w14:textId="77777777" w:rsidR="001F7233" w:rsidRDefault="00000000">
      <w:r>
        <w:rPr>
          <w:b/>
        </w:rPr>
        <w:t xml:space="preserve">Was du tun kannst: </w:t>
      </w:r>
      <w:r>
        <w:t>Profile öffentlich stellen, alles angeben</w:t>
      </w:r>
    </w:p>
    <w:p w14:paraId="709B2351" w14:textId="77777777" w:rsidR="001F7233" w:rsidRDefault="00000000">
      <w:r>
        <w:rPr>
          <w:b/>
        </w:rPr>
        <w:t>Feste Aufenthaltsdauer</w:t>
      </w:r>
    </w:p>
    <w:p w14:paraId="0AA6DF81" w14:textId="77777777" w:rsidR="001F7233" w:rsidRDefault="00000000">
      <w:r>
        <w:rPr>
          <w:b/>
        </w:rPr>
        <w:t xml:space="preserve">Stand: </w:t>
      </w:r>
      <w:r>
        <w:t>DHS-Regel vom 17. Juli 2026 (höchstens 4 Jahre, Verlängerung per I-539) am 14. September 2026 gerichtlich gestoppt; Berufung erwartet</w:t>
      </w:r>
    </w:p>
    <w:p w14:paraId="3ED8FBC1" w14:textId="77777777" w:rsidR="001F7233" w:rsidRDefault="00000000">
      <w:r>
        <w:rPr>
          <w:b/>
        </w:rPr>
        <w:t xml:space="preserve">Was du tun kannst: </w:t>
      </w:r>
      <w:r>
        <w:t>I-20-Ende und Hinweise des DSO im Blick behalten</w:t>
      </w:r>
    </w:p>
    <w:p w14:paraId="253EF52E" w14:textId="77777777" w:rsidR="001F7233" w:rsidRDefault="00000000">
      <w:r>
        <w:rPr>
          <w:b/>
        </w:rPr>
        <w:t>CPT und OPT</w:t>
      </w:r>
    </w:p>
    <w:p w14:paraId="7B50A5EC" w14:textId="77777777" w:rsidR="001F7233" w:rsidRDefault="00000000">
      <w:r>
        <w:rPr>
          <w:b/>
        </w:rPr>
        <w:t xml:space="preserve">Stand: </w:t>
      </w:r>
      <w:r>
        <w:t>CPT-Leitlinie vom August 2026; OPT-Neufassung frühestens Februar 2027, Gebührenregel offen</w:t>
      </w:r>
    </w:p>
    <w:p w14:paraId="5FFA421F" w14:textId="77777777" w:rsidR="001F7233" w:rsidRDefault="00000000">
      <w:r>
        <w:rPr>
          <w:b/>
        </w:rPr>
        <w:t xml:space="preserve">Was du tun kannst: </w:t>
      </w:r>
      <w:r>
        <w:t>Job früh suchen, Plan B parallel</w:t>
      </w:r>
    </w:p>
    <w:p w14:paraId="1EC794FA" w14:textId="77777777" w:rsidR="001F7233" w:rsidRDefault="00000000">
      <w:r>
        <w:rPr>
          <w:b/>
        </w:rPr>
        <w:t>Markt und Einreise</w:t>
      </w:r>
    </w:p>
    <w:p w14:paraId="69AAFC01" w14:textId="77777777" w:rsidR="001F7233" w:rsidRDefault="00000000">
      <w:r>
        <w:rPr>
          <w:b/>
        </w:rPr>
        <w:t>Stand: Neueinschreibungen Herbst 2025: −17 %; Prognose Herbst 2026: −6,2 bis −9,6 %. Einreisestopp für 39 Länder seit Dezember 2025, Deutschland nach bisherigem Stand nicht betroffen.</w:t>
      </w:r>
    </w:p>
    <w:p w14:paraId="5F92B39D" w14:textId="77777777" w:rsidR="001F7233" w:rsidRDefault="00000000">
      <w:r>
        <w:rPr>
          <w:b/>
        </w:rPr>
        <w:t xml:space="preserve">Was du tun kannst: </w:t>
      </w:r>
      <w:r>
        <w:t>Länderliste vor jeder Reise prüfen</w:t>
      </w:r>
    </w:p>
    <w:p w14:paraId="1A01748A" w14:textId="77777777" w:rsidR="001F7233" w:rsidRDefault="001F7233">
      <w:pPr>
        <w:spacing w:line="180" w:lineRule="exact"/>
      </w:pPr>
    </w:p>
    <w:p w14:paraId="44E09831" w14:textId="77777777" w:rsidR="001F7233" w:rsidRDefault="00000000">
      <w:r>
        <w:rPr>
          <w:b/>
        </w:rPr>
        <w:t xml:space="preserve">ACHTUNG: </w:t>
      </w:r>
    </w:p>
    <w:p w14:paraId="773B6345" w14:textId="77777777" w:rsidR="001F7233" w:rsidRDefault="00000000">
      <w:r>
        <w:lastRenderedPageBreak/>
        <w:t>• Gib im DS-160 alle Social-Media-Konten der letzten fünf Jahre an. „Keine“ bei vorhandenen Konten gilt als Falschangabe und kann eine dauerhafte Sperre nach sich ziehen. Lösche keine Beiträge, um sie zu verbergen.</w:t>
      </w:r>
    </w:p>
    <w:p w14:paraId="3C5C353E" w14:textId="77777777" w:rsidR="001F7233" w:rsidRDefault="001F7233">
      <w:pPr>
        <w:spacing w:line="220" w:lineRule="exact"/>
      </w:pPr>
    </w:p>
    <w:p w14:paraId="38736A02" w14:textId="77777777" w:rsidR="001F7233" w:rsidRDefault="00000000">
      <w:r>
        <w:t>• Das ist keine Rechts- oder Steuerberatung. Status- und Visumfragen klärst du mit deinem DSO und einem Einwanderungsanwalt, Steuerfragen mit dem Auslandsbüro der Uni oder einer Steuerberatung mit Erfahrung bei Ausländern.</w:t>
      </w:r>
    </w:p>
    <w:p w14:paraId="3EB6AA70" w14:textId="77777777" w:rsidR="001F7233" w:rsidRDefault="001F7233">
      <w:pPr>
        <w:spacing w:line="220" w:lineRule="exact"/>
      </w:pPr>
    </w:p>
    <w:p w14:paraId="00B571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in Deutschland oder in den USA?</w:t>
      </w:r>
    </w:p>
    <w:p w14:paraId="4BC14AFD" w14:textId="77777777" w:rsidR="001F7233" w:rsidRDefault="00000000">
      <w:pPr>
        <w:spacing w:after="140"/>
      </w:pPr>
      <w:r>
        <w:t>An staatlichen Hochschulen in Deutschland studierst du nahezu gebührenfrei. In den USA sind die Studiengebühren der größte Kostenblock. Der übliche Weg ist deshalb der deutsche Bachelor plus US-Master. Ein Bachelor in den USA kostet Ausländer an öffentlichen Hochschulen 31.880 $ und an privaten 45.000 $ pro Jahr, jeweils ohne Wohnen (College Board, 2025/26). Das Abitur gilt als Hochschulzugang, doch ein nationales Anerkennungsverfahren gibt es nicht: Jede Uni entscheidet selbst, verlangt häufig SAT oder ACT sowie einen Sprachnachweis und rechnet Leistungen unterschiedlich an. Dafür bringt jedes Abschlussniveau ein neues OPT-Jahr, und ein Auslandssemester ist ein günstiger Probelauf. Das Auslands-BAföG fördert schon ab einem Semester.</w:t>
      </w:r>
    </w:p>
    <w:p w14:paraId="5166A3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Promotion: F-1 oder J-1</w:t>
      </w:r>
    </w:p>
    <w:p w14:paraId="699B57C3" w14:textId="77777777" w:rsidR="001F7233" w:rsidRDefault="00000000">
      <w:pPr>
        <w:spacing w:after="140"/>
      </w:pPr>
      <w:r>
        <w:t xml:space="preserve">In STEM-Fächern finanziert die Universität Promotionsstellen meist selbst: Stipendium oder Assistenzstelle plus Erlass der Studiengebühren, oft mit Zuschuss zur Krankenversicherung. Nach Sekundärquellen liegen die Stipendien häufig bei 30.000–40.000 $ pro Jahr. Sie sind steuerpflichtig (Form 1040-NR), der </w:t>
      </w:r>
      <w:r>
        <w:lastRenderedPageBreak/>
        <w:t>Gebührenerlass meist nicht. Das übliche Visum ist F-1, bei Fulbright- oder DAAD-Mitteln kann es J-1 sein (siehe die Achtung zu Section 212(e)). Später bieten Hochschulen und Forschungsinstitute Cap-exempt-Stellen. Die Zahl der Promotionsbewerbungen aus dem Ausland sank zuletzt um 21 % (NAFSA).</w:t>
      </w:r>
    </w:p>
    <w:p w14:paraId="0782D41F" w14:textId="77777777" w:rsidR="001F7233" w:rsidRDefault="001F7233">
      <w:pPr>
        <w:spacing w:line="220" w:lineRule="exact"/>
      </w:pPr>
    </w:p>
    <w:p w14:paraId="41105B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Studienweg: F-1, OPT und der spätere Statuswechsel</w:t>
      </w:r>
    </w:p>
    <w:p w14:paraId="2B949267" w14:textId="77777777" w:rsidR="001F7233" w:rsidRDefault="00000000">
      <w:r>
        <w:rPr>
          <w:b/>
        </w:rPr>
        <w:t>Plus: US-Abschluss und bis zu 36 Monate Arbeit mit OPT und STEM-OPT</w:t>
      </w:r>
    </w:p>
    <w:p w14:paraId="7DC14804" w14:textId="77777777" w:rsidR="001F7233" w:rsidRDefault="00000000">
      <w:r>
        <w:rPr>
          <w:b/>
        </w:rPr>
        <w:t xml:space="preserve">Minus: </w:t>
      </w:r>
      <w:r>
        <w:t>Kosten von 70.000–150.000 $ ohne Garantie auf ein H-1B</w:t>
      </w:r>
    </w:p>
    <w:p w14:paraId="7AF4B00B" w14:textId="77777777" w:rsidR="001F7233" w:rsidRDefault="00000000">
      <w:r>
        <w:rPr>
          <w:b/>
        </w:rPr>
        <w:t>Plus: Statuswechsel im Inland: kein Konsulatstermin, derzeit keine 100.000-$-Zahlung</w:t>
      </w:r>
    </w:p>
    <w:p w14:paraId="18129A19" w14:textId="77777777" w:rsidR="001F7233" w:rsidRDefault="00000000">
      <w:r>
        <w:rPr>
          <w:b/>
        </w:rPr>
        <w:t xml:space="preserve">Minus: </w:t>
      </w:r>
      <w:r>
        <w:t>Ein Entwurf (103.265 $) könnte das ab 2027 ändern</w:t>
      </w:r>
    </w:p>
    <w:p w14:paraId="1CAE6D8D" w14:textId="77777777" w:rsidR="001F7233" w:rsidRDefault="00000000">
      <w:r>
        <w:rPr>
          <w:b/>
        </w:rPr>
        <w:t>Plus: Zwei Chancen pro Registrierung durch die Master-Quote</w:t>
      </w:r>
    </w:p>
    <w:p w14:paraId="6AAD841A" w14:textId="77777777" w:rsidR="001F7233" w:rsidRDefault="00000000">
      <w:r>
        <w:rPr>
          <w:b/>
        </w:rPr>
        <w:t xml:space="preserve">Minus: </w:t>
      </w:r>
      <w:r>
        <w:t>Die Lohnstufe entscheidet über die Zahl der Lose</w:t>
      </w:r>
    </w:p>
    <w:p w14:paraId="1DB1B708" w14:textId="77777777" w:rsidR="001F7233" w:rsidRDefault="00000000">
      <w:r>
        <w:rPr>
          <w:b/>
        </w:rPr>
        <w:t>Plus: Bis zu vier Lotterie-Versuche, ohne das Land zu verlassen</w:t>
      </w:r>
    </w:p>
    <w:p w14:paraId="45C782BA" w14:textId="77777777" w:rsidR="001F7233" w:rsidRDefault="00000000">
      <w:r>
        <w:rPr>
          <w:b/>
        </w:rPr>
        <w:t xml:space="preserve">Minus: </w:t>
      </w:r>
      <w:r>
        <w:t>OPT, CPT und Aufenthaltsdauer sind politisch beweglich</w:t>
      </w:r>
    </w:p>
    <w:p w14:paraId="11EEE4BA" w14:textId="77777777" w:rsidR="001F7233" w:rsidRDefault="00000000">
      <w:r>
        <w:rPr>
          <w:b/>
        </w:rPr>
        <w:t>Plus: Du lernst Land und Arbeitsmarkt kennen, bevor du dich bindest</w:t>
      </w:r>
    </w:p>
    <w:p w14:paraId="14C96E2B" w14:textId="77777777" w:rsidR="001F7233" w:rsidRDefault="00000000">
      <w:r>
        <w:rPr>
          <w:b/>
        </w:rPr>
        <w:t xml:space="preserve">Minus: </w:t>
      </w:r>
      <w:r>
        <w:t>Der Partner darf mit F-2 nicht arbeiten</w:t>
      </w:r>
    </w:p>
    <w:p w14:paraId="0E941CC0" w14:textId="77777777" w:rsidR="001F7233" w:rsidRDefault="00000000">
      <w:r>
        <w:rPr>
          <w:b/>
        </w:rPr>
        <w:t>Plus: Netzwerk und Praxis im US-Arbeitsmarkt</w:t>
      </w:r>
    </w:p>
    <w:p w14:paraId="631F9CE8" w14:textId="77777777" w:rsidR="001F7233" w:rsidRDefault="00000000">
      <w:r>
        <w:rPr>
          <w:b/>
        </w:rPr>
        <w:t xml:space="preserve">Minus: </w:t>
      </w:r>
      <w:r>
        <w:t>Der Status hängt an Auflagen: Arbeitslosentage, Meldefristen, Rückkehrabsicht</w:t>
      </w:r>
    </w:p>
    <w:p w14:paraId="4ED36219" w14:textId="77777777" w:rsidR="001F7233" w:rsidRDefault="001F7233">
      <w:pPr>
        <w:spacing w:line="180" w:lineRule="exact"/>
      </w:pPr>
    </w:p>
    <w:p w14:paraId="1E672F8D" w14:textId="77777777" w:rsidR="001F7233" w:rsidRDefault="00000000">
      <w:r>
        <w:rPr>
          <w:b/>
        </w:rPr>
        <w:t>ZUM ABHAKEN</w:t>
      </w:r>
    </w:p>
    <w:p w14:paraId="7797FF39" w14:textId="77777777" w:rsidR="001F7233" w:rsidRDefault="00000000">
      <w:r>
        <w:t>• Kosten für zwei Jahre mit der Tabelle und den I-20-Schätzungen deiner Wunschhochschulen durchrechnen (</w:t>
      </w:r>
      <w:hyperlink w:anchor="k3">
        <w:r w:rsidR="001F7233">
          <w:rPr>
            <w:color w:val="0563C1"/>
            <w:u w:val="single"/>
          </w:rPr>
          <w:t>Kapitel 3</w:t>
        </w:r>
      </w:hyperlink>
      <w:r>
        <w:t>)</w:t>
      </w:r>
    </w:p>
    <w:p w14:paraId="1D272718" w14:textId="77777777" w:rsidR="001F7233" w:rsidRDefault="00000000">
      <w:r>
        <w:t>• Beim DSO schriftlich klären: STEM-designiertes Programm, Praktikum als verpflichtender CPT-Bestandteil</w:t>
      </w:r>
    </w:p>
    <w:p w14:paraId="02138117" w14:textId="77777777" w:rsidR="001F7233" w:rsidRDefault="00000000">
      <w:r>
        <w:t>• Stipendienfristen notieren: DAAD (1. Oktober), Fulbright (Ausschreibung ab Ende 2026)</w:t>
      </w:r>
    </w:p>
    <w:p w14:paraId="414BF9C4" w14:textId="77777777" w:rsidR="001F7233" w:rsidRDefault="00000000">
      <w:r>
        <w:lastRenderedPageBreak/>
        <w:t>• Nachfragen, ob ein Stipendium ein J-1-Visum mit Zwei-Jahres-Regel auslöst</w:t>
      </w:r>
    </w:p>
    <w:p w14:paraId="1AB9A6B4" w14:textId="77777777" w:rsidR="001F7233" w:rsidRDefault="00000000">
      <w:r>
        <w:t>• Finanznachweis in Höhe der I-20-Kostenschätzung zusammenstellen</w:t>
      </w:r>
    </w:p>
    <w:p w14:paraId="5F3D1158" w14:textId="77777777" w:rsidR="001F7233" w:rsidRDefault="00000000">
      <w:r>
        <w:t>• SEVIS-Gebühr zahlen, DS-160 mit allen Social-Media-Konten ausfüllen, Interviewtermin früh buchen</w:t>
      </w:r>
    </w:p>
    <w:p w14:paraId="44CF4186" w14:textId="77777777" w:rsidR="001F7233" w:rsidRDefault="00000000">
      <w:r>
        <w:t>• Bindungen an Deutschland für das Interview belegen und wahrheitsgemäß antworten</w:t>
      </w:r>
    </w:p>
    <w:p w14:paraId="5E118260" w14:textId="77777777" w:rsidR="001F7233" w:rsidRDefault="00000000">
      <w:r>
        <w:t>• OPT-Antrag ab 90 Tage vor Studienende einplanen, Arbeitslosentage zählen, Meldungen binnen 10 Tagen abgeben</w:t>
      </w:r>
    </w:p>
    <w:p w14:paraId="60C38EC4" w14:textId="77777777" w:rsidR="001F7233" w:rsidRDefault="00000000">
      <w:r>
        <w:t>• Für STEM-OPT nur Arbeitgeber mit E-Verify anpeilen; vor der Registrierung die Lohnstufe des Angebots klären</w:t>
      </w:r>
    </w:p>
    <w:p w14:paraId="4948D2A3" w14:textId="77777777" w:rsidR="001F7233" w:rsidRDefault="00000000">
      <w:r>
        <w:t>• Plan B (Cap-exempt, O-1, L-1, E-2, Rückkehr) vor dem letzten OPT-Jahr festlegen</w:t>
      </w:r>
    </w:p>
    <w:p w14:paraId="09C5A477" w14:textId="77777777" w:rsidR="001F7233" w:rsidRDefault="00000000">
      <w:r>
        <w:t>• Form 8843 jedes Jahr abgeben und die Kalenderjahre zählen (</w:t>
      </w:r>
      <w:hyperlink w:anchor="k28">
        <w:r w:rsidR="001F7233">
          <w:rPr>
            <w:color w:val="0563C1"/>
            <w:u w:val="single"/>
          </w:rPr>
          <w:t>Kapitel 28</w:t>
        </w:r>
      </w:hyperlink>
      <w:r>
        <w:t>)</w:t>
      </w:r>
    </w:p>
    <w:p w14:paraId="7E431642" w14:textId="77777777" w:rsidR="001F7233" w:rsidRDefault="001F7233">
      <w:pPr>
        <w:spacing w:line="220" w:lineRule="exact"/>
      </w:pPr>
    </w:p>
    <w:p w14:paraId="6EB9E8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D1B2563" w14:textId="77777777" w:rsidR="001F7233" w:rsidRPr="00B8323E" w:rsidRDefault="00000000">
      <w:pPr>
        <w:pStyle w:val="ListParagraph"/>
        <w:numPr>
          <w:ilvl w:val="0"/>
          <w:numId w:val="1"/>
        </w:numPr>
        <w:spacing w:after="60"/>
        <w:rPr>
          <w:lang w:val="en-US"/>
        </w:rPr>
      </w:pPr>
      <w:r w:rsidRPr="00B8323E">
        <w:rPr>
          <w:lang w:val="en-US"/>
        </w:rPr>
        <w:t>Study in the States (DHS) — F-1, CPT, OPT, Cap-Gap (</w:t>
      </w:r>
      <w:hyperlink r:id="rId146">
        <w:r w:rsidR="001F7233" w:rsidRPr="00B8323E">
          <w:rPr>
            <w:color w:val="0563C1"/>
            <w:u w:val="single"/>
            <w:lang w:val="en-US"/>
          </w:rPr>
          <w:t>studyinthestates.dhs.gov</w:t>
        </w:r>
      </w:hyperlink>
      <w:r w:rsidRPr="00B8323E">
        <w:rPr>
          <w:lang w:val="en-US"/>
        </w:rPr>
        <w:t>)</w:t>
      </w:r>
    </w:p>
    <w:p w14:paraId="457641C6" w14:textId="77777777" w:rsidR="001F7233" w:rsidRPr="00B8323E" w:rsidRDefault="00000000">
      <w:pPr>
        <w:pStyle w:val="ListParagraph"/>
        <w:numPr>
          <w:ilvl w:val="0"/>
          <w:numId w:val="1"/>
        </w:numPr>
        <w:spacing w:after="60"/>
        <w:rPr>
          <w:lang w:val="en-US"/>
        </w:rPr>
      </w:pPr>
      <w:r w:rsidRPr="00B8323E">
        <w:rPr>
          <w:lang w:val="en-US"/>
        </w:rPr>
        <w:t>USCIS — OPT, STEM-OPT, Statuswechsel, H-1B (</w:t>
      </w:r>
      <w:hyperlink r:id="rId147">
        <w:r w:rsidR="001F7233" w:rsidRPr="00B8323E">
          <w:rPr>
            <w:color w:val="0563C1"/>
            <w:u w:val="single"/>
            <w:lang w:val="en-US"/>
          </w:rPr>
          <w:t>uscis.gov/working-in-the-united-states/students-and-exchange-visitors</w:t>
        </w:r>
      </w:hyperlink>
      <w:r w:rsidRPr="00B8323E">
        <w:rPr>
          <w:lang w:val="en-US"/>
        </w:rPr>
        <w:t>)</w:t>
      </w:r>
    </w:p>
    <w:p w14:paraId="64C617AD" w14:textId="77777777" w:rsidR="001F7233" w:rsidRDefault="00000000">
      <w:pPr>
        <w:pStyle w:val="ListParagraph"/>
        <w:numPr>
          <w:ilvl w:val="0"/>
          <w:numId w:val="1"/>
        </w:numPr>
        <w:spacing w:after="60"/>
      </w:pPr>
      <w:r>
        <w:t>USCIS — Gebührenübersicht (</w:t>
      </w:r>
      <w:hyperlink r:id="rId148">
        <w:r w:rsidR="001F7233">
          <w:rPr>
            <w:color w:val="0563C1"/>
            <w:u w:val="single"/>
          </w:rPr>
          <w:t>uscis.gov/g-1055</w:t>
        </w:r>
      </w:hyperlink>
      <w:r>
        <w:t>)</w:t>
      </w:r>
    </w:p>
    <w:p w14:paraId="1E874461" w14:textId="77777777" w:rsidR="001F7233" w:rsidRPr="00B8323E" w:rsidRDefault="00000000">
      <w:pPr>
        <w:pStyle w:val="ListParagraph"/>
        <w:numPr>
          <w:ilvl w:val="0"/>
          <w:numId w:val="1"/>
        </w:numPr>
        <w:spacing w:after="60"/>
        <w:rPr>
          <w:lang w:val="en-US"/>
        </w:rPr>
      </w:pPr>
      <w:r w:rsidRPr="00B8323E">
        <w:rPr>
          <w:lang w:val="en-US"/>
        </w:rPr>
        <w:t>ICE — SEVIS-Gebühr I-901 (</w:t>
      </w:r>
      <w:hyperlink r:id="rId149">
        <w:r w:rsidR="001F7233" w:rsidRPr="00B8323E">
          <w:rPr>
            <w:color w:val="0563C1"/>
            <w:u w:val="single"/>
            <w:lang w:val="en-US"/>
          </w:rPr>
          <w:t>ice.gov/sevis/i901</w:t>
        </w:r>
      </w:hyperlink>
      <w:r w:rsidRPr="00B8323E">
        <w:rPr>
          <w:lang w:val="en-US"/>
        </w:rPr>
        <w:t>)</w:t>
      </w:r>
    </w:p>
    <w:p w14:paraId="465712BB" w14:textId="77777777" w:rsidR="001F7233" w:rsidRPr="00B8323E" w:rsidRDefault="00000000">
      <w:pPr>
        <w:pStyle w:val="ListParagraph"/>
        <w:numPr>
          <w:ilvl w:val="0"/>
          <w:numId w:val="1"/>
        </w:numPr>
        <w:spacing w:after="60"/>
        <w:rPr>
          <w:lang w:val="en-US"/>
        </w:rPr>
      </w:pPr>
      <w:r w:rsidRPr="00B8323E">
        <w:rPr>
          <w:lang w:val="en-US"/>
        </w:rPr>
        <w:t>State Department — Studentenvisum, Termine (</w:t>
      </w:r>
      <w:hyperlink r:id="rId150">
        <w:r w:rsidR="001F7233" w:rsidRPr="00B8323E">
          <w:rPr>
            <w:color w:val="0563C1"/>
            <w:u w:val="single"/>
            <w:lang w:val="en-US"/>
          </w:rPr>
          <w:t>travel.state.gov</w:t>
        </w:r>
      </w:hyperlink>
      <w:r w:rsidRPr="00B8323E">
        <w:rPr>
          <w:lang w:val="en-US"/>
        </w:rPr>
        <w:t>)</w:t>
      </w:r>
    </w:p>
    <w:p w14:paraId="15767371" w14:textId="77777777" w:rsidR="001F7233" w:rsidRDefault="00000000">
      <w:pPr>
        <w:pStyle w:val="ListParagraph"/>
        <w:numPr>
          <w:ilvl w:val="0"/>
          <w:numId w:val="1"/>
        </w:numPr>
        <w:spacing w:after="60"/>
      </w:pPr>
      <w:r>
        <w:t>IRS — Steuern für ausländische Studierende (</w:t>
      </w:r>
      <w:hyperlink r:id="rId151">
        <w:r w:rsidR="001F7233">
          <w:rPr>
            <w:color w:val="0563C1"/>
            <w:u w:val="single"/>
          </w:rPr>
          <w:t>irs.gov/individuals/international-taxpayers</w:t>
        </w:r>
      </w:hyperlink>
      <w:r>
        <w:t>)</w:t>
      </w:r>
    </w:p>
    <w:p w14:paraId="7C3771EA" w14:textId="77777777" w:rsidR="001F7233" w:rsidRDefault="00000000">
      <w:pPr>
        <w:pStyle w:val="ListParagraph"/>
        <w:numPr>
          <w:ilvl w:val="0"/>
          <w:numId w:val="1"/>
        </w:numPr>
        <w:spacing w:after="60"/>
      </w:pPr>
      <w:r>
        <w:t>DAAD und Fulbright Deutschland — Stipendien (</w:t>
      </w:r>
      <w:hyperlink r:id="rId152">
        <w:r w:rsidR="001F7233">
          <w:rPr>
            <w:color w:val="0563C1"/>
            <w:u w:val="single"/>
          </w:rPr>
          <w:t>daad.de</w:t>
        </w:r>
      </w:hyperlink>
      <w:r>
        <w:t xml:space="preserve">, </w:t>
      </w:r>
      <w:hyperlink r:id="rId153">
        <w:r w:rsidR="001F7233">
          <w:rPr>
            <w:color w:val="0563C1"/>
            <w:u w:val="single"/>
          </w:rPr>
          <w:t>fulbright.de</w:t>
        </w:r>
      </w:hyperlink>
      <w:r>
        <w:t>)</w:t>
      </w:r>
    </w:p>
    <w:p w14:paraId="761A233A" w14:textId="77777777" w:rsidR="001F7233" w:rsidRDefault="00000000">
      <w:pPr>
        <w:pStyle w:val="ListParagraph"/>
        <w:numPr>
          <w:ilvl w:val="0"/>
          <w:numId w:val="1"/>
        </w:numPr>
        <w:spacing w:after="60"/>
      </w:pPr>
      <w:r>
        <w:lastRenderedPageBreak/>
        <w:t>Open Doors (IIE) — Zahlen internationaler Studierender (</w:t>
      </w:r>
      <w:hyperlink r:id="rId154">
        <w:r w:rsidR="001F7233">
          <w:rPr>
            <w:color w:val="0563C1"/>
            <w:u w:val="single"/>
          </w:rPr>
          <w:t>opendoorsdata.org</w:t>
        </w:r>
      </w:hyperlink>
      <w:r>
        <w:t>)</w:t>
      </w:r>
    </w:p>
    <w:p w14:paraId="63C666C6" w14:textId="77777777" w:rsidR="001F7233" w:rsidRDefault="001F7233">
      <w:pPr>
        <w:spacing w:line="120" w:lineRule="exact"/>
      </w:pPr>
    </w:p>
    <w:p w14:paraId="4D6199C3" w14:textId="77777777" w:rsidR="001F7233" w:rsidRDefault="00000000">
      <w:r>
        <w:t>• Quellenstand September 2026; redaktionell geprüft am 8. Oktober 2026. Diese Angaben ändern sich schnell: Berufungsverfahren zur Aufenthaltsdauer-Regel, OPT-Neufassung und OPT-Gebühr, CPT-Leitlinien des SEVP, die bis 21. September 2027 verlängerte, derzeit gerichtlich blockierte 100.000-$-Proklamation und der 103.265-$-Entwurf (Kommentierungsfrist am 24. September abgelaufen, noch keine geltende Regel), USCIS-Gebühren, Stipendienraten und -fristen sowie die H-1B-Registrierung für FY 2028 im März 2027. Prüfe vor jeder Entscheidung die offiziellen Seiten und sprich mit deinem DSO.</w:t>
      </w:r>
    </w:p>
    <w:p w14:paraId="3454B3E5" w14:textId="77777777" w:rsidR="001F7233" w:rsidRDefault="00000000">
      <w:pPr>
        <w:spacing w:line="220" w:lineRule="exact"/>
      </w:pPr>
      <w:r>
        <w:br w:type="page"/>
      </w:r>
    </w:p>
    <w:p w14:paraId="30861ACE" w14:textId="77777777" w:rsidR="001F7233" w:rsidRDefault="00000000">
      <w:pPr>
        <w:pStyle w:val="Heading2"/>
        <w:keepNext/>
        <w:spacing w:line="341" w:lineRule="auto"/>
        <w:jc w:val="center"/>
      </w:pPr>
      <w:bookmarkStart w:id="28" w:name="k9"/>
      <w:r>
        <w:rPr>
          <w:rFonts w:ascii="Amazon Ember" w:eastAsia="Amazon Ember" w:hAnsi="Amazon Ember" w:cs="Amazon Ember"/>
          <w:color w:val="0000FF"/>
          <w:sz w:val="36"/>
          <w:szCs w:val="36"/>
        </w:rPr>
        <w:lastRenderedPageBreak/>
        <w:t>Kapitel 9: Weitere Wege: L-1, O-1, E-2, J-1, Lotterie, Heirat, Selbständigkeit</w:t>
      </w:r>
      <w:bookmarkEnd w:id="28"/>
    </w:p>
    <w:p w14:paraId="23BF16AC" w14:textId="77777777" w:rsidR="001F7233" w:rsidRDefault="00000000">
      <w:pPr>
        <w:spacing w:after="140"/>
      </w:pPr>
      <w:r>
        <w:t>Im März kommt die Absage aus der H-1B-Lotterie, im April fragt dein Abteilungsleiter beiläufig, ob du nicht für ein paar Jahre ins Schwesterwerk nach Phoenix wechseln möchtest oder ein Bekannter erzählt, er arbeite „einfach drei Monate von Austin aus“ für seinen Berliner Arbeitgeber, mit ESTA, das merke doch niemand. Beides gehört in dieses Kapitel: Neben H-1B und Studium gibt es ein gutes Dutzend weiterer Wege, von denen einige genau auf deine Lage passen und es gibt einen scheinbaren Weg, der keiner ist.</w:t>
      </w:r>
    </w:p>
    <w:p w14:paraId="74D5830C" w14:textId="77777777" w:rsidR="001F7233" w:rsidRDefault="00000000">
      <w:r>
        <w:rPr>
          <w:b/>
        </w:rPr>
        <w:t xml:space="preserve">KURZ GESAGT: </w:t>
      </w:r>
    </w:p>
    <w:p w14:paraId="3E1156E6" w14:textId="77777777" w:rsidR="001F7233" w:rsidRDefault="00000000">
      <w:r>
        <w:t>• Der L-1 ist für Beschäftigte internationaler Konzerne oft der direkteste Weg: keine Lotterie, keine Quote, der Partner darf arbeiten. Voraussetzung ist ein Jahr im Konzern im Ausland.</w:t>
      </w:r>
    </w:p>
    <w:p w14:paraId="3A3F92FE" w14:textId="77777777" w:rsidR="001F7233" w:rsidRDefault="00000000">
      <w:r>
        <w:t>• O-1 (Spitzenleistung) und E-2 (eigene Investition. Deutschland ist Vertragsstaat) sind Nischenwege mit hoher Beweislast, passend nur, wenn du die Kriterien wirklich erfüllst.</w:t>
      </w:r>
    </w:p>
    <w:p w14:paraId="33F6E128" w14:textId="77777777" w:rsidR="001F7233" w:rsidRDefault="00000000">
      <w:r>
        <w:t>• Das J-1 ist ein Austauschprogramm auf Zeit, kein Einwanderungsweg. Die Zwei-Jahres-Regel kann den späteren Wechsel in ein Arbeitsvisum sperren.</w:t>
      </w:r>
    </w:p>
    <w:p w14:paraId="21288EEE" w14:textId="77777777" w:rsidR="001F7233" w:rsidRDefault="00000000">
      <w:r>
        <w:t>• ESTA und B-1 erlauben Meetings, Kundenbesuche und Vorstellungsgespräche, aber keine Arbeit – auch nicht am Laptop für den deutschen Arbeitgeber.</w:t>
      </w:r>
    </w:p>
    <w:p w14:paraId="2BFFFA4F" w14:textId="77777777" w:rsidR="001F7233" w:rsidRDefault="00000000">
      <w:r>
        <w:t>• Lotterie, Heirat, EB-5 und Gold Card führen direkt zur Green Card, sind aber schlecht planbar, an Bedingungen geknüpft oder sehr teuer.</w:t>
      </w:r>
    </w:p>
    <w:p w14:paraId="163264DF" w14:textId="77777777" w:rsidR="001F7233" w:rsidRDefault="00000000">
      <w:r>
        <w:t>• Ein Visum für Freiberufler oder digitale Nomaden gibt es nicht.</w:t>
      </w:r>
    </w:p>
    <w:p w14:paraId="26546D05" w14:textId="77777777" w:rsidR="001F7233" w:rsidRDefault="001F7233">
      <w:pPr>
        <w:spacing w:line="220" w:lineRule="exact"/>
      </w:pPr>
    </w:p>
    <w:p w14:paraId="0FE720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Wege im Überblick</w:t>
      </w:r>
    </w:p>
    <w:p w14:paraId="30D78800" w14:textId="77777777" w:rsidR="001F7233" w:rsidRDefault="00000000">
      <w:pPr>
        <w:spacing w:after="140"/>
      </w:pPr>
      <w:r>
        <w:t>Zwei Begriffe werden oft verwechselt: Das Visum im Pass erlaubt die Einreise; der Status bestimmt den Aufenthalt nach der Einreise und wird im I-94 dokumentiert. Die meisten Wege in diesem Kapitel führen zunächst zu einem befristeten Status. Heirat, Diversity Visa und EB-5 können direkt zur Green Card führen. Die folgende Übersicht zeigt je Weg, für wen er gedacht ist, wie lange er gilt und welche Möglichkeiten Partner und Familie haben:</w:t>
      </w:r>
    </w:p>
    <w:p w14:paraId="5789413D" w14:textId="77777777" w:rsidR="001F7233" w:rsidRDefault="00000000">
      <w:r>
        <w:rPr>
          <w:b/>
        </w:rPr>
        <w:t>L-1</w:t>
      </w:r>
    </w:p>
    <w:p w14:paraId="4798A7D0" w14:textId="77777777" w:rsidR="001F7233" w:rsidRDefault="00000000">
      <w:r>
        <w:rPr>
          <w:b/>
        </w:rPr>
        <w:t xml:space="preserve">Für wen: </w:t>
      </w:r>
      <w:r>
        <w:t>Konzernbeschäftigte mit einem Jahr im Ausland</w:t>
      </w:r>
    </w:p>
    <w:p w14:paraId="466AAA8F" w14:textId="77777777" w:rsidR="001F7233" w:rsidRDefault="00000000">
      <w:r>
        <w:rPr>
          <w:b/>
        </w:rPr>
        <w:t xml:space="preserve">Dauer: </w:t>
      </w:r>
      <w:r>
        <w:t>L-1A bis 7 Jahre, L-1B bis 5 Jahre</w:t>
      </w:r>
    </w:p>
    <w:p w14:paraId="051DFB2E" w14:textId="77777777" w:rsidR="001F7233" w:rsidRDefault="00000000">
      <w:r>
        <w:rPr>
          <w:b/>
        </w:rPr>
        <w:t>O-1</w:t>
      </w:r>
    </w:p>
    <w:p w14:paraId="6A39D545" w14:textId="77777777" w:rsidR="001F7233" w:rsidRDefault="00000000">
      <w:r>
        <w:rPr>
          <w:b/>
        </w:rPr>
        <w:t xml:space="preserve">Für wen: </w:t>
      </w:r>
      <w:r>
        <w:t>Personen mit außergewöhnlichen Leistungen im Fach</w:t>
      </w:r>
    </w:p>
    <w:p w14:paraId="47B7B5CC" w14:textId="77777777" w:rsidR="001F7233" w:rsidRDefault="00000000">
      <w:r>
        <w:rPr>
          <w:b/>
        </w:rPr>
        <w:t xml:space="preserve">Dauer: </w:t>
      </w:r>
      <w:r>
        <w:t>3 Jahre, danach jährlich verlängerbar</w:t>
      </w:r>
    </w:p>
    <w:p w14:paraId="6DC62501" w14:textId="77777777" w:rsidR="001F7233" w:rsidRDefault="00000000">
      <w:r>
        <w:rPr>
          <w:b/>
        </w:rPr>
        <w:t>E-2</w:t>
      </w:r>
    </w:p>
    <w:p w14:paraId="658685A8" w14:textId="77777777" w:rsidR="001F7233" w:rsidRDefault="00000000">
      <w:r>
        <w:rPr>
          <w:b/>
        </w:rPr>
        <w:t xml:space="preserve">Für wen: </w:t>
      </w:r>
      <w:r>
        <w:t>Investoren und Gründer aus dem Vertragsstaat Deutschland</w:t>
      </w:r>
    </w:p>
    <w:p w14:paraId="74C26641" w14:textId="77777777" w:rsidR="001F7233" w:rsidRDefault="00000000">
      <w:r>
        <w:rPr>
          <w:b/>
        </w:rPr>
        <w:t xml:space="preserve">Dauer: </w:t>
      </w:r>
      <w:r>
        <w:t>2 Jahre, unbegrenzt verlängerbar</w:t>
      </w:r>
    </w:p>
    <w:p w14:paraId="60D9BEDA" w14:textId="77777777" w:rsidR="001F7233" w:rsidRDefault="00000000">
      <w:r>
        <w:rPr>
          <w:b/>
        </w:rPr>
        <w:t>J-1</w:t>
      </w:r>
    </w:p>
    <w:p w14:paraId="1C7B9920" w14:textId="77777777" w:rsidR="001F7233" w:rsidRDefault="00000000">
      <w:r>
        <w:rPr>
          <w:b/>
        </w:rPr>
        <w:t xml:space="preserve">Für wen: </w:t>
      </w:r>
      <w:r>
        <w:t>Forschende, Praktikanten, Au-pairs</w:t>
      </w:r>
    </w:p>
    <w:p w14:paraId="4CAE11A1" w14:textId="77777777" w:rsidR="001F7233" w:rsidRDefault="00000000">
      <w:r>
        <w:rPr>
          <w:b/>
        </w:rPr>
        <w:t xml:space="preserve">Dauer: </w:t>
      </w:r>
      <w:r>
        <w:t>je nach Programm 12 Monate bis 5 Jahre</w:t>
      </w:r>
    </w:p>
    <w:p w14:paraId="4CE71F62" w14:textId="77777777" w:rsidR="001F7233" w:rsidRDefault="00000000">
      <w:r>
        <w:rPr>
          <w:b/>
        </w:rPr>
        <w:t>ESTA, B-1</w:t>
      </w:r>
    </w:p>
    <w:p w14:paraId="59ABE0E5" w14:textId="77777777" w:rsidR="001F7233" w:rsidRDefault="00000000">
      <w:r>
        <w:rPr>
          <w:b/>
        </w:rPr>
        <w:t xml:space="preserve">Für wen: </w:t>
      </w:r>
      <w:r>
        <w:t>Besuch und Geschäftstermine</w:t>
      </w:r>
    </w:p>
    <w:p w14:paraId="31DF996B" w14:textId="77777777" w:rsidR="001F7233" w:rsidRDefault="00000000">
      <w:r>
        <w:rPr>
          <w:b/>
        </w:rPr>
        <w:t xml:space="preserve">Dauer: </w:t>
      </w:r>
      <w:r>
        <w:t>bis 90 Tage, keine Arbeit</w:t>
      </w:r>
    </w:p>
    <w:p w14:paraId="6A0D6ABF" w14:textId="77777777" w:rsidR="001F7233" w:rsidRDefault="00000000">
      <w:r>
        <w:rPr>
          <w:b/>
        </w:rPr>
        <w:t>Heirat</w:t>
      </w:r>
    </w:p>
    <w:p w14:paraId="1FC5092A" w14:textId="77777777" w:rsidR="001F7233" w:rsidRDefault="00000000">
      <w:r>
        <w:rPr>
          <w:b/>
        </w:rPr>
        <w:t xml:space="preserve">Für wen: </w:t>
      </w:r>
      <w:r>
        <w:t>Partner eines US-Bürgers</w:t>
      </w:r>
    </w:p>
    <w:p w14:paraId="64FD59B0" w14:textId="77777777" w:rsidR="001F7233" w:rsidRDefault="00000000">
      <w:r>
        <w:rPr>
          <w:b/>
        </w:rPr>
        <w:t xml:space="preserve">Dauer: </w:t>
      </w:r>
      <w:r>
        <w:t>dauerhaft (Green Card)</w:t>
      </w:r>
    </w:p>
    <w:p w14:paraId="66668F13" w14:textId="77777777" w:rsidR="001F7233" w:rsidRDefault="00000000">
      <w:r>
        <w:rPr>
          <w:b/>
        </w:rPr>
        <w:t>Lotterie, EB-5</w:t>
      </w:r>
    </w:p>
    <w:p w14:paraId="078BB974" w14:textId="77777777" w:rsidR="001F7233" w:rsidRDefault="00000000">
      <w:r>
        <w:rPr>
          <w:b/>
        </w:rPr>
        <w:t xml:space="preserve">Für wen: </w:t>
      </w:r>
      <w:r>
        <w:t>Losglück; Investoren ab 800.000 $</w:t>
      </w:r>
    </w:p>
    <w:p w14:paraId="165639AF" w14:textId="77777777" w:rsidR="001F7233" w:rsidRDefault="00000000">
      <w:r>
        <w:rPr>
          <w:b/>
        </w:rPr>
        <w:t xml:space="preserve">Dauer: </w:t>
      </w:r>
      <w:r>
        <w:t>dauerhaft (Green Card)</w:t>
      </w:r>
    </w:p>
    <w:p w14:paraId="04EFBE4D" w14:textId="77777777" w:rsidR="001F7233" w:rsidRDefault="001F7233">
      <w:pPr>
        <w:spacing w:line="180" w:lineRule="exact"/>
      </w:pPr>
    </w:p>
    <w:p w14:paraId="7C644DA3" w14:textId="77777777" w:rsidR="001F7233" w:rsidRDefault="00000000">
      <w:r>
        <w:rPr>
          <w:b/>
        </w:rPr>
        <w:t>L-1</w:t>
      </w:r>
    </w:p>
    <w:p w14:paraId="2F0352DD" w14:textId="77777777" w:rsidR="001F7233" w:rsidRDefault="00000000">
      <w:r>
        <w:rPr>
          <w:b/>
        </w:rPr>
        <w:t xml:space="preserve">Partner arbeitet: </w:t>
      </w:r>
      <w:r>
        <w:t>Ja, ohne eigenen Antrag (L-2)</w:t>
      </w:r>
    </w:p>
    <w:p w14:paraId="2D8EAA73" w14:textId="77777777" w:rsidR="001F7233" w:rsidRDefault="00000000">
      <w:r>
        <w:rPr>
          <w:b/>
        </w:rPr>
        <w:lastRenderedPageBreak/>
        <w:t xml:space="preserve">Weg zur Green Card: </w:t>
      </w:r>
      <w:r>
        <w:t>Möglich; Manager oft über EB-1C, sonst PERM</w:t>
      </w:r>
    </w:p>
    <w:p w14:paraId="552DC02A" w14:textId="77777777" w:rsidR="001F7233" w:rsidRDefault="00000000">
      <w:r>
        <w:rPr>
          <w:b/>
        </w:rPr>
        <w:t>O-1</w:t>
      </w:r>
    </w:p>
    <w:p w14:paraId="5731E28C" w14:textId="77777777" w:rsidR="001F7233" w:rsidRDefault="00000000">
      <w:r>
        <w:rPr>
          <w:b/>
        </w:rPr>
        <w:t xml:space="preserve">Partner arbeitet: </w:t>
      </w:r>
      <w:r>
        <w:t>Nein (O-3)</w:t>
      </w:r>
    </w:p>
    <w:p w14:paraId="2FCD0627" w14:textId="77777777" w:rsidR="001F7233" w:rsidRDefault="00000000">
      <w:r>
        <w:rPr>
          <w:b/>
        </w:rPr>
        <w:t xml:space="preserve">Weg zur Green Card: </w:t>
      </w:r>
      <w:r>
        <w:t>Eigener Antrag nötig (</w:t>
      </w:r>
      <w:hyperlink w:anchor="k6">
        <w:r w:rsidR="001F7233">
          <w:rPr>
            <w:rStyle w:val="Hyperlink"/>
          </w:rPr>
          <w:t>Kapitel 6</w:t>
        </w:r>
      </w:hyperlink>
      <w:r>
        <w:t>)</w:t>
      </w:r>
    </w:p>
    <w:p w14:paraId="6771D238" w14:textId="77777777" w:rsidR="001F7233" w:rsidRDefault="00000000">
      <w:r>
        <w:rPr>
          <w:b/>
        </w:rPr>
        <w:t>E-2</w:t>
      </w:r>
    </w:p>
    <w:p w14:paraId="149A9633" w14:textId="77777777" w:rsidR="001F7233" w:rsidRDefault="00000000">
      <w:r>
        <w:rPr>
          <w:b/>
        </w:rPr>
        <w:t xml:space="preserve">Partner arbeitet: </w:t>
      </w:r>
      <w:r>
        <w:t>Ja, bei jedem Arbeitgeber</w:t>
      </w:r>
    </w:p>
    <w:p w14:paraId="0980CC91" w14:textId="77777777" w:rsidR="001F7233" w:rsidRDefault="00000000">
      <w:r>
        <w:rPr>
          <w:b/>
        </w:rPr>
        <w:t xml:space="preserve">Weg zur Green Card: </w:t>
      </w:r>
      <w:r>
        <w:t>Kein direkter Weg</w:t>
      </w:r>
    </w:p>
    <w:p w14:paraId="2D348655" w14:textId="77777777" w:rsidR="001F7233" w:rsidRDefault="00000000">
      <w:r>
        <w:rPr>
          <w:b/>
        </w:rPr>
        <w:t>J-1</w:t>
      </w:r>
    </w:p>
    <w:p w14:paraId="5312326F" w14:textId="77777777" w:rsidR="001F7233" w:rsidRDefault="00000000">
      <w:r>
        <w:rPr>
          <w:b/>
        </w:rPr>
        <w:t xml:space="preserve">Partner arbeitet: </w:t>
      </w:r>
      <w:r>
        <w:t>Nur mit Arbeitserlaubnis (J-2)</w:t>
      </w:r>
    </w:p>
    <w:p w14:paraId="7C25B811" w14:textId="77777777" w:rsidR="001F7233" w:rsidRDefault="00000000">
      <w:r>
        <w:rPr>
          <w:b/>
        </w:rPr>
        <w:t xml:space="preserve">Weg zur Green Card: </w:t>
      </w:r>
      <w:r>
        <w:t>Nicht direkt; Zwei-Jahres-Regel prüfen</w:t>
      </w:r>
    </w:p>
    <w:p w14:paraId="4E136C05" w14:textId="77777777" w:rsidR="001F7233" w:rsidRDefault="00000000">
      <w:r>
        <w:rPr>
          <w:b/>
        </w:rPr>
        <w:t>ESTA, B-1</w:t>
      </w:r>
    </w:p>
    <w:p w14:paraId="5A23E1CB" w14:textId="77777777" w:rsidR="001F7233" w:rsidRDefault="00000000">
      <w:r>
        <w:rPr>
          <w:b/>
        </w:rPr>
        <w:t xml:space="preserve">Partner arbeitet: </w:t>
      </w:r>
      <w:r>
        <w:t>Nein</w:t>
      </w:r>
    </w:p>
    <w:p w14:paraId="2D9A0AC1" w14:textId="77777777" w:rsidR="001F7233" w:rsidRDefault="00000000">
      <w:r>
        <w:rPr>
          <w:b/>
        </w:rPr>
        <w:t>Heirat, Lotterie, EB-5</w:t>
      </w:r>
    </w:p>
    <w:p w14:paraId="099B5812" w14:textId="77777777" w:rsidR="001F7233" w:rsidRDefault="00000000">
      <w:r>
        <w:rPr>
          <w:b/>
        </w:rPr>
        <w:t xml:space="preserve">Partner arbeitet: </w:t>
      </w:r>
      <w:r>
        <w:t>Mit der Green Card ja</w:t>
      </w:r>
    </w:p>
    <w:p w14:paraId="278E68BB" w14:textId="77777777" w:rsidR="001F7233" w:rsidRDefault="00000000">
      <w:r>
        <w:rPr>
          <w:b/>
        </w:rPr>
        <w:t xml:space="preserve">Weg zur Green Card: </w:t>
      </w:r>
      <w:r>
        <w:t>Ist die Green Card</w:t>
      </w:r>
    </w:p>
    <w:p w14:paraId="1D549EA2" w14:textId="77777777" w:rsidR="001F7233" w:rsidRDefault="001F7233">
      <w:pPr>
        <w:spacing w:line="180" w:lineRule="exact"/>
      </w:pPr>
    </w:p>
    <w:p w14:paraId="52567861" w14:textId="77777777" w:rsidR="001F7233" w:rsidRDefault="00000000">
      <w:pPr>
        <w:spacing w:after="140"/>
      </w:pPr>
      <w:r>
        <w:t xml:space="preserve">Nicht für Deutsche gibt es das TN (nur Kanada und Mexiko), das E-3 (nur Australien) und das H-1B1 (nur Chile und Singapur). Die Einreisebeschränkungen des Jahres 2026 treffen Deutsche nicht: Deutschland steht weder auf der Liste der 39 Länder (Proklamation vom 16. Dezember 2025) noch auf der Liste der 75 Länder mit Einwanderervisa-Pause, die ein Gericht am 21. August 2026 aufhob (Stand: 20.09.2026). Neu ist die gesetzliche Visa Integrity Fee für erteilte Nichteinwanderungsvisa. Der Ausgangsbetrag im Gesetz beträgt 250 $ vor Anpassungen; die veröffentlichte Gebührenliste des State Department weist sie derzeit nicht separat aus. Zahle sie nur, wenn die zuständige Stelle sie konkret anfordert. Die Online-Prüfung deiner Profile steht in </w:t>
      </w:r>
      <w:hyperlink w:anchor="k11">
        <w:r w:rsidR="001F7233">
          <w:t>Kapitel 11</w:t>
        </w:r>
      </w:hyperlink>
      <w:r>
        <w:t>.</w:t>
      </w:r>
    </w:p>
    <w:p w14:paraId="5A54FEAC" w14:textId="77777777" w:rsidR="001F7233" w:rsidRDefault="00000000">
      <w:r>
        <w:rPr>
          <w:b/>
        </w:rPr>
        <w:t xml:space="preserve">MERKE: </w:t>
      </w:r>
    </w:p>
    <w:p w14:paraId="09BAF9BC" w14:textId="77777777" w:rsidR="001F7233" w:rsidRDefault="00000000">
      <w:r>
        <w:t>• Jeder dieser Wege verlangt eine Eintrittskarte: ein Jahr im Konzern, eine Akte voller Belege, Kapital oder einen Programmplatz. Prüfe zuerst, welche du schon hast, und erst danach, welches Visum dir gefällt.</w:t>
      </w:r>
    </w:p>
    <w:p w14:paraId="650B4E54" w14:textId="77777777" w:rsidR="001F7233" w:rsidRDefault="001F7233">
      <w:pPr>
        <w:spacing w:line="220" w:lineRule="exact"/>
      </w:pPr>
    </w:p>
    <w:p w14:paraId="7DC8CCB8" w14:textId="77777777" w:rsidR="001F7233" w:rsidRDefault="00000000">
      <w:pPr>
        <w:pStyle w:val="Heading3"/>
        <w:keepNext/>
        <w:spacing w:line="341" w:lineRule="auto"/>
        <w:jc w:val="center"/>
      </w:pPr>
      <w:bookmarkStart w:id="29" w:name="idx_L_1"/>
      <w:r>
        <w:rPr>
          <w:rFonts w:ascii="Amazon Ember" w:eastAsia="Amazon Ember" w:hAnsi="Amazon Ember" w:cs="Amazon Ember"/>
          <w:color w:val="0000FF"/>
          <w:sz w:val="36"/>
          <w:szCs w:val="36"/>
        </w:rPr>
        <w:lastRenderedPageBreak/>
        <w:t>L-1: die Versetzung im Konzern</w:t>
      </w:r>
      <w:bookmarkEnd w:id="29"/>
    </w:p>
    <w:p w14:paraId="1B62B7BE" w14:textId="77777777" w:rsidR="001F7233" w:rsidRDefault="00000000">
      <w:pPr>
        <w:spacing w:after="140"/>
      </w:pPr>
      <w:r>
        <w:t xml:space="preserve">Verbreiteter Irrtum: Wer keinen Treffer in der H-1B-Lotterie hat, hat keine Chance mehr auf ein Arbeitsvisum. Tatsächlich ist die Lotterie nur eine von mehreren Türen. Der L-1 (Intracompany Transferee, konzerninterne Versetzung) ist neben dem H-1B der zweite große Arbeitgeberweg. Für Beschäftigte internationaler Konzerne ist er oft der bessere: keine Registrierung, keine Lotterie, keine Jahresquote. Die H-1B-Proklamation betrifft ihn nicht. Ihre Zahlung von 100.000 $ ist seit den Gerichtsentscheidungen von Juli und September 2026 aktuell blockiert (Stand 8. Oktober 2026; siehe </w:t>
      </w:r>
      <w:hyperlink w:anchor="k5">
        <w:r w:rsidR="001F7233">
          <w:t>Kapitel 5</w:t>
        </w:r>
      </w:hyperlink>
      <w:r>
        <w:t>). Drei Voraussetzungen müssen stimmen:</w:t>
      </w:r>
    </w:p>
    <w:p w14:paraId="352FA21B" w14:textId="77777777" w:rsidR="001F7233" w:rsidRDefault="00000000">
      <w:pPr>
        <w:pStyle w:val="ListParagraph"/>
        <w:numPr>
          <w:ilvl w:val="0"/>
          <w:numId w:val="1"/>
        </w:numPr>
        <w:spacing w:after="60"/>
      </w:pPr>
      <w:r>
        <w:t>Dein Arbeitgeber in Deutschland und das US-Unternehmen gehören zur selben Gruppe: Mutter, Tochter, Zweigniederlassung oder Schwestergesellschaft.</w:t>
      </w:r>
    </w:p>
    <w:p w14:paraId="7F6AB47B" w14:textId="77777777" w:rsidR="001F7233" w:rsidRDefault="00000000">
      <w:pPr>
        <w:pStyle w:val="ListParagraph"/>
        <w:numPr>
          <w:ilvl w:val="0"/>
          <w:numId w:val="1"/>
        </w:numPr>
        <w:spacing w:after="60"/>
      </w:pPr>
      <w:r>
        <w:t>Du warst in den letzten drei Jahren mindestens ein Jahr ununterbrochen bei einem Konzernunternehmen im Ausland beschäftigt.</w:t>
      </w:r>
    </w:p>
    <w:p w14:paraId="3B9AC83F" w14:textId="77777777" w:rsidR="001F7233" w:rsidRDefault="00000000">
      <w:pPr>
        <w:pStyle w:val="ListParagraph"/>
        <w:numPr>
          <w:ilvl w:val="0"/>
          <w:numId w:val="1"/>
        </w:numPr>
        <w:spacing w:after="60"/>
      </w:pPr>
      <w:r>
        <w:rPr>
          <w:i/>
          <w:iCs/>
        </w:rPr>
        <w:t>Du wirst in den USA als Führungskraft oder Manager (L-1A) oder mit Spezialwissen (Specialized Knowledge, L-1B) eingesetzt. Spezialwissen heißt: besondere Kenntnisse über Produkte, Verfahren oder Prozesse des Unternehmens, nicht schlicht „ich bin gut in meinem Job“.</w:t>
      </w:r>
    </w:p>
    <w:p w14:paraId="3C00F294" w14:textId="77777777" w:rsidR="001F7233" w:rsidRDefault="001F7233">
      <w:pPr>
        <w:spacing w:line="120" w:lineRule="exact"/>
      </w:pPr>
    </w:p>
    <w:p w14:paraId="0B66DB81" w14:textId="77777777" w:rsidR="001F7233" w:rsidRDefault="00000000">
      <w:pPr>
        <w:spacing w:after="140"/>
      </w:pPr>
      <w:r>
        <w:rPr>
          <w:i/>
          <w:iCs/>
        </w:rPr>
        <w:t>Die Erstzulassung gilt bis zu drei Jahre, für ein neu gegründetes US-Büro nur ein Jahr. Verlängert wird in Zwei-Jahres-Schritten, insgesamt höchstens sieben Jahre beim L-1A und fünf Jahre beim L-1B. Große Konzerne besitzen mitunter eine Sammelgenehmigung (Blanket L): Das US-Büro besteht seit mindestens einem Jahr, die Gruppe hat mindestens drei Einheiten und eines von drei Kriterien ist erfüllt (zehn L-Genehmigungen in zwölf Monaten, 25 Millionen $ US-Umsatz oder 1.000 US-Beschäftigte). Dann entfällt der Einzelantrag bei USCIS: Der Konzern stellt das Formular I-129S aus und du gehst damit zum Konsulat.</w:t>
      </w:r>
    </w:p>
    <w:p w14:paraId="03FF9F23" w14:textId="77777777" w:rsidR="001F7233" w:rsidRDefault="00000000">
      <w:pPr>
        <w:spacing w:after="140"/>
      </w:pPr>
      <w:r>
        <w:rPr>
          <w:i/>
          <w:iCs/>
        </w:rPr>
        <w:lastRenderedPageBreak/>
        <w:t>Die Kosten trägt meist der Arbeitgeber. Für den Antrag (Petition) fallen an: Formular I-129 mit 1.385 $ (kleine Betriebe 695 $), Asylum Program Fee 600 $ (300 $) und beim Erstantrag 500 $ Fraud-Gebühr, zusammen rund 2.485 $ (Gebührenblatt G-1055, Ausgabe 09.09.2026). Arbeitgeber mit vielen H-1B- und L-1-Beschäftigten zahlen weitere 4.500 $, Premium Processing (Entscheidung binnen 15 Werktagen) 2.965 $ extra. Bei dir fällt die Konsulargebühr von 205 $ an. Das Gesetz sieht außerdem eine Visa Integrity Fee vor. Die aktuelle State-Department-Gebührenliste weist sie nicht separat aus. Plane oder zahle sie erst, wenn das Konsulat sie konkret anfordert.</w:t>
      </w:r>
    </w:p>
    <w:p w14:paraId="0088A8D5" w14:textId="77777777" w:rsidR="001F7233" w:rsidRDefault="00000000">
      <w:pPr>
        <w:spacing w:after="140"/>
      </w:pPr>
      <w:r>
        <w:t>Der Ehepartner erhält den Status L-2 und darf ohne eigenen Antrag arbeiten; der I-94 genügt als Nachweis. Kinder unter 21 gehen zur Schule, dürfen aber nicht arbeiten (Kapitel </w:t>
      </w:r>
      <w:hyperlink w:anchor="k10">
        <w:r w:rsidR="001F7233">
          <w:t>10</w:t>
        </w:r>
      </w:hyperlink>
      <w:r>
        <w:t>). Wie beim H-1B schadet die Absicht, später die Green Card zu beantragen, nicht (</w:t>
      </w:r>
      <w:r>
        <w:rPr>
          <w:i/>
          <w:iCs/>
        </w:rPr>
        <w:t>Dual Intent</w:t>
      </w:r>
      <w:r>
        <w:t>); Manager und Führungskräfte kommen häufig über die Kategorie EB-1C ohne Arbeitsmarktprüfung zur Green Card, Spezialwissen-Fälle meist über das PERM-Verfahren (Kapitel </w:t>
      </w:r>
      <w:hyperlink w:anchor="k6">
        <w:r w:rsidR="001F7233">
          <w:t>6</w:t>
        </w:r>
      </w:hyperlink>
      <w:r>
        <w:t>).</w:t>
      </w:r>
    </w:p>
    <w:p w14:paraId="15C19FD0" w14:textId="77777777" w:rsidR="001F7233" w:rsidRDefault="00000000">
      <w:r>
        <w:rPr>
          <w:b/>
        </w:rPr>
        <w:t xml:space="preserve">ACHTUNG: </w:t>
      </w:r>
    </w:p>
    <w:p w14:paraId="401CBD63" w14:textId="77777777" w:rsidR="001F7233" w:rsidRDefault="00000000">
      <w:r>
        <w:t xml:space="preserve">• Der Status hängt an deiner Stelle: Verlierst du sie, gilt nach heutigem Recht eine Frist von bis zu 60 Tagen, um einen neuen Status zu beantragen oder auszureisen. Ein Entwurf des Heimatschutzministeriums vom 11. September 2026 will diese Frist ersatzlos streichen; er betrifft auch O-1 und E-2. Kommentare sind bis 10. November 2026 möglich, in Kraft ist nichts (siehe </w:t>
      </w:r>
      <w:hyperlink w:anchor="k30">
        <w:r w:rsidR="001F7233">
          <w:rPr>
            <w:color w:val="0563C1"/>
            <w:u w:val="single"/>
          </w:rPr>
          <w:t>Kapitel 30</w:t>
        </w:r>
      </w:hyperlink>
      <w:r>
        <w:t>).</w:t>
      </w:r>
    </w:p>
    <w:p w14:paraId="299A679B" w14:textId="77777777" w:rsidR="001F7233" w:rsidRDefault="001F7233">
      <w:pPr>
        <w:spacing w:line="220" w:lineRule="exact"/>
      </w:pPr>
    </w:p>
    <w:p w14:paraId="23855F01" w14:textId="77777777" w:rsidR="001F7233" w:rsidRDefault="001F7233">
      <w:pPr>
        <w:spacing w:line="220" w:lineRule="exact"/>
      </w:pPr>
    </w:p>
    <w:p w14:paraId="4E9A7DF5" w14:textId="77777777" w:rsidR="001F7233" w:rsidRDefault="00000000">
      <w:pPr>
        <w:pStyle w:val="Heading3"/>
        <w:keepNext/>
        <w:spacing w:line="341" w:lineRule="auto"/>
        <w:jc w:val="center"/>
      </w:pPr>
      <w:bookmarkStart w:id="30" w:name="idx_O_1"/>
      <w:r>
        <w:rPr>
          <w:rFonts w:ascii="Amazon Ember" w:eastAsia="Amazon Ember" w:hAnsi="Amazon Ember" w:cs="Amazon Ember"/>
          <w:color w:val="0000FF"/>
          <w:sz w:val="36"/>
          <w:szCs w:val="36"/>
        </w:rPr>
        <w:t>O-1: für herausragende Leistungen</w:t>
      </w:r>
      <w:bookmarkEnd w:id="30"/>
    </w:p>
    <w:p w14:paraId="17DEFC9E" w14:textId="77777777" w:rsidR="001F7233" w:rsidRDefault="00000000">
      <w:pPr>
        <w:spacing w:after="140"/>
      </w:pPr>
      <w:r>
        <w:t xml:space="preserve">Der O-1 richtet sich an Menschen, die in ihrem Fach zur kleinen Spitze gehören. Ein tüchtiger Ingenieur oder eine solide Entwicklerin ist noch kein O-1-Fall; es braucht Belege. Der O-1A gilt für Wissenschaft, Bildung, Wirtschaft und Sport, der O-1B für Kunst. In </w:t>
      </w:r>
      <w:r>
        <w:lastRenderedPageBreak/>
        <w:t>Film und Fernsehen ist der Maßstab „außergewöhnliche Leistung“, sonst „anhaltende nationale oder internationale Anerkennung“.</w:t>
      </w:r>
    </w:p>
    <w:p w14:paraId="608E005B" w14:textId="77777777" w:rsidR="001F7233" w:rsidRDefault="00000000">
      <w:pPr>
        <w:spacing w:after="140"/>
      </w:pPr>
      <w:r>
        <w:rPr>
          <w:i/>
          <w:iCs/>
        </w:rPr>
        <w:t>Nachweisen musst du einen bedeutenden internationalen Preis oder mindestens drei von acht Kriterien: Preise, Medienberichte über dich, wissenschaftliche Veröffentlichungen, Gutachtertätigkeit für Fachkollegen, Beiträge von wesentlicher Bedeutung, eine Schlüsselrolle in angesehenen Organisationen, ein überdurchschnittlich hohes Gehalt. Hinzu kommen ein Beratungsgutachten (Advisory Opinion) einer Fachorganisation, ein Vertrag oder eine Tätigkeitsbeschreibung und ein Reiseplan. Den Antrag stellt ein US-Arbeitgeber oder ein US-Agent, mindestens 45 Tage vor Beginn. Du selbst kannst ihn nicht stellen.</w:t>
      </w:r>
    </w:p>
    <w:p w14:paraId="42B07D6C" w14:textId="77777777" w:rsidR="001F7233" w:rsidRDefault="00000000">
      <w:pPr>
        <w:spacing w:after="140"/>
      </w:pPr>
      <w:r>
        <w:t>Der Status gilt zunächst bis zu drei Jahre, danach wird in Ein-Jahres-Schritten verlängert. An USCIS zahlt der Antragsteller 1.055 $ (kleine Betriebe 530 $) plus 600 $ Asylum Program Fee (300 $), optional 2.965 $ für Premium Processing; du zahlst 205 $ Konsulargebühr. Teurer ist die Akte selbst, die Wochen Vorbereitung und meist eine Kanzlei braucht (Kapitel </w:t>
      </w:r>
      <w:hyperlink w:anchor="k11">
        <w:r w:rsidR="001F7233">
          <w:t>11</w:t>
        </w:r>
      </w:hyperlink>
      <w:r>
        <w:t>).</w:t>
      </w:r>
    </w:p>
    <w:p w14:paraId="07C87453" w14:textId="77777777" w:rsidR="001F7233" w:rsidRDefault="00000000">
      <w:pPr>
        <w:spacing w:after="140"/>
      </w:pPr>
      <w:r>
        <w:t>Die Statistik klingt freundlich: Im Fiskaljahr 2025 genehmigte USCIS rund 94 % der abgeschlossenen O-Anträge (29.733 von 31.681; Kanzleiauswertung von USCIS-Daten, einschließlich O-2-Begleitpersonal). Das zeigt aber nur, dass gut vorbereitete Akten meist durchgehen. Über deine Chancen bei knapp erfüllten Kriterien sagt es wenig.</w:t>
      </w:r>
    </w:p>
    <w:p w14:paraId="302350B2" w14:textId="77777777" w:rsidR="001F7233" w:rsidRDefault="00000000">
      <w:pPr>
        <w:spacing w:after="140"/>
      </w:pPr>
      <w:r>
        <w:t>Partner und Kinder unter 21 erhalten den Status O-3, dürfen studieren oder zur Schule gehen, aber nicht arbeiten (Kapitel </w:t>
      </w:r>
      <w:hyperlink w:anchor="k10">
        <w:r w:rsidR="001F7233">
          <w:t>10</w:t>
        </w:r>
      </w:hyperlink>
      <w:r>
        <w:t>). Wer die Kriterien wirklich erfüllt, kann oft auch eine Green Card in den Kategorien für Personen mit außergewöhnlichen Fähigkeiten beantragen (Kapitel </w:t>
      </w:r>
      <w:hyperlink w:anchor="k6">
        <w:r w:rsidR="001F7233">
          <w:t>6</w:t>
        </w:r>
      </w:hyperlink>
      <w:r>
        <w:t>); für Studierende, die in der H-1B-Lotterie scheitern, ist der O-1 ein möglicher Plan B (Kapitel </w:t>
      </w:r>
      <w:hyperlink w:anchor="k8">
        <w:r w:rsidR="001F7233">
          <w:t>8</w:t>
        </w:r>
      </w:hyperlink>
      <w:r>
        <w:t>).</w:t>
      </w:r>
    </w:p>
    <w:p w14:paraId="55DB8D83" w14:textId="77777777" w:rsidR="001F7233" w:rsidRDefault="00000000">
      <w:pPr>
        <w:pStyle w:val="Heading3"/>
        <w:keepNext/>
        <w:spacing w:line="341" w:lineRule="auto"/>
        <w:jc w:val="center"/>
      </w:pPr>
      <w:bookmarkStart w:id="31" w:name="idx_E_1___E_2"/>
      <w:r>
        <w:rPr>
          <w:rFonts w:ascii="Amazon Ember" w:eastAsia="Amazon Ember" w:hAnsi="Amazon Ember" w:cs="Amazon Ember"/>
          <w:color w:val="0000FF"/>
          <w:sz w:val="36"/>
          <w:szCs w:val="36"/>
        </w:rPr>
        <w:lastRenderedPageBreak/>
        <w:t>E-1 und E-2: Handel und Investition</w:t>
      </w:r>
      <w:bookmarkEnd w:id="31"/>
    </w:p>
    <w:p w14:paraId="62D0B40D" w14:textId="77777777" w:rsidR="001F7233" w:rsidRDefault="00000000">
      <w:pPr>
        <w:spacing w:after="140"/>
      </w:pPr>
      <w:r>
        <w:rPr>
          <w:i/>
          <w:iCs/>
        </w:rPr>
        <w:t>Der E-1 setzt substanzielle, fortlaufende Handelsgeschäfte zwischen den USA und Deutschland voraus. Mehr als 50 % des internationalen Handelsvolumens des Unternehmens müssen zwischen beiden Ländern stattfinden. Häufiger ist der E-2, um den es hier geht.</w:t>
      </w:r>
    </w:p>
    <w:p w14:paraId="7B985247" w14:textId="77777777" w:rsidR="001F7233" w:rsidRDefault="00000000">
      <w:pPr>
        <w:pStyle w:val="ListParagraph"/>
        <w:numPr>
          <w:ilvl w:val="0"/>
          <w:numId w:val="1"/>
        </w:numPr>
        <w:spacing w:after="60"/>
      </w:pPr>
      <w:r>
        <w:rPr>
          <w:b/>
          <w:bCs/>
        </w:rPr>
        <w:t>Staatsangehörigkeit und Kontrolle: Du bist deutsche Staatsangehörige oder deutscher Staatsangehöriger, besitzt mindestens die Hälfte des Unternehmens oder kontrollierst es operativ und du entwickelst und leitest es selbst.</w:t>
      </w:r>
    </w:p>
    <w:p w14:paraId="1D995BCA" w14:textId="77777777" w:rsidR="001F7233" w:rsidRDefault="00000000">
      <w:pPr>
        <w:pStyle w:val="ListParagraph"/>
        <w:numPr>
          <w:ilvl w:val="0"/>
          <w:numId w:val="1"/>
        </w:numPr>
        <w:spacing w:after="60"/>
      </w:pPr>
      <w:r>
        <w:rPr>
          <w:b/>
          <w:bCs/>
        </w:rPr>
        <w:t>Investition:</w:t>
      </w:r>
      <w:r>
        <w:t xml:space="preserve"> Einen gesetzlichen Mindestbetrag gibt es nicht. Verlangt wird eine „wesentliche“ (</w:t>
      </w:r>
      <w:r>
        <w:rPr>
          <w:i/>
          <w:iCs/>
        </w:rPr>
        <w:t>substantial</w:t>
      </w:r>
      <w:r>
        <w:t>) Summe im Verhältnis zu den Gesamtkosten des Unternehmens: Je billiger das Geschäft, desto größer muss der eingesetzte Anteil sein. Kanzleien nennen für kleine Betriebe häufig Beträge ab etwa 50.000–100.000 $; das ist Erfahrungswert, keine Regel.</w:t>
      </w:r>
    </w:p>
    <w:p w14:paraId="1F6320BD" w14:textId="77777777" w:rsidR="001F7233" w:rsidRDefault="00000000">
      <w:pPr>
        <w:pStyle w:val="ListParagraph"/>
        <w:numPr>
          <w:ilvl w:val="0"/>
          <w:numId w:val="1"/>
        </w:numPr>
        <w:spacing w:after="60"/>
      </w:pPr>
      <w:r>
        <w:rPr>
          <w:b/>
          <w:bCs/>
        </w:rPr>
        <w:t>Unternehmen:</w:t>
      </w:r>
      <w:r>
        <w:t xml:space="preserve"> Es muss echt sein und tatsächlich laufen. Es darf nicht „marginal“ sein, also mehr abwerfen als den knappen Lebensunterhalt der Familie. Das Geld muss bereits im Unternehmen stecken und ein Verlustrisiko tragen (</w:t>
      </w:r>
      <w:r>
        <w:rPr>
          <w:i/>
          <w:iCs/>
        </w:rPr>
        <w:t>at risk</w:t>
      </w:r>
      <w:r>
        <w:t>).</w:t>
      </w:r>
    </w:p>
    <w:p w14:paraId="38EBA9A9" w14:textId="77777777" w:rsidR="001F7233" w:rsidRDefault="00000000">
      <w:pPr>
        <w:pStyle w:val="ListParagraph"/>
        <w:numPr>
          <w:ilvl w:val="0"/>
          <w:numId w:val="1"/>
        </w:numPr>
        <w:spacing w:after="60"/>
      </w:pPr>
      <w:r>
        <w:rPr>
          <w:b/>
          <w:bCs/>
        </w:rPr>
        <w:t>Mitarbeiter aus Deutschland:</w:t>
      </w:r>
      <w:r>
        <w:t xml:space="preserve"> Angestellte müssen ebenfalls deutsche Staatsangehörige sein und Führungs- oder Spezialaufgaben erfüllen.</w:t>
      </w:r>
    </w:p>
    <w:p w14:paraId="43D8784F" w14:textId="77777777" w:rsidR="001F7233" w:rsidRDefault="001F7233">
      <w:pPr>
        <w:spacing w:line="120" w:lineRule="exact"/>
      </w:pPr>
    </w:p>
    <w:p w14:paraId="628C4637" w14:textId="77777777" w:rsidR="001F7233" w:rsidRDefault="00000000">
      <w:pPr>
        <w:spacing w:after="140"/>
      </w:pPr>
      <w:r>
        <w:t xml:space="preserve">Die Zulassung gilt zwei Jahre und lässt sich in Zwei-Jahres-Schritten unbegrenzt verlängern, solange das Unternehmen die Bedingungen erfüllt. Das Visum im Pass kann länger gültig sein als ein einzelner Aufenthalt (Reziprozitätstabelle auf </w:t>
      </w:r>
      <w:hyperlink r:id="rId155">
        <w:r w:rsidR="001F7233">
          <w:rPr>
            <w:color w:val="0563C1"/>
            <w:u w:val="single"/>
          </w:rPr>
          <w:t>travel.state.gov</w:t>
        </w:r>
      </w:hyperlink>
      <w:r>
        <w:t xml:space="preserve">). Die Konsulargebühr für E-Visa beträgt 315 $. Eine Visa Integrity Fee sieht das Gesetz zusätzlich vor; die veröffentlichte Gebührenliste des State Department weist sie derzeit nicht separat aus. Wer den Status im Inland per Formular I-129 beantragt, zahlt an USCIS 1.015 $ (kleine Betriebe 510 $). Nach Kanzleiangaben bearbeitet in Deutschland allein das Generalkonsulat Frankfurt E-Visa (prüfe das </w:t>
      </w:r>
      <w:r>
        <w:lastRenderedPageBreak/>
        <w:t xml:space="preserve">auf </w:t>
      </w:r>
      <w:hyperlink r:id="rId156">
        <w:r w:rsidR="001F7233">
          <w:rPr>
            <w:color w:val="0563C1"/>
            <w:u w:val="single"/>
          </w:rPr>
          <w:t>de.usembassy.gov</w:t>
        </w:r>
      </w:hyperlink>
      <w:r>
        <w:t>). Ein Anwalt ist hier kein Luxus: Businessplan, Investitionsnachweise und die Herkunft des Geldes müssen lückenlos belegt sein.</w:t>
      </w:r>
    </w:p>
    <w:p w14:paraId="3A6E8BD0" w14:textId="77777777" w:rsidR="001F7233" w:rsidRDefault="00000000">
      <w:pPr>
        <w:spacing w:after="140"/>
      </w:pPr>
      <w:r>
        <w:t>Der Ehepartner darf ohne eigenen Antrag bei jedem Arbeitgeber arbeiten; Kinder unter 21 dürfen nicht arbeiten (Kapitel </w:t>
      </w:r>
      <w:hyperlink w:anchor="k10">
        <w:r w:rsidR="001F7233">
          <w:t>10</w:t>
        </w:r>
      </w:hyperlink>
      <w:r>
        <w:t>).</w:t>
      </w:r>
    </w:p>
    <w:p w14:paraId="3DF6909E" w14:textId="77777777" w:rsidR="001F7233" w:rsidRDefault="00000000">
      <w:r>
        <w:rPr>
          <w:b/>
        </w:rPr>
        <w:t xml:space="preserve">ACHTUNG: </w:t>
      </w:r>
    </w:p>
    <w:p w14:paraId="3716C003" w14:textId="77777777" w:rsidR="001F7233" w:rsidRDefault="00000000">
      <w:r>
        <w:t>• Der E-2 ist keine Green-Card-Schiene: Er setzt voraus, dass du nur vorübergehend bleibst, und die Investition kommt nicht zurück, wenn das Geschäft scheitert. Plane die Green Card über einen eigenen Weg (</w:t>
      </w:r>
      <w:hyperlink w:anchor="k6">
        <w:r w:rsidR="001F7233">
          <w:rPr>
            <w:color w:val="0563C1"/>
            <w:u w:val="single"/>
          </w:rPr>
          <w:t>Kapitel 6</w:t>
        </w:r>
      </w:hyperlink>
      <w:r>
        <w:t>) und behandle das Geld als Risikokapital, nicht als Guthaben, das du jederzeit zurückholst.</w:t>
      </w:r>
    </w:p>
    <w:p w14:paraId="7ED0F8EB" w14:textId="77777777" w:rsidR="001F7233" w:rsidRDefault="001F7233">
      <w:pPr>
        <w:spacing w:line="220" w:lineRule="exact"/>
      </w:pPr>
    </w:p>
    <w:p w14:paraId="31EA5AAA" w14:textId="77777777" w:rsidR="001F7233" w:rsidRDefault="001F7233">
      <w:pPr>
        <w:spacing w:line="220" w:lineRule="exact"/>
      </w:pPr>
    </w:p>
    <w:p w14:paraId="06A4F903" w14:textId="77777777" w:rsidR="001F7233" w:rsidRDefault="00000000">
      <w:pPr>
        <w:pStyle w:val="Heading3"/>
        <w:keepNext/>
        <w:spacing w:line="341" w:lineRule="auto"/>
        <w:jc w:val="center"/>
      </w:pPr>
      <w:bookmarkStart w:id="32" w:name="idx_J_1"/>
      <w:r>
        <w:rPr>
          <w:rFonts w:ascii="Amazon Ember" w:eastAsia="Amazon Ember" w:hAnsi="Amazon Ember" w:cs="Amazon Ember"/>
          <w:color w:val="0000FF"/>
          <w:sz w:val="36"/>
          <w:szCs w:val="36"/>
        </w:rPr>
        <w:t>J-1: Austausch auf Zeit</w:t>
      </w:r>
      <w:bookmarkEnd w:id="32"/>
    </w:p>
    <w:p w14:paraId="01F1A5FC" w14:textId="77777777" w:rsidR="001F7233" w:rsidRDefault="00000000">
      <w:pPr>
        <w:spacing w:after="140"/>
      </w:pPr>
      <w:r>
        <w:rPr>
          <w:i/>
          <w:iCs/>
        </w:rPr>
        <w:t>Das J-1 (Exchange Visitor, Austauschbesucher) ist ein Programmvisum. Ein vom Außenministerium (State Department) zugelassener Sponsor – etwa eine Hochschule, ein Forschungsinstitut oder eine Vermittlungsorganisation – nimmt dich in sein Programm auf und stellt das Formular DS-2019 aus. Damit beantragst du das Visum. Häufige Programme für Deutsche sind:</w:t>
      </w:r>
    </w:p>
    <w:p w14:paraId="2E79695F" w14:textId="77777777" w:rsidR="001F7233" w:rsidRDefault="00000000">
      <w:r>
        <w:rPr>
          <w:b/>
        </w:rPr>
        <w:t>Forschende, Professoren</w:t>
      </w:r>
    </w:p>
    <w:p w14:paraId="02CC3D88" w14:textId="77777777" w:rsidR="001F7233" w:rsidRDefault="00000000">
      <w:r>
        <w:rPr>
          <w:b/>
        </w:rPr>
        <w:t xml:space="preserve">Dauer: </w:t>
      </w:r>
      <w:r>
        <w:t>bis 5 Jahre</w:t>
      </w:r>
    </w:p>
    <w:p w14:paraId="7061309E" w14:textId="77777777" w:rsidR="001F7233" w:rsidRDefault="00000000">
      <w:r>
        <w:rPr>
          <w:b/>
        </w:rPr>
        <w:t xml:space="preserve">Voraussetzung: </w:t>
      </w:r>
      <w:r>
        <w:t>Einladung einer US-Einrichtung</w:t>
      </w:r>
    </w:p>
    <w:p w14:paraId="5B930FAA" w14:textId="77777777" w:rsidR="001F7233" w:rsidRDefault="00000000">
      <w:r>
        <w:rPr>
          <w:b/>
        </w:rPr>
        <w:t>Trainee</w:t>
      </w:r>
    </w:p>
    <w:p w14:paraId="33CCDDAD" w14:textId="77777777" w:rsidR="001F7233" w:rsidRDefault="00000000">
      <w:r>
        <w:rPr>
          <w:b/>
        </w:rPr>
        <w:t xml:space="preserve">Dauer: </w:t>
      </w:r>
      <w:r>
        <w:t>bis 18 Monate</w:t>
      </w:r>
    </w:p>
    <w:p w14:paraId="5561056C" w14:textId="77777777" w:rsidR="001F7233" w:rsidRDefault="00000000">
      <w:r>
        <w:rPr>
          <w:b/>
        </w:rPr>
        <w:t xml:space="preserve">Voraussetzung: </w:t>
      </w:r>
      <w:r>
        <w:t>Abschluss und ein Jahr Erfahrung oder fünf Jahre Berufserfahrung</w:t>
      </w:r>
    </w:p>
    <w:p w14:paraId="0619D655" w14:textId="77777777" w:rsidR="001F7233" w:rsidRDefault="00000000">
      <w:r>
        <w:rPr>
          <w:b/>
        </w:rPr>
        <w:t>Intern (Praktikum)</w:t>
      </w:r>
    </w:p>
    <w:p w14:paraId="2840230B" w14:textId="77777777" w:rsidR="001F7233" w:rsidRDefault="00000000">
      <w:r>
        <w:rPr>
          <w:b/>
        </w:rPr>
        <w:t xml:space="preserve">Dauer: </w:t>
      </w:r>
      <w:r>
        <w:t>bis 12 Monate</w:t>
      </w:r>
    </w:p>
    <w:p w14:paraId="3F8D1E42" w14:textId="77777777" w:rsidR="001F7233" w:rsidRDefault="00000000">
      <w:r>
        <w:rPr>
          <w:b/>
        </w:rPr>
        <w:t xml:space="preserve">Voraussetzung: </w:t>
      </w:r>
      <w:r>
        <w:t>im Ausland eingeschrieben oder Abschluss vor weniger als zwölf Monaten</w:t>
      </w:r>
    </w:p>
    <w:p w14:paraId="23CEABD6" w14:textId="77777777" w:rsidR="001F7233" w:rsidRDefault="00000000">
      <w:r>
        <w:rPr>
          <w:b/>
        </w:rPr>
        <w:t>Au-pair</w:t>
      </w:r>
    </w:p>
    <w:p w14:paraId="4AA2ECC2" w14:textId="77777777" w:rsidR="001F7233" w:rsidRDefault="00000000">
      <w:r>
        <w:rPr>
          <w:b/>
        </w:rPr>
        <w:lastRenderedPageBreak/>
        <w:t xml:space="preserve">Dauer: </w:t>
      </w:r>
      <w:r>
        <w:t>12 Monate, plus 6, 9 oder 12</w:t>
      </w:r>
    </w:p>
    <w:p w14:paraId="6761BB45" w14:textId="77777777" w:rsidR="001F7233" w:rsidRDefault="00000000">
      <w:r>
        <w:rPr>
          <w:b/>
        </w:rPr>
        <w:t xml:space="preserve">Voraussetzung: </w:t>
      </w:r>
      <w:r>
        <w:t>18 bis 26 Jahre</w:t>
      </w:r>
    </w:p>
    <w:p w14:paraId="2B5A3C61" w14:textId="77777777" w:rsidR="001F7233" w:rsidRDefault="001F7233">
      <w:pPr>
        <w:spacing w:line="180" w:lineRule="exact"/>
      </w:pPr>
    </w:p>
    <w:p w14:paraId="3FCB27CF" w14:textId="77777777" w:rsidR="001F7233" w:rsidRDefault="00000000">
      <w:pPr>
        <w:spacing w:after="140"/>
      </w:pPr>
      <w:r>
        <w:t>Nach fünf Jahren als Forschender gilt eine Sperre von zwei Jahren für eine Wiederholung. Trainees und Interns brauchen einen Ausbildungsplan (Formular DS-7002), mindestens 32 Wochenstunden und höchstens 20 % Büroarbeit. Au-pairs betreuen bis zu 45 Stunden pro Woche Kinder und belegen Kurse im Umfang von sechs Semesterstunden. Die Gastfamilie zahlt bis zu 500 $ dazu, mindestens 195,75 $ Taschengeld pro Woche (Stand 2026, nach Angaben von Vermittlern).</w:t>
      </w:r>
    </w:p>
    <w:p w14:paraId="6FC3107B" w14:textId="77777777" w:rsidR="001F7233" w:rsidRDefault="00000000">
      <w:pPr>
        <w:spacing w:after="140"/>
      </w:pPr>
      <w:r>
        <w:t>An Gebühren fallen an: die SEVIS-Gebühr von 220 $ (Au-pairs 35 $), die Konsulargebühr von 185 $ und die stark schwankenden Programmgebühren des Sponsors. Der Partner erhält den Status J-2 und kann eine Arbeitserlaubnis beantragen (Formular I-765, 520 $ Papier, 470 $ online) – anders als bei L-2 und E-2 nicht automatisch (Kapitel </w:t>
      </w:r>
      <w:hyperlink w:anchor="k10">
        <w:r w:rsidR="001F7233">
          <w:t>10</w:t>
        </w:r>
      </w:hyperlink>
      <w:r>
        <w:t>). Für Studierende und Promovierende gilt meist der F-1 (Kapitel </w:t>
      </w:r>
      <w:hyperlink w:anchor="k8">
        <w:r w:rsidR="001F7233">
          <w:t>8</w:t>
        </w:r>
      </w:hyperlink>
      <w:r>
        <w:t>).</w:t>
      </w:r>
    </w:p>
    <w:p w14:paraId="295C282F" w14:textId="77777777" w:rsidR="001F7233" w:rsidRDefault="00000000">
      <w:pPr>
        <w:spacing w:after="140"/>
      </w:pPr>
      <w:r>
        <w:t>Wer als Forschender an eine Hochschule kommt, kann später oft ohne Lotterie in einen H-1B derselben Einrichtung wechseln, denn Hochschulen sind von der Quote befreit (</w:t>
      </w:r>
      <w:r>
        <w:rPr>
          <w:i/>
          <w:iCs/>
        </w:rPr>
        <w:t>Cap-exempt</w:t>
      </w:r>
      <w:r>
        <w:t>; Kapitel </w:t>
      </w:r>
      <w:hyperlink w:anchor="k5">
        <w:r w:rsidR="001F7233">
          <w:t>5</w:t>
        </w:r>
      </w:hyperlink>
      <w:r>
        <w:t>) – vorausgesetzt, die Zwei-Jahres-Regel steht nicht im Weg.</w:t>
      </w:r>
    </w:p>
    <w:p w14:paraId="4F7E6352" w14:textId="77777777" w:rsidR="001F7233" w:rsidRDefault="00000000">
      <w:r>
        <w:rPr>
          <w:b/>
        </w:rPr>
        <w:t xml:space="preserve">ACHTUNG: </w:t>
      </w:r>
    </w:p>
    <w:p w14:paraId="3EB52F3C" w14:textId="77777777" w:rsidR="001F7233" w:rsidRDefault="00000000">
      <w:r>
        <w:t xml:space="preserve">• Die Falle steht in Paragraf 212(e) des Einwanderungsgesetzes, der Zwei-Jahres-Regel (Two-Year Home Residency Requirement): Wer ihr unterliegt, muss zwei Jahre im Heimatland gelebt oder einen Verzicht (Waiver) erhalten haben, bevor er in einen H- oder L-Status oder in die Green Card wechseln darf. Deutschland steht seit der Revision der Fachkräfteliste vom 9. Dezember 2024 nicht darauf. Die Regel greift aber auch bei staatlicher Finanzierung, etwa durch US-Regierungsgeld wie bei Fulbright, und bei ärztlicher Ausbildung. Nach Auskunft von Hochschulbüros ist ein Verzicht bei US-Regierungsgeld kaum zu bekommen, bei Förderung durch die Heimatregierung gelingt er oft mit einer Unbedenklichkeitserklärung </w:t>
      </w:r>
      <w:r>
        <w:lastRenderedPageBreak/>
        <w:t>(No Objection Letter). Frage den Sponsor vor der Zusage schriftlich, ob die Regel für dich gilt.</w:t>
      </w:r>
    </w:p>
    <w:p w14:paraId="47E1E098" w14:textId="77777777" w:rsidR="001F7233" w:rsidRDefault="001F7233">
      <w:pPr>
        <w:spacing w:line="220" w:lineRule="exact"/>
      </w:pPr>
    </w:p>
    <w:p w14:paraId="3F7212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ESTA und B-1/B-2: was erlaubt ist und was nicht</w:t>
      </w:r>
    </w:p>
    <w:p w14:paraId="1631B082" w14:textId="77777777" w:rsidR="001F7233" w:rsidRDefault="00000000">
      <w:pPr>
        <w:spacing w:after="140"/>
      </w:pPr>
      <w:r>
        <w:rPr>
          <w:i/>
          <w:iCs/>
        </w:rPr>
        <w:t>Deutsche reisen für Geschäft oder Tourismus bis zu 90 Tage ohne Visum ein (Visa Waiver Program), mit einer Reisegenehmigung namens ESTA (Electronic System for Travel Authorization). Sie kostet 40 $ (seit 30. September 2025) und ist keine Einreisegarantie: Über die Einreise entscheidet der Grenzschutz CBP an der Grenze. Der Aufenthalt lässt sich nicht verlängern, aus dem ESTA-Aufenthalt heraus ist kein Statuswechsel möglich, etwa in den H-1B oder F-1. Wer länger bleiben will oder ESTA nicht nutzen kann, beantragt ein B-1/B-2-Besuchervisum. Der Aufenthalt beträgt dann meist bis zu sechs Monate.</w:t>
      </w:r>
    </w:p>
    <w:p w14:paraId="0B4D2D9E" w14:textId="77777777" w:rsidR="001F7233" w:rsidRDefault="00000000">
      <w:r>
        <w:rPr>
          <w:b/>
        </w:rPr>
        <w:t xml:space="preserve">SPARTIPP: </w:t>
      </w:r>
    </w:p>
    <w:p w14:paraId="2ADBB754" w14:textId="77777777" w:rsidR="001F7233" w:rsidRDefault="00000000">
      <w:r>
        <w:t xml:space="preserve">• Beantrage ESTA nur über die offizielle Seite </w:t>
      </w:r>
      <w:hyperlink r:id="rId157">
        <w:r w:rsidR="001F7233">
          <w:rPr>
            <w:color w:val="0563C1"/>
            <w:u w:val="single"/>
          </w:rPr>
          <w:t>esta.cbp.dhs.gov</w:t>
        </w:r>
      </w:hyperlink>
      <w:r>
        <w:t xml:space="preserve"> (40 $). Drittanbieter mit ähnlich klingenden Adressen verlangen Aufschläge für dasselbe Formular.</w:t>
      </w:r>
    </w:p>
    <w:p w14:paraId="4A14DC72" w14:textId="77777777" w:rsidR="001F7233" w:rsidRDefault="001F7233">
      <w:pPr>
        <w:spacing w:line="220" w:lineRule="exact"/>
      </w:pPr>
    </w:p>
    <w:p w14:paraId="1D59CD78" w14:textId="77777777" w:rsidR="001F7233" w:rsidRDefault="00000000">
      <w:r>
        <w:rPr>
          <w:b/>
        </w:rPr>
        <w:t>Meetings, Konferenzen, Messen</w:t>
      </w:r>
    </w:p>
    <w:p w14:paraId="192C3615" w14:textId="77777777" w:rsidR="001F7233" w:rsidRDefault="00000000">
      <w:r>
        <w:rPr>
          <w:b/>
        </w:rPr>
        <w:t xml:space="preserve">Nicht erlaubt: </w:t>
      </w:r>
      <w:r>
        <w:t>Am Laptop für den deutschen Arbeitgeber arbeiten, auch remote</w:t>
      </w:r>
    </w:p>
    <w:p w14:paraId="50239407" w14:textId="77777777" w:rsidR="001F7233" w:rsidRDefault="00000000">
      <w:r>
        <w:rPr>
          <w:b/>
        </w:rPr>
        <w:t>Verträge verhandeln, Kunden treffen</w:t>
      </w:r>
    </w:p>
    <w:p w14:paraId="7FF2A68F" w14:textId="77777777" w:rsidR="001F7233" w:rsidRDefault="00000000">
      <w:r>
        <w:rPr>
          <w:b/>
        </w:rPr>
        <w:t xml:space="preserve">Nicht erlaubt: </w:t>
      </w:r>
      <w:r>
        <w:t>Bezahlte oder unbezahlte Mitarbeit in einer US-Firma</w:t>
      </w:r>
    </w:p>
    <w:p w14:paraId="1AECA9DF" w14:textId="77777777" w:rsidR="001F7233" w:rsidRDefault="00000000">
      <w:r>
        <w:rPr>
          <w:b/>
        </w:rPr>
        <w:t>Vorstellungsgespräche in den USA</w:t>
      </w:r>
    </w:p>
    <w:p w14:paraId="043D9579" w14:textId="77777777" w:rsidR="001F7233" w:rsidRDefault="00000000">
      <w:r>
        <w:rPr>
          <w:b/>
        </w:rPr>
        <w:t xml:space="preserve">Nicht erlaubt: </w:t>
      </w:r>
      <w:r>
        <w:t>Probearbeiten, Praktikum, Einarbeitung</w:t>
      </w:r>
    </w:p>
    <w:p w14:paraId="499C050B" w14:textId="77777777" w:rsidR="001F7233" w:rsidRDefault="00000000">
      <w:r>
        <w:rPr>
          <w:b/>
        </w:rPr>
        <w:t>Wohnungen, Schulen, Städte besichtigen</w:t>
      </w:r>
    </w:p>
    <w:p w14:paraId="017A58C8" w14:textId="77777777" w:rsidR="001F7233" w:rsidRDefault="00000000">
      <w:r>
        <w:rPr>
          <w:b/>
        </w:rPr>
        <w:t xml:space="preserve">Nicht erlaubt: </w:t>
      </w:r>
      <w:r>
        <w:t>Aufträge für US-Kunden ausführen</w:t>
      </w:r>
    </w:p>
    <w:p w14:paraId="4DACA5B4" w14:textId="77777777" w:rsidR="001F7233" w:rsidRDefault="001F7233">
      <w:pPr>
        <w:spacing w:line="180" w:lineRule="exact"/>
      </w:pPr>
    </w:p>
    <w:p w14:paraId="735DDB4E" w14:textId="77777777" w:rsidR="001F7233" w:rsidRDefault="00000000">
      <w:pPr>
        <w:spacing w:after="140"/>
      </w:pPr>
      <w:r>
        <w:rPr>
          <w:i/>
          <w:iCs/>
        </w:rPr>
        <w:t xml:space="preserve">Maßstab ist die Vorschrift 22 CFR 41.31: Ausgeschlossen sind Beschäftigung vor Ort und Arbeit gegen Bezahlung (local employment </w:t>
      </w:r>
      <w:r>
        <w:rPr>
          <w:i/>
          <w:iCs/>
        </w:rPr>
        <w:lastRenderedPageBreak/>
        <w:t>or labor for hire), auch unbezahlte produktive Arbeit für US-Quellen zählt dazu. Dass dein Arbeitgeber in Deutschland sitzt und das Gehalt auf ein deutsches Konto fließt, ändert daran nichts: Arbeit auf US-Boden bleibt Arbeit in den USA. Bei einzelnen E-Mails am Flughafen gibt es Grauzonen, aber keinen sicheren Hafen (Safe Harbor). Wer wochenlang von Austin aus Projekte für Berlin bearbeitet, arbeitet. Der Laptop merkt nicht, in welchem Land er steht – die Einwanderungsbehörde schon. Vorstellungsgespräche sind nach gängiger Auslegung der Regeln des Außenministeriums zulässig, eine Bezahlung durch US-Quellen nicht (Auslagenerstattung ausgenommen).</w:t>
      </w:r>
    </w:p>
    <w:p w14:paraId="72B340BC" w14:textId="77777777" w:rsidR="001F7233" w:rsidRDefault="00000000">
      <w:pPr>
        <w:spacing w:after="140"/>
      </w:pPr>
      <w:r>
        <w:t>Verbreiteter Irrtum: Homeoffice für den deutschen Arbeitgeber sei überall auf der Welt erlaubt, solange das Gehalt weiter in Deutschland versteuert wird. Steuerlich bleibt bei kurzen Aufenthalten oft Deutschland zuständig (Doppelbesteuerungsabkommen, Art. 15: höchstens 183 Tage im Kalenderjahr, kein US-Arbeitgeber, keine US-Betriebsstätte); aufenthaltsrechtlich rettet dich das nicht. Die Pflicht, Social-Media-Konten der letzten fünf Jahre anzugeben, ist für ESTA Stand 20.09.2026 nur vorgeschlagen (Entwurf vom 10. Dezember 2025), einen Starttermin gibt es nicht.</w:t>
      </w:r>
    </w:p>
    <w:p w14:paraId="61C760CF" w14:textId="77777777" w:rsidR="001F7233" w:rsidRDefault="00000000">
      <w:r>
        <w:rPr>
          <w:b/>
        </w:rPr>
        <w:t xml:space="preserve">ACHTUNG: </w:t>
      </w:r>
    </w:p>
    <w:p w14:paraId="38D9D06C" w14:textId="77777777" w:rsidR="001F7233" w:rsidRDefault="00000000">
      <w:r>
        <w:t>• Arbeit auf ESTA oder B-1 kann zu Einreiseverweigerung, Visaentzug und Sperren für ESTA und spätere Visa führen. Wer sie bei einem späteren Antrag verschweigt, riskiert den Vorwurf der Falschangabe, mit möglicher Dauersperre. Für den H-1B oder die Green Card der teuerste Fehler, den man vermeiden kann.</w:t>
      </w:r>
    </w:p>
    <w:p w14:paraId="171D964E" w14:textId="77777777" w:rsidR="001F7233" w:rsidRDefault="001F7233">
      <w:pPr>
        <w:spacing w:line="220" w:lineRule="exact"/>
      </w:pPr>
    </w:p>
    <w:p w14:paraId="651BE45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Green-Card-Lotterie: Stand und Vorsicht</w:t>
      </w:r>
    </w:p>
    <w:p w14:paraId="7A1475D6" w14:textId="77777777" w:rsidR="001F7233" w:rsidRDefault="00000000">
      <w:r>
        <w:t xml:space="preserve">Die Teilnahme richtet sich grundsätzlich nach dem Geburtsland und der Länderliste des jeweiligen Programmjahres, nicht einfach nach Pass oder Wohnsitz. Während des offiziellen Registrierungsfensters reichst du höchstens einen Online-Antrag pro Person ein und bewahrst die Bestätigungsnummer auf. Eine Auswahl ist noch kein Visum: Du musst die übrigen Voraussetzungen erfüllen, und ein Visum muss vor Ende des Programmjahres verfügbar und ausgestellt werden. Kündige oder buche nichts auf Grundlage einer möglichen Auswahl. Offizielle Anmeldung und Statusprüfung: </w:t>
      </w:r>
      <w:hyperlink r:id="rId158">
        <w:r w:rsidR="001F7233">
          <w:rPr>
            <w:rStyle w:val="Hyperlink"/>
          </w:rPr>
          <w:t>dvprogram.state.gov</w:t>
        </w:r>
      </w:hyperlink>
    </w:p>
    <w:p w14:paraId="7DF97977" w14:textId="77777777" w:rsidR="001F7233" w:rsidRDefault="00000000">
      <w:pPr>
        <w:spacing w:after="140"/>
      </w:pPr>
      <w:r>
        <w:rPr>
          <w:i/>
          <w:iCs/>
        </w:rPr>
        <w:t>Das Diversity Visa Program stellt jährlich bis zu 55.000 Visa für Staatsangehörige von Ländern mit vergleichsweise geringer Einwanderung in die USA bereit. Deutsche waren für DV-2026 teilnahmeberechtigt. Für dieses Programmjahr gingen 20.822.624 qualifizierte Einträge ein. Rund 129.516 potenzielle Antragsteller samt Ehepartnern und Kindern wurden ausgewählt. Diese Zahlen sind keine persönliche Gewinnchance: Auswahl und spätere Visumerteilung sind verschiedene Schritte. Voraussetzung für Hauptantragsteller ist ein Schulabschluss oder qualifizierte Berufserfahrung. Für DV-2026 endete die Frist zur Visumerteilung am 30. September 2026.</w:t>
      </w:r>
    </w:p>
    <w:p w14:paraId="66B5CBA1" w14:textId="77777777" w:rsidR="001F7233" w:rsidRDefault="00000000">
      <w:pPr>
        <w:pStyle w:val="ListParagraph"/>
        <w:numPr>
          <w:ilvl w:val="0"/>
          <w:numId w:val="1"/>
        </w:numPr>
        <w:spacing w:after="60"/>
      </w:pPr>
      <w:r>
        <w:rPr>
          <w:b/>
          <w:bCs/>
        </w:rPr>
        <w:t>DV-2027: Die Registrierung war am 8. Oktober 2026 noch nicht geöffnet. Das Außenministerium kündigte am 5. November 2025 an, den Start „so bald wie praktikabel“ bekanntzugeben; ein Datum ist weiterhin nicht veröffentlicht. Für DV-2028 gibt es ebenfalls keinen veröffentlichten Termin.</w:t>
      </w:r>
    </w:p>
    <w:p w14:paraId="6751D400" w14:textId="77777777" w:rsidR="001F7233" w:rsidRDefault="00000000">
      <w:pPr>
        <w:pStyle w:val="ListParagraph"/>
        <w:numPr>
          <w:ilvl w:val="0"/>
          <w:numId w:val="1"/>
        </w:numPr>
        <w:spacing w:after="60"/>
      </w:pPr>
      <w:r>
        <w:rPr>
          <w:b/>
          <w:bCs/>
        </w:rPr>
        <w:t xml:space="preserve">Für eine künftige Registrierung gelten eine Gebühr von 1 $ für den Hauptantragsteller und meist die Pflicht, Angaben aus einem gültigen Reisepass sowie einen Scan der </w:t>
      </w:r>
      <w:r>
        <w:rPr>
          <w:b/>
          <w:bCs/>
        </w:rPr>
        <w:lastRenderedPageBreak/>
        <w:t>Datenseite mit Unterschrift einzureichen; Ausnahmen sind meist vorgesehen. Die Passregel gilt seit 10. April 2026.</w:t>
      </w:r>
    </w:p>
    <w:p w14:paraId="493EEF26" w14:textId="77777777" w:rsidR="001F7233" w:rsidRDefault="00000000">
      <w:pPr>
        <w:pStyle w:val="ListParagraph"/>
        <w:numPr>
          <w:ilvl w:val="0"/>
          <w:numId w:val="1"/>
        </w:numPr>
        <w:spacing w:after="60"/>
      </w:pPr>
      <w:r>
        <w:rPr>
          <w:b/>
          <w:bCs/>
        </w:rPr>
        <w:t>DV-2026: Eine gerichtliche Anordnung beendete die frühere Aussetzung zum 28. August 2026. Das State Department setzte die Visumausstellung jedoch mit Wirkung vom 31. August 2026 erneut vollständig aus. Anträge und Interviews konnten weiterlaufen, Visa wurden nicht ausgestellt; Ausnahmen gab es laut Behörde nicht. Mit Ablauf des Programmjahres am 30. September 2026 verfiel jeder nicht erteilte DV-2026-Anspruch.</w:t>
      </w:r>
    </w:p>
    <w:p w14:paraId="0E6954E8" w14:textId="77777777" w:rsidR="001F7233" w:rsidRDefault="001F7233">
      <w:pPr>
        <w:spacing w:line="120" w:lineRule="exact"/>
      </w:pPr>
    </w:p>
    <w:p w14:paraId="79EB026C" w14:textId="77777777" w:rsidR="001F7233" w:rsidRDefault="00000000">
      <w:pPr>
        <w:spacing w:after="140"/>
      </w:pPr>
      <w:r>
        <w:t>Als Planungsgrundlage taugt die Lotterie unter diesen Umständen nicht. Öffnet die Registrierung wieder, ist die Teilnahme ein Lotterielos, kein Plan.</w:t>
      </w:r>
    </w:p>
    <w:p w14:paraId="47C8E7A3" w14:textId="77777777" w:rsidR="001F7233" w:rsidRDefault="00000000">
      <w:r>
        <w:rPr>
          <w:b/>
        </w:rPr>
        <w:t xml:space="preserve">ACHTUNG: </w:t>
      </w:r>
    </w:p>
    <w:p w14:paraId="016B428B" w14:textId="77777777" w:rsidR="001F7233" w:rsidRDefault="00000000">
      <w:r>
        <w:t xml:space="preserve">• Melde dich nur über </w:t>
      </w:r>
      <w:hyperlink r:id="rId159">
        <w:r w:rsidR="001F7233">
          <w:rPr>
            <w:color w:val="0563C1"/>
            <w:u w:val="single"/>
          </w:rPr>
          <w:t>dvprogram.state.gov</w:t>
        </w:r>
      </w:hyperlink>
      <w:r>
        <w:t xml:space="preserve"> an. US-Vertretungen warnen vor Betrügern, die eine Anmeldung zu DV-2027 anbieten, obwohl sie gar nicht geöffnet ist. Wer für „bessere Chancen“ oder ein „garantiertes“ Ergebnis Geld verlangt, gehört nicht zum offiziellen Verfahren.</w:t>
      </w:r>
    </w:p>
    <w:p w14:paraId="0AE4784F" w14:textId="77777777" w:rsidR="001F7233" w:rsidRDefault="001F7233">
      <w:pPr>
        <w:spacing w:line="220" w:lineRule="exact"/>
      </w:pPr>
    </w:p>
    <w:p w14:paraId="79E82F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Heirat und Verlobtenvisum</w:t>
      </w:r>
    </w:p>
    <w:p w14:paraId="5B7F1DFB" w14:textId="77777777" w:rsidR="001F7233" w:rsidRDefault="00000000">
      <w:pPr>
        <w:spacing w:after="140"/>
      </w:pPr>
      <w:r>
        <w:t>Die Ehe mit einem US-Bürger oder einer US-Bürgerin ist ein echter Einwanderungsweg, aber keiner, den man sich zum Zweck der Einreise aussucht; eine Ehe nur für die Papiere ist strafbar. Es gibt zwei Routen (Green Card: Kapitel </w:t>
      </w:r>
      <w:hyperlink w:anchor="k6">
        <w:r w:rsidR="001F7233">
          <w:t>6</w:t>
        </w:r>
      </w:hyperlink>
      <w:r>
        <w:t>, Rolle des Partners: Kapitel </w:t>
      </w:r>
      <w:hyperlink w:anchor="k10">
        <w:r w:rsidR="001F7233">
          <w:t>10</w:t>
        </w:r>
      </w:hyperlink>
      <w:r>
        <w:t>).</w:t>
      </w:r>
    </w:p>
    <w:p w14:paraId="36AE1F7E" w14:textId="77777777" w:rsidR="001F7233" w:rsidRDefault="00000000">
      <w:pPr>
        <w:pStyle w:val="ListParagraph"/>
        <w:numPr>
          <w:ilvl w:val="0"/>
          <w:numId w:val="1"/>
        </w:numPr>
        <w:spacing w:after="60"/>
      </w:pPr>
      <w:r>
        <w:rPr>
          <w:b/>
          <w:bCs/>
        </w:rPr>
        <w:t xml:space="preserve">Verlobtenvisum K-1 (Fiancé(e) Visa): Der US-Partner beantragt es mit Formular I-129F (675 $). Das Paar muss sich in den zwei Jahren davor persönlich begegnet sein. Die Konsulargebühr für K-Visa beträgt 265 $. Nach der Einreise musst du innerhalb von 90 Tagen heiraten und danach die Green Card beantragen (Formular I-485: 1.440 $ Papier, </w:t>
      </w:r>
      <w:r>
        <w:rPr>
          <w:b/>
          <w:bCs/>
        </w:rPr>
        <w:lastRenderedPageBreak/>
        <w:t>1.390 $ online). Kanzleiangaben für 2026: USCIS braucht für den Antrag rund ein Jahr, dazu einige Monate beim Konsulat.</w:t>
      </w:r>
    </w:p>
    <w:p w14:paraId="50FB0189" w14:textId="77777777" w:rsidR="001F7233" w:rsidRDefault="00000000">
      <w:pPr>
        <w:pStyle w:val="ListParagraph"/>
        <w:numPr>
          <w:ilvl w:val="0"/>
          <w:numId w:val="1"/>
        </w:numPr>
        <w:spacing w:after="60"/>
      </w:pPr>
      <w:r>
        <w:rPr>
          <w:b/>
          <w:bCs/>
        </w:rPr>
        <w:t>Ehegattenvisum (IR-1 oder CR-1): Zuerst wird geheiratet, auch in Deutschland. Dann beantragt der US-Partner das Formular I-130 (675 $ Papier, 625 $ online). Es folgt das Konsularverfahren, und du reist mit der Green Card ein. Kanzleien nennen für 2026 etwa 14 bis 24 Monate. Bestand die Ehe bei der Einreise weniger als zwei Jahre, erhältst du zunächst eine bedingte Green Card.</w:t>
      </w:r>
    </w:p>
    <w:p w14:paraId="4876B9AA" w14:textId="77777777" w:rsidR="001F7233" w:rsidRDefault="001F7233">
      <w:pPr>
        <w:spacing w:line="120" w:lineRule="exact"/>
      </w:pPr>
    </w:p>
    <w:p w14:paraId="0DBD80E2" w14:textId="77777777" w:rsidR="001F7233" w:rsidRDefault="00000000">
      <w:pPr>
        <w:spacing w:after="140"/>
      </w:pPr>
      <w:r>
        <w:t xml:space="preserve">Ist der Partner nur Green-Card-Inhaber und kein Staatsbürger, gelten Wartezeiten nach dem </w:t>
      </w:r>
      <w:r>
        <w:rPr>
          <w:i/>
          <w:iCs/>
        </w:rPr>
        <w:t>Visa Bulletin</w:t>
      </w:r>
      <w:r>
        <w:t xml:space="preserve"> (Kapitel </w:t>
      </w:r>
      <w:hyperlink w:anchor="k6">
        <w:r w:rsidR="001F7233">
          <w:t>6</w:t>
        </w:r>
      </w:hyperlink>
      <w:r>
        <w:t>).</w:t>
      </w:r>
    </w:p>
    <w:p w14:paraId="3A061493" w14:textId="77777777" w:rsidR="001F7233" w:rsidRDefault="00000000">
      <w:r>
        <w:rPr>
          <w:b/>
        </w:rPr>
        <w:t xml:space="preserve">ACHTUNG: </w:t>
      </w:r>
    </w:p>
    <w:p w14:paraId="16502744" w14:textId="77777777" w:rsidR="001F7233" w:rsidRDefault="00000000">
      <w:r>
        <w:t>• Der US-Partner unterschreibt eine Verpflichtungserklärung (Affidavit of Support, Formular I-864) und muss ein Einkommen von mindestens 125 % der Armutsgrenze nachweisen. Diese Pflicht endet meist nicht durch Scheidung und wer mit ESTA einreist, um vor Ort zu heiraten und zu bleiben, riskiert den Vorwurf der Täuschung, wenn die Absicht schon bei der Einreise bestand. Lass beides von einem Anwalt prüfen.</w:t>
      </w:r>
    </w:p>
    <w:p w14:paraId="1BFF29B5" w14:textId="77777777" w:rsidR="001F7233" w:rsidRDefault="001F7233">
      <w:pPr>
        <w:spacing w:line="220" w:lineRule="exact"/>
      </w:pPr>
    </w:p>
    <w:p w14:paraId="26EFBB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EB-5 und Gold Card: Wege für Vermögende</w:t>
      </w:r>
    </w:p>
    <w:p w14:paraId="55FCDB49" w14:textId="77777777" w:rsidR="001F7233" w:rsidRDefault="00000000">
      <w:pPr>
        <w:spacing w:after="140"/>
      </w:pPr>
      <w:r>
        <w:rPr>
          <w:i/>
          <w:iCs/>
        </w:rPr>
        <w:t>Der EB-5 ist die Investoren-Green-Card. Du investierst 800.000 $ in ein Projekt in einer ländlichen Region, einem Gebiet mit hoher Arbeitslosigkeit oder in Infrastruktur (Targeted Employment Area), sonst 1.050.000 $. Dein Kapital muss mindestens zehn Vollzeitstellen für US-Beschäftigte schaffen. Rund 10.000 Visa gibt es pro Jahr; die Regionalzentren, über die viele Investoren einsteigen, sind bis 30. September 2027 zugelassen. An USCIS zahlst du für die Petition (I-</w:t>
      </w:r>
      <w:r>
        <w:rPr>
          <w:i/>
          <w:iCs/>
        </w:rPr>
        <w:lastRenderedPageBreak/>
        <w:t>526E) 3.675 $ plus 1.000 $ Integritätsfonds-Gebühr und später 3.750 $ für die Aufhebung der Bedingungen (I-829). Die Beträge stammen aus dem Gebührenblatt G-1055 (Ausgabe 09.09.2026), sind aber umstritten; prüfe das aktuelle Blatt. Dazu kommen Anwalts- und Projektkosten. Das Kapital ist Risikokapital; für die typische Fachkraft ist der EB-5 kein realistischer Weg.</w:t>
      </w:r>
    </w:p>
    <w:p w14:paraId="60755F47" w14:textId="77777777" w:rsidR="001F7233" w:rsidRDefault="00000000">
      <w:r>
        <w:rPr>
          <w:b/>
        </w:rPr>
        <w:t xml:space="preserve">ACHTUNG: </w:t>
      </w:r>
    </w:p>
    <w:p w14:paraId="11D505E1" w14:textId="77777777" w:rsidR="001F7233" w:rsidRDefault="00000000">
      <w:r>
        <w:t>• Wer eine I-526E-Petition bis zum 30. September 2026 einreicht, sichert sich die heutigen Investitionssummen (800.000 $ bzw. 1.050.000 $) für dieses Verfahren dauerhaft ab (Grandfathering), danach drohen höhere Beträge ab 2027. Für die ohnehin seltene Zielgruppe dieses Wegs ist das eine sehr kurzfristige Frist. Prüfe sofort mit einer Kanzlei, ob das noch machbar ist.</w:t>
      </w:r>
    </w:p>
    <w:p w14:paraId="344F4F79" w14:textId="77777777" w:rsidR="001F7233" w:rsidRDefault="001F7233">
      <w:pPr>
        <w:spacing w:line="220" w:lineRule="exact"/>
      </w:pPr>
    </w:p>
    <w:p w14:paraId="61A89A6A" w14:textId="77777777" w:rsidR="001F7233" w:rsidRDefault="00000000">
      <w:pPr>
        <w:spacing w:after="140"/>
      </w:pPr>
      <w:r>
        <w:t>Nur als Randnotiz mit klarer Warnung: Die „Gold Card“ (Executive Order 14351 vom 19. September 2025) verspricht eine Green Card in den Kategorien EB-1 oder EB-2 gegen ein „Geschenk“ von 1 Million $ (Unternehmen: 2 Millionen $ je Person) plus 15.000 $ Gebühr. Nach Presse- und Kanzleiberichten gab es bis Juli 2026 wenige hundert Anträge und eine einzige Genehmigung (April 2026, laut US-Handelsminister); gegen das Programm läuft eine Klage (AAUP gegen DHS, Bundesgericht in Washington). Wer eine reguläre Karte erhält, wird als Green-Card-Inhaber weltweit besteuert (Kapitel </w:t>
      </w:r>
      <w:hyperlink w:anchor="k6">
        <w:r w:rsidR="001F7233">
          <w:t>6</w:t>
        </w:r>
      </w:hyperlink>
      <w:r>
        <w:t xml:space="preserve"> und </w:t>
      </w:r>
      <w:hyperlink w:anchor="k28">
        <w:r w:rsidR="001F7233">
          <w:t>28</w:t>
        </w:r>
      </w:hyperlink>
      <w:r>
        <w:t>) – für die Lebensplanung ist sie nicht geeignet.</w:t>
      </w:r>
    </w:p>
    <w:p w14:paraId="1C38BC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Selbständige, Freiberufler, digitale Nomaden: die Falle</w:t>
      </w:r>
    </w:p>
    <w:p w14:paraId="47B5E4C9" w14:textId="77777777" w:rsidR="001F7233" w:rsidRDefault="00000000">
      <w:pPr>
        <w:spacing w:after="140"/>
      </w:pPr>
      <w:r>
        <w:t xml:space="preserve">Es gibt kein Freelancer-Visum und kein Digital-Nomad-Visum. Der Traum vom Laptop in Austin mit Kunden in Europa hat aufenthaltsrechtlich keine Grundlage (Stand 2026). H-1B, L-1 und O-1 sind an einen Arbeitgeber oder einen Agenten gebunden, eigene </w:t>
      </w:r>
      <w:r>
        <w:lastRenderedPageBreak/>
        <w:t>Aufträge nebenher sind damit nicht erlaubt. Das gilt auch für ESTA und B-1, siehe oben.</w:t>
      </w:r>
    </w:p>
    <w:p w14:paraId="2816CE6F" w14:textId="77777777" w:rsidR="001F7233" w:rsidRDefault="00000000">
      <w:pPr>
        <w:spacing w:after="140"/>
      </w:pPr>
      <w:r>
        <w:t>Was dir bleibt: eine eigene US-Firma mit E-2, wenn du das Kapital hast; eine US-Niederlassung deiner bestehenden Firma per L-1A (siehe unten); der O-1 über einen Agenten, wenn du Spitzenleistung nachweist. Dazu kommen eine Anstellung mit Sponsor, bei der die Selbständigkeit ruht (Kapitel </w:t>
      </w:r>
      <w:hyperlink w:anchor="k5">
        <w:r w:rsidR="001F7233">
          <w:t>5</w:t>
        </w:r>
      </w:hyperlink>
      <w:r>
        <w:t>), sowie Green Card und Ehe, mit denen du frei arbeiten darfst (Kapitel </w:t>
      </w:r>
      <w:hyperlink w:anchor="k6">
        <w:r w:rsidR="001F7233">
          <w:t>6</w:t>
        </w:r>
      </w:hyperlink>
      <w:r>
        <w:t>).</w:t>
      </w:r>
    </w:p>
    <w:p w14:paraId="0DFA42E2" w14:textId="77777777" w:rsidR="001F7233" w:rsidRDefault="00000000">
      <w:pPr>
        <w:spacing w:after="140"/>
      </w:pPr>
      <w:r>
        <w:t xml:space="preserve">Steuerlich kommt ein zweites Thema dazu: Wer sich lange aufhält, wird in den USA steuerlich ansässig. Der </w:t>
      </w:r>
      <w:r>
        <w:rPr>
          <w:i/>
          <w:iCs/>
        </w:rPr>
        <w:t>Substantial Presence Test</w:t>
      </w:r>
      <w:r>
        <w:t xml:space="preserve"> zählt Tage: mindestens 31 Tage im laufenden Jahr und 183 gewichtete Tage (das laufende Jahr voll, das Vorjahr zu einem Drittel, das Jahr davor zu einem Sechstel). Das hat mit der Aufenthaltserlaubnis nichts zu tun (Kapitel </w:t>
      </w:r>
      <w:hyperlink w:anchor="k28">
        <w:r w:rsidR="001F7233">
          <w:t>28</w:t>
        </w:r>
      </w:hyperlink>
      <w:r>
        <w:t>).</w:t>
      </w:r>
    </w:p>
    <w:p w14:paraId="54E48150" w14:textId="77777777" w:rsidR="001F7233" w:rsidRDefault="00000000">
      <w:r>
        <w:rPr>
          <w:b/>
        </w:rPr>
        <w:t xml:space="preserve">MERKE: </w:t>
      </w:r>
    </w:p>
    <w:p w14:paraId="5D41B027" w14:textId="77777777" w:rsidR="001F7233" w:rsidRDefault="00000000">
      <w:r>
        <w:t>• Wichtig ist der Ort, an dem du arbeitest, nicht der Sitz deines Arbeitgebers und nicht das Konto, auf dem das Geld landet.</w:t>
      </w:r>
    </w:p>
    <w:p w14:paraId="3C0FBD0F" w14:textId="77777777" w:rsidR="001F7233" w:rsidRDefault="001F7233">
      <w:pPr>
        <w:spacing w:line="220" w:lineRule="exact"/>
      </w:pPr>
    </w:p>
    <w:p w14:paraId="42D4A9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Start-up-Gründung</w:t>
      </w:r>
    </w:p>
    <w:p w14:paraId="737F8CF9" w14:textId="77777777" w:rsidR="001F7233" w:rsidRDefault="00000000">
      <w:pPr>
        <w:spacing w:after="140"/>
      </w:pPr>
      <w:r>
        <w:t>Eine Firma in Delaware online zu gründen, dauert einen Nachmittag; ein Aufenthaltsrecht folgt daraus nicht. Für Gründerinnen und Gründer kommen diese Wege infrage:</w:t>
      </w:r>
    </w:p>
    <w:p w14:paraId="7F500ED6" w14:textId="77777777" w:rsidR="001F7233" w:rsidRDefault="00000000">
      <w:pPr>
        <w:pStyle w:val="ListParagraph"/>
        <w:numPr>
          <w:ilvl w:val="0"/>
          <w:numId w:val="1"/>
        </w:numPr>
        <w:spacing w:after="60"/>
      </w:pPr>
      <w:r>
        <w:rPr>
          <w:b/>
          <w:bCs/>
        </w:rPr>
        <w:t>E-2:</w:t>
      </w:r>
      <w:r>
        <w:t xml:space="preserve"> Du investierst eigenes Kapital in die US-Firma (siehe oben). Das ist der häufigste Gründerweg für Deutsche.</w:t>
      </w:r>
    </w:p>
    <w:p w14:paraId="3D56149D" w14:textId="77777777" w:rsidR="001F7233" w:rsidRDefault="00000000">
      <w:pPr>
        <w:pStyle w:val="ListParagraph"/>
        <w:numPr>
          <w:ilvl w:val="0"/>
          <w:numId w:val="1"/>
        </w:numPr>
        <w:spacing w:after="60"/>
      </w:pPr>
      <w:r>
        <w:rPr>
          <w:b/>
          <w:bCs/>
        </w:rPr>
        <w:t>L-1A mit neuem Büro (New Office): Voraussetzung ist ein Jahr Leitung deiner deutschen Firma. Die US-Niederlassung braucht tatsächliche Räume, Finanzkraft und einen Plan. Ein virtuelles Büro genügt nach den USCIS-Leitlinien meist nicht. Die Erstzulassung gilt ein Jahr.</w:t>
      </w:r>
    </w:p>
    <w:p w14:paraId="2A61A207" w14:textId="77777777" w:rsidR="001F7233" w:rsidRDefault="00000000">
      <w:pPr>
        <w:pStyle w:val="ListParagraph"/>
        <w:numPr>
          <w:ilvl w:val="0"/>
          <w:numId w:val="1"/>
        </w:numPr>
        <w:spacing w:after="60"/>
      </w:pPr>
      <w:r>
        <w:rPr>
          <w:b/>
          <w:bCs/>
        </w:rPr>
        <w:lastRenderedPageBreak/>
        <w:t>O-1:</w:t>
      </w:r>
      <w:r>
        <w:t xml:space="preserve"> Er passt, wenn deine Leistungen die Kriterien erfüllen (siehe oben).</w:t>
      </w:r>
    </w:p>
    <w:p w14:paraId="7E91BBF5" w14:textId="77777777" w:rsidR="001F7233" w:rsidRDefault="00000000">
      <w:pPr>
        <w:pStyle w:val="ListParagraph"/>
        <w:numPr>
          <w:ilvl w:val="0"/>
          <w:numId w:val="1"/>
        </w:numPr>
        <w:spacing w:after="60"/>
      </w:pPr>
      <w:r>
        <w:rPr>
          <w:b/>
          <w:bCs/>
        </w:rPr>
        <w:t>International Entrepreneur Rule: ein Sonderweg mit befristeter Einreiseerlaubnis (Parole, kein Visum. Formular I-941) für Gründer mit erheblichen Mitteln qualifizierter US-Investoren. Laut USCIS besteht das Programm weiter, die Schwellen liegen nach Kanzleiangaben bei gut 300.000 $ (Stand Oktober 2024), die Entscheidung ist Ermessenssache.</w:t>
      </w:r>
    </w:p>
    <w:p w14:paraId="37E4A8E8" w14:textId="77777777" w:rsidR="001F7233" w:rsidRDefault="00000000">
      <w:pPr>
        <w:pStyle w:val="ListParagraph"/>
        <w:numPr>
          <w:ilvl w:val="0"/>
          <w:numId w:val="1"/>
        </w:numPr>
        <w:spacing w:after="60"/>
      </w:pPr>
      <w:r>
        <w:rPr>
          <w:b/>
          <w:bCs/>
        </w:rPr>
        <w:t>H-1B mit eigener Firma:</w:t>
      </w:r>
      <w:r>
        <w:t xml:space="preserve"> Wer mehr als 50 % der Anteile oder Stimmrechte hält, erhält Erstgenehmigung und erste Verlängerung nur für je 18 Monate (Kapitel </w:t>
      </w:r>
      <w:hyperlink w:anchor="k5">
        <w:r w:rsidR="001F7233">
          <w:t>5</w:t>
        </w:r>
      </w:hyperlink>
      <w:r>
        <w:t>).</w:t>
      </w:r>
    </w:p>
    <w:p w14:paraId="5A308C58" w14:textId="77777777" w:rsidR="001F7233" w:rsidRDefault="001F7233">
      <w:pPr>
        <w:spacing w:line="120" w:lineRule="exact"/>
      </w:pPr>
    </w:p>
    <w:p w14:paraId="1384F16D" w14:textId="77777777" w:rsidR="001F7233" w:rsidRDefault="00000000">
      <w:pPr>
        <w:spacing w:after="140"/>
      </w:pPr>
      <w:r>
        <w:t>Ein B-1 oder ESTA deckt nur die Vorbereitung ab: Gespräche mit Investoren, Marktbesuche, Formalitäten. Sobald du das laufende Geschäft führst, arbeitest du.</w:t>
      </w:r>
    </w:p>
    <w:p w14:paraId="6E2E93D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Weitere Wege: L-1, O-1, E-2, J-1, Lotterie, Heirat, Selbständigkeit</w:t>
      </w:r>
    </w:p>
    <w:p w14:paraId="0BE9EC75" w14:textId="77777777" w:rsidR="001F7233" w:rsidRDefault="00000000">
      <w:r>
        <w:rPr>
          <w:b/>
        </w:rPr>
        <w:t>Plus: Bei L-1, O-1, E-2 und J-1 gibt es weder Lotterie noch Jahresquote wie beim H-1B</w:t>
      </w:r>
    </w:p>
    <w:p w14:paraId="28210013" w14:textId="77777777" w:rsidR="001F7233" w:rsidRDefault="00000000">
      <w:r>
        <w:rPr>
          <w:b/>
        </w:rPr>
        <w:t xml:space="preserve">Minus: </w:t>
      </w:r>
      <w:r>
        <w:t>Jeder Weg verlangt eine Eintrittskarte: Konzern, Spitzenakte, Kapital oder Programmplatz</w:t>
      </w:r>
    </w:p>
    <w:p w14:paraId="150C9BE4" w14:textId="77777777" w:rsidR="001F7233" w:rsidRDefault="00000000">
      <w:r>
        <w:rPr>
          <w:b/>
        </w:rPr>
        <w:t>Plus: L-2- und E-2-Partner dürfen ohne eigenen Antrag arbeiten</w:t>
      </w:r>
    </w:p>
    <w:p w14:paraId="1FC53C24" w14:textId="77777777" w:rsidR="001F7233" w:rsidRDefault="00000000">
      <w:r>
        <w:rPr>
          <w:b/>
        </w:rPr>
        <w:t xml:space="preserve">Minus: </w:t>
      </w:r>
      <w:r>
        <w:t>Beim O-1 dürfen Partner nicht arbeiten, beim J-2 ist ein Antrag nötig</w:t>
      </w:r>
    </w:p>
    <w:p w14:paraId="6CA10166" w14:textId="77777777" w:rsidR="001F7233" w:rsidRDefault="00000000">
      <w:r>
        <w:rPr>
          <w:b/>
        </w:rPr>
        <w:t>Plus: Der L-1 erlaubt Green-Card-Pläne (Dual Intent)</w:t>
      </w:r>
    </w:p>
    <w:p w14:paraId="77BF9B77" w14:textId="77777777" w:rsidR="001F7233" w:rsidRDefault="00000000">
      <w:r>
        <w:rPr>
          <w:b/>
        </w:rPr>
        <w:t>Minus: L-1B endet nach fünf Jahren, L-1A nach sieben. E-2 und J-1 führen nicht zur Green Card.</w:t>
      </w:r>
    </w:p>
    <w:p w14:paraId="0CBC165A" w14:textId="77777777" w:rsidR="001F7233" w:rsidRDefault="00000000">
      <w:r>
        <w:rPr>
          <w:b/>
        </w:rPr>
        <w:t>Plus: E-2 lässt sich unbegrenzt, O-1 jährlich verlängern</w:t>
      </w:r>
    </w:p>
    <w:p w14:paraId="26B22063" w14:textId="77777777" w:rsidR="001F7233" w:rsidRDefault="00000000">
      <w:r>
        <w:rPr>
          <w:b/>
        </w:rPr>
        <w:lastRenderedPageBreak/>
        <w:t>Minus: Der Status hängt an Konzern, Firma oder Programm; bei Jobverlust bleibt nur eine kurze Frist.</w:t>
      </w:r>
    </w:p>
    <w:p w14:paraId="1A913774" w14:textId="77777777" w:rsidR="001F7233" w:rsidRDefault="00000000">
      <w:r>
        <w:rPr>
          <w:b/>
        </w:rPr>
        <w:t>Plus: Bei L-1 und O-1 trägt meist der Arbeitgeber die USCIS-Gebühren</w:t>
      </w:r>
    </w:p>
    <w:p w14:paraId="50092D8A" w14:textId="77777777" w:rsidR="001F7233" w:rsidRDefault="00000000">
      <w:r>
        <w:rPr>
          <w:b/>
        </w:rPr>
        <w:t xml:space="preserve">Minus: </w:t>
      </w:r>
      <w:r>
        <w:t>O-1 und E-2 brauchen aufwendige Belege und in der Praxis einen Anwalt</w:t>
      </w:r>
    </w:p>
    <w:p w14:paraId="0B24DD27" w14:textId="77777777" w:rsidR="001F7233" w:rsidRDefault="00000000">
      <w:r>
        <w:rPr>
          <w:b/>
        </w:rPr>
        <w:t>Plus: Deutsche sind E-2-berechtigt und von den Einreisestopps 2026 nicht betroffen</w:t>
      </w:r>
    </w:p>
    <w:p w14:paraId="2044E8BA" w14:textId="77777777" w:rsidR="001F7233" w:rsidRDefault="00000000">
      <w:r>
        <w:rPr>
          <w:b/>
        </w:rPr>
        <w:t xml:space="preserve">Minus: </w:t>
      </w:r>
      <w:r>
        <w:t>Gebühren und Regeln ändern sich schnell (Visa Integrity Fee, Online-Prüfung)</w:t>
      </w:r>
    </w:p>
    <w:p w14:paraId="0EA0ECF5" w14:textId="77777777" w:rsidR="001F7233" w:rsidRDefault="001F7233">
      <w:pPr>
        <w:spacing w:line="180" w:lineRule="exact"/>
      </w:pPr>
    </w:p>
    <w:p w14:paraId="4EAF2E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189412A" w14:textId="77777777" w:rsidR="001F7233" w:rsidRDefault="00000000">
      <w:pPr>
        <w:pStyle w:val="ListParagraph"/>
        <w:numPr>
          <w:ilvl w:val="0"/>
          <w:numId w:val="14"/>
        </w:numPr>
        <w:spacing w:after="60"/>
      </w:pPr>
      <w:r>
        <w:t>Prüfe, welche Eintrittskarte du hast: Konzernverbindung mit einem Jahr im Ausland (L-1), belegbare Spitzenleistung (O-1), Kapital und Geschäftsidee (E-2) oder Programmplatz (J-1).</w:t>
      </w:r>
    </w:p>
    <w:p w14:paraId="7995C34B" w14:textId="77777777" w:rsidR="001F7233" w:rsidRDefault="00000000">
      <w:pPr>
        <w:pStyle w:val="ListParagraph"/>
        <w:numPr>
          <w:ilvl w:val="0"/>
          <w:numId w:val="2"/>
        </w:numPr>
        <w:spacing w:after="60"/>
      </w:pPr>
      <w:r>
        <w:t>Frage als Konzernbeschäftigte oder Konzernbeschäftigter die Personalabteilung, ob Versetzungen in die USA üblich sind und der Konzern eine Sammelgenehmigung besitzt.</w:t>
      </w:r>
    </w:p>
    <w:p w14:paraId="017208B0" w14:textId="77777777" w:rsidR="001F7233" w:rsidRDefault="00000000">
      <w:pPr>
        <w:pStyle w:val="ListParagraph"/>
        <w:numPr>
          <w:ilvl w:val="0"/>
          <w:numId w:val="2"/>
        </w:numPr>
        <w:spacing w:after="60"/>
      </w:pPr>
      <w:r>
        <w:t>Lass bei O-1 und E-2 eine Ersteinschätzung durch eine Einwanderungsanwältin oder einen Einwanderungsanwalt machen, bevor du Geld einsetzt (Kapitel </w:t>
      </w:r>
      <w:hyperlink w:anchor="k11">
        <w:r w:rsidR="001F7233">
          <w:t>11</w:t>
        </w:r>
      </w:hyperlink>
      <w:r>
        <w:t>).</w:t>
      </w:r>
    </w:p>
    <w:p w14:paraId="0EC405E8" w14:textId="77777777" w:rsidR="001F7233" w:rsidRDefault="00000000">
      <w:pPr>
        <w:pStyle w:val="ListParagraph"/>
        <w:numPr>
          <w:ilvl w:val="0"/>
          <w:numId w:val="2"/>
        </w:numPr>
        <w:spacing w:after="60"/>
      </w:pPr>
      <w:r>
        <w:t>Plane Erkundungsreisen und Vorstellungsgespräche mit ESTA, aber ohne Arbeit.</w:t>
      </w:r>
    </w:p>
    <w:p w14:paraId="11235114" w14:textId="77777777" w:rsidR="001F7233" w:rsidRDefault="00000000">
      <w:pPr>
        <w:pStyle w:val="ListParagraph"/>
        <w:numPr>
          <w:ilvl w:val="0"/>
          <w:numId w:val="2"/>
        </w:numPr>
        <w:spacing w:after="60"/>
      </w:pPr>
      <w:r>
        <w:t>Halte einen Plan B bereit, etwa den Studienweg (Kapitel </w:t>
      </w:r>
      <w:hyperlink w:anchor="k8">
        <w:r w:rsidR="001F7233">
          <w:t>8</w:t>
        </w:r>
      </w:hyperlink>
      <w:r>
        <w:t>).</w:t>
      </w:r>
    </w:p>
    <w:p w14:paraId="12EA294C" w14:textId="77777777" w:rsidR="001F7233" w:rsidRDefault="001F7233">
      <w:pPr>
        <w:spacing w:line="120" w:lineRule="exact"/>
      </w:pPr>
    </w:p>
    <w:p w14:paraId="3C3F0D35" w14:textId="77777777" w:rsidR="001F7233" w:rsidRDefault="00000000">
      <w:r>
        <w:t>• Dieses Kapitel beschreibt Regeln und Praxis, ersetzt aber keine Beratung im Einzelfall. Ob L-1, O-1 oder E-2 für dich tragen, entscheidet sich an Details, die nur eine Einwanderungsanwältin oder ein Einwanderungsanwalt anhand deiner Unterlagen beurteilen kann.</w:t>
      </w:r>
    </w:p>
    <w:p w14:paraId="59EA7C1D" w14:textId="77777777" w:rsidR="001F7233" w:rsidRDefault="001F7233">
      <w:pPr>
        <w:spacing w:line="220" w:lineRule="exact"/>
      </w:pPr>
    </w:p>
    <w:p w14:paraId="13A83C34" w14:textId="77777777" w:rsidR="001F7233" w:rsidRDefault="00000000">
      <w:r>
        <w:t>• Eintrittskarte geklärt: Konzernjahr, Leistungsbelege, Kapital oder Programmplatz.</w:t>
      </w:r>
    </w:p>
    <w:p w14:paraId="381A5E4C" w14:textId="77777777" w:rsidR="001F7233" w:rsidRDefault="00000000">
      <w:r>
        <w:lastRenderedPageBreak/>
        <w:t>• Bei Konzernbeschäftigung: Personalabteilung nach Versetzung, L-1 und Blanket L gefragt; Zeit im Konzern im Ausland dokumentiert.</w:t>
      </w:r>
    </w:p>
    <w:p w14:paraId="66A0676B" w14:textId="77777777" w:rsidR="001F7233" w:rsidRDefault="00000000">
      <w:r>
        <w:t>• Bei O-1: Belege gesammelt (Preise, Veröffentlichungen, Medienberichte, Gutachtertätigkeit, Gehalt) und gegen die acht Kriterien geprüft.</w:t>
      </w:r>
    </w:p>
    <w:p w14:paraId="32AC5D99" w14:textId="77777777" w:rsidR="001F7233" w:rsidRDefault="00000000">
      <w:r>
        <w:t>• Bei E-2: Businessplan, Investitionshöhe und Herkunft des Geldes mit einem Anwalt besprochen.</w:t>
      </w:r>
    </w:p>
    <w:p w14:paraId="198F7560" w14:textId="77777777" w:rsidR="001F7233" w:rsidRDefault="00000000">
      <w:r>
        <w:t>• Bei J-1: Sponsor schriftlich gefragt, ob die Zwei-Jahres-Regel (212(e)) gilt.</w:t>
      </w:r>
    </w:p>
    <w:p w14:paraId="2F969F98" w14:textId="77777777" w:rsidR="001F7233" w:rsidRDefault="00000000">
      <w:r>
        <w:t>• Reisen mit ESTA oder B-1 ohne jede Arbeit geplant. ESTA nur über die offizielle Seite beantragt.</w:t>
      </w:r>
    </w:p>
    <w:p w14:paraId="40755B24" w14:textId="77777777" w:rsidR="001F7233" w:rsidRDefault="00000000">
      <w:r>
        <w:t xml:space="preserve">• Lotterie: nur </w:t>
      </w:r>
      <w:hyperlink r:id="rId160">
        <w:r w:rsidR="001F7233">
          <w:rPr>
            <w:color w:val="0563C1"/>
            <w:u w:val="single"/>
          </w:rPr>
          <w:t>dvprogram.state.gov</w:t>
        </w:r>
      </w:hyperlink>
      <w:r>
        <w:t xml:space="preserve"> genutzt, keine Zahlung an Vermittler.</w:t>
      </w:r>
    </w:p>
    <w:p w14:paraId="71365482" w14:textId="77777777" w:rsidR="001F7233" w:rsidRDefault="00000000">
      <w:r>
        <w:t>• Gebühren mit aktuellem USCIS-Gebührenblatt G-1055 abgeglichen.</w:t>
      </w:r>
    </w:p>
    <w:p w14:paraId="4C54F6A9" w14:textId="77777777" w:rsidR="001F7233" w:rsidRDefault="00000000">
      <w:r>
        <w:t>• Plan B parallel festgelegt (</w:t>
      </w:r>
      <w:hyperlink w:anchor="k5">
        <w:r w:rsidR="001F7233">
          <w:rPr>
            <w:color w:val="0563C1"/>
            <w:u w:val="single"/>
          </w:rPr>
          <w:t>Kapitel 5</w:t>
        </w:r>
      </w:hyperlink>
      <w:r>
        <w:t xml:space="preserve"> und 8).</w:t>
      </w:r>
    </w:p>
    <w:p w14:paraId="72879FE9" w14:textId="77777777" w:rsidR="001F7233" w:rsidRDefault="001F7233">
      <w:pPr>
        <w:spacing w:line="220" w:lineRule="exact"/>
      </w:pPr>
    </w:p>
    <w:p w14:paraId="580EAA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5BA54F5" w14:textId="77777777" w:rsidR="001F7233" w:rsidRDefault="00000000">
      <w:pPr>
        <w:pStyle w:val="ListParagraph"/>
        <w:numPr>
          <w:ilvl w:val="0"/>
          <w:numId w:val="1"/>
        </w:numPr>
        <w:spacing w:after="60"/>
      </w:pPr>
      <w:r>
        <w:t>USCIS — L-1, O-1, E-1/E-2 und weitere Arbeitsvisa (</w:t>
      </w:r>
      <w:hyperlink r:id="rId161">
        <w:r w:rsidR="001F7233">
          <w:rPr>
            <w:color w:val="0563C1"/>
            <w:u w:val="single"/>
          </w:rPr>
          <w:t>US-Außenministerium: temporäre Arbeitsvisa</w:t>
        </w:r>
      </w:hyperlink>
      <w:r>
        <w:t>)</w:t>
      </w:r>
    </w:p>
    <w:p w14:paraId="185A0B7B" w14:textId="77777777" w:rsidR="001F7233" w:rsidRDefault="00000000">
      <w:pPr>
        <w:pStyle w:val="ListParagraph"/>
        <w:numPr>
          <w:ilvl w:val="0"/>
          <w:numId w:val="1"/>
        </w:numPr>
        <w:spacing w:after="60"/>
      </w:pPr>
      <w:r>
        <w:t>USCIS — Gebührenblatt G-1055 (</w:t>
      </w:r>
      <w:hyperlink r:id="rId162">
        <w:r w:rsidR="001F7233">
          <w:rPr>
            <w:color w:val="0563C1"/>
            <w:u w:val="single"/>
          </w:rPr>
          <w:t>uscis.gov/g-1055</w:t>
        </w:r>
      </w:hyperlink>
      <w:r>
        <w:t>)</w:t>
      </w:r>
    </w:p>
    <w:p w14:paraId="5177244E" w14:textId="77777777" w:rsidR="001F7233" w:rsidRPr="00B8323E" w:rsidRDefault="00000000">
      <w:pPr>
        <w:pStyle w:val="ListParagraph"/>
        <w:numPr>
          <w:ilvl w:val="0"/>
          <w:numId w:val="1"/>
        </w:numPr>
        <w:spacing w:after="60"/>
        <w:rPr>
          <w:lang w:val="en-US"/>
        </w:rPr>
      </w:pPr>
      <w:r w:rsidRPr="00B8323E">
        <w:rPr>
          <w:lang w:val="en-US"/>
        </w:rPr>
        <w:t>USCIS — International Entrepreneur Rule (</w:t>
      </w:r>
      <w:hyperlink r:id="rId163">
        <w:r w:rsidR="001F7233" w:rsidRPr="00B8323E">
          <w:rPr>
            <w:color w:val="0563C1"/>
            <w:u w:val="single"/>
            <w:lang w:val="en-US"/>
          </w:rPr>
          <w:t>uscis.gov/working-in-the-united-states/international-entrepreneur-rule</w:t>
        </w:r>
      </w:hyperlink>
      <w:r w:rsidRPr="00B8323E">
        <w:rPr>
          <w:lang w:val="en-US"/>
        </w:rPr>
        <w:t>)</w:t>
      </w:r>
    </w:p>
    <w:p w14:paraId="62B8AE22" w14:textId="77777777" w:rsidR="001F7233" w:rsidRPr="00B8323E" w:rsidRDefault="00000000">
      <w:pPr>
        <w:pStyle w:val="ListParagraph"/>
        <w:numPr>
          <w:ilvl w:val="0"/>
          <w:numId w:val="1"/>
        </w:numPr>
        <w:spacing w:after="60"/>
        <w:rPr>
          <w:lang w:val="en-US"/>
        </w:rPr>
      </w:pPr>
      <w:r w:rsidRPr="00B8323E">
        <w:rPr>
          <w:lang w:val="en-US"/>
        </w:rPr>
        <w:t>State Department — J-1-Austauschprogramme (</w:t>
      </w:r>
      <w:hyperlink r:id="rId164">
        <w:r w:rsidR="001F7233" w:rsidRPr="00B8323E">
          <w:rPr>
            <w:color w:val="0563C1"/>
            <w:u w:val="single"/>
            <w:lang w:val="en-US"/>
          </w:rPr>
          <w:t>exchanges.state.gov</w:t>
        </w:r>
      </w:hyperlink>
      <w:r w:rsidRPr="00B8323E">
        <w:rPr>
          <w:lang w:val="en-US"/>
        </w:rPr>
        <w:t>)</w:t>
      </w:r>
    </w:p>
    <w:p w14:paraId="61FD3A79" w14:textId="77777777" w:rsidR="001F7233" w:rsidRPr="00B8323E" w:rsidRDefault="00000000">
      <w:pPr>
        <w:pStyle w:val="ListParagraph"/>
        <w:numPr>
          <w:ilvl w:val="0"/>
          <w:numId w:val="1"/>
        </w:numPr>
        <w:spacing w:after="60"/>
        <w:rPr>
          <w:lang w:val="en-US"/>
        </w:rPr>
      </w:pPr>
      <w:r w:rsidRPr="00B8323E">
        <w:rPr>
          <w:lang w:val="en-US"/>
        </w:rPr>
        <w:t>State Department — B-1-Visum, erlaubte Tätigkeiten (</w:t>
      </w:r>
      <w:hyperlink r:id="rId165">
        <w:r w:rsidR="001F7233" w:rsidRPr="00B8323E">
          <w:rPr>
            <w:color w:val="0563C1"/>
            <w:u w:val="single"/>
            <w:lang w:val="en-US"/>
          </w:rPr>
          <w:t>travel.state.gov/content/travel/en/us-visas/business/b-1-fact-sheet.html</w:t>
        </w:r>
      </w:hyperlink>
      <w:r w:rsidRPr="00B8323E">
        <w:rPr>
          <w:lang w:val="en-US"/>
        </w:rPr>
        <w:t>)</w:t>
      </w:r>
    </w:p>
    <w:p w14:paraId="4AB911EB" w14:textId="77777777" w:rsidR="001F7233" w:rsidRPr="00B8323E" w:rsidRDefault="00000000">
      <w:pPr>
        <w:pStyle w:val="ListParagraph"/>
        <w:numPr>
          <w:ilvl w:val="0"/>
          <w:numId w:val="1"/>
        </w:numPr>
        <w:spacing w:after="60"/>
        <w:rPr>
          <w:lang w:val="en-US"/>
        </w:rPr>
      </w:pPr>
      <w:r w:rsidRPr="00B8323E">
        <w:rPr>
          <w:lang w:val="en-US"/>
        </w:rPr>
        <w:t>CBP — ESTA und Visa Waiver Program (</w:t>
      </w:r>
      <w:hyperlink r:id="rId166">
        <w:r w:rsidR="001F7233" w:rsidRPr="00B8323E">
          <w:rPr>
            <w:color w:val="0563C1"/>
            <w:u w:val="single"/>
            <w:lang w:val="en-US"/>
          </w:rPr>
          <w:t>esta.cbp.dhs.gov</w:t>
        </w:r>
      </w:hyperlink>
      <w:r w:rsidRPr="00B8323E">
        <w:rPr>
          <w:lang w:val="en-US"/>
        </w:rPr>
        <w:t xml:space="preserve">, </w:t>
      </w:r>
      <w:hyperlink r:id="rId167">
        <w:r w:rsidR="001F7233" w:rsidRPr="00B8323E">
          <w:rPr>
            <w:color w:val="0563C1"/>
            <w:u w:val="single"/>
            <w:lang w:val="en-US"/>
          </w:rPr>
          <w:t>cbp.gov/travel/international-visitors/visa-waiver-program</w:t>
        </w:r>
      </w:hyperlink>
      <w:r w:rsidRPr="00B8323E">
        <w:rPr>
          <w:lang w:val="en-US"/>
        </w:rPr>
        <w:t>)</w:t>
      </w:r>
    </w:p>
    <w:p w14:paraId="38F135AB" w14:textId="77777777" w:rsidR="001F7233" w:rsidRPr="00B8323E" w:rsidRDefault="00000000">
      <w:pPr>
        <w:pStyle w:val="ListParagraph"/>
        <w:numPr>
          <w:ilvl w:val="0"/>
          <w:numId w:val="1"/>
        </w:numPr>
        <w:spacing w:after="60"/>
        <w:rPr>
          <w:lang w:val="en-US"/>
        </w:rPr>
      </w:pPr>
      <w:r w:rsidRPr="00B8323E">
        <w:rPr>
          <w:lang w:val="en-US"/>
        </w:rPr>
        <w:t>State Department — Diversity-Visa-Anmeldung (</w:t>
      </w:r>
      <w:hyperlink r:id="rId168">
        <w:r w:rsidR="001F7233" w:rsidRPr="00B8323E">
          <w:rPr>
            <w:color w:val="0563C1"/>
            <w:u w:val="single"/>
            <w:lang w:val="en-US"/>
          </w:rPr>
          <w:t>dvprogram.state.gov</w:t>
        </w:r>
      </w:hyperlink>
      <w:r w:rsidRPr="00B8323E">
        <w:rPr>
          <w:lang w:val="en-US"/>
        </w:rPr>
        <w:t>)</w:t>
      </w:r>
    </w:p>
    <w:p w14:paraId="18A4BE09" w14:textId="77777777" w:rsidR="001F7233" w:rsidRDefault="00000000">
      <w:pPr>
        <w:pStyle w:val="ListParagraph"/>
        <w:numPr>
          <w:ilvl w:val="0"/>
          <w:numId w:val="1"/>
        </w:numPr>
        <w:spacing w:after="60"/>
      </w:pPr>
      <w:r>
        <w:lastRenderedPageBreak/>
        <w:t>US-Vertretungen in Deutschland — Visa (</w:t>
      </w:r>
      <w:hyperlink r:id="rId169">
        <w:r w:rsidR="001F7233">
          <w:rPr>
            <w:color w:val="0563C1"/>
            <w:u w:val="single"/>
          </w:rPr>
          <w:t>de.usembassy.gov</w:t>
        </w:r>
      </w:hyperlink>
      <w:r>
        <w:t>)</w:t>
      </w:r>
    </w:p>
    <w:p w14:paraId="031B1BBE" w14:textId="77777777" w:rsidR="001F7233" w:rsidRDefault="001F7233">
      <w:pPr>
        <w:spacing w:line="120" w:lineRule="exact"/>
      </w:pPr>
    </w:p>
    <w:p w14:paraId="4203EB8A" w14:textId="77777777" w:rsidR="001F7233" w:rsidRDefault="00000000">
      <w:r>
        <w:t>• Quellenstand September 2026; redaktionell geprüft am 8. Oktober 2026. Diese Angaben ändern sich schnell: USCIS-Gebühren (G-1055) und Visa Integrity Fee, die Diversity-Visa-Lotterie (DV-2026 ist am 30.09.2026 ausgelaufen; DV-2027-Registrierung noch nicht eröffnet. Visumausstellung derzeit ausgesetzt), die Klage gegen die Gold Card, Social-Media-Angaben bei ESTA (nur vorgeschlagen), der Entwurf zur Abschaffung der 60-Tage-Frist nach Jobverlust (Kommentierungsfrist 10.11.2026) sowie die Regeln zu E-2 und Gründerwegen. Prüfe die offiziellen Seiten vor jeder Entscheidung.</w:t>
      </w:r>
    </w:p>
    <w:p w14:paraId="2B6FEAB9" w14:textId="77777777" w:rsidR="001F7233" w:rsidRDefault="00000000">
      <w:pPr>
        <w:spacing w:line="220" w:lineRule="exact"/>
      </w:pPr>
      <w:r>
        <w:br w:type="page"/>
      </w:r>
    </w:p>
    <w:p w14:paraId="7F8C80A9" w14:textId="77777777" w:rsidR="001F7233" w:rsidRDefault="00000000">
      <w:pPr>
        <w:pStyle w:val="Heading2"/>
        <w:keepNext/>
        <w:spacing w:line="341" w:lineRule="auto"/>
        <w:jc w:val="center"/>
      </w:pPr>
      <w:bookmarkStart w:id="33" w:name="k10"/>
      <w:r>
        <w:rPr>
          <w:rFonts w:ascii="Amazon Ember" w:eastAsia="Amazon Ember" w:hAnsi="Amazon Ember" w:cs="Amazon Ember"/>
          <w:color w:val="0000FF"/>
          <w:sz w:val="36"/>
          <w:szCs w:val="36"/>
        </w:rPr>
        <w:lastRenderedPageBreak/>
        <w:t>Kapitel 10: Ehepartner und Kinder im Visumssystem</w:t>
      </w:r>
      <w:bookmarkEnd w:id="33"/>
    </w:p>
    <w:p w14:paraId="4C30E235" w14:textId="77777777" w:rsidR="001F7233" w:rsidRDefault="00000000">
      <w:pPr>
        <w:spacing w:after="140"/>
      </w:pPr>
      <w:r>
        <w:t>Die Genehmigung ist da, die Familie feiert und erst beim Lesen der Unterlagen fällt die Zeile auf, die die nächsten Jahre prägt: Ehepartner, Status H-4, keine Arbeitserlaubnis. Das Visum trägt einen Namen, der Umzug betrifft vier Personen und ob der zweite Erwachsene in den USA arbeiten darf, hängt allein vom Status der Hauptperson ab. Bei L-1 und E-2 beginnt der Partner am ersten Tag, beim H-1B meist erst nach Jahren, beim Studienvisum gar nicht. Dieses Kapitel zeigt, was jeder Status erlaubt, wo Kinder an eine Altersgrenze stoßen und wie aus dem Mitreisen kein Stillstand wird.</w:t>
      </w:r>
    </w:p>
    <w:p w14:paraId="0A62ED30" w14:textId="77777777" w:rsidR="001F7233" w:rsidRDefault="00000000">
      <w:r>
        <w:rPr>
          <w:b/>
        </w:rPr>
        <w:t xml:space="preserve">KURZ GESAGT: </w:t>
      </w:r>
    </w:p>
    <w:p w14:paraId="10320D6D" w14:textId="77777777" w:rsidR="001F7233" w:rsidRDefault="00000000">
      <w:r>
        <w:t>• Ehepartner und unverheiratete Kinder unter 21 erhalten einen abgeleiteten Status (H-4, L-2, E-2, F-2, J-2, O-3). Endet der Status der Hauptperson, endet auch der abgeleitete.</w:t>
      </w:r>
    </w:p>
    <w:p w14:paraId="6B39D0E8" w14:textId="77777777" w:rsidR="001F7233" w:rsidRDefault="00000000">
      <w:r>
        <w:t>• Arbeiten darf der Partner bei L-2 und E-2 ohne eigenen Antrag, bei J-2 nach Antrag, bei H-4 nur mit Arbeitserlaubnis (erst nach genehmigter I-140 oder H-1B über sechs Jahre hinaus), bei F-2 und O-3 gar nicht.</w:t>
      </w:r>
    </w:p>
    <w:p w14:paraId="24104AF8" w14:textId="77777777" w:rsidR="001F7233" w:rsidRDefault="00000000">
      <w:r>
        <w:t>• Mit 21 endet der Status der Kinder (Age-out), auch wenn der Status der Eltern weiterläuft. Der Child Status Protection Act schützt die Green-Card-Berechtigung, nicht den H-4.</w:t>
      </w:r>
    </w:p>
    <w:p w14:paraId="2018DB25" w14:textId="77777777" w:rsidR="001F7233" w:rsidRDefault="00000000">
      <w:r>
        <w:t>• Unverheiratete Paare erhalten keinen Partnerstatus: Wer gemeinsam ausreist, heiratet vorher. Gleichgeschlechtliche Ehen zählen; eine deutsche eingetragene Lebenspartnerschaft zählt nach dem USCIS-Handbuch nicht.</w:t>
      </w:r>
    </w:p>
    <w:p w14:paraId="749BE61E" w14:textId="77777777" w:rsidR="001F7233" w:rsidRDefault="00000000">
      <w:r>
        <w:t>• Berufsabschlüsse werden nicht bundesweit anerkannt. Lehrkräfte, Pflege und Medizin brauchen eine Lizenz des Bundesstaats. Das Verfahren lässt sich oft vor der Arbeitserlaubnis beginnen.</w:t>
      </w:r>
    </w:p>
    <w:p w14:paraId="1BD7F846" w14:textId="77777777" w:rsidR="001F7233" w:rsidRDefault="00000000">
      <w:r>
        <w:t>• Wer nicht arbeiten darf, trägt die größte Last des Umzugs – plane Einkommenslücke und Isolation ein (</w:t>
      </w:r>
      <w:hyperlink w:anchor="k32">
        <w:r w:rsidR="001F7233">
          <w:rPr>
            <w:color w:val="0563C1"/>
            <w:u w:val="single"/>
          </w:rPr>
          <w:t>Kapitel 32</w:t>
        </w:r>
      </w:hyperlink>
      <w:r>
        <w:t xml:space="preserve"> und 33).</w:t>
      </w:r>
    </w:p>
    <w:p w14:paraId="475C5425" w14:textId="77777777" w:rsidR="001F7233" w:rsidRDefault="001F7233">
      <w:pPr>
        <w:spacing w:line="220" w:lineRule="exact"/>
      </w:pPr>
    </w:p>
    <w:p w14:paraId="3C14EA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als Familie zählt</w:t>
      </w:r>
    </w:p>
    <w:p w14:paraId="09771EA2" w14:textId="77777777" w:rsidR="001F7233" w:rsidRDefault="00000000">
      <w:pPr>
        <w:spacing w:after="140"/>
      </w:pPr>
      <w:r>
        <w:t>Das Einwanderungsrecht zieht die Grenze eng: Begleiten dürfen Ehepartner und unverheiratete Kinder unter 21, Eltern, Geschwister, volljährige Kinder und Lebensgefährten sind nicht erfasst. Jede Person beantragt ihr eigenes Visum, mit eigenem Formular DS-160 und eigener Konsulargebühr (Kapitel </w:t>
      </w:r>
      <w:hyperlink w:anchor="k11">
        <w:r w:rsidR="001F7233">
          <w:t>11</w:t>
        </w:r>
      </w:hyperlink>
      <w:r>
        <w:t>), und erhält einen abgeleiteten Status (</w:t>
      </w:r>
      <w:r>
        <w:rPr>
          <w:i/>
          <w:iCs/>
        </w:rPr>
        <w:t>Dependent Status</w:t>
      </w:r>
      <w:r>
        <w:t>), der so lange gilt wie der Status der Hauptperson und mit ihm endet. Das Visum im Pass ermöglicht die Einreise, den erlaubten Aufenthalt legt der I-94 fest (Kapitel </w:t>
      </w:r>
      <w:hyperlink w:anchor="k5">
        <w:r w:rsidR="001F7233">
          <w:t>5</w:t>
        </w:r>
      </w:hyperlink>
      <w:r>
        <w:t>). Verliert die Hauptperson die Stelle, läuft für die Familie dieselbe Frist wie für sie (Kapitel </w:t>
      </w:r>
      <w:hyperlink w:anchor="k30">
        <w:r w:rsidR="001F7233">
          <w:t>30</w:t>
        </w:r>
      </w:hyperlink>
      <w:r>
        <w:t>).</w:t>
      </w:r>
    </w:p>
    <w:p w14:paraId="39DEE68C" w14:textId="77777777" w:rsidR="001F7233" w:rsidRDefault="00000000">
      <w:pPr>
        <w:spacing w:after="140"/>
      </w:pPr>
      <w:r>
        <w:t xml:space="preserve">Gleichgeschlechtliche Ehepartner gelten in allen diesen Kategorien als Ehepartner: Nach dem USCIS-Handbuch zählt jede Ehe, die dort gültig ist, wo sie geschlossen wurde. In Deutschland ist die Ehe seit dem 1. Oktober 2017 geöffnet, in den USA gilt sie seit 2015 in allen Bundesstaaten (Supreme Court, </w:t>
      </w:r>
      <w:r>
        <w:rPr>
          <w:i/>
          <w:iCs/>
        </w:rPr>
        <w:t>Obergefell v. Hodges</w:t>
      </w:r>
      <w:r>
        <w:t>). Eine deutsche eingetragene Lebenspartnerschaft ist dagegen keine Ehe: Nach dem Handbuch (Band 6, Teil B, Kapitel </w:t>
      </w:r>
      <w:hyperlink w:anchor="k6">
        <w:r w:rsidR="001F7233">
          <w:t>6</w:t>
        </w:r>
      </w:hyperlink>
      <w:r>
        <w:t>, Stand Oktober 2025) zählen Verbindungen nicht, die am Ort ihrer Begründung nicht als Ehe gelten. Das Standesamt kann sie umwandeln; besprich das mit der Kanzlei, bevor die Anträge laufen.</w:t>
      </w:r>
    </w:p>
    <w:p w14:paraId="373F5D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Unverheiratet? Dann vorher heiraten</w:t>
      </w:r>
    </w:p>
    <w:p w14:paraId="14F107C1" w14:textId="77777777" w:rsidR="001F7233" w:rsidRDefault="00000000">
      <w:pPr>
        <w:spacing w:after="140"/>
      </w:pPr>
      <w:r>
        <w:t>Verbreiteter Irrtum: Nach Jahren gemeinsamer Wohnung, gemeinsamem Kind und einer festen Beziehung zählt man doch irgendwie als Familie. Tatsächlich kennen die Einwanderungskategorien keinen Status für Lebensgefährten, ganz gleich, wie lange die Beziehung schon Bestand hat. Ein Partner ohne Trauschein braucht einen eigenen Weg: ein eigenes Stellenangebot mit Sponsoring (Kapitel </w:t>
      </w:r>
      <w:hyperlink w:anchor="k5">
        <w:r w:rsidR="001F7233">
          <w:t>5</w:t>
        </w:r>
      </w:hyperlink>
      <w:r>
        <w:t>), ein eigenes Studium (Kapitel </w:t>
      </w:r>
      <w:hyperlink w:anchor="k8">
        <w:r w:rsidR="001F7233">
          <w:t>8</w:t>
        </w:r>
      </w:hyperlink>
      <w:r>
        <w:t xml:space="preserve">) oder </w:t>
      </w:r>
      <w:r>
        <w:lastRenderedPageBreak/>
        <w:t>Besuche mit ESTA (bis zu 90 Tage, ohne Arbeit; Kapitel </w:t>
      </w:r>
      <w:hyperlink w:anchor="k9">
        <w:r w:rsidR="001F7233">
          <w:t>9</w:t>
        </w:r>
      </w:hyperlink>
      <w:r>
        <w:t>). Für ein gemeinsames Leben über Jahre taugt das selten.</w:t>
      </w:r>
    </w:p>
    <w:p w14:paraId="7DC33E11" w14:textId="77777777" w:rsidR="001F7233" w:rsidRDefault="00000000">
      <w:pPr>
        <w:spacing w:after="140"/>
      </w:pPr>
      <w:r>
        <w:t>Die einfache Lösung ist die Heirat vor dem Antrag. Standesämter haben Vorlauf, frage also früh an, wie lange Anmeldung und Termin dauern und welche Papiere fehlen. Die Heiratsurkunde samt Übersetzung brauchst du für den Antrag; ob eine Apostille verlangt wird, steht in Kapitel </w:t>
      </w:r>
      <w:hyperlink w:anchor="k19">
        <w:r w:rsidR="001F7233">
          <w:t>19</w:t>
        </w:r>
      </w:hyperlink>
      <w:r>
        <w:t>. Kinder unverheirateter Eltern können ebenfalls mitreisen; für die Vaterschaft verlangen die Behörden Nachweise (frage die Kanzlei).</w:t>
      </w:r>
    </w:p>
    <w:p w14:paraId="463112E7" w14:textId="77777777" w:rsidR="001F7233" w:rsidRDefault="00000000">
      <w:r>
        <w:rPr>
          <w:b/>
        </w:rPr>
        <w:t xml:space="preserve">ACHTUNG: </w:t>
      </w:r>
    </w:p>
    <w:p w14:paraId="63AF0427" w14:textId="77777777" w:rsidR="001F7233" w:rsidRDefault="00000000">
      <w:r>
        <w:t>• Heirate vor dem Konsulatstermin, nicht danach – ohne bestehende Ehe gibt es kein H-4. Wer mit ESTA einreist und erst in den USA heiratet, kann den Status im Inland in aller Regel nicht mehr wechseln. Die Ausnahme gilt nur für Ehen mit US-Staatsbürgern. Ändert die Heirat einen Namen, müssen Pass, Urkunde und Antragsformulare zusammenpassen. Kläre die Reihenfolge, bevor du einen neuen Pass beantragst.</w:t>
      </w:r>
    </w:p>
    <w:p w14:paraId="4C3F3D02" w14:textId="77777777" w:rsidR="001F7233" w:rsidRDefault="001F7233">
      <w:pPr>
        <w:spacing w:line="220" w:lineRule="exact"/>
      </w:pPr>
    </w:p>
    <w:p w14:paraId="311464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Status im Überblick</w:t>
      </w:r>
    </w:p>
    <w:p w14:paraId="7667DAE0" w14:textId="77777777" w:rsidR="001F7233" w:rsidRDefault="00000000">
      <w:pPr>
        <w:spacing w:after="140"/>
      </w:pPr>
      <w:r>
        <w:t>Die Tabelle zeigt die Regel für Angehörige (Datenstand September 2026; geprüft im Oktober 2026). Wer einen eigenen Status hat, etwa einen eigenen H-1B, folgt den Regeln dieses Status.</w:t>
      </w:r>
    </w:p>
    <w:p w14:paraId="0944B7E4" w14:textId="77777777" w:rsidR="001F7233" w:rsidRDefault="00000000">
      <w:r>
        <w:rPr>
          <w:b/>
        </w:rPr>
        <w:t>H-4 (zu H-1B)</w:t>
      </w:r>
    </w:p>
    <w:p w14:paraId="2C4F6AB0" w14:textId="77777777" w:rsidR="001F7233" w:rsidRDefault="00000000">
      <w:r>
        <w:rPr>
          <w:b/>
        </w:rPr>
        <w:t xml:space="preserve">Partner darf arbeiten: </w:t>
      </w:r>
      <w:r>
        <w:t>Nur mit Arbeitserlaubnis (H-4-EAD), erst nach genehmigter I-140 oder H-1B über 6 Jahre</w:t>
      </w:r>
    </w:p>
    <w:p w14:paraId="7DBCB900" w14:textId="77777777" w:rsidR="001F7233" w:rsidRDefault="00000000">
      <w:r>
        <w:rPr>
          <w:b/>
        </w:rPr>
        <w:t xml:space="preserve">Kinder unter 21: </w:t>
      </w:r>
      <w:r>
        <w:t>Schule und Studium ja, Arbeit nein</w:t>
      </w:r>
    </w:p>
    <w:p w14:paraId="4C1237C0" w14:textId="77777777" w:rsidR="001F7233" w:rsidRDefault="00000000">
      <w:r>
        <w:rPr>
          <w:b/>
        </w:rPr>
        <w:t xml:space="preserve">Besonderheiten: </w:t>
      </w:r>
      <w:r>
        <w:t>Kein Job in den ersten Jahren; I-765: 520 $ Papier, 470 $ online</w:t>
      </w:r>
    </w:p>
    <w:p w14:paraId="71F1993D" w14:textId="77777777" w:rsidR="001F7233" w:rsidRDefault="00000000">
      <w:r>
        <w:rPr>
          <w:b/>
        </w:rPr>
        <w:t>L-2 (zu L-1)</w:t>
      </w:r>
    </w:p>
    <w:p w14:paraId="5C90A6DB" w14:textId="77777777" w:rsidR="001F7233" w:rsidRDefault="00000000">
      <w:r>
        <w:rPr>
          <w:b/>
        </w:rPr>
        <w:t xml:space="preserve">Partner darf arbeiten: </w:t>
      </w:r>
      <w:r>
        <w:t>Ja, ohne Antrag; I-94 mit Kennung L-2S genügt</w:t>
      </w:r>
    </w:p>
    <w:p w14:paraId="345DF667" w14:textId="77777777" w:rsidR="001F7233" w:rsidRDefault="00000000">
      <w:r>
        <w:rPr>
          <w:b/>
        </w:rPr>
        <w:lastRenderedPageBreak/>
        <w:t xml:space="preserve">Kinder unter 21: </w:t>
      </w:r>
      <w:r>
        <w:t>Schule ja, Arbeit nein</w:t>
      </w:r>
    </w:p>
    <w:p w14:paraId="13C294E7" w14:textId="77777777" w:rsidR="001F7233" w:rsidRDefault="00000000">
      <w:r>
        <w:rPr>
          <w:b/>
        </w:rPr>
        <w:t xml:space="preserve">Besonderheiten: </w:t>
      </w:r>
      <w:r>
        <w:t>Lizenzpflichtige Berufe brauchen trotzdem eine Lizenz</w:t>
      </w:r>
    </w:p>
    <w:p w14:paraId="2AD72056" w14:textId="77777777" w:rsidR="001F7233" w:rsidRDefault="00000000">
      <w:r>
        <w:rPr>
          <w:b/>
        </w:rPr>
        <w:t>E-2 (zu E-2-Investor)</w:t>
      </w:r>
    </w:p>
    <w:p w14:paraId="1A00427C" w14:textId="77777777" w:rsidR="001F7233" w:rsidRDefault="00000000">
      <w:r>
        <w:rPr>
          <w:b/>
        </w:rPr>
        <w:t xml:space="preserve">Partner darf arbeiten: </w:t>
      </w:r>
      <w:r>
        <w:t>Ja, ohne Antrag</w:t>
      </w:r>
    </w:p>
    <w:p w14:paraId="17034E37" w14:textId="77777777" w:rsidR="001F7233" w:rsidRDefault="00000000">
      <w:r>
        <w:rPr>
          <w:b/>
        </w:rPr>
        <w:t xml:space="preserve">Kinder unter 21: </w:t>
      </w:r>
      <w:r>
        <w:t>Schule ja, Arbeit nein</w:t>
      </w:r>
    </w:p>
    <w:p w14:paraId="74DC4C2C" w14:textId="77777777" w:rsidR="001F7233" w:rsidRDefault="00000000">
      <w:r>
        <w:rPr>
          <w:b/>
        </w:rPr>
        <w:t xml:space="preserve">Besonderheiten: </w:t>
      </w:r>
      <w:r>
        <w:t>Status hängt am laufenden Unternehmen</w:t>
      </w:r>
    </w:p>
    <w:p w14:paraId="42633D07" w14:textId="77777777" w:rsidR="001F7233" w:rsidRDefault="00000000">
      <w:r>
        <w:rPr>
          <w:b/>
        </w:rPr>
        <w:t>F-2 (zu F-1)</w:t>
      </w:r>
    </w:p>
    <w:p w14:paraId="742917EC" w14:textId="77777777" w:rsidR="001F7233" w:rsidRDefault="00000000">
      <w:r>
        <w:rPr>
          <w:b/>
        </w:rPr>
        <w:t xml:space="preserve">Partner darf arbeiten: </w:t>
      </w:r>
      <w:r>
        <w:t>Nein; nur Freizeitstudium in Teilzeit</w:t>
      </w:r>
    </w:p>
    <w:p w14:paraId="6787A587" w14:textId="77777777" w:rsidR="001F7233" w:rsidRDefault="00000000">
      <w:r>
        <w:rPr>
          <w:b/>
        </w:rPr>
        <w:t xml:space="preserve">Kinder unter 21: </w:t>
      </w:r>
      <w:r>
        <w:t>Schule in Vollzeit</w:t>
      </w:r>
    </w:p>
    <w:p w14:paraId="59E6225A" w14:textId="77777777" w:rsidR="001F7233" w:rsidRDefault="00000000">
      <w:r>
        <w:rPr>
          <w:b/>
        </w:rPr>
        <w:t xml:space="preserve">Besonderheiten: </w:t>
      </w:r>
      <w:r>
        <w:t>Wechsel in F-1 per I-539 möglich</w:t>
      </w:r>
    </w:p>
    <w:p w14:paraId="6CC0CFA1" w14:textId="77777777" w:rsidR="001F7233" w:rsidRDefault="00000000">
      <w:r>
        <w:rPr>
          <w:b/>
        </w:rPr>
        <w:t>J-2 (zu J-1)</w:t>
      </w:r>
    </w:p>
    <w:p w14:paraId="3BEA33C6" w14:textId="77777777" w:rsidR="001F7233" w:rsidRDefault="00000000">
      <w:r>
        <w:rPr>
          <w:b/>
        </w:rPr>
        <w:t xml:space="preserve">Partner darf arbeiten: </w:t>
      </w:r>
      <w:r>
        <w:t>Ja, nach Antrag (I-765)</w:t>
      </w:r>
    </w:p>
    <w:p w14:paraId="22D0F624" w14:textId="77777777" w:rsidR="001F7233" w:rsidRDefault="00000000">
      <w:r>
        <w:rPr>
          <w:b/>
        </w:rPr>
        <w:t xml:space="preserve">Kinder unter 21: </w:t>
      </w:r>
      <w:r>
        <w:t>Schule ja; Antrag auf Arbeitserlaubnis möglich</w:t>
      </w:r>
    </w:p>
    <w:p w14:paraId="457F9A4B" w14:textId="77777777" w:rsidR="001F7233" w:rsidRDefault="00000000">
      <w:r>
        <w:rPr>
          <w:b/>
        </w:rPr>
        <w:t xml:space="preserve">Besonderheiten: </w:t>
      </w:r>
      <w:r>
        <w:t>Einkommen darf die J-1-Person nicht unterhalten</w:t>
      </w:r>
    </w:p>
    <w:p w14:paraId="4B4F1992" w14:textId="77777777" w:rsidR="001F7233" w:rsidRDefault="00000000">
      <w:r>
        <w:rPr>
          <w:b/>
        </w:rPr>
        <w:t>O-3 (zu O-1)</w:t>
      </w:r>
    </w:p>
    <w:p w14:paraId="3494C637" w14:textId="77777777" w:rsidR="001F7233" w:rsidRDefault="00000000">
      <w:r>
        <w:rPr>
          <w:b/>
        </w:rPr>
        <w:t xml:space="preserve">Partner darf arbeiten: </w:t>
      </w:r>
      <w:r>
        <w:t>Nein</w:t>
      </w:r>
    </w:p>
    <w:p w14:paraId="4A84ED18" w14:textId="77777777" w:rsidR="001F7233" w:rsidRDefault="00000000">
      <w:r>
        <w:rPr>
          <w:b/>
        </w:rPr>
        <w:t xml:space="preserve">Kinder unter 21: </w:t>
      </w:r>
      <w:r>
        <w:t>Schule ja, Arbeit nein</w:t>
      </w:r>
    </w:p>
    <w:p w14:paraId="688885A3" w14:textId="77777777" w:rsidR="001F7233" w:rsidRDefault="00000000">
      <w:r>
        <w:rPr>
          <w:b/>
        </w:rPr>
        <w:t xml:space="preserve">Besonderheiten: </w:t>
      </w:r>
      <w:r>
        <w:t>Studium erlaubt</w:t>
      </w:r>
    </w:p>
    <w:p w14:paraId="587BA8D6" w14:textId="77777777" w:rsidR="001F7233" w:rsidRDefault="001F7233">
      <w:pPr>
        <w:spacing w:line="180" w:lineRule="exact"/>
      </w:pPr>
    </w:p>
    <w:p w14:paraId="1B0905CB" w14:textId="77777777" w:rsidR="001F7233" w:rsidRDefault="00000000">
      <w:pPr>
        <w:spacing w:after="140"/>
      </w:pPr>
      <w:r>
        <w:t>Schulbesuch ist in allen diesen Status erlaubt (Kapitel </w:t>
      </w:r>
      <w:hyperlink w:anchor="k36">
        <w:r w:rsidR="001F7233">
          <w:t>36</w:t>
        </w:r>
      </w:hyperlink>
      <w:r>
        <w:t>).</w:t>
      </w:r>
    </w:p>
    <w:p w14:paraId="442FED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H-4 und H-4-Arbeitserlaubnis</w:t>
      </w:r>
    </w:p>
    <w:p w14:paraId="7DB2514A" w14:textId="77777777" w:rsidR="001F7233" w:rsidRDefault="00000000">
      <w:pPr>
        <w:spacing w:after="140"/>
      </w:pPr>
      <w:r>
        <w:t>H-4 ist der Status der Ehepartner und Kinder von H-1B-Beschäftigten und damit die häufigste Konstellation dieses Buchs. Er erlaubt Aufenthalt, Schule und Studium, aber keine Arbeit – das schließt Anstellung, Freiberuflichkeit und Mitarbeit im Betrieb der Familie ein. Auch Arbeit für einen deutschen Arbeitgeber, die du von den USA aus erledigst, bleibt Arbeit auf US-Boden; für B-1 und ESTA sagen Kanzleien das ausdrücklich (Kapitel </w:t>
      </w:r>
      <w:hyperlink w:anchor="k9">
        <w:r w:rsidR="001F7233">
          <w:t>9</w:t>
        </w:r>
      </w:hyperlink>
      <w:r>
        <w:t xml:space="preserve">), und für H-4 ohne Arbeitserlaubnis gilt nichts anderes. Ohne Arbeitserlaubnis stellt die Sozialversicherungsbehörde in der Regel auch keine </w:t>
      </w:r>
      <w:r>
        <w:rPr>
          <w:i/>
          <w:iCs/>
        </w:rPr>
        <w:t>Social Security Number</w:t>
      </w:r>
      <w:r>
        <w:t xml:space="preserve"> (SSN) aus (Kapitel </w:t>
      </w:r>
      <w:hyperlink w:anchor="k24">
        <w:r w:rsidR="001F7233">
          <w:t>24</w:t>
        </w:r>
      </w:hyperlink>
      <w:r>
        <w:t xml:space="preserve">). Die Krankenversicherung für Partner </w:t>
      </w:r>
      <w:r>
        <w:lastRenderedPageBreak/>
        <w:t>und Kinder läuft meist über den Arbeitgeberplan der Hauptperson (Kapitel </w:t>
      </w:r>
      <w:hyperlink w:anchor="k26">
        <w:r w:rsidR="001F7233">
          <w:t>26</w:t>
        </w:r>
      </w:hyperlink>
      <w:r>
        <w:t>).</w:t>
      </w:r>
    </w:p>
    <w:p w14:paraId="3CE586C8" w14:textId="77777777" w:rsidR="001F7233" w:rsidRDefault="00000000">
      <w:r>
        <w:rPr>
          <w:b/>
        </w:rPr>
        <w:t xml:space="preserve">ACHTUNG: </w:t>
      </w:r>
    </w:p>
    <w:p w14:paraId="4C708D15" w14:textId="77777777" w:rsidR="001F7233" w:rsidRDefault="00000000">
      <w:r>
        <w:t>• Arbeit ohne gültige Erlaubnis gefährdet deinen Status und kann spätere Anträge belasten. Echtes Ehrenamt bei einer gemeinnützigen Einrichtung ist meist möglich, solange es unbezahlt ist und keine bezahlte Stelle ersetzt. Im Zweifel fragst du vorher die Kanzlei.</w:t>
      </w:r>
    </w:p>
    <w:p w14:paraId="14E14416" w14:textId="77777777" w:rsidR="001F7233" w:rsidRDefault="001F7233">
      <w:pPr>
        <w:spacing w:line="220" w:lineRule="exact"/>
      </w:pPr>
    </w:p>
    <w:p w14:paraId="20FDB139"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Wann es eine Arbeitserlaubnis gibt</w:t>
      </w:r>
    </w:p>
    <w:p w14:paraId="3F849825" w14:textId="77777777" w:rsidR="001F7233" w:rsidRDefault="00000000">
      <w:pPr>
        <w:spacing w:after="140"/>
      </w:pPr>
      <w:r>
        <w:t>Die Arbeitserlaubnis (</w:t>
      </w:r>
      <w:r>
        <w:rPr>
          <w:i/>
          <w:iCs/>
        </w:rPr>
        <w:t>Employment Authorization Document</w:t>
      </w:r>
      <w:r>
        <w:t>, EAD) erhalten H-4-Ehepartner nur in zwei Fällen: wenn der H-1B-Inhaber eine genehmigte I-140 hat – also die Einwanderungspetition seines Arbeitgebers im Green-Card-Verfahren (Kapitel </w:t>
      </w:r>
      <w:hyperlink w:anchor="k6">
        <w:r w:rsidR="001F7233">
          <w:t>6</w:t>
        </w:r>
      </w:hyperlink>
      <w:r>
        <w:t xml:space="preserve">) – oder wenn sein H-1B nach dem Gesetz </w:t>
      </w:r>
      <w:r>
        <w:rPr>
          <w:i/>
          <w:iCs/>
        </w:rPr>
        <w:t>AC21</w:t>
      </w:r>
      <w:r>
        <w:t xml:space="preserve"> über sechs Jahre hinaus verlängert wurde. Beantragt wird sie mit Form I-765 (520 $ Papier, 470 $ online); nachweisen musst du die Ehe, den H-1B-Status der Hauptperson und deinen H-4-Status. Kinder mit H-4 bekommen keine Arbeitserlaubnis.</w:t>
      </w:r>
    </w:p>
    <w:p w14:paraId="5CCDA55F" w14:textId="77777777" w:rsidR="001F7233" w:rsidRDefault="00000000">
      <w:pPr>
        <w:spacing w:after="140"/>
      </w:pPr>
      <w:r>
        <w:t>Seit dem 30. Oktober 2025 gibt es für Verlängerungsanträge keine automatische Verlängerung der Arbeitserlaubnis mehr (früher bis zu 540 Tage). Den Antrag darfst du bis zu 180 Tage vor Ablauf stellen; aktuelle Bearbeitungszeiten stehen auf uscis.gov („Processing Times“). Für H-4-Anträge gilt außerdem seit dem 15. Dezember 2025 die Prüfung von Online-Profilen (Kapitel </w:t>
      </w:r>
      <w:hyperlink w:anchor="k11">
        <w:r w:rsidR="001F7233">
          <w:t>11</w:t>
        </w:r>
      </w:hyperlink>
      <w:r>
        <w:t>). Wird der H-1B im Inland verlängert, verlängerst du den H-4 mit Form I-539 (470 $ Papier, 420 $ online), für jede Person einzeln. Ob die Arbeitserlaubnis nach einem Jobverlust der Hauptperson weitergilt, bestätigt dir die Kanzlei (Kapitel </w:t>
      </w:r>
      <w:hyperlink w:anchor="k30">
        <w:r w:rsidR="001F7233">
          <w:t>30</w:t>
        </w:r>
      </w:hyperlink>
      <w:r>
        <w:t>).</w:t>
      </w:r>
    </w:p>
    <w:p w14:paraId="584E16DC" w14:textId="77777777" w:rsidR="001F7233" w:rsidRDefault="00000000">
      <w:r>
        <w:rPr>
          <w:b/>
        </w:rPr>
        <w:t xml:space="preserve">ACHTUNG: </w:t>
      </w:r>
    </w:p>
    <w:p w14:paraId="46CFDE99" w14:textId="77777777" w:rsidR="001F7233" w:rsidRDefault="00000000">
      <w:r>
        <w:t xml:space="preserve">• Reiche die Verlängerung der Arbeitserlaubnis so früh ein, wie es erlaubt ist, also 180 Tage vor Ablauf. Jeder Tag zwischen </w:t>
      </w:r>
      <w:r>
        <w:lastRenderedPageBreak/>
        <w:t>Ablaufdatum und neuer Karte ist Arbeitsverbot: Der Arbeitgeber darf dich dann nicht beschäftigen, und dein Gehalt fällt aus.</w:t>
      </w:r>
    </w:p>
    <w:p w14:paraId="2F9B63E8" w14:textId="77777777" w:rsidR="001F7233" w:rsidRDefault="001F7233">
      <w:pPr>
        <w:spacing w:line="220" w:lineRule="exact"/>
      </w:pPr>
    </w:p>
    <w:p w14:paraId="77548A54"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w:t>
      </w:r>
    </w:p>
    <w:p w14:paraId="014BAA90" w14:textId="77777777" w:rsidR="001F7233" w:rsidRDefault="00000000">
      <w:pPr>
        <w:spacing w:after="140"/>
      </w:pPr>
      <w:r>
        <w:t>Die H-4-Arbeitserlaubnis beruht nicht auf einem Gesetz, sondern auf einer Verordnung des Heimatschutzministeriums DHS von 2015. Für die Regelungsagenda 2026 hat das DHS ein Vorhaben aufgenommen, das H-4-Ehepartner aus dem Kreis der Arbeitsberechtigten streichen soll („Removing H-4 Dependent Spouses From the Classes of Noncitizens Eligible for Employment Authorization“, RIN 1615-AD14). Es steht als Langzeitvorhaben mit dem Termin „To Be Determined“. Einen Entwurf hat das DHS nach Kanzleiberichten bis zum 20. September 2026 nicht veröffentlicht. Offen ist, wen es träfe und ob bestehende Karten bis zum Ablauf weitergelten würden. Ähnliche Pläne aus dem Jahr 2017 wurden nie umgesetzt, in Kraft ist nichts. Behandle die Arbeitserlaubnis dennoch als Zugabe, nicht als Grundlage: Das Familienbudget sollte mit einem Einkommen tragen.</w:t>
      </w:r>
    </w:p>
    <w:p w14:paraId="4EDAF51C" w14:textId="77777777" w:rsidR="001F7233" w:rsidRDefault="00000000">
      <w:r>
        <w:t xml:space="preserve">• Dieses Kapitel beschreibt Regeln und Praxis, ersetzt aber keine Beratung durch eine Einwanderungsanwältin oder einen Einwanderungsanwalt. Wie du jemanden findest, steht in </w:t>
      </w:r>
      <w:hyperlink w:anchor="k11">
        <w:r w:rsidR="001F7233">
          <w:rPr>
            <w:color w:val="0563C1"/>
            <w:u w:val="single"/>
          </w:rPr>
          <w:t>Kapitel 11</w:t>
        </w:r>
      </w:hyperlink>
      <w:r>
        <w:t>.</w:t>
      </w:r>
    </w:p>
    <w:p w14:paraId="40F9FFC0" w14:textId="77777777" w:rsidR="001F7233" w:rsidRDefault="001F7233">
      <w:pPr>
        <w:spacing w:line="220" w:lineRule="exact"/>
      </w:pPr>
    </w:p>
    <w:p w14:paraId="51D540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L-2, E-2, F-2 und J-2: die anderen Status</w:t>
      </w:r>
    </w:p>
    <w:p w14:paraId="7D0990CB" w14:textId="77777777" w:rsidR="001F7233" w:rsidRDefault="00000000">
      <w:pPr>
        <w:spacing w:after="140"/>
      </w:pPr>
      <w:r>
        <w:t>L-2 und E-2. Ehepartner von L-1- und E-2-Inhabern gelten als employment authorized incident to status, also allein wegen ihres Status als arbeitsberechtigt. Nach USCIS genügt als Nachweis ein gültiger I-94 mit der Kennung L-2S, für E-2 gilt dasselbe Prinzip mit der Kennung E-2S. Eine Arbeitserlaubniskarte kannst du zusätzlich beantragen (Form I-765), musst es aber nicht. Prüfe nach der Landung im I-94-Portal des Grenzschutzes (</w:t>
      </w:r>
      <w:hyperlink r:id="rId170">
        <w:r w:rsidR="001F7233">
          <w:rPr>
            <w:color w:val="0563C1"/>
            <w:u w:val="single"/>
          </w:rPr>
          <w:t>i94.cbp.dhs.gov</w:t>
        </w:r>
      </w:hyperlink>
      <w:r>
        <w:t xml:space="preserve">), ob die Kennung mit dem „S“ eingetragen ist, und kläre Abweichungen </w:t>
      </w:r>
      <w:r>
        <w:lastRenderedPageBreak/>
        <w:t>sofort mit der Kanzlei. Der Partner darf bei jedem Arbeitgeber arbeiten, Kinder dürfen es nicht.</w:t>
      </w:r>
    </w:p>
    <w:p w14:paraId="7304AA0A" w14:textId="77777777" w:rsidR="001F7233" w:rsidRDefault="00000000">
      <w:pPr>
        <w:spacing w:after="140"/>
      </w:pPr>
      <w:r>
        <w:rPr>
          <w:b/>
          <w:bCs/>
        </w:rPr>
        <w:t>F-2.</w:t>
      </w:r>
      <w:r>
        <w:t xml:space="preserve"> Der Partner darf nicht arbeiten und nur ein Freizeitstudium in Teilzeit aufnehmen. Wer selbst studieren will, wechselt per Form I-539 in den F-1 (Kapitel </w:t>
      </w:r>
      <w:hyperlink w:anchor="k8">
        <w:r w:rsidR="001F7233">
          <w:t>8</w:t>
        </w:r>
      </w:hyperlink>
      <w:r>
        <w:t>). Kinder besuchen die Schule in Vollzeit.</w:t>
      </w:r>
    </w:p>
    <w:p w14:paraId="14FC29DC" w14:textId="77777777" w:rsidR="001F7233" w:rsidRDefault="00000000">
      <w:pPr>
        <w:spacing w:after="140"/>
      </w:pPr>
      <w:r>
        <w:rPr>
          <w:b/>
          <w:bCs/>
        </w:rPr>
        <w:t>J-2.</w:t>
      </w:r>
      <w:r>
        <w:t xml:space="preserve"> Partner (und auch Kinder) können eine Arbeitserlaubnis mit Form I-765 beantragen (520 $ Papier, 470 $ online). Im Antrag erklärst du schriftlich, dass das Einkommen nicht dem Unterhalt der J-1-Person dient. Die Erlaubnis gilt längstens vier Jahre oder für die Dauer des J-1, je nachdem, was kürzer ist, und nur, solange die J-1-Person ihren Status hält. Das ist für ein Familienbudget auf zwei Gehältern keine verlässliche Grundlage (zur Zwei-Jahres-Heimatregel des J-1: Kapitel </w:t>
      </w:r>
      <w:hyperlink w:anchor="k9">
        <w:r w:rsidR="001F7233">
          <w:t>9</w:t>
        </w:r>
      </w:hyperlink>
      <w:r>
        <w:t>).</w:t>
      </w:r>
    </w:p>
    <w:p w14:paraId="28DEA9E0" w14:textId="77777777" w:rsidR="001F7233" w:rsidRPr="00B8323E" w:rsidRDefault="00000000">
      <w:pPr>
        <w:pStyle w:val="Heading3"/>
        <w:keepNext/>
        <w:spacing w:line="341" w:lineRule="auto"/>
        <w:jc w:val="center"/>
        <w:rPr>
          <w:lang w:val="en-US"/>
        </w:rPr>
      </w:pPr>
      <w:r w:rsidRPr="00B8323E">
        <w:rPr>
          <w:rFonts w:ascii="Amazon Ember" w:eastAsia="Amazon Ember" w:hAnsi="Amazon Ember" w:cs="Amazon Ember"/>
          <w:color w:val="0000FF"/>
          <w:sz w:val="36"/>
          <w:szCs w:val="36"/>
          <w:lang w:val="en-US"/>
        </w:rPr>
        <w:t>Kinder: Age-out mit 21 und der Child Status Protection Act</w:t>
      </w:r>
    </w:p>
    <w:p w14:paraId="0127BEC3" w14:textId="77777777" w:rsidR="001F7233" w:rsidRDefault="00000000">
      <w:pPr>
        <w:spacing w:after="140"/>
      </w:pPr>
      <w:r>
        <w:rPr>
          <w:i/>
          <w:iCs/>
        </w:rPr>
        <w:t>Kinder sind im Einwanderungsrecht unverheiratet und unter 21. Am 21. Geburtstag verliert ein Kind seinen abgeleiteten Status, auch wenn der Status der Eltern noch Jahre läuft. Eine Heirat beendet den Kinderstatus ebenfalls. Dieses Herauswachsen heißt Age-out. Rechne früh: Wer mit 16 einreist, wird nach fünf Jahren 21, wer mit 18, nach drei. Der H-1B der Eltern läuft dann oft noch. Der Geburtstag, der in Deutschland nur eine Familienfeier ist, wird hier zum Stichtag mit Aktenzeichen.</w:t>
      </w:r>
    </w:p>
    <w:p w14:paraId="6CCDDDC8" w14:textId="77777777" w:rsidR="001F7233" w:rsidRDefault="00000000">
      <w:pPr>
        <w:spacing w:after="140"/>
      </w:pPr>
      <w:r>
        <w:t>Was dann bleibt, sind vier Wege:</w:t>
      </w:r>
    </w:p>
    <w:p w14:paraId="30C24289" w14:textId="77777777" w:rsidR="001F7233" w:rsidRDefault="00000000">
      <w:pPr>
        <w:pStyle w:val="ListParagraph"/>
        <w:numPr>
          <w:ilvl w:val="0"/>
          <w:numId w:val="1"/>
        </w:numPr>
        <w:spacing w:after="60"/>
      </w:pPr>
      <w:r>
        <w:rPr>
          <w:b/>
          <w:bCs/>
        </w:rPr>
        <w:t>Statuswechsel vor dem 21. Geburtstag</w:t>
      </w:r>
      <w:r>
        <w:t xml:space="preserve"> (</w:t>
      </w:r>
      <w:r>
        <w:rPr>
          <w:i/>
          <w:iCs/>
        </w:rPr>
        <w:t>Change of Status</w:t>
      </w:r>
      <w:r>
        <w:t>), meist in den F-1 für ein Studium: Form I-539 (470 $ Papier, 420 $ online) plus Zulassung und Form I-20 einer Hochschule (Kapitel </w:t>
      </w:r>
      <w:hyperlink w:anchor="k8">
        <w:r w:rsidR="001F7233">
          <w:t>8</w:t>
        </w:r>
      </w:hyperlink>
      <w:r>
        <w:t>). Der Antrag muss gestellt sein, solange das Kind unter 21 ist und der H-4 gültig ist.</w:t>
      </w:r>
    </w:p>
    <w:p w14:paraId="277F50F8" w14:textId="77777777" w:rsidR="001F7233" w:rsidRDefault="00000000">
      <w:pPr>
        <w:pStyle w:val="ListParagraph"/>
        <w:numPr>
          <w:ilvl w:val="0"/>
          <w:numId w:val="1"/>
        </w:numPr>
        <w:spacing w:after="60"/>
      </w:pPr>
      <w:r>
        <w:rPr>
          <w:b/>
          <w:bCs/>
        </w:rPr>
        <w:lastRenderedPageBreak/>
        <w:t>Ein eigener Arbeitsstatus,</w:t>
      </w:r>
      <w:r>
        <w:t xml:space="preserve"> etwa ein H-1B nach einem US-Abschluss (Kapitel </w:t>
      </w:r>
      <w:hyperlink w:anchor="k5">
        <w:r w:rsidR="001F7233">
          <w:t>5</w:t>
        </w:r>
      </w:hyperlink>
      <w:r>
        <w:t xml:space="preserve"> und </w:t>
      </w:r>
      <w:hyperlink w:anchor="k8">
        <w:r w:rsidR="001F7233">
          <w:t>8</w:t>
        </w:r>
      </w:hyperlink>
      <w:r>
        <w:t>).</w:t>
      </w:r>
    </w:p>
    <w:p w14:paraId="5A5213B5" w14:textId="77777777" w:rsidR="001F7233" w:rsidRDefault="00000000">
      <w:pPr>
        <w:pStyle w:val="ListParagraph"/>
        <w:numPr>
          <w:ilvl w:val="0"/>
          <w:numId w:val="1"/>
        </w:numPr>
        <w:spacing w:after="60"/>
      </w:pPr>
      <w:r>
        <w:rPr>
          <w:b/>
          <w:bCs/>
        </w:rPr>
        <w:t>Die Green Card,</w:t>
      </w:r>
      <w:r>
        <w:t xml:space="preserve"> wenn das Kind im Verfahren der Eltern mitläuft (siehe unten).</w:t>
      </w:r>
    </w:p>
    <w:p w14:paraId="19CAE9E3" w14:textId="77777777" w:rsidR="001F7233" w:rsidRDefault="00000000">
      <w:pPr>
        <w:pStyle w:val="ListParagraph"/>
        <w:numPr>
          <w:ilvl w:val="0"/>
          <w:numId w:val="1"/>
        </w:numPr>
        <w:spacing w:after="60"/>
      </w:pPr>
      <w:r>
        <w:rPr>
          <w:b/>
          <w:bCs/>
        </w:rPr>
        <w:t>Die Rückkehr</w:t>
      </w:r>
      <w:r>
        <w:t xml:space="preserve"> zum Studium oder Beruf in Deutschland (Kapitel </w:t>
      </w:r>
      <w:hyperlink w:anchor="k42">
        <w:r w:rsidR="001F7233">
          <w:t>42</w:t>
        </w:r>
      </w:hyperlink>
      <w:r>
        <w:t>).</w:t>
      </w:r>
    </w:p>
    <w:p w14:paraId="187B68DB" w14:textId="77777777" w:rsidR="001F7233" w:rsidRDefault="001F7233">
      <w:pPr>
        <w:spacing w:line="120" w:lineRule="exact"/>
      </w:pPr>
    </w:p>
    <w:p w14:paraId="517266A9" w14:textId="77777777" w:rsidR="001F7233" w:rsidRDefault="00000000">
      <w:pPr>
        <w:spacing w:after="140"/>
      </w:pPr>
      <w:r>
        <w:t xml:space="preserve">Der </w:t>
      </w:r>
      <w:r>
        <w:rPr>
          <w:i/>
          <w:iCs/>
        </w:rPr>
        <w:t>Child Status Protection Act</w:t>
      </w:r>
      <w:r>
        <w:t xml:space="preserve"> (CSPA), ein Gesetz von 2002, friert das Lebensalter eines Kindes für die Green Card teilweise ein. Gerechnet wird mit dem Lebensalter am Tag, an dem ein Visum verfügbar wird, abzüglich der Tage, an denen die I-140 anhängig war. Liegt das Ergebnis unter 21, gilt das Kind weiter als Kind, sofern der Green-Card-Antrag binnen eines Jahres nach der Verfügbarkeit folgt. Seit dem 15. August 2025 bewertet USCIS neue Anträge nach der Tabelle der </w:t>
      </w:r>
      <w:r>
        <w:rPr>
          <w:i/>
          <w:iCs/>
        </w:rPr>
        <w:t>Final Action Dates</w:t>
      </w:r>
      <w:r>
        <w:t xml:space="preserve"> im </w:t>
      </w:r>
      <w:r>
        <w:rPr>
          <w:i/>
          <w:iCs/>
        </w:rPr>
        <w:t>Visa Bulletin</w:t>
      </w:r>
      <w:r>
        <w:t>, dem monatlichen Stichtagsbericht des Außenministeriums (Kapitel </w:t>
      </w:r>
      <w:hyperlink w:anchor="k6">
        <w:r w:rsidR="001F7233">
          <w:t>6</w:t>
        </w:r>
      </w:hyperlink>
      <w:r>
        <w:t>). Für Deutsche sah das im Oktober 2026 so aus: EB-1 war „current“, EB-2 lag nach einer Rückstufung beim 1. Januar 2025, EB-3 beim 15. Mai 2024.</w:t>
      </w:r>
    </w:p>
    <w:p w14:paraId="2CD937B7" w14:textId="77777777" w:rsidR="001F7233" w:rsidRDefault="00000000">
      <w:r>
        <w:rPr>
          <w:b/>
        </w:rPr>
        <w:t xml:space="preserve">ACHTUNG: </w:t>
      </w:r>
    </w:p>
    <w:p w14:paraId="243B248D" w14:textId="77777777" w:rsidR="001F7233" w:rsidRDefault="00000000">
      <w:r>
        <w:t>• Der CSPA schützt nur die Green-Card-Berechtigung, nicht den H-4. Mit 21 endet der H-4 in jedem Fall. Steht das Kind bis dahin nicht im Green-Card-Antrag oder in einem neuen Status, endet sein rechtmäßiger Aufenthalt, oft mitten im College. Besprich den Zeitplan mit der Kanzlei, sobald ein Kind 17 ist und prüfe bei jedem Meilenstein, wie alt es dann ist.</w:t>
      </w:r>
    </w:p>
    <w:p w14:paraId="0BF5EA20" w14:textId="77777777" w:rsidR="001F7233" w:rsidRDefault="001F7233">
      <w:pPr>
        <w:spacing w:line="220" w:lineRule="exact"/>
      </w:pPr>
    </w:p>
    <w:p w14:paraId="74238A3D" w14:textId="77777777" w:rsidR="001F7233" w:rsidRDefault="00000000">
      <w:pPr>
        <w:spacing w:after="140"/>
      </w:pPr>
      <w:r>
        <w:rPr>
          <w:i/>
          <w:iCs/>
        </w:rPr>
        <w:t>Im Green-Card-Verfahren laufen Ehepartner und Kinder als Mitantragstellende (Derivate) mit und teilen Kategorie und Prioritätsdatum (Priority Date) der Hauptperson. Die Gebühren tragen in der Praxis die Beschäftigten. Das Formular I-485 kostet 1.440 $ in Papierform oder 1.390 $ online. Für Kinder unter 14 Jahren, die gemeinsam mit einem Elternteil einreichen, sind es 950 $ beziehungsweise 900 $. Ein Paar mit zwei kleinen Kindern zahlt damit insgesamt 4.780 $ in Papierform oder 4.580 $ online – ohne Untersuchung, Anwalt sowie Arbeits- und Reiseerlaubnis (eigene Summe auf Grundlage des Gebührenblatts G-1055).</w:t>
      </w:r>
      <w:r>
        <w:rPr>
          <w:i/>
          <w:iCs/>
        </w:rPr>
      </w:r>
    </w:p>
    <w:p w14:paraId="127B4458" w14:textId="77777777" w:rsidR="001F7233" w:rsidRDefault="00000000">
      <w:pPr>
        <w:spacing w:after="140"/>
      </w:pPr>
      <w:r>
        <w:t xml:space="preserve">Die US-Staatsbürgerschaft eines in den USA geborenen Kindes schafft keinen Aufenthaltsstatus für die Eltern und ändert den Status älterer Geschwister nicht. Einzelheiten und die deutsche Seite stehen in Kapitel </w:t>
      </w:r>
      <w:hyperlink w:anchor="k38">
        <w:r w:rsidR="001F7233">
          <w:t>38</w:t>
        </w:r>
      </w:hyperlink>
      <w:r>
        <w:t xml:space="preserve"> und </w:t>
      </w:r>
      <w:hyperlink w:anchor="k41">
        <w:r w:rsidR="001F7233">
          <w:t>41</w:t>
        </w:r>
      </w:hyperlink>
      <w:r>
        <w:t>.</w:t>
      </w:r>
    </w:p>
    <w:p w14:paraId="1DF992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mit H-4</w:t>
      </w:r>
    </w:p>
    <w:p w14:paraId="0A8749D9" w14:textId="77777777" w:rsidR="001F7233" w:rsidRDefault="00000000">
      <w:pPr>
        <w:spacing w:after="140"/>
      </w:pPr>
      <w:r>
        <w:t>H-4 erlaubt Schulbesuch und Studium: Partner und Kinder dürfen ohne Umweg über den F-1 an einer Hochschule oder einem Community College studieren. Ein Wechsel vom H-4 in den F-1 (Form I-539 plus I-20) lohnt sich nur, wenn du aus dem F-1 etwas Bestimmtes brauchst, etwa die Arbeitserlaubnis nach dem Abschluss (</w:t>
      </w:r>
      <w:r>
        <w:rPr>
          <w:i/>
          <w:iCs/>
        </w:rPr>
        <w:t>OPT</w:t>
      </w:r>
      <w:r>
        <w:t>, Kapitel </w:t>
      </w:r>
      <w:hyperlink w:anchor="k8">
        <w:r w:rsidR="001F7233">
          <w:t>8</w:t>
        </w:r>
      </w:hyperlink>
      <w:r>
        <w:t>) oder bei Kindern kurz vor dem Age-out. Der F-1 ist anders als H-1B und L nicht von der Einwanderungsvermutung ausgenommen, sprich vor dem Wechsel mit der Kanzlei, wenn ein Green-Card-Verfahren läuft oder geplant ist.</w:t>
      </w:r>
    </w:p>
    <w:p w14:paraId="0328CDF2" w14:textId="77777777" w:rsidR="001F7233" w:rsidRDefault="00000000">
      <w:pPr>
        <w:spacing w:after="140"/>
      </w:pPr>
      <w:r>
        <w:rPr>
          <w:i/>
          <w:iCs/>
        </w:rPr>
        <w:t>Der große Unterschied ist der Preis. Laut College Board kostet ein Bachelor-Jahr 2025/26 an einer öffentlichen Hochschule im Durchschnitt 11.950 $ für Landeskinder (In-State), 31.880 $ für Auswärtige (Out-of-State) und 45.000 $ an einer privaten Hochschule, jeweils ohne Wohnen. Ein Community College im eigenen Bezirk kostet im Schnitt 4.150 $. Ob dich eine Hochschule als Landeskind einstuft, regeln Bundesstaat und oft die Hochschule selbst.</w:t>
      </w:r>
    </w:p>
    <w:p w14:paraId="4F7174A9" w14:textId="77777777" w:rsidR="001F7233" w:rsidRDefault="00000000">
      <w:r>
        <w:rPr>
          <w:b/>
        </w:rPr>
        <w:t xml:space="preserve">SPARTIPP: </w:t>
      </w:r>
    </w:p>
    <w:p w14:paraId="4E9556A1" w14:textId="77777777" w:rsidR="001F7233" w:rsidRDefault="00000000">
      <w:r>
        <w:t>• Frage die Zulassungsstelle vor der Bewerbung, welche Regeln für Inhaber von H-4 zur In-State Tuition gelten (Wohnsitzfrist, Nachweise). Im Durchschnitt trennen Landeskinder und Auswärtige fast 20.000 $ pro Jahr.</w:t>
      </w:r>
    </w:p>
    <w:p w14:paraId="52294A29" w14:textId="77777777" w:rsidR="001F7233" w:rsidRDefault="001F7233">
      <w:pPr>
        <w:spacing w:line="220" w:lineRule="exact"/>
      </w:pPr>
    </w:p>
    <w:p w14:paraId="150EE169" w14:textId="77777777" w:rsidR="001F7233" w:rsidRDefault="00000000">
      <w:pPr>
        <w:spacing w:after="140"/>
      </w:pPr>
      <w:r>
        <w:lastRenderedPageBreak/>
        <w:t>Ein US-Master kann für den H-4-Partner zum Weg in einen eigenen Status werden: F-1, dann OPT und STEM-OPT (zusammen bis zu 36 Monate), dann ein eigener H-1B, auch im Master-Kontingent mit 20.000 Plätzen (Kapitel </w:t>
      </w:r>
      <w:hyperlink w:anchor="k5">
        <w:r w:rsidR="001F7233">
          <w:t>5</w:t>
        </w:r>
      </w:hyperlink>
      <w:r>
        <w:t xml:space="preserve"> und </w:t>
      </w:r>
      <w:hyperlink w:anchor="k8">
        <w:r w:rsidR="001F7233">
          <w:t>8</w:t>
        </w:r>
      </w:hyperlink>
      <w:r>
        <w:t>). Das ist teuer (Gesamtkosten im Schnitt rund 62.820 $ laut einer Auswertung von 2026, für alle Studierenden) und ohne Garantie, denn auch dieser Weg führt durch die Lotterie.</w:t>
      </w:r>
    </w:p>
    <w:p w14:paraId="76EA3C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Partnerkarriere, Berufsanerkennung und Lizenzen</w:t>
      </w:r>
    </w:p>
    <w:p w14:paraId="132B8581" w14:textId="77777777" w:rsidR="001F7233" w:rsidRDefault="00000000">
      <w:pPr>
        <w:spacing w:after="140"/>
      </w:pPr>
      <w:r>
        <w:t>Eine deutsche Berufsqualifikation gilt in den USA nicht automatisch. Es gibt keine bundesweite Anerkennung: Über die Zulassung in regulierten Berufen entscheiden die Bundesstaaten und ihre Fachbehörden (</w:t>
      </w:r>
      <w:r>
        <w:rPr>
          <w:i/>
          <w:iCs/>
        </w:rPr>
        <w:t>Licensing Boards</w:t>
      </w:r>
      <w:r>
        <w:t>). Wer aus Deutschland eine bundesweit einheitliche Approbation oder Lehrbefähigung gewohnt ist, lernt hier schnell: Amerika ist ein Land, verwaltungstechnisch aber eher eine Ansammlung von 50 Ländern, die sich zufällig auf eine Flagge geeinigt haben. In nicht regulierten Berufen wie Software, Marketing, Vertrieb oder Design zählen dagegen Lebenslauf, Zeugnisse und Erfahrung – dort brauchst du keine Lizenz. Die Bewertung deiner Abschlüsse (</w:t>
      </w:r>
      <w:r>
        <w:rPr>
          <w:i/>
          <w:iCs/>
        </w:rPr>
        <w:t>Credential Evaluation</w:t>
      </w:r>
      <w:r>
        <w:t>) und die Übersetzungen behandelt Kapitel </w:t>
      </w:r>
      <w:hyperlink w:anchor="k19">
        <w:r w:rsidR="001F7233">
          <w:t>19</w:t>
        </w:r>
      </w:hyperlink>
      <w:r>
        <w:t>.</w:t>
      </w:r>
    </w:p>
    <w:p w14:paraId="07AD5140" w14:textId="77777777" w:rsidR="001F7233" w:rsidRDefault="00000000">
      <w:r>
        <w:rPr>
          <w:b/>
        </w:rPr>
        <w:t>Lehrkräfte an öffentlichen Schulen</w:t>
      </w:r>
    </w:p>
    <w:p w14:paraId="1F12BE3F" w14:textId="77777777" w:rsidR="001F7233" w:rsidRDefault="00000000">
      <w:r>
        <w:rPr>
          <w:b/>
        </w:rPr>
        <w:t xml:space="preserve">Wer entscheidet: </w:t>
      </w:r>
      <w:r>
        <w:t>Bildungsbehörde des Bundesstaats</w:t>
      </w:r>
    </w:p>
    <w:p w14:paraId="2D1940FE" w14:textId="77777777" w:rsidR="001F7233" w:rsidRDefault="00000000">
      <w:r>
        <w:rPr>
          <w:b/>
        </w:rPr>
        <w:t xml:space="preserve">Typischer Weg: </w:t>
      </w:r>
      <w:r>
        <w:t>Bewertung der Abschlüsse, Staatsprüfungen, Antrag</w:t>
      </w:r>
    </w:p>
    <w:p w14:paraId="3CDF1C67" w14:textId="77777777" w:rsidR="001F7233" w:rsidRDefault="00000000">
      <w:r>
        <w:rPr>
          <w:b/>
        </w:rPr>
        <w:t>Pflege</w:t>
      </w:r>
    </w:p>
    <w:p w14:paraId="565163DF" w14:textId="77777777" w:rsidR="001F7233" w:rsidRDefault="00000000">
      <w:r>
        <w:rPr>
          <w:b/>
        </w:rPr>
        <w:t xml:space="preserve">Wer entscheidet: </w:t>
      </w:r>
      <w:r>
        <w:t>Landesbehörde (Board of Nursing)</w:t>
      </w:r>
    </w:p>
    <w:p w14:paraId="0B7154A8" w14:textId="77777777" w:rsidR="001F7233" w:rsidRDefault="00000000">
      <w:r>
        <w:rPr>
          <w:b/>
        </w:rPr>
        <w:t xml:space="preserve">Typischer Weg: </w:t>
      </w:r>
      <w:r>
        <w:t>Bewertung der Ausbildung, bundesweite Prüfung (NCLEX), Antrag</w:t>
      </w:r>
    </w:p>
    <w:p w14:paraId="15C96110" w14:textId="77777777" w:rsidR="001F7233" w:rsidRDefault="00000000">
      <w:r>
        <w:rPr>
          <w:b/>
        </w:rPr>
        <w:t>Physiotherapie</w:t>
      </w:r>
    </w:p>
    <w:p w14:paraId="699D66D8" w14:textId="77777777" w:rsidR="001F7233" w:rsidRDefault="00000000">
      <w:r>
        <w:rPr>
          <w:b/>
        </w:rPr>
        <w:t xml:space="preserve">Wer entscheidet: </w:t>
      </w:r>
      <w:r>
        <w:t>Landesbehörde</w:t>
      </w:r>
    </w:p>
    <w:p w14:paraId="567F69F9" w14:textId="77777777" w:rsidR="001F7233" w:rsidRDefault="00000000">
      <w:r>
        <w:rPr>
          <w:b/>
        </w:rPr>
        <w:lastRenderedPageBreak/>
        <w:t xml:space="preserve">Typischer Weg: </w:t>
      </w:r>
      <w:r>
        <w:t>Bewertung der Ausbildung, bundesweite Prüfung (NPTE), Antrag</w:t>
      </w:r>
    </w:p>
    <w:p w14:paraId="711158CF" w14:textId="77777777" w:rsidR="001F7233" w:rsidRDefault="00000000">
      <w:r>
        <w:rPr>
          <w:b/>
        </w:rPr>
        <w:t>Medizin</w:t>
      </w:r>
    </w:p>
    <w:p w14:paraId="4188F7DB" w14:textId="77777777" w:rsidR="001F7233" w:rsidRDefault="00000000">
      <w:r>
        <w:rPr>
          <w:b/>
        </w:rPr>
        <w:t xml:space="preserve">Wer entscheidet: </w:t>
      </w:r>
      <w:r>
        <w:t>Landesbehörde (Medical Board)</w:t>
      </w:r>
    </w:p>
    <w:p w14:paraId="3E9973BC" w14:textId="77777777" w:rsidR="001F7233" w:rsidRDefault="00000000">
      <w:r>
        <w:rPr>
          <w:b/>
        </w:rPr>
        <w:t xml:space="preserve">Typischer Weg: </w:t>
      </w:r>
      <w:r>
        <w:t>ECFMG-Zertifizierung, US-Prüfungen, meist US-Facharztausbildung (Residency)</w:t>
      </w:r>
    </w:p>
    <w:p w14:paraId="1FF9D1B5" w14:textId="77777777" w:rsidR="001F7233" w:rsidRDefault="001F7233">
      <w:pPr>
        <w:spacing w:line="180" w:lineRule="exact"/>
      </w:pPr>
    </w:p>
    <w:p w14:paraId="4DEEE17F" w14:textId="77777777" w:rsidR="001F7233" w:rsidRDefault="00000000">
      <w:pPr>
        <w:spacing w:after="140"/>
      </w:pPr>
      <w:r>
        <w:t>Die Regeln unterscheiden sich von Staat zu Staat, die Verfahren dauern oft Monate. Deshalb lohnt es, früh zu beginnen:</w:t>
      </w:r>
    </w:p>
    <w:p w14:paraId="604DAFAF" w14:textId="77777777" w:rsidR="001F7233" w:rsidRDefault="00000000">
      <w:pPr>
        <w:pStyle w:val="ListParagraph"/>
        <w:numPr>
          <w:ilvl w:val="0"/>
          <w:numId w:val="15"/>
        </w:numPr>
        <w:spacing w:after="60"/>
      </w:pPr>
      <w:r>
        <w:rPr>
          <w:b/>
          <w:bCs/>
        </w:rPr>
        <w:t>Behörde finden:</w:t>
      </w:r>
      <w:r>
        <w:t xml:space="preserve"> Bundesstaat, Beruf und „licensing board“ suchen.</w:t>
      </w:r>
    </w:p>
    <w:p w14:paraId="1F59B1A8" w14:textId="77777777" w:rsidR="001F7233" w:rsidRDefault="00000000">
      <w:pPr>
        <w:pStyle w:val="ListParagraph"/>
        <w:numPr>
          <w:ilvl w:val="0"/>
          <w:numId w:val="2"/>
        </w:numPr>
        <w:spacing w:after="60"/>
      </w:pPr>
      <w:r>
        <w:rPr>
          <w:b/>
          <w:bCs/>
        </w:rPr>
        <w:t>Abschlüsse bewerten lassen:</w:t>
      </w:r>
      <w:r>
        <w:t xml:space="preserve"> Viele Behörden schreiben Dienst oder Berichtstyp vor.</w:t>
      </w:r>
    </w:p>
    <w:p w14:paraId="4F012EC8" w14:textId="77777777" w:rsidR="001F7233" w:rsidRDefault="00000000">
      <w:pPr>
        <w:pStyle w:val="ListParagraph"/>
        <w:numPr>
          <w:ilvl w:val="0"/>
          <w:numId w:val="2"/>
        </w:numPr>
        <w:spacing w:after="60"/>
      </w:pPr>
      <w:r>
        <w:rPr>
          <w:b/>
          <w:bCs/>
        </w:rPr>
        <w:t>Prüfungen und Zusatzleistungen klären:</w:t>
      </w:r>
      <w:r>
        <w:t xml:space="preserve"> Kurse, Praxisstunden, Sprachnachweis.</w:t>
      </w:r>
    </w:p>
    <w:p w14:paraId="7B6C83B2" w14:textId="77777777" w:rsidR="001F7233" w:rsidRDefault="00000000">
      <w:pPr>
        <w:pStyle w:val="ListParagraph"/>
        <w:numPr>
          <w:ilvl w:val="0"/>
          <w:numId w:val="2"/>
        </w:numPr>
        <w:spacing w:after="60"/>
      </w:pPr>
      <w:r>
        <w:rPr>
          <w:b/>
          <w:bCs/>
        </w:rPr>
        <w:t>Antrag stellen:</w:t>
      </w:r>
      <w:r>
        <w:t xml:space="preserve"> Fristen und Gebühren beachten; frage vorher, ob die Behörde Aufenthaltsstatus oder SSN verlangt.</w:t>
      </w:r>
    </w:p>
    <w:p w14:paraId="0D054A17" w14:textId="77777777" w:rsidR="001F7233" w:rsidRDefault="001F7233">
      <w:pPr>
        <w:spacing w:line="120" w:lineRule="exact"/>
      </w:pPr>
    </w:p>
    <w:p w14:paraId="1EF802BD" w14:textId="77777777" w:rsidR="001F7233" w:rsidRDefault="00000000">
      <w:r>
        <w:rPr>
          <w:b/>
        </w:rPr>
        <w:t xml:space="preserve">MERKE: </w:t>
      </w:r>
    </w:p>
    <w:p w14:paraId="2B8DD0D9" w14:textId="77777777" w:rsidR="001F7233" w:rsidRDefault="00000000">
      <w:r>
        <w:t>• Aufenthaltsstatus, Arbeitserlaubnis und Berufslizenz sind drei getrennte Dinge. Für die Arbeit im erlernten Beruf brauchst du alle drei und die Lizenz lässt sich oft schon vor der Arbeitserlaubnis erwerben.</w:t>
      </w:r>
    </w:p>
    <w:p w14:paraId="7A91D38B" w14:textId="77777777" w:rsidR="001F7233" w:rsidRDefault="001F7233">
      <w:pPr>
        <w:spacing w:line="220" w:lineRule="exact"/>
      </w:pPr>
    </w:p>
    <w:p w14:paraId="476D7CF9" w14:textId="77777777" w:rsidR="001F7233" w:rsidRDefault="001F7233">
      <w:pPr>
        <w:spacing w:line="220" w:lineRule="exact"/>
      </w:pPr>
    </w:p>
    <w:p w14:paraId="4E603180" w14:textId="77777777" w:rsidR="001F7233" w:rsidRDefault="001F7233">
      <w:pPr>
        <w:spacing w:line="220" w:lineRule="exact"/>
      </w:pPr>
    </w:p>
    <w:p w14:paraId="5B57DB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Berufstätige, zwei Visa</w:t>
      </w:r>
    </w:p>
    <w:p w14:paraId="548ED18B" w14:textId="77777777" w:rsidR="001F7233" w:rsidRDefault="00000000">
      <w:pPr>
        <w:spacing w:after="140"/>
      </w:pPr>
      <w:r>
        <w:t>Viele Paare wollen nicht auf ein Einkommen setzen. Das geht, wenn jede Person einen eigenen Status hat. Die Wege im Überblick:</w:t>
      </w:r>
    </w:p>
    <w:p w14:paraId="06099E1C" w14:textId="77777777" w:rsidR="001F7233" w:rsidRDefault="00000000">
      <w:pPr>
        <w:pStyle w:val="ListParagraph"/>
        <w:numPr>
          <w:ilvl w:val="0"/>
          <w:numId w:val="1"/>
        </w:numPr>
        <w:spacing w:after="60"/>
      </w:pPr>
      <w:r>
        <w:rPr>
          <w:b/>
          <w:bCs/>
        </w:rPr>
        <w:t>Zwei Sponsoren.</w:t>
      </w:r>
      <w:r>
        <w:t xml:space="preserve"> Beide bewerben sich bei Arbeitgebern, die Visa sponsern. Beim H-1B heißt das zwei Registrierungen im März und zwei unabhängige Lose. Gewinnt nur eine Person, reist die andere als H-4 mit und versucht es im Folgejahr erneut. Ein </w:t>
      </w:r>
      <w:r>
        <w:lastRenderedPageBreak/>
        <w:t>Statuswechsel vom H-4 zum H-1B im Inland fällt nach der USCIS-Leitlinie vom 20. Oktober 2025 nicht unter die 100.000-$-Zahlung; der Entwurf über 103.265 $ würde ihn nach Kanzleiangaben erfassen (Kapitel </w:t>
      </w:r>
      <w:hyperlink w:anchor="k5">
        <w:r w:rsidR="001F7233">
          <w:t>5</w:t>
        </w:r>
      </w:hyperlink>
      <w:r>
        <w:t>).</w:t>
      </w:r>
    </w:p>
    <w:p w14:paraId="3A035F21" w14:textId="77777777" w:rsidR="001F7233" w:rsidRDefault="00000000">
      <w:pPr>
        <w:pStyle w:val="ListParagraph"/>
        <w:numPr>
          <w:ilvl w:val="0"/>
          <w:numId w:val="1"/>
        </w:numPr>
        <w:spacing w:after="60"/>
      </w:pPr>
      <w:r>
        <w:rPr>
          <w:b/>
          <w:bCs/>
        </w:rPr>
        <w:t>Cap-exempt.</w:t>
      </w:r>
      <w:r>
        <w:t xml:space="preserve"> Eine Person arbeitet an einer Hochschule oder Forschungseinrichtung, ohne Lotterie (Kapitel </w:t>
      </w:r>
      <w:hyperlink w:anchor="k5">
        <w:r w:rsidR="001F7233">
          <w:t>5</w:t>
        </w:r>
      </w:hyperlink>
      <w:r>
        <w:t>). Hochschulen bieten für Partner häufig Unterstützung an (</w:t>
      </w:r>
      <w:r>
        <w:rPr>
          <w:i/>
          <w:iCs/>
        </w:rPr>
        <w:t>Dual Career</w:t>
      </w:r>
      <w:r>
        <w:t>), fragen lohnt sich.</w:t>
      </w:r>
    </w:p>
    <w:p w14:paraId="2E654F5A" w14:textId="77777777" w:rsidR="001F7233" w:rsidRDefault="00000000">
      <w:pPr>
        <w:pStyle w:val="ListParagraph"/>
        <w:numPr>
          <w:ilvl w:val="0"/>
          <w:numId w:val="1"/>
        </w:numPr>
        <w:spacing w:after="60"/>
      </w:pPr>
      <w:r>
        <w:rPr>
          <w:b/>
          <w:bCs/>
        </w:rPr>
        <w:t>Gemischte Status. Ein Partner mit L-1 oder E-2, der andere mit H-1B: möglich, aber jede Person hat eigene Fristen, eigene Bindung an den Arbeitgeber und einen eigenen Arbeitsort.</w:t>
      </w:r>
    </w:p>
    <w:p w14:paraId="7FA20BC7" w14:textId="77777777" w:rsidR="001F7233" w:rsidRDefault="00000000">
      <w:pPr>
        <w:pStyle w:val="ListParagraph"/>
        <w:numPr>
          <w:ilvl w:val="0"/>
          <w:numId w:val="1"/>
        </w:numPr>
        <w:spacing w:after="60"/>
      </w:pPr>
      <w:r>
        <w:rPr>
          <w:b/>
          <w:bCs/>
        </w:rPr>
        <w:t>Rückfallposition.</w:t>
      </w:r>
      <w:r>
        <w:t xml:space="preserve"> Verliert eine Person den Job, kommt ein Wechsel in den H-4 unter dem anderen Partner in Betracht; den Antrag stellst du rechtzeitig innerhalb der Frist (Kapitel </w:t>
      </w:r>
      <w:hyperlink w:anchor="k30">
        <w:r w:rsidR="001F7233">
          <w:t>30</w:t>
        </w:r>
      </w:hyperlink>
      <w:r>
        <w:t>).</w:t>
      </w:r>
    </w:p>
    <w:p w14:paraId="06AADA91" w14:textId="77777777" w:rsidR="001F7233" w:rsidRDefault="001F7233">
      <w:pPr>
        <w:spacing w:line="120" w:lineRule="exact"/>
      </w:pPr>
    </w:p>
    <w:p w14:paraId="638F9729" w14:textId="77777777" w:rsidR="001F7233" w:rsidRDefault="00000000">
      <w:pPr>
        <w:spacing w:after="140"/>
      </w:pPr>
      <w:r>
        <w:t>Der Preis zweier Karrieren ist die Ortsbindung: Ein Umzug in ein anderes Beschäftigungsgebiet verlangt bei jeder Person eine neue Arbeitsbedingungserklärung und eine geänderte Petition (Kapitel </w:t>
      </w:r>
      <w:hyperlink w:anchor="k30">
        <w:r w:rsidR="001F7233">
          <w:t>30</w:t>
        </w:r>
      </w:hyperlink>
      <w:r>
        <w:t>). Für die Green Card können beide getrennt antreten, oder eine Person folgt der anderen als Mitantragstellende – das entscheidet die Kanzlei mit dir (Kapitel </w:t>
      </w:r>
      <w:hyperlink w:anchor="k6">
        <w:r w:rsidR="001F7233">
          <w:t>6</w:t>
        </w:r>
      </w:hyperlink>
      <w:r>
        <w:t xml:space="preserve"> und </w:t>
      </w:r>
      <w:hyperlink w:anchor="k7">
        <w:r w:rsidR="001F7233">
          <w:t>7</w:t>
        </w:r>
      </w:hyperlink>
      <w:r>
        <w:t>).</w:t>
      </w:r>
    </w:p>
    <w:p w14:paraId="16A6D9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mitreisende Partner: Isolation und Einkommenslücke</w:t>
      </w:r>
    </w:p>
    <w:p w14:paraId="19ED739E" w14:textId="77777777" w:rsidR="001F7233" w:rsidRDefault="00000000">
      <w:pPr>
        <w:spacing w:after="140"/>
      </w:pPr>
      <w:r>
        <w:t xml:space="preserve">Der mitreisende Partner ist der wunde Punkt des Systems. Die arbeitende Person hat Kollegen, die Kinder haben die Schule. Wer zu Hause bleibt, hat oft nichts von beidem. Nur die stille Wohnung am Nachmittag und die Frage, was man dem Nachbarn beim Small Talk auf „And what do you do?“ antwortet. Beim H-4 kommen Einkommenslücke, Karrierebruch und eine fehlende SSN zusammen, </w:t>
      </w:r>
      <w:r>
        <w:lastRenderedPageBreak/>
        <w:t>und das über Jahre. Sprich vor dem Abflug offen darüber, wer worauf verzichtet und wie lange, und vereinbart, wann ihr Bilanz zieht.</w:t>
      </w:r>
    </w:p>
    <w:p w14:paraId="45793C08" w14:textId="77777777" w:rsidR="001F7233" w:rsidRDefault="00000000">
      <w:pPr>
        <w:spacing w:after="140"/>
      </w:pPr>
      <w:r>
        <w:t>Die Wartezeit lässt sich nutzen: für Lizenzverfahren, Kurse (H-4 erlaubt Studium), Sprachpraxis, Ehrenamt und Kontakte (Anschluss finden: Kapitel </w:t>
      </w:r>
      <w:hyperlink w:anchor="k32">
        <w:r w:rsidR="001F7233">
          <w:t>32</w:t>
        </w:r>
      </w:hyperlink>
      <w:r>
        <w:t>; Kulturschock, Krisenpunkte und wann Hilfe sinnvoll ist: Kapitel </w:t>
      </w:r>
      <w:hyperlink w:anchor="k33">
        <w:r w:rsidR="001F7233">
          <w:t>33</w:t>
        </w:r>
      </w:hyperlink>
      <w:r>
        <w:t>).</w:t>
      </w:r>
    </w:p>
    <w:p w14:paraId="5700CB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Ehepartner und Kinder im Visumssystem</w:t>
      </w:r>
    </w:p>
    <w:p w14:paraId="54828056" w14:textId="77777777" w:rsidR="001F7233" w:rsidRDefault="00000000">
      <w:r>
        <w:rPr>
          <w:b/>
        </w:rPr>
        <w:t>Plus: Ehepartner und Kinder reisen mit, ohne eigene Lotterie oder eigenen Sponsor</w:t>
      </w:r>
    </w:p>
    <w:p w14:paraId="2D824985" w14:textId="77777777" w:rsidR="001F7233" w:rsidRDefault="00000000">
      <w:r>
        <w:rPr>
          <w:b/>
        </w:rPr>
        <w:t xml:space="preserve">Minus: </w:t>
      </w:r>
      <w:r>
        <w:t>H-4-Partner dürfen in den ersten Jahren meist nicht arbeiten</w:t>
      </w:r>
    </w:p>
    <w:p w14:paraId="7A4B4AD4" w14:textId="77777777" w:rsidR="001F7233" w:rsidRDefault="00000000">
      <w:r>
        <w:rPr>
          <w:b/>
        </w:rPr>
        <w:t>Plus: L-2- und E-2-Partner arbeiten sofort und ohne eigenen Antrag</w:t>
      </w:r>
    </w:p>
    <w:p w14:paraId="3582AD37" w14:textId="77777777" w:rsidR="001F7233" w:rsidRDefault="00000000">
      <w:r>
        <w:rPr>
          <w:b/>
        </w:rPr>
        <w:t xml:space="preserve">Minus: </w:t>
      </w:r>
      <w:r>
        <w:t>Die H-4-Arbeitserlaubnis ist Verordnungsrecht; ein Abschaffungsvorhaben steht auf der Agenda</w:t>
      </w:r>
    </w:p>
    <w:p w14:paraId="713BD6BE" w14:textId="77777777" w:rsidR="001F7233" w:rsidRDefault="00000000">
      <w:r>
        <w:rPr>
          <w:b/>
        </w:rPr>
        <w:t>Plus: H-4 erlaubt Studium ohne Statuswechsel</w:t>
      </w:r>
    </w:p>
    <w:p w14:paraId="1FAA26F8" w14:textId="77777777" w:rsidR="001F7233" w:rsidRDefault="00000000">
      <w:r>
        <w:rPr>
          <w:b/>
        </w:rPr>
        <w:t xml:space="preserve">Minus: </w:t>
      </w:r>
      <w:r>
        <w:t>Als Auswärtige kostet das Studium im Schnitt 31.880 $ statt 11.950 $ pro Jahr</w:t>
      </w:r>
    </w:p>
    <w:p w14:paraId="5DA5B9F4" w14:textId="77777777" w:rsidR="001F7233" w:rsidRDefault="00000000">
      <w:r>
        <w:rPr>
          <w:b/>
        </w:rPr>
        <w:t>Plus: Die Familie läuft im Green-Card-Verfahren mit</w:t>
      </w:r>
    </w:p>
    <w:p w14:paraId="39DBB8E2" w14:textId="77777777" w:rsidR="001F7233" w:rsidRDefault="00000000">
      <w:r>
        <w:rPr>
          <w:b/>
        </w:rPr>
        <w:t xml:space="preserve">Minus: </w:t>
      </w:r>
      <w:r>
        <w:t>Kinder verlieren den Status mit 21 (Age-out)</w:t>
      </w:r>
    </w:p>
    <w:p w14:paraId="3D507784" w14:textId="77777777" w:rsidR="001F7233" w:rsidRDefault="00000000">
      <w:r>
        <w:rPr>
          <w:b/>
        </w:rPr>
        <w:t>Plus: Kinder besuchen die öffentliche Schule ihres Distrikts</w:t>
      </w:r>
    </w:p>
    <w:p w14:paraId="5305CC62" w14:textId="77777777" w:rsidR="001F7233" w:rsidRDefault="00000000">
      <w:r>
        <w:rPr>
          <w:b/>
        </w:rPr>
        <w:t xml:space="preserve">Minus: </w:t>
      </w:r>
      <w:r>
        <w:t>Unverheiratete Paare erhalten keinen Partnerstatus</w:t>
      </w:r>
    </w:p>
    <w:p w14:paraId="207EA5BE" w14:textId="77777777" w:rsidR="001F7233" w:rsidRDefault="00000000">
      <w:r>
        <w:rPr>
          <w:b/>
        </w:rPr>
        <w:t>Plus: Die Wartezeit lässt sich für Lizenz, Studium und Weiterbildung nutzen</w:t>
      </w:r>
    </w:p>
    <w:p w14:paraId="35A93135" w14:textId="77777777" w:rsidR="001F7233" w:rsidRDefault="00000000">
      <w:r>
        <w:rPr>
          <w:b/>
        </w:rPr>
        <w:t xml:space="preserve">Minus: </w:t>
      </w:r>
      <w:r>
        <w:t>Berufslizenzen sind Sache jedes Bundesstaats und dauern oft Monate</w:t>
      </w:r>
    </w:p>
    <w:p w14:paraId="36D18729" w14:textId="77777777" w:rsidR="001F7233" w:rsidRDefault="00000000">
      <w:r>
        <w:rPr>
          <w:b/>
        </w:rPr>
        <w:t>Plus: Zwei eigene Status sichern zwei Einkommen</w:t>
      </w:r>
    </w:p>
    <w:p w14:paraId="1F3AFF9F" w14:textId="77777777" w:rsidR="001F7233" w:rsidRDefault="00000000">
      <w:r>
        <w:rPr>
          <w:b/>
        </w:rPr>
        <w:t xml:space="preserve">Minus: </w:t>
      </w:r>
      <w:r>
        <w:t>Einkommenslücke, Karrierepause und Isolation belasten die Beziehung</w:t>
      </w:r>
    </w:p>
    <w:p w14:paraId="356D346E" w14:textId="77777777" w:rsidR="001F7233" w:rsidRDefault="001F7233">
      <w:pPr>
        <w:spacing w:line="180" w:lineRule="exact"/>
      </w:pPr>
    </w:p>
    <w:p w14:paraId="39812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2AA500E6" w14:textId="77777777" w:rsidR="001F7233" w:rsidRDefault="00000000">
      <w:pPr>
        <w:spacing w:after="140"/>
      </w:pPr>
      <w:r>
        <w:t>Kläre vor der Zusage, welcher Status für Partner und Kinder gilt. Heirate, falls nötig, vor dem Konsulatstermin, rechne die Altersgrenzen der Kinder durch und stoße die Lizenzfrage für den Beruf des Partners an, solange noch keine Arbeitserlaubnis besteht.</w:t>
      </w:r>
    </w:p>
    <w:p w14:paraId="1720525F" w14:textId="77777777" w:rsidR="001F7233" w:rsidRDefault="00000000">
      <w:r>
        <w:t xml:space="preserve">• Familienstand klären: Unverheiratete Paare heiraten vor dem Konsulatstermin; Heiratsurkunde, Übersetzung und Apostille mit </w:t>
      </w:r>
      <w:hyperlink w:anchor="k19">
        <w:r w:rsidR="001F7233">
          <w:rPr>
            <w:color w:val="0563C1"/>
            <w:u w:val="single"/>
          </w:rPr>
          <w:t>Kapitel 19</w:t>
        </w:r>
      </w:hyperlink>
      <w:r>
        <w:t xml:space="preserve"> planen.</w:t>
      </w:r>
    </w:p>
    <w:p w14:paraId="4E04BFAE" w14:textId="77777777" w:rsidR="001F7233" w:rsidRDefault="00000000">
      <w:r>
        <w:t>• Bei eingetragener Lebenspartnerschaft: Umwandlung in eine Ehe mit Standesamt und Kanzlei besprechen.</w:t>
      </w:r>
    </w:p>
    <w:p w14:paraId="273A66C1" w14:textId="77777777" w:rsidR="001F7233" w:rsidRDefault="00000000">
      <w:r>
        <w:t>• Für jede Person ein eigenes DS-160, einen Termin und die Gebühr einplanen; Social-Media-Profile vor dem Termin öffentlich stellen (</w:t>
      </w:r>
      <w:hyperlink w:anchor="k11">
        <w:r w:rsidR="001F7233">
          <w:rPr>
            <w:color w:val="0563C1"/>
            <w:u w:val="single"/>
          </w:rPr>
          <w:t>Kapitel 11</w:t>
        </w:r>
      </w:hyperlink>
      <w:r>
        <w:t>).</w:t>
      </w:r>
    </w:p>
    <w:p w14:paraId="0684CD36" w14:textId="77777777" w:rsidR="001F7233" w:rsidRDefault="00000000">
      <w:r>
        <w:t>• Im Angebotsschreiben festhalten, wer die Kosten für Ehepartner und Kinder trägt (Konsulargebühren, I-539, Arbeitserlaubnis).</w:t>
      </w:r>
    </w:p>
    <w:p w14:paraId="2FC154F4" w14:textId="77777777" w:rsidR="001F7233" w:rsidRDefault="00000000">
      <w:r>
        <w:t>• Bei L-2 und E-2: nach der Landung den I-94 im Portal prüfen (Kennung L-2S bzw. E-2S).</w:t>
      </w:r>
    </w:p>
    <w:p w14:paraId="26E4E14B" w14:textId="77777777" w:rsidR="001F7233" w:rsidRDefault="00000000">
      <w:r>
        <w:t>• Den 21. Geburtstag aller Kinder in den Kalender eintragen; Age-out-Plan mit der Kanzlei besprechen.</w:t>
      </w:r>
    </w:p>
    <w:p w14:paraId="35A3CD1E" w14:textId="77777777" w:rsidR="001F7233" w:rsidRDefault="00000000">
      <w:r>
        <w:t>• Lizenzpflichtigen Beruf des Partners erkennen: Behörde des Zielstaats, Bewertungsdienst, Prüfungen und Kosten erfragen.</w:t>
      </w:r>
    </w:p>
    <w:p w14:paraId="6800CDB0" w14:textId="77777777" w:rsidR="001F7233" w:rsidRDefault="00000000">
      <w:r>
        <w:t>• Studium mit H-4: bei der Hochschule die Regeln zur In-State Tuition erfragen, bevor du dich bewirbst.</w:t>
      </w:r>
    </w:p>
    <w:p w14:paraId="01DFD852" w14:textId="77777777" w:rsidR="001F7233" w:rsidRDefault="00000000">
      <w:r>
        <w:t>• Verlängerung der Arbeitserlaubnis 180 Tage vor Ablauf einplanen; Kopien aller Bescheide sichern.</w:t>
      </w:r>
    </w:p>
    <w:p w14:paraId="037A6D2D" w14:textId="77777777" w:rsidR="001F7233" w:rsidRDefault="00000000">
      <w:r>
        <w:t>• Plan für die Wartezeit festlegen: Kurse, Ehrenamt, Kontakte, Termine für die gemeinsame Bilanz (</w:t>
      </w:r>
      <w:hyperlink w:anchor="k32">
        <w:r w:rsidR="001F7233">
          <w:rPr>
            <w:color w:val="0563C1"/>
            <w:u w:val="single"/>
          </w:rPr>
          <w:t>Kapitel 32</w:t>
        </w:r>
      </w:hyperlink>
      <w:r>
        <w:t xml:space="preserve"> und 33).</w:t>
      </w:r>
    </w:p>
    <w:p w14:paraId="0ABB1159" w14:textId="77777777" w:rsidR="001F7233" w:rsidRDefault="001F7233">
      <w:pPr>
        <w:spacing w:line="220" w:lineRule="exact"/>
      </w:pPr>
    </w:p>
    <w:p w14:paraId="45953E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97AEC59" w14:textId="77777777" w:rsidR="001F7233" w:rsidRDefault="00000000">
      <w:pPr>
        <w:pStyle w:val="ListParagraph"/>
        <w:numPr>
          <w:ilvl w:val="0"/>
          <w:numId w:val="1"/>
        </w:numPr>
        <w:spacing w:after="60"/>
      </w:pPr>
      <w:r>
        <w:t>USCIS — Arbeitserlaubnis, Form I-765 (</w:t>
      </w:r>
      <w:hyperlink r:id="rId171">
        <w:r w:rsidR="001F7233">
          <w:rPr>
            <w:color w:val="0563C1"/>
            <w:u w:val="single"/>
          </w:rPr>
          <w:t>uscis.gov/i-765</w:t>
        </w:r>
      </w:hyperlink>
      <w:r>
        <w:t>)</w:t>
      </w:r>
    </w:p>
    <w:p w14:paraId="4BC9BA91" w14:textId="77777777" w:rsidR="001F7233" w:rsidRDefault="00000000">
      <w:pPr>
        <w:pStyle w:val="ListParagraph"/>
        <w:numPr>
          <w:ilvl w:val="0"/>
          <w:numId w:val="1"/>
        </w:numPr>
        <w:spacing w:after="60"/>
      </w:pPr>
      <w:r>
        <w:t>USCIS — Gebührenübersicht G-1055 (</w:t>
      </w:r>
      <w:hyperlink r:id="rId172">
        <w:r w:rsidR="001F7233">
          <w:rPr>
            <w:color w:val="0563C1"/>
            <w:u w:val="single"/>
          </w:rPr>
          <w:t>uscis.gov/g-1055</w:t>
        </w:r>
      </w:hyperlink>
      <w:r>
        <w:t>)</w:t>
      </w:r>
    </w:p>
    <w:p w14:paraId="15073B46" w14:textId="77777777" w:rsidR="001F7233" w:rsidRPr="00B8323E" w:rsidRDefault="00000000">
      <w:pPr>
        <w:pStyle w:val="ListParagraph"/>
        <w:numPr>
          <w:ilvl w:val="0"/>
          <w:numId w:val="1"/>
        </w:numPr>
        <w:spacing w:after="60"/>
        <w:rPr>
          <w:lang w:val="en-US"/>
        </w:rPr>
      </w:pPr>
      <w:r w:rsidRPr="00B8323E">
        <w:rPr>
          <w:lang w:val="en-US"/>
        </w:rPr>
        <w:lastRenderedPageBreak/>
        <w:t>USCIS — L-1A und Arbeitsberechtigung der L-2-Ehepartner (</w:t>
      </w:r>
      <w:hyperlink r:id="rId173">
        <w:r w:rsidR="001F7233" w:rsidRPr="00B8323E">
          <w:rPr>
            <w:color w:val="0563C1"/>
            <w:u w:val="single"/>
            <w:lang w:val="en-US"/>
          </w:rPr>
          <w:t>uscis.gov/working-in-the-united-states/temporary-workers/l-1a-intracompany-transferee-executive-or-manager</w:t>
        </w:r>
      </w:hyperlink>
      <w:r w:rsidRPr="00B8323E">
        <w:rPr>
          <w:lang w:val="en-US"/>
        </w:rPr>
        <w:t>)</w:t>
      </w:r>
    </w:p>
    <w:p w14:paraId="5179A3CD" w14:textId="77777777" w:rsidR="001F7233" w:rsidRPr="00B8323E" w:rsidRDefault="00000000">
      <w:pPr>
        <w:pStyle w:val="ListParagraph"/>
        <w:numPr>
          <w:ilvl w:val="0"/>
          <w:numId w:val="1"/>
        </w:numPr>
        <w:spacing w:after="60"/>
        <w:rPr>
          <w:lang w:val="en-US"/>
        </w:rPr>
      </w:pPr>
      <w:r w:rsidRPr="00B8323E">
        <w:rPr>
          <w:lang w:val="en-US"/>
        </w:rPr>
        <w:t>USCIS Policy Manual — Ehe und Ehepartner (</w:t>
      </w:r>
      <w:hyperlink r:id="rId174">
        <w:r w:rsidR="001F7233" w:rsidRPr="00B8323E">
          <w:rPr>
            <w:color w:val="0563C1"/>
            <w:u w:val="single"/>
            <w:lang w:val="en-US"/>
          </w:rPr>
          <w:t>uscis.gov/policy-manual/volume-6-part-b-chapter-6</w:t>
        </w:r>
      </w:hyperlink>
      <w:r w:rsidRPr="00B8323E">
        <w:rPr>
          <w:lang w:val="en-US"/>
        </w:rPr>
        <w:t>)</w:t>
      </w:r>
    </w:p>
    <w:p w14:paraId="428DD23A" w14:textId="77777777" w:rsidR="001F7233" w:rsidRPr="00B8323E" w:rsidRDefault="00000000">
      <w:pPr>
        <w:pStyle w:val="ListParagraph"/>
        <w:numPr>
          <w:ilvl w:val="0"/>
          <w:numId w:val="1"/>
        </w:numPr>
        <w:spacing w:after="60"/>
        <w:rPr>
          <w:lang w:val="en-US"/>
        </w:rPr>
      </w:pPr>
      <w:r w:rsidRPr="00B8323E">
        <w:rPr>
          <w:lang w:val="en-US"/>
        </w:rPr>
        <w:t>USCIS Policy Manual — Child Status Protection Act (</w:t>
      </w:r>
      <w:hyperlink r:id="rId175">
        <w:r w:rsidR="001F7233" w:rsidRPr="00B8323E">
          <w:rPr>
            <w:color w:val="0563C1"/>
            <w:u w:val="single"/>
            <w:lang w:val="en-US"/>
          </w:rPr>
          <w:t>uscis.gov/policy-manual/volume-7-part-a-chapter-7</w:t>
        </w:r>
      </w:hyperlink>
      <w:r w:rsidRPr="00B8323E">
        <w:rPr>
          <w:lang w:val="en-US"/>
        </w:rPr>
        <w:t>)</w:t>
      </w:r>
    </w:p>
    <w:p w14:paraId="55C6E458" w14:textId="77777777" w:rsidR="001F7233" w:rsidRDefault="00000000">
      <w:pPr>
        <w:pStyle w:val="ListParagraph"/>
        <w:numPr>
          <w:ilvl w:val="0"/>
          <w:numId w:val="1"/>
        </w:numPr>
        <w:spacing w:after="60"/>
      </w:pPr>
      <w:r>
        <w:t>Grenzschutz CBP — I-94-Portal (</w:t>
      </w:r>
      <w:hyperlink r:id="rId176">
        <w:r w:rsidR="001F7233">
          <w:rPr>
            <w:color w:val="0563C1"/>
            <w:u w:val="single"/>
          </w:rPr>
          <w:t>i94.cbp.dhs.gov</w:t>
        </w:r>
      </w:hyperlink>
      <w:r>
        <w:t>)</w:t>
      </w:r>
    </w:p>
    <w:p w14:paraId="4A32E5AD" w14:textId="77777777" w:rsidR="001F7233" w:rsidRDefault="00000000">
      <w:pPr>
        <w:pStyle w:val="ListParagraph"/>
        <w:numPr>
          <w:ilvl w:val="0"/>
          <w:numId w:val="1"/>
        </w:numPr>
        <w:spacing w:after="60"/>
      </w:pPr>
      <w:r>
        <w:t>Regelungsagenda der US-Regierung — Vorhaben RIN 1615-AD14 (</w:t>
      </w:r>
      <w:hyperlink r:id="rId177">
        <w:r w:rsidR="001F7233">
          <w:rPr>
            <w:color w:val="0563C1"/>
            <w:u w:val="single"/>
          </w:rPr>
          <w:t>reginfo.gov</w:t>
        </w:r>
      </w:hyperlink>
      <w:r>
        <w:t>)</w:t>
      </w:r>
    </w:p>
    <w:p w14:paraId="1DA1F24B" w14:textId="77777777" w:rsidR="001F7233" w:rsidRPr="00B8323E" w:rsidRDefault="00000000">
      <w:pPr>
        <w:pStyle w:val="ListParagraph"/>
        <w:numPr>
          <w:ilvl w:val="0"/>
          <w:numId w:val="1"/>
        </w:numPr>
        <w:spacing w:after="60"/>
        <w:rPr>
          <w:lang w:val="en-US"/>
        </w:rPr>
      </w:pPr>
      <w:r w:rsidRPr="00B8323E">
        <w:rPr>
          <w:lang w:val="en-US"/>
        </w:rPr>
        <w:t>Michigan Department of Education — Lehrkräfte aus dem Ausland (</w:t>
      </w:r>
      <w:hyperlink r:id="rId178">
        <w:r w:rsidR="001F7233" w:rsidRPr="00B8323E">
          <w:rPr>
            <w:color w:val="0563C1"/>
            <w:u w:val="single"/>
            <w:lang w:val="en-US"/>
          </w:rPr>
          <w:t>michigan.gov/mde</w:t>
        </w:r>
      </w:hyperlink>
      <w:r w:rsidRPr="00B8323E">
        <w:rPr>
          <w:lang w:val="en-US"/>
        </w:rPr>
        <w:t>, Suche: Out-of-Country Applicants)</w:t>
      </w:r>
    </w:p>
    <w:p w14:paraId="68D8F5EB" w14:textId="77777777" w:rsidR="001F7233" w:rsidRPr="00B8323E" w:rsidRDefault="001F7233">
      <w:pPr>
        <w:spacing w:line="120" w:lineRule="exact"/>
        <w:rPr>
          <w:lang w:val="en-US"/>
        </w:rPr>
      </w:pPr>
    </w:p>
    <w:p w14:paraId="665F2DEE" w14:textId="77777777" w:rsidR="001F7233" w:rsidRDefault="00000000">
      <w:r>
        <w:t xml:space="preserve">• Quellen- und Datenstand: September 2026; Redaktionsschluss: Oktober 2026. Diese Angaben ändern sich schnell. Dazu zählen das Vorhaben zur Abschaffung der H-4-Arbeitserlaubnis (RIN 1615-AD14; bislang kein Entwurf veröffentlicht), die Gebühren für I-765, I-539 und I-485 (G-1055) sowie die Regeln zur Verlängerung von Arbeitserlaubnissen. Auch die Stichtage im Visa Bulletin und damit der Schutz durch den CSPA können sich ändern. Hinzu kommen die Entwürfe zu 103.265 $ und zur 60-Tage-Frist (Kapitel 5) sowie die Regeln der Bundesstaaten und Hochschulen zu Lizenzen und Studiengebühren. Weitere Einzelheiten stehen in </w:t>
      </w:r>
      <w:hyperlink w:anchor="k5">
        <w:r w:rsidR="001F7233">
          <w:t>Kapitel 5</w:t>
        </w:r>
      </w:hyperlink>
      <w:r/>
      <w:r>
        <w:t>.</w:t>
      </w:r>
    </w:p>
    <w:p w14:paraId="6C720370" w14:textId="77777777" w:rsidR="001F7233" w:rsidRDefault="00000000">
      <w:pPr>
        <w:spacing w:line="220" w:lineRule="exact"/>
      </w:pPr>
      <w:r>
        <w:br w:type="page"/>
      </w:r>
    </w:p>
    <w:p w14:paraId="6CFAC2D1" w14:textId="77777777" w:rsidR="001F7233" w:rsidRDefault="00000000">
      <w:pPr>
        <w:pStyle w:val="Heading2"/>
        <w:keepNext/>
        <w:spacing w:line="341" w:lineRule="auto"/>
        <w:jc w:val="center"/>
      </w:pPr>
      <w:bookmarkStart w:id="34" w:name="k11"/>
      <w:r>
        <w:rPr>
          <w:rFonts w:ascii="Amazon Ember" w:eastAsia="Amazon Ember" w:hAnsi="Amazon Ember" w:cs="Amazon Ember"/>
          <w:color w:val="0000FF"/>
          <w:sz w:val="36"/>
          <w:szCs w:val="36"/>
        </w:rPr>
        <w:lastRenderedPageBreak/>
        <w:t>Kapitel 11: Antrag, Konsulat, Anwalt, Kosten</w:t>
      </w:r>
      <w:bookmarkEnd w:id="34"/>
    </w:p>
    <w:p w14:paraId="6B10B1C0" w14:textId="77777777" w:rsidR="001F7233" w:rsidRDefault="00000000">
      <w:pPr>
        <w:spacing w:after="140"/>
      </w:pPr>
      <w:r>
        <w:rPr>
          <w:i/>
          <w:iCs/>
        </w:rPr>
        <w:t>Die Mail der Kanzlei kommt an einem Dienstagabend, Betreff: „Approved“. Im Anhang liegt der Genehmigungsbescheid (Form I-797), und du atmest auf. Bis du weiterliest: DS-160 ausfüllen, Gebühr zahlen, Termin buchen, Interview. Die Genehmigung der Einwanderungsbehörde ist erst die erste von drei Entscheidungen. Dieses Kapitel führt durch alles, was danach kommt: wer was macht, was es kostet und wo es hakt.</w:t>
      </w:r>
    </w:p>
    <w:p w14:paraId="7A800D41" w14:textId="77777777" w:rsidR="001F7233" w:rsidRDefault="00000000">
      <w:r>
        <w:rPr>
          <w:b/>
        </w:rPr>
        <w:t xml:space="preserve">KURZ GESAGT: </w:t>
      </w:r>
    </w:p>
    <w:p w14:paraId="1D897638" w14:textId="77777777" w:rsidR="001F7233" w:rsidRDefault="00000000">
      <w:r>
        <w:t>• Dein Arbeitgeber ist Antragsteller, zahlt die Petition und beauftragt die Kanzlei; diese vertritt ihn, nicht dich. DS-160, Konsulargebühr und Interview sind deine Sache.</w:t>
      </w:r>
    </w:p>
    <w:p w14:paraId="3D8902B5" w14:textId="77777777" w:rsidR="001F7233" w:rsidRDefault="00000000">
      <w:r>
        <w:t>• In Frankfurt, Berlin oder München erscheinst du persönlich: Ausnahmen vom Interview gibt es für H-1B und H-4 seit dem 2. September 2025 nicht mehr.</w:t>
      </w:r>
    </w:p>
    <w:p w14:paraId="4C39B4B7" w14:textId="77777777" w:rsidR="001F7233" w:rsidRDefault="00000000">
      <w:r>
        <w:t>• Neu sind die Prüfung deiner Online-Profile (seit 15. Dezember 2025) und kürzere Fristen bei Nachforderungen (seit 5. August 2026). Das Gesetz sieht eine Visa Integrity Fee vor. Die aktuelle veröffentlichte Gebührenliste des State Department weist sie nicht separat aus. Folge nur einer konkreten Zahlungsanweisung. Den Betrag druckt dieses Kapitel nicht.</w:t>
      </w:r>
    </w:p>
    <w:p w14:paraId="5CD6BDF3" w14:textId="77777777" w:rsidR="001F7233" w:rsidRDefault="00000000">
      <w:r>
        <w:t xml:space="preserve">• Deine Konsulargebühr steht auf </w:t>
      </w:r>
      <w:hyperlink r:id="rId179">
        <w:r w:rsidR="001F7233">
          <w:rPr>
            <w:color w:val="0563C1"/>
            <w:u w:val="single"/>
          </w:rPr>
          <w:t>travel.state.gov</w:t>
        </w:r>
      </w:hyperlink>
      <w:r>
        <w:t xml:space="preserve">. Die Behördengebühren des Arbeitgebers stehen auf </w:t>
      </w:r>
      <w:hyperlink r:id="rId180">
        <w:r w:rsidR="001F7233">
          <w:rPr>
            <w:color w:val="0563C1"/>
            <w:u w:val="single"/>
          </w:rPr>
          <w:t>uscis.gov/g-1055</w:t>
        </w:r>
      </w:hyperlink>
      <w:r>
        <w:t>. Prüfe beide, bevor jemand zahlt oder du kündigst.</w:t>
      </w:r>
    </w:p>
    <w:p w14:paraId="3541FB94" w14:textId="77777777" w:rsidR="001F7233" w:rsidRDefault="00000000">
      <w:r>
        <w:t>• Ein 221(g)-Vermerk (Administrative Processing) kann Wochen bis Monate dauern: Kündige erst, wenn das Visum im Pass steht.</w:t>
      </w:r>
    </w:p>
    <w:p w14:paraId="3F5D309C" w14:textId="77777777" w:rsidR="001F7233" w:rsidRDefault="00000000">
      <w:r>
        <w:t>• Vertreten dürfen dich nur zugelassene Anwälte, „Visa-Berater“ und Notare gehören nicht dazu.</w:t>
      </w:r>
    </w:p>
    <w:p w14:paraId="751EB453" w14:textId="77777777" w:rsidR="001F7233" w:rsidRDefault="001F7233">
      <w:pPr>
        <w:spacing w:line="220" w:lineRule="exact"/>
      </w:pPr>
    </w:p>
    <w:p w14:paraId="35F8C4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macht was: Arbeitgeber, Kanzlei und du</w:t>
      </w:r>
    </w:p>
    <w:p w14:paraId="2390547C" w14:textId="77777777" w:rsidR="001F7233" w:rsidRDefault="00000000">
      <w:pPr>
        <w:spacing w:after="140"/>
      </w:pPr>
      <w:r>
        <w:t xml:space="preserve">Bei arbeitgebergestützten Visa (H-1B, L-1, O-1) ist dein Arbeitgeber der </w:t>
      </w:r>
      <w:r>
        <w:rPr>
          <w:i/>
          <w:iCs/>
        </w:rPr>
        <w:t>Petitioner</w:t>
      </w:r>
      <w:r>
        <w:t xml:space="preserve"> (Antragsteller), du der </w:t>
      </w:r>
      <w:r>
        <w:rPr>
          <w:i/>
          <w:iCs/>
        </w:rPr>
        <w:t>Beneficiary</w:t>
      </w:r>
      <w:r>
        <w:t xml:space="preserve"> (Begünstigter). Er reicht die </w:t>
      </w:r>
      <w:r>
        <w:rPr>
          <w:i/>
          <w:iCs/>
        </w:rPr>
        <w:t>Petition</w:t>
      </w:r>
      <w:r>
        <w:t xml:space="preserve"> (Form I-129 bei USCIS) und die </w:t>
      </w:r>
      <w:r>
        <w:rPr>
          <w:i/>
          <w:iCs/>
        </w:rPr>
        <w:t>Labor Condition Application</w:t>
      </w:r>
      <w:r>
        <w:t xml:space="preserve"> (LCA, die Lohn- und Arbeitsbedingungen-Erklärung beim Arbeitsministerium) ein, zahlt die Gebühren und beauftragt eine Kanzlei. Verbreiteter Irrtum: „Meine“ Anwältin kümmert sich um mein Visum, also steht sie auf meiner Seite. Tatsächlich ist sie die Anwältin oder der Anwalt deines Arbeitgebers: Du bekommst Erklärungen und meist gute Betreuung, das Mandat aber gehört der Firma. Bei der Green Card vertritt die Kanzlei oft beide Seiten; dann unterschreibst du eine Einverständniserklärung (Kapitel </w:t>
      </w:r>
      <w:hyperlink w:anchor="k6">
        <w:r w:rsidR="001F7233">
          <w:t>6</w:t>
        </w:r>
      </w:hyperlink>
      <w:r>
        <w:t>).</w:t>
      </w:r>
    </w:p>
    <w:p w14:paraId="7305D297" w14:textId="77777777" w:rsidR="001F7233" w:rsidRDefault="00000000">
      <w:r>
        <w:rPr>
          <w:b/>
        </w:rPr>
        <w:t>Lohn-Level, Diplombewertung</w:t>
      </w:r>
    </w:p>
    <w:p w14:paraId="416CD7E0" w14:textId="77777777" w:rsidR="001F7233" w:rsidRDefault="00000000">
      <w:r>
        <w:rPr>
          <w:b/>
        </w:rPr>
        <w:t xml:space="preserve">Arbeitgeber und Kanzlei: </w:t>
      </w:r>
      <w:r>
        <w:t>prüfen und entscheiden</w:t>
      </w:r>
    </w:p>
    <w:p w14:paraId="07A2914F" w14:textId="77777777" w:rsidR="001F7233" w:rsidRDefault="00000000">
      <w:r>
        <w:rPr>
          <w:b/>
        </w:rPr>
        <w:t xml:space="preserve">Du: </w:t>
      </w:r>
      <w:r>
        <w:t>Zeugnisse und Lebenslauf liefern</w:t>
      </w:r>
    </w:p>
    <w:p w14:paraId="02AD2A84" w14:textId="77777777" w:rsidR="001F7233" w:rsidRDefault="00000000">
      <w:r>
        <w:rPr>
          <w:b/>
        </w:rPr>
        <w:t xml:space="preserve">Zahlt: </w:t>
      </w:r>
      <w:r>
        <w:t>Arbeitgeber</w:t>
      </w:r>
    </w:p>
    <w:p w14:paraId="4844C0E0" w14:textId="77777777" w:rsidR="001F7233" w:rsidRDefault="00000000">
      <w:r>
        <w:rPr>
          <w:b/>
        </w:rPr>
        <w:t>Registrierung (März)</w:t>
      </w:r>
    </w:p>
    <w:p w14:paraId="10A830B0" w14:textId="77777777" w:rsidR="001F7233" w:rsidRDefault="00000000">
      <w:r>
        <w:rPr>
          <w:b/>
        </w:rPr>
        <w:t xml:space="preserve">Arbeitgeber und Kanzlei: </w:t>
      </w:r>
      <w:r>
        <w:t>trägt ein, meldet das Lohn-Level</w:t>
      </w:r>
    </w:p>
    <w:p w14:paraId="1F609C38" w14:textId="77777777" w:rsidR="001F7233" w:rsidRDefault="00000000">
      <w:r>
        <w:rPr>
          <w:b/>
        </w:rPr>
        <w:t xml:space="preserve">Du: </w:t>
      </w:r>
      <w:r>
        <w:t>Passdaten korrekt melden</w:t>
      </w:r>
    </w:p>
    <w:p w14:paraId="5855C05F" w14:textId="77777777" w:rsidR="001F7233" w:rsidRDefault="00000000">
      <w:r>
        <w:rPr>
          <w:b/>
        </w:rPr>
        <w:t xml:space="preserve">Zahlt: </w:t>
      </w:r>
      <w:r>
        <w:t>Arbeitgeber</w:t>
      </w:r>
    </w:p>
    <w:p w14:paraId="6CC1E6E8" w14:textId="77777777" w:rsidR="001F7233" w:rsidRDefault="00000000">
      <w:r>
        <w:rPr>
          <w:b/>
        </w:rPr>
        <w:t>LCA und Petition</w:t>
      </w:r>
    </w:p>
    <w:p w14:paraId="65C44FC9" w14:textId="77777777" w:rsidR="001F7233" w:rsidRDefault="00000000">
      <w:r>
        <w:rPr>
          <w:b/>
        </w:rPr>
        <w:t xml:space="preserve">Arbeitgeber und Kanzlei: </w:t>
      </w:r>
      <w:r>
        <w:t>erstellen und reichen ein</w:t>
      </w:r>
    </w:p>
    <w:p w14:paraId="3735B573" w14:textId="77777777" w:rsidR="001F7233" w:rsidRDefault="00000000">
      <w:r>
        <w:rPr>
          <w:b/>
        </w:rPr>
        <w:t xml:space="preserve">Du: </w:t>
      </w:r>
      <w:r>
        <w:t>Angaben prüfen, Rückfragen zügig beantworten</w:t>
      </w:r>
    </w:p>
    <w:p w14:paraId="227ED80B" w14:textId="77777777" w:rsidR="001F7233" w:rsidRDefault="00000000">
      <w:r>
        <w:rPr>
          <w:b/>
        </w:rPr>
        <w:t xml:space="preserve">Zahlt: </w:t>
      </w:r>
      <w:r>
        <w:t>Arbeitgeber</w:t>
      </w:r>
    </w:p>
    <w:p w14:paraId="7732DA9C" w14:textId="77777777" w:rsidR="001F7233" w:rsidRDefault="00000000">
      <w:r>
        <w:rPr>
          <w:b/>
        </w:rPr>
        <w:t>Nachforderung (RFE)</w:t>
      </w:r>
    </w:p>
    <w:p w14:paraId="74F990D9" w14:textId="77777777" w:rsidR="001F7233" w:rsidRDefault="00000000">
      <w:r>
        <w:rPr>
          <w:b/>
        </w:rPr>
        <w:t xml:space="preserve">Arbeitgeber und Kanzlei: </w:t>
      </w:r>
      <w:r>
        <w:t>antwortet fristgerecht</w:t>
      </w:r>
    </w:p>
    <w:p w14:paraId="2536D08A" w14:textId="77777777" w:rsidR="001F7233" w:rsidRDefault="00000000">
      <w:r>
        <w:rPr>
          <w:b/>
        </w:rPr>
        <w:t xml:space="preserve">Du: </w:t>
      </w:r>
      <w:r>
        <w:t>Unterlagen binnen Tagen liefern</w:t>
      </w:r>
    </w:p>
    <w:p w14:paraId="42EB13C7" w14:textId="77777777" w:rsidR="001F7233" w:rsidRDefault="00000000">
      <w:r>
        <w:rPr>
          <w:b/>
        </w:rPr>
        <w:t xml:space="preserve">Zahlt: </w:t>
      </w:r>
      <w:r>
        <w:t>Arbeitgeber</w:t>
      </w:r>
    </w:p>
    <w:p w14:paraId="4F62845F" w14:textId="77777777" w:rsidR="001F7233" w:rsidRDefault="00000000">
      <w:r>
        <w:rPr>
          <w:b/>
        </w:rPr>
        <w:t>DS-160, Gebühr, Termin</w:t>
      </w:r>
    </w:p>
    <w:p w14:paraId="117D0A81" w14:textId="77777777" w:rsidR="001F7233" w:rsidRDefault="00000000">
      <w:r>
        <w:rPr>
          <w:b/>
        </w:rPr>
        <w:t xml:space="preserve">Arbeitgeber und Kanzlei: </w:t>
      </w:r>
      <w:r>
        <w:t>erklären den Ablauf</w:t>
      </w:r>
    </w:p>
    <w:p w14:paraId="0508B01D" w14:textId="77777777" w:rsidR="001F7233" w:rsidRDefault="00000000">
      <w:r>
        <w:rPr>
          <w:b/>
        </w:rPr>
        <w:t xml:space="preserve">Du: </w:t>
      </w:r>
      <w:r>
        <w:t>ausfüllen, zahlen, buchen</w:t>
      </w:r>
    </w:p>
    <w:p w14:paraId="3958F352" w14:textId="77777777" w:rsidR="001F7233" w:rsidRDefault="00000000">
      <w:r>
        <w:rPr>
          <w:b/>
        </w:rPr>
        <w:lastRenderedPageBreak/>
        <w:t xml:space="preserve">Zahlt: </w:t>
      </w:r>
      <w:r>
        <w:t>du, oft erstattet</w:t>
      </w:r>
    </w:p>
    <w:p w14:paraId="247B5FC4" w14:textId="77777777" w:rsidR="001F7233" w:rsidRDefault="00000000">
      <w:r>
        <w:rPr>
          <w:b/>
        </w:rPr>
        <w:t>Interview</w:t>
      </w:r>
    </w:p>
    <w:p w14:paraId="2C15A6EA" w14:textId="77777777" w:rsidR="001F7233" w:rsidRDefault="00000000">
      <w:r>
        <w:rPr>
          <w:b/>
        </w:rPr>
        <w:t xml:space="preserve">Arbeitgeber und Kanzlei: </w:t>
      </w:r>
      <w:r>
        <w:t>schicken Bescheid und Briefing</w:t>
      </w:r>
    </w:p>
    <w:p w14:paraId="55B12823" w14:textId="77777777" w:rsidR="001F7233" w:rsidRDefault="00000000">
      <w:r>
        <w:rPr>
          <w:b/>
        </w:rPr>
        <w:t xml:space="preserve">Du: </w:t>
      </w:r>
      <w:r>
        <w:t>erscheinst persönlich</w:t>
      </w:r>
    </w:p>
    <w:p w14:paraId="085DAB59" w14:textId="77777777" w:rsidR="001F7233" w:rsidRDefault="00000000">
      <w:r>
        <w:rPr>
          <w:b/>
        </w:rPr>
        <w:t xml:space="preserve">Zahlt: </w:t>
      </w:r>
      <w:r>
        <w:t>–</w:t>
      </w:r>
    </w:p>
    <w:p w14:paraId="0C8326A3" w14:textId="77777777" w:rsidR="001F7233" w:rsidRDefault="00000000">
      <w:r>
        <w:rPr>
          <w:b/>
        </w:rPr>
        <w:t>Einreise, I-94</w:t>
      </w:r>
    </w:p>
    <w:p w14:paraId="1E6E02A0" w14:textId="77777777" w:rsidR="001F7233" w:rsidRDefault="00000000">
      <w:r>
        <w:rPr>
          <w:b/>
        </w:rPr>
        <w:t xml:space="preserve">Arbeitgeber und Kanzlei: </w:t>
      </w:r>
      <w:r>
        <w:t>–</w:t>
      </w:r>
    </w:p>
    <w:p w14:paraId="7D676B92" w14:textId="77777777" w:rsidR="001F7233" w:rsidRDefault="00000000">
      <w:r>
        <w:rPr>
          <w:b/>
        </w:rPr>
        <w:t xml:space="preserve">Du: </w:t>
      </w:r>
      <w:r>
        <w:t>prüfst den Eintrag</w:t>
      </w:r>
    </w:p>
    <w:p w14:paraId="0396A9C4" w14:textId="77777777" w:rsidR="001F7233" w:rsidRDefault="00000000">
      <w:r>
        <w:rPr>
          <w:b/>
        </w:rPr>
        <w:t xml:space="preserve">Zahlt: </w:t>
      </w:r>
      <w:r>
        <w:t>–</w:t>
      </w:r>
    </w:p>
    <w:p w14:paraId="45FB8311" w14:textId="77777777" w:rsidR="001F7233" w:rsidRDefault="001F7233">
      <w:pPr>
        <w:spacing w:line="180" w:lineRule="exact"/>
      </w:pPr>
    </w:p>
    <w:p w14:paraId="5CE00C39" w14:textId="77777777" w:rsidR="001F7233" w:rsidRDefault="00000000">
      <w:pPr>
        <w:spacing w:after="140"/>
      </w:pPr>
      <w:r>
        <w:t>Wer bereits in den USA ist, etwa als Student mit Statuswechsel von F-1 zu H-1B, braucht kein Konsulat (Kapitel </w:t>
      </w:r>
      <w:hyperlink w:anchor="k8">
        <w:r w:rsidR="001F7233">
          <w:t>8</w:t>
        </w:r>
      </w:hyperlink>
      <w:r>
        <w:t>). Für Ehepartner und Kinder (H-4) gilt der Ablauf ab dem DS-160 genauso – jede Person mit eigenem Formular und eigener Gebühr (Kapitel </w:t>
      </w:r>
      <w:hyperlink w:anchor="k10">
        <w:r w:rsidR="001F7233">
          <w:t>10</w:t>
        </w:r>
      </w:hyperlink>
      <w:r>
        <w:t>).</w:t>
      </w:r>
    </w:p>
    <w:p w14:paraId="1A41D9E0" w14:textId="77777777" w:rsidR="001F7233" w:rsidRDefault="00000000">
      <w:r>
        <w:rPr>
          <w:b/>
        </w:rPr>
        <w:t xml:space="preserve">MERKE: </w:t>
      </w:r>
    </w:p>
    <w:p w14:paraId="6B5020D1" w14:textId="77777777" w:rsidR="001F7233" w:rsidRDefault="00000000">
      <w:r>
        <w:t>• Drei Stellen, drei Entscheidungen. USCIS genehmigt die Petition, das Konsulat erteilt das Visum (das Einreisedokument im Pass), der Grenzschutz CBP gewährt bei der Einreise den Status (das Aufenthaltsrecht, dokumentiert im I-94). Eine Genehmigung garantiert kein Visum, und ein Visum garantiert keine Einreise.</w:t>
      </w:r>
    </w:p>
    <w:p w14:paraId="7C07E5D6" w14:textId="77777777" w:rsidR="001F7233" w:rsidRDefault="001F7233">
      <w:pPr>
        <w:spacing w:line="220" w:lineRule="exact"/>
      </w:pPr>
    </w:p>
    <w:p w14:paraId="560942F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Einen eigenen Anwalt finden und bezahlen</w:t>
      </w:r>
    </w:p>
    <w:p w14:paraId="3C5A0FA9" w14:textId="77777777" w:rsidR="001F7233" w:rsidRDefault="00000000">
      <w:pPr>
        <w:spacing w:after="140"/>
      </w:pPr>
      <w:r>
        <w:t>Ein eigener Anwalt lohnt sich, wenn dein Fall über den Standard hinausgeht: Du hast eine Vorgeschichte (verweigertes Visum, Aufenthalt über die erlaubte Zeit, Vorstrafe), du gründest selbst (E-2, O-1; Kapitel </w:t>
      </w:r>
      <w:hyperlink w:anchor="k9">
        <w:r w:rsidR="001F7233">
          <w:t>9</w:t>
        </w:r>
      </w:hyperlink>
      <w:r>
        <w:t>), dein Arbeitgeber hat wenig Visa-Erfahrung, oder du willst eine Zweitmeinung zu Zeitplan, Lohn-Level und Risiken. Die Kanzlei deines Arbeitgebers ist nämlich an dessen Interessen gebunden.</w:t>
      </w:r>
    </w:p>
    <w:p w14:paraId="6617A6C0" w14:textId="77777777" w:rsidR="001F7233" w:rsidRDefault="00000000">
      <w:pPr>
        <w:spacing w:after="140"/>
      </w:pPr>
      <w:r>
        <w:lastRenderedPageBreak/>
        <w:t xml:space="preserve">Einwanderungsrecht ist Bundesrecht, deshalb genügt in der Regel die Zulassung in irgendeinem Bundesstaat; der Zielort spielt keine Rolle, Videotermine sind üblich. Die Anwaltskammer des Bundesstaats (State Bar) führt eine öffentliche Suche mit Zulassungsstatus und Disziplinarverfahren, der Berufsverband AILA betreibt unter </w:t>
      </w:r>
      <w:hyperlink r:id="rId181">
        <w:r w:rsidR="001F7233">
          <w:rPr>
            <w:color w:val="0563C1"/>
            <w:u w:val="single"/>
          </w:rPr>
          <w:t>ailalawyer.com</w:t>
        </w:r>
      </w:hyperlink>
      <w:r>
        <w:t xml:space="preserve"> eine Anwaltssuche. Frage im Erstgespräch nach der Zahl vergleichbarer Fälle pro Jahr, wer deinen Fall bearbeitet (Partner oder Mitarbeiter) und ob die Antwort auf eine Nachforderung im Preis enthalten ist. Lass dir alles schriftlich geben (Retainer Agreement).</w:t>
      </w:r>
    </w:p>
    <w:p w14:paraId="34650438" w14:textId="77777777" w:rsidR="001F7233" w:rsidRDefault="00000000">
      <w:pPr>
        <w:spacing w:after="140"/>
      </w:pPr>
      <w:r>
        <w:t>Die Honorare (Marktangaben von Kanzleien und Vergleichsportalen 2026, kein amtlicher Tarif):</w:t>
      </w:r>
    </w:p>
    <w:p w14:paraId="225FA479" w14:textId="77777777" w:rsidR="001F7233" w:rsidRDefault="00000000">
      <w:pPr>
        <w:pStyle w:val="ListParagraph"/>
        <w:numPr>
          <w:ilvl w:val="0"/>
          <w:numId w:val="1"/>
        </w:numPr>
        <w:spacing w:after="60"/>
      </w:pPr>
      <w:r>
        <w:t>Erstberatung: manche Kanzleien bieten sie kostenlos an. Den Preis nennt die Kanzlei.</w:t>
      </w:r>
    </w:p>
    <w:p w14:paraId="4A357E6A" w14:textId="77777777" w:rsidR="001F7233" w:rsidRDefault="00000000">
      <w:pPr>
        <w:pStyle w:val="ListParagraph"/>
        <w:numPr>
          <w:ilvl w:val="0"/>
          <w:numId w:val="1"/>
        </w:numPr>
        <w:spacing w:after="60"/>
      </w:pPr>
      <w:r>
        <w:t>Stundensatz: die Kanzlei nennt ihn. Dieses Kapitel druckt keine Spanne.</w:t>
      </w:r>
    </w:p>
    <w:p w14:paraId="013F74CA" w14:textId="77777777" w:rsidR="001F7233" w:rsidRDefault="00000000">
      <w:pPr>
        <w:pStyle w:val="ListParagraph"/>
        <w:numPr>
          <w:ilvl w:val="0"/>
          <w:numId w:val="1"/>
        </w:numPr>
        <w:spacing w:after="60"/>
      </w:pPr>
      <w:r>
        <w:t>H-1B-Erstpetition als Pauschale: bezahlt vom Arbeitgeber. Das Honorar nennt die Kanzlei.</w:t>
      </w:r>
    </w:p>
    <w:p w14:paraId="7A701969" w14:textId="77777777" w:rsidR="001F7233" w:rsidRDefault="00000000">
      <w:pPr>
        <w:pStyle w:val="ListParagraph"/>
        <w:numPr>
          <w:ilvl w:val="0"/>
          <w:numId w:val="1"/>
        </w:numPr>
        <w:spacing w:after="60"/>
      </w:pPr>
      <w:r>
        <w:t>Antwort auf eine Nachforderung: oft extra. Das Honorar nennt die Kanzlei.</w:t>
      </w:r>
    </w:p>
    <w:p w14:paraId="398BBB8B" w14:textId="77777777" w:rsidR="001F7233" w:rsidRDefault="00000000">
      <w:pPr>
        <w:pStyle w:val="ListParagraph"/>
        <w:numPr>
          <w:ilvl w:val="0"/>
          <w:numId w:val="1"/>
        </w:numPr>
        <w:spacing w:after="60"/>
      </w:pPr>
      <w:r>
        <w:t>Zweitmeinung für dich: ein bis zwei Stunden. Den Satz nennt die Kanzlei.</w:t>
      </w:r>
    </w:p>
    <w:p w14:paraId="40A6A62D" w14:textId="77777777" w:rsidR="001F7233" w:rsidRDefault="001F7233">
      <w:pPr>
        <w:spacing w:line="120" w:lineRule="exact"/>
      </w:pPr>
    </w:p>
    <w:p w14:paraId="5441EE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Antrag, Konsulat, Anwalt, Kosten</w:t>
      </w:r>
    </w:p>
    <w:p w14:paraId="006D6280" w14:textId="77777777" w:rsidR="001F7233" w:rsidRDefault="00000000">
      <w:r>
        <w:rPr>
          <w:b/>
        </w:rPr>
        <w:t xml:space="preserve">Plus: </w:t>
      </w:r>
      <w:r>
        <w:t>Eigener Anwalt zusätzlich zur Kanzlei des Arbeitgebers:</w:t>
      </w:r>
    </w:p>
    <w:p w14:paraId="7F687634" w14:textId="77777777" w:rsidR="001F7233" w:rsidRDefault="00000000">
      <w:r>
        <w:rPr>
          <w:b/>
        </w:rPr>
        <w:t>Plus: Berät nur dich, nicht deinen Arbeitgeber</w:t>
      </w:r>
    </w:p>
    <w:p w14:paraId="658BA173" w14:textId="77777777" w:rsidR="001F7233" w:rsidRDefault="00000000">
      <w:r>
        <w:rPr>
          <w:b/>
        </w:rPr>
        <w:t xml:space="preserve">Minus: </w:t>
      </w:r>
      <w:r>
        <w:t>Honorar nennt die Kanzlei</w:t>
      </w:r>
    </w:p>
    <w:p w14:paraId="38BDA832" w14:textId="77777777" w:rsidR="001F7233" w:rsidRDefault="00000000">
      <w:r>
        <w:rPr>
          <w:b/>
        </w:rPr>
        <w:t>Plus: Zweitmeinung zu Lohn-Level, Zeitplan und Risiken</w:t>
      </w:r>
    </w:p>
    <w:p w14:paraId="5EEA63D3" w14:textId="77777777" w:rsidR="001F7233" w:rsidRDefault="00000000">
      <w:r>
        <w:rPr>
          <w:b/>
        </w:rPr>
        <w:t xml:space="preserve">Minus: </w:t>
      </w:r>
      <w:r>
        <w:t>Die Petition reicht weiter die Kanzlei des Arbeitgebers ein</w:t>
      </w:r>
    </w:p>
    <w:p w14:paraId="61047170" w14:textId="77777777" w:rsidR="001F7233" w:rsidRDefault="00000000">
      <w:r>
        <w:rPr>
          <w:b/>
        </w:rPr>
        <w:lastRenderedPageBreak/>
        <w:t>Plus: Bleibt Ansprechpartner, auch wenn du die Stelle wechselst</w:t>
      </w:r>
    </w:p>
    <w:p w14:paraId="0280C316" w14:textId="77777777" w:rsidR="001F7233" w:rsidRDefault="00000000">
      <w:r>
        <w:rPr>
          <w:b/>
        </w:rPr>
        <w:t xml:space="preserve">Minus: </w:t>
      </w:r>
      <w:r>
        <w:t>Zwei Anwälte bedeuten mehr Abstimmung</w:t>
      </w:r>
    </w:p>
    <w:p w14:paraId="20C8DDF7" w14:textId="77777777" w:rsidR="001F7233" w:rsidRDefault="00000000">
      <w:r>
        <w:rPr>
          <w:b/>
        </w:rPr>
        <w:t>Plus: Hilft bei Vorgeschichte, Familie und Sonderfällen</w:t>
      </w:r>
    </w:p>
    <w:p w14:paraId="54F7FE56" w14:textId="77777777" w:rsidR="001F7233" w:rsidRDefault="00000000">
      <w:r>
        <w:rPr>
          <w:b/>
        </w:rPr>
        <w:t xml:space="preserve">Minus: </w:t>
      </w:r>
      <w:r>
        <w:t>Auch er kann kein Ergebnis garantieren</w:t>
      </w:r>
    </w:p>
    <w:p w14:paraId="48E4FD29" w14:textId="77777777" w:rsidR="001F7233" w:rsidRDefault="001F7233">
      <w:pPr>
        <w:spacing w:line="180" w:lineRule="exact"/>
      </w:pPr>
    </w:p>
    <w:p w14:paraId="13D0F8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erkennen: Notario, Visa-Vermittler, falsche Sponsoren</w:t>
      </w:r>
    </w:p>
    <w:p w14:paraId="52DACC00" w14:textId="77777777" w:rsidR="001F7233" w:rsidRDefault="00000000">
      <w:pPr>
        <w:spacing w:after="140"/>
      </w:pPr>
      <w:r>
        <w:rPr>
          <w:i/>
          <w:iCs/>
        </w:rPr>
        <w:t>Die bekannteste Falle heißt Notario: In manchen Ländern ist der notario público ein Jurist mit weitreichenden Befugnissen. In den USA beglaubigt ein Notary Public nur Unterschriften. Er ist kein Anwalt und darf keinen Rechtsrat geben. Der einzige Titel, den ein US-Notary Public zuverlässig trägt, ist der eines Stempelkissenbesitzers. Auch wer beim Wort „Notar” an den deutschen Volljuristen denkt, liegt falsch. Betrüger nutzen die Verwechslung, kassieren Vorkasse und reichen falsche oder gar keine Formulare ein.</w:t>
      </w:r>
    </w:p>
    <w:p w14:paraId="2ED0F2FE" w14:textId="77777777" w:rsidR="001F7233" w:rsidRDefault="00000000">
      <w:pPr>
        <w:spacing w:after="140"/>
      </w:pPr>
      <w:r>
        <w:t>Vor USCIS vertreten dürfen dich nur Anwälte und akkreditierte Vertreter anerkannter Organisationen. Weitere Warnsignale: Erfolgsgarantie, angebliche „Beziehungen zum Konsulat“, Barzahlung oder Überweisung auf ein Privatkonto, Blankoformulare zum Unterschreiben, einbehaltene Originale, kein schriftlicher Vertrag. Verdächtig sind auch Stellenangebote, bei denen du für das „Sponsoring“ zahlen sollst: Ein echter Arbeitgeber trägt Petition und Kanzlei selbst (Kapitel </w:t>
      </w:r>
      <w:hyperlink w:anchor="k5">
        <w:r w:rsidR="001F7233">
          <w:t>5</w:t>
        </w:r>
      </w:hyperlink>
      <w:r>
        <w:t>). Termine und Gebühren gibt es nur über das offizielle Portal, das de.usembassy.gov verlinkt, „Express-Termine“ gegen Aufpreis brauchst du nicht. Behörden fordern keine Zahlung per Telefon, Messenger oder Gutscheinkarte. Betrug meldest du bei der Verbraucherschutzbehörde FTC (reportfraud.ftc.gov).</w:t>
      </w:r>
    </w:p>
    <w:p w14:paraId="2106CFB2" w14:textId="77777777" w:rsidR="001F7233" w:rsidRDefault="00000000">
      <w:r>
        <w:rPr>
          <w:b/>
        </w:rPr>
        <w:t xml:space="preserve">ACHTUNG: </w:t>
      </w:r>
    </w:p>
    <w:p w14:paraId="1D5A95D7" w14:textId="77777777" w:rsidR="001F7233" w:rsidRDefault="00000000">
      <w:r>
        <w:t xml:space="preserve">• Kein Anwalt, Vermittler oder „Berater“ kann ein Visum garantieren oder beschleunigen; Entscheidungen fallen nach Aktenlage, nicht </w:t>
      </w:r>
      <w:r>
        <w:lastRenderedPageBreak/>
        <w:t>nach Bekanntschaft. Prüfe die Zulassung bei der Anwaltskammer, bevor du zahlst, und unterschreibe nie ein leeres Formular.</w:t>
      </w:r>
    </w:p>
    <w:p w14:paraId="37331918" w14:textId="77777777" w:rsidR="001F7233" w:rsidRDefault="001F7233">
      <w:pPr>
        <w:spacing w:line="220" w:lineRule="exact"/>
      </w:pPr>
    </w:p>
    <w:p w14:paraId="3E568C34" w14:textId="77777777" w:rsidR="001F7233" w:rsidRDefault="00000000">
      <w:r>
        <w:t>• Dieses Kapitel beschreibt Verfahren und Praxis. Es ersetzt keine Beratung durch eine zugelassene Einwanderungsanwältin oder einen zugelassenen Einwanderungsanwalt. Regeln und Gebühren ändern sich; im Einzelfall entscheidet dein Sachverhalt.</w:t>
      </w:r>
    </w:p>
    <w:p w14:paraId="194D829B" w14:textId="77777777" w:rsidR="001F7233" w:rsidRDefault="001F7233">
      <w:pPr>
        <w:spacing w:line="220" w:lineRule="exact"/>
      </w:pPr>
    </w:p>
    <w:p w14:paraId="4D9834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Konsularverfahren in Deutschland: die Schritte</w:t>
      </w:r>
    </w:p>
    <w:p w14:paraId="631E05F6" w14:textId="77777777" w:rsidR="001F7233" w:rsidRDefault="00000000">
      <w:pPr>
        <w:spacing w:after="140"/>
      </w:pPr>
      <w:r>
        <w:t>Mit ESTA reisen Deutsche in die USA, arbeiten dürfen sie damit nicht. Für H-1B, L-1 oder O-1 brauchst du ein Visum vom Konsulat. Der Ablauf, sobald USCIS genehmigt hat:</w:t>
      </w:r>
    </w:p>
    <w:p w14:paraId="11D7AC53" w14:textId="77777777" w:rsidR="001F7233" w:rsidRDefault="00000000">
      <w:pPr>
        <w:pStyle w:val="ListParagraph"/>
        <w:numPr>
          <w:ilvl w:val="0"/>
          <w:numId w:val="16"/>
        </w:numPr>
        <w:spacing w:after="60"/>
      </w:pPr>
      <w:r>
        <w:rPr>
          <w:b/>
          <w:bCs/>
        </w:rPr>
        <w:t>Bescheid und Petitionsnummer.</w:t>
      </w:r>
      <w:r>
        <w:t xml:space="preserve"> Die Kanzlei schickt dir den Bescheid (Form I-797) mit der Nummer der Petition (</w:t>
      </w:r>
      <w:r>
        <w:rPr>
          <w:i/>
          <w:iCs/>
        </w:rPr>
        <w:t>Receipt Number</w:t>
      </w:r>
      <w:r>
        <w:t>), die das DS-160 verlangt. Bitte auch um Kopien von Petition und LCA, damit deine Angaben dazu passen.</w:t>
      </w:r>
    </w:p>
    <w:p w14:paraId="19FAAC98" w14:textId="77777777" w:rsidR="001F7233" w:rsidRDefault="00000000">
      <w:pPr>
        <w:pStyle w:val="ListParagraph"/>
        <w:numPr>
          <w:ilvl w:val="0"/>
          <w:numId w:val="2"/>
        </w:numPr>
        <w:spacing w:after="60"/>
      </w:pPr>
      <w:r>
        <w:t>DS-160 ausfüllen. Das Online-Formular (</w:t>
      </w:r>
      <w:hyperlink r:id="rId182">
        <w:r w:rsidR="001F7233">
          <w:rPr>
            <w:color w:val="0563C1"/>
            <w:u w:val="single"/>
          </w:rPr>
          <w:t>ceac.state.gov/genniv</w:t>
        </w:r>
      </w:hyperlink>
      <w:r>
        <w:t>) ist kostenlos und auf Englisch. Es fragt nach Person, Reisen, Arbeitgebern, Ausbildung, Familie und Social-Media-Konten der letzten fünf Jahre. Drucke die Bestätigungsseite mit Barcode aus.</w:t>
      </w:r>
    </w:p>
    <w:p w14:paraId="40BBFEC9" w14:textId="77777777" w:rsidR="001F7233" w:rsidRDefault="00000000">
      <w:pPr>
        <w:pStyle w:val="ListParagraph"/>
        <w:numPr>
          <w:ilvl w:val="0"/>
          <w:numId w:val="2"/>
        </w:numPr>
        <w:spacing w:after="60"/>
      </w:pPr>
      <w:r>
        <w:t xml:space="preserve">Gebühr zahlen. Die Konsulargebühr (MRV fee) gilt je Person, auch für H-4. Den Betrag nennt </w:t>
      </w:r>
      <w:hyperlink r:id="rId183">
        <w:r w:rsidR="001F7233">
          <w:rPr>
            <w:color w:val="0563C1"/>
            <w:u w:val="single"/>
          </w:rPr>
          <w:t>travel.state.gov</w:t>
        </w:r>
      </w:hyperlink>
      <w:r>
        <w:t xml:space="preserve">. Der Beleg gilt 365 Tage. Ohne Zahlung gibt es keinen Termin. Ob zusätzlich eine Reziprozitätsgebühr anfällt, zeigt die Länderseite Deutschland auf </w:t>
      </w:r>
      <w:hyperlink r:id="rId184">
        <w:r w:rsidR="001F7233">
          <w:rPr>
            <w:color w:val="0563C1"/>
            <w:u w:val="single"/>
          </w:rPr>
          <w:t>travel.state.gov</w:t>
        </w:r>
      </w:hyperlink>
      <w:r>
        <w:t>.</w:t>
      </w:r>
    </w:p>
    <w:p w14:paraId="072A4E5F" w14:textId="77777777" w:rsidR="001F7233" w:rsidRDefault="00000000">
      <w:pPr>
        <w:pStyle w:val="ListParagraph"/>
        <w:numPr>
          <w:ilvl w:val="0"/>
          <w:numId w:val="2"/>
        </w:numPr>
        <w:spacing w:after="60"/>
      </w:pPr>
      <w:r>
        <w:rPr>
          <w:b/>
          <w:bCs/>
        </w:rPr>
        <w:t>Termin buchen.</w:t>
      </w:r>
      <w:r>
        <w:t xml:space="preserve"> Nichteinwanderervisa vergeben Frankfurt, Berlin und München. Der nächste freie Termin für H/L/O/P/Q lag am 20. September 2026 laut Aggregatoren (Daten des State Department) in Frankfurt bei ca. zwei Monaten, in Berlin bei ca. </w:t>
      </w:r>
      <w:r>
        <w:lastRenderedPageBreak/>
        <w:t>einem Monat, in München unter zwei Wochen. Familien buchen gemeinsam.</w:t>
      </w:r>
    </w:p>
    <w:p w14:paraId="7D0D54D2" w14:textId="77777777" w:rsidR="001F7233" w:rsidRDefault="001F7233">
      <w:pPr>
        <w:spacing w:line="120" w:lineRule="exact"/>
      </w:pPr>
    </w:p>
    <w:p w14:paraId="037BF2FB" w14:textId="77777777" w:rsidR="001F7233" w:rsidRDefault="00000000">
      <w:pPr>
        <w:spacing w:after="140"/>
      </w:pPr>
      <w:r>
        <w:t xml:space="preserve">Die Wartezeiten schwanken wöchentlich; aktuelle Werte zeigt das Global Visa Wait Times-Tool auf </w:t>
      </w:r>
      <w:hyperlink r:id="rId185">
        <w:r w:rsidR="001F7233">
          <w:rPr>
            <w:color w:val="0563C1"/>
            <w:u w:val="single"/>
          </w:rPr>
          <w:t>travel.state.gov</w:t>
        </w:r>
      </w:hyperlink>
      <w:r>
        <w:t>. Ein Standort mit kürzerer Wartezeit lohnt oft die Bahnfahrt, soweit das Portal ihn anbietet.</w:t>
      </w:r>
    </w:p>
    <w:p w14:paraId="45252FDF" w14:textId="77777777" w:rsidR="001F7233" w:rsidRDefault="00000000">
      <w:r>
        <w:rPr>
          <w:b/>
        </w:rPr>
        <w:t>Generalkonsulat Frankfurt</w:t>
      </w:r>
    </w:p>
    <w:p w14:paraId="3EAA49B1" w14:textId="77777777" w:rsidR="001F7233" w:rsidRDefault="00000000">
      <w:r>
        <w:rPr>
          <w:b/>
        </w:rPr>
        <w:t xml:space="preserve">Adresse und Telefon: </w:t>
      </w:r>
      <w:r>
        <w:t>Gießener Str. 30, 60435 Frankfurt · (069) 7535-0</w:t>
      </w:r>
    </w:p>
    <w:p w14:paraId="25D9D050" w14:textId="77777777" w:rsidR="001F7233" w:rsidRDefault="00000000">
      <w:r>
        <w:rPr>
          <w:b/>
        </w:rPr>
        <w:t>Zuständig für: Nichteinwanderervisa für Baden-Württemberg, Hessen, Nordrhein-Westfalen, Rheinland-Pfalz und das Saarland. Außerdem alle Einwanderungsvisa für ganz Deutschland (Green Card, Verlobten- und Ehepartnervisum).</w:t>
      </w:r>
    </w:p>
    <w:p w14:paraId="30194BB4" w14:textId="77777777" w:rsidR="001F7233" w:rsidRDefault="00000000">
      <w:r>
        <w:rPr>
          <w:b/>
        </w:rPr>
        <w:t>US-Botschaft Berlin, Konsularabteilung</w:t>
      </w:r>
    </w:p>
    <w:p w14:paraId="557A0C89" w14:textId="77777777" w:rsidR="001F7233" w:rsidRDefault="00000000">
      <w:r>
        <w:rPr>
          <w:b/>
        </w:rPr>
        <w:t xml:space="preserve">Adresse und Telefon: </w:t>
      </w:r>
      <w:r>
        <w:t>Clayallee 170, 14195 Berlin · (030) 8305-0</w:t>
      </w:r>
    </w:p>
    <w:p w14:paraId="463FBCEF" w14:textId="77777777" w:rsidR="001F7233" w:rsidRDefault="00000000">
      <w:r>
        <w:rPr>
          <w:b/>
        </w:rPr>
        <w:t xml:space="preserve">Zuständig für: </w:t>
      </w:r>
      <w:r>
        <w:t>Nichteinwanderervisa für Berlin und die nordöstlichen Bundesländer</w:t>
      </w:r>
    </w:p>
    <w:p w14:paraId="163FFC83" w14:textId="77777777" w:rsidR="001F7233" w:rsidRDefault="00000000">
      <w:r>
        <w:rPr>
          <w:b/>
        </w:rPr>
        <w:t>Generalkonsulat München</w:t>
      </w:r>
    </w:p>
    <w:p w14:paraId="2FC6DF58" w14:textId="77777777" w:rsidR="001F7233" w:rsidRDefault="00000000">
      <w:r>
        <w:rPr>
          <w:b/>
        </w:rPr>
        <w:t xml:space="preserve">Adresse und Telefon: </w:t>
      </w:r>
      <w:r>
        <w:t>Königinstraße 5, 80539 München · (089) 2888-0</w:t>
      </w:r>
    </w:p>
    <w:p w14:paraId="7B72FDD2" w14:textId="77777777" w:rsidR="001F7233" w:rsidRDefault="00000000">
      <w:r>
        <w:rPr>
          <w:b/>
        </w:rPr>
        <w:t xml:space="preserve">Zuständig für: </w:t>
      </w:r>
      <w:r>
        <w:t>Nichteinwanderervisa für Bayern</w:t>
      </w:r>
    </w:p>
    <w:p w14:paraId="05804CBD" w14:textId="77777777" w:rsidR="001F7233" w:rsidRDefault="001F7233">
      <w:pPr>
        <w:spacing w:line="180" w:lineRule="exact"/>
      </w:pPr>
    </w:p>
    <w:p w14:paraId="260CB46C" w14:textId="77777777" w:rsidR="001F7233" w:rsidRDefault="00000000">
      <w:pPr>
        <w:spacing w:after="140"/>
      </w:pPr>
      <w:r>
        <w:t>Welche Vertretung zuständig ist, richtet sich nach deinem deutschen Wohnsitz, nicht nach freier Wahl; das DS-160-System schlägt sie automatisch vor. Beim Green-Card-Verfahren über das Konsulat (Kapitel </w:t>
      </w:r>
      <w:hyperlink w:anchor="k6">
        <w:r w:rsidR="001F7233">
          <w:t>6</w:t>
        </w:r>
      </w:hyperlink>
      <w:r>
        <w:t>) sowie bei Verlobten- und Ehepartnervisa (Kapitel </w:t>
      </w:r>
      <w:hyperlink w:anchor="k9">
        <w:r w:rsidR="001F7233">
          <w:t>9</w:t>
        </w:r>
      </w:hyperlink>
      <w:r>
        <w:t>) landest du unabhängig vom Wohnort in Frankfurt.</w:t>
      </w:r>
    </w:p>
    <w:p w14:paraId="50724AD5" w14:textId="77777777" w:rsidR="001F7233" w:rsidRDefault="00000000">
      <w:r>
        <w:rPr>
          <w:b/>
        </w:rPr>
        <w:t xml:space="preserve">ACHTUNG: </w:t>
      </w:r>
    </w:p>
    <w:p w14:paraId="4BAD9EAD" w14:textId="77777777" w:rsidR="001F7233" w:rsidRDefault="00000000">
      <w:r>
        <w:t>• Unvollständige oder falsche Angaben im DS-160 können zu einer dauerhaften Einreisesperre führen (Misrepresentation), das gilt auch für vergessene Konten: Wer „None“ angibt, obwohl entsprechende Profile existieren, macht eine Falschangabe. Gleiche Jobtitel, Daten und Arbeitgeber mit Petition und Lebenslauf ab, bevor du auf „Absenden“ klickst.</w:t>
      </w:r>
    </w:p>
    <w:p w14:paraId="5EAD2FC2" w14:textId="77777777" w:rsidR="001F7233" w:rsidRDefault="001F7233">
      <w:pPr>
        <w:spacing w:line="220" w:lineRule="exact"/>
      </w:pPr>
    </w:p>
    <w:p w14:paraId="350E08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Interview: Regeln, Unterlagen, Fragen</w:t>
      </w:r>
    </w:p>
    <w:p w14:paraId="76618893" w14:textId="77777777" w:rsidR="001F7233" w:rsidRDefault="00000000">
      <w:pPr>
        <w:spacing w:after="140"/>
      </w:pPr>
      <w:r>
        <w:rPr>
          <w:i/>
          <w:iCs/>
        </w:rPr>
        <w:t>Das Interview ist Pflicht und findet persönlich statt, mit Fingerabdrücken vor Ort. Seit dem 2. September 2025 ist der Verzicht (Interview Waiver, im Alltag „Dropbox“) fast abgeschafft: Er gilt nur noch für Verlängerungen von B-Visa binnen zwölf Monaten nach Ablauf und für diplomatische Visa. Für H-1B und H-4 gibt es keine Ausnahme, auch Kinder unter 14 und Personen über 79 müssen erscheinen. Dasselbe gilt später für jede Visumerneuerung. Anträge stellst du im Land deiner Staatsangehörigkeit oder deines Wohnsitzes (seit 6. September 2025); das Ausweichen in ein Drittland ist nicht mehr vorgesehen.</w:t>
      </w:r>
    </w:p>
    <w:p w14:paraId="16C1735B" w14:textId="77777777" w:rsidR="001F7233" w:rsidRDefault="00000000">
      <w:pPr>
        <w:spacing w:after="140"/>
      </w:pPr>
      <w:r>
        <w:t>Mitbringen solltest du, in einer Mappe:</w:t>
      </w:r>
    </w:p>
    <w:p w14:paraId="16731898" w14:textId="77777777" w:rsidR="001F7233" w:rsidRDefault="00000000">
      <w:pPr>
        <w:pStyle w:val="ListParagraph"/>
        <w:numPr>
          <w:ilvl w:val="0"/>
          <w:numId w:val="1"/>
        </w:numPr>
        <w:spacing w:after="60"/>
      </w:pPr>
      <w:r>
        <w:t>Reisepass (samt früherer Pässe mit US-Visa)</w:t>
      </w:r>
    </w:p>
    <w:p w14:paraId="58832AFA" w14:textId="77777777" w:rsidR="001F7233" w:rsidRDefault="00000000">
      <w:pPr>
        <w:pStyle w:val="ListParagraph"/>
        <w:numPr>
          <w:ilvl w:val="0"/>
          <w:numId w:val="1"/>
        </w:numPr>
        <w:spacing w:after="60"/>
      </w:pPr>
      <w:r>
        <w:t>Bestätigungsseite des DS-160, Terminbestätigung, Gebührenbeleg</w:t>
      </w:r>
    </w:p>
    <w:p w14:paraId="3B1495A8" w14:textId="77777777" w:rsidR="001F7233" w:rsidRDefault="00000000">
      <w:pPr>
        <w:pStyle w:val="ListParagraph"/>
        <w:numPr>
          <w:ilvl w:val="0"/>
          <w:numId w:val="1"/>
        </w:numPr>
        <w:spacing w:after="60"/>
      </w:pPr>
      <w:r>
        <w:t>Genehmigungsbescheid I-797 (Original) und Kopie der Petition samt Arbeitgeberbrief und LCA</w:t>
      </w:r>
    </w:p>
    <w:p w14:paraId="1FBE29E5" w14:textId="77777777" w:rsidR="001F7233" w:rsidRDefault="00000000">
      <w:pPr>
        <w:pStyle w:val="ListParagraph"/>
        <w:numPr>
          <w:ilvl w:val="0"/>
          <w:numId w:val="1"/>
        </w:numPr>
        <w:spacing w:after="60"/>
      </w:pPr>
      <w:r>
        <w:t>Diplome und Zeugnisse (Übersetzungen: Kapitel </w:t>
      </w:r>
      <w:hyperlink w:anchor="k19">
        <w:r w:rsidR="001F7233">
          <w:t>19</w:t>
        </w:r>
      </w:hyperlink>
      <w:r>
        <w:t>), Lebenslauf, Arbeitszeugnisse</w:t>
      </w:r>
    </w:p>
    <w:p w14:paraId="5D5A0431" w14:textId="77777777" w:rsidR="001F7233" w:rsidRDefault="00000000">
      <w:pPr>
        <w:pStyle w:val="ListParagraph"/>
        <w:numPr>
          <w:ilvl w:val="0"/>
          <w:numId w:val="1"/>
        </w:numPr>
        <w:spacing w:after="60"/>
      </w:pPr>
      <w:r>
        <w:t>bei H-4: Heirats- und Geburtsurkunden</w:t>
      </w:r>
    </w:p>
    <w:p w14:paraId="615FA903" w14:textId="77777777" w:rsidR="001F7233" w:rsidRDefault="001F7233">
      <w:pPr>
        <w:spacing w:line="120" w:lineRule="exact"/>
      </w:pPr>
    </w:p>
    <w:p w14:paraId="2DE3B06F" w14:textId="77777777" w:rsidR="001F7233" w:rsidRDefault="00000000">
      <w:pPr>
        <w:spacing w:after="140"/>
      </w:pPr>
      <w:r>
        <w:t>Elektronische Geräte sind oft nur eingeschränkt erlaubt (Hinweise in der Terminbestätigung).</w:t>
      </w:r>
    </w:p>
    <w:p w14:paraId="12F44BB9" w14:textId="77777777" w:rsidR="001F7233" w:rsidRDefault="00000000">
      <w:pPr>
        <w:spacing w:after="140"/>
      </w:pPr>
      <w:r>
        <w:rPr>
          <w:i/>
          <w:iCs/>
        </w:rPr>
        <w:t xml:space="preserve">Die Fragen folgen der Petition. Einen offiziellen Katalog gibt es nicht; erfahrungsgemäß geht es um deinen Arbeitgeber und dessen Geschäft, deine künftigen Aufgaben, dein Gehalt, deinen Abschluss und darum, wie du die Stelle gefunden hast. H-4-Antragsteller werden nach Beruf und Arbeitgeber des Partners gefragt. Antworte knapp, </w:t>
      </w:r>
      <w:r>
        <w:rPr>
          <w:i/>
          <w:iCs/>
        </w:rPr>
        <w:lastRenderedPageBreak/>
        <w:t>wahrheitsgemäß und im Einklang mit den Unterlagen. Übe, deine Stelle in zwei englischen Sätzen zu erklären. Anders als bei Studien- oder Besuchervisa musst du nicht beweisen, dass du zurückkehrst (Dual Intent), der H-1B verträgt spätere Green-Card-Pläne. Das Gespräch dauert oft nur wenige Minuten.</w:t>
      </w:r>
    </w:p>
    <w:p w14:paraId="4109B0EE" w14:textId="77777777" w:rsidR="001F7233" w:rsidRDefault="001F7233">
      <w:pPr>
        <w:spacing w:line="220" w:lineRule="exact"/>
      </w:pPr>
    </w:p>
    <w:p w14:paraId="2BD561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dem Interview: Visum, Prüfung, Ablehnung</w:t>
      </w:r>
    </w:p>
    <w:p w14:paraId="33FE80A0" w14:textId="77777777" w:rsidR="001F7233" w:rsidRDefault="00000000">
      <w:pPr>
        <w:spacing w:after="140"/>
      </w:pPr>
      <w:r>
        <w:rPr>
          <w:b/>
          <w:bCs/>
        </w:rPr>
        <w:t>Genehmigung.</w:t>
      </w:r>
      <w:r>
        <w:t xml:space="preserve"> Das Konsulat behält den Pass, klebt das Visum ein und schickt ihn zurück (Kurier oder Abholung, je nach Vertretung); bis dahin sind Reisen mit diesem Pass nicht möglich. Prüfe Name, Geburtsdatum, Kategorie und Ablaufdatum, Fehler meldest du sofort. Das Visum gilt höchstens für die Laufzeit der Petition. Wie lange du bleiben darfst, sagt der I-94-Eintrag bei der Einreise (Kapitel </w:t>
      </w:r>
      <w:hyperlink w:anchor="k23">
        <w:r w:rsidR="001F7233">
          <w:t>23</w:t>
        </w:r>
      </w:hyperlink>
      <w:r>
        <w:t>). Einreisen darfst du frühestens zehn Tage vor Beginn der Petition, arbeiten ab dem Startdatum.</w:t>
      </w:r>
    </w:p>
    <w:p w14:paraId="45993C36" w14:textId="77777777" w:rsidR="001F7233" w:rsidRDefault="00000000">
      <w:pPr>
        <w:spacing w:after="140"/>
      </w:pPr>
      <w:r>
        <w:t xml:space="preserve">Administrative Processing (221(g)). Manchmal entscheidet das Konsulat nicht sofort. Nach § 221(g) des Immigration and Nationality Act (INA, dem Einwanderungsgesetz) kann es den Antrag vorläufig zurückstellen (temporary refusal): weil Unterlagen fehlen oder Prüfungen zu Hintergrund, Arbeitgeber oder Stelle laufen. Du erhältst ein Schreiben mit den Anforderungen. Laut State Department sind die meisten Fälle binnen 60 Tagen erledigt, eine Obergrenze gibt es nicht; Nachfragen sind erst nach 180 Tagen vorgesehen. Den Stand siehst du auf </w:t>
      </w:r>
      <w:hyperlink r:id="rId186">
        <w:r w:rsidR="001F7233">
          <w:rPr>
            <w:color w:val="0563C1"/>
            <w:u w:val="single"/>
          </w:rPr>
          <w:t>ceac.state.gov</w:t>
        </w:r>
      </w:hyperlink>
      <w:r>
        <w:t xml:space="preserve"> – wer die Seite in dieser Zeit täglich neu lädt, handelt nur menschlich. Buche keinen neuen Termin und stelle keinen neuen Antrag: Das beschleunigt nichts und kostet eine weitere Gebühr, lass die Kanzlei nachhaken. Kanzleien warnen zudem, dass ein temporary refusal später die Nutzung von ESTA für Privatreisen erschweren kann; kläre das vor der nächsten Urlaubsreise.</w:t>
      </w:r>
    </w:p>
    <w:p w14:paraId="22A7C567" w14:textId="77777777" w:rsidR="001F7233" w:rsidRDefault="00000000">
      <w:pPr>
        <w:spacing w:after="140"/>
      </w:pPr>
      <w:r>
        <w:rPr>
          <w:b/>
          <w:bCs/>
        </w:rPr>
        <w:lastRenderedPageBreak/>
        <w:t>Ablehnung. Eine endgültige Ablehnung kommt mit einem Schreiben, das die Rechtsgrundlage nennt: Zweifel an Stelle oder Qualifikation, widersprüchliche Angaben oder Falschangaben. Gegen Konsularentscheidungen gibt es meist kein förmliches Rechtsmittel. Üblich ist ein neuer Antrag (neues DS-160, neue Gebühr) mit ausgeräumten Zweifeln und neuen Belegen. Liegt das Problem in der Petition, klärt die Kanzlei es mit USCIS. Ehepartner und Kinder (H-4) hängen am Verfahren der Hauptperson.</w:t>
      </w:r>
    </w:p>
    <w:p w14:paraId="194CB578" w14:textId="77777777" w:rsidR="001F7233" w:rsidRDefault="00000000">
      <w:r>
        <w:rPr>
          <w:b/>
        </w:rPr>
        <w:t xml:space="preserve">ACHTUNG: </w:t>
      </w:r>
    </w:p>
    <w:p w14:paraId="2EDA8726" w14:textId="77777777" w:rsidR="001F7233" w:rsidRDefault="00000000">
      <w:r>
        <w:t>• Kündige deinen Job erst, wenn das Visum im Pass steht, und buche Flüge und Container erst dann fest. Bei der Wohnung (in Deutschland meist drei Monate Kündigungsfrist) wägst du Kosten und Risiko ab und planst mit Puffer (</w:t>
      </w:r>
      <w:hyperlink w:anchor="k15">
        <w:r w:rsidR="001F7233">
          <w:rPr>
            <w:color w:val="0563C1"/>
            <w:u w:val="single"/>
          </w:rPr>
          <w:t>Kapitel 15</w:t>
        </w:r>
      </w:hyperlink>
      <w:r>
        <w:t>, 16, 20). Ein 221(g)-Vermerk kann das Startdatum um Wochen verschieben.</w:t>
      </w:r>
    </w:p>
    <w:p w14:paraId="107F8C62" w14:textId="77777777" w:rsidR="001F7233" w:rsidRDefault="001F7233">
      <w:pPr>
        <w:spacing w:line="220" w:lineRule="exact"/>
      </w:pPr>
    </w:p>
    <w:p w14:paraId="08393B56" w14:textId="77777777" w:rsidR="001F7233" w:rsidRDefault="00000000">
      <w:pPr>
        <w:spacing w:after="140"/>
      </w:pPr>
      <w:r>
        <w:t>Das Verfahren ist seit 2025 strenger und teurer geworden. Wichtig ist die Trennung zwischen geltenden Regeln und bloßen Vorschlägen.</w:t>
      </w:r>
    </w:p>
    <w:p w14:paraId="16A5FA68" w14:textId="77777777" w:rsidR="001F7233" w:rsidRDefault="00000000">
      <w:pPr>
        <w:spacing w:after="140"/>
      </w:pPr>
      <w:r>
        <w:rPr>
          <w:b/>
          <w:bCs/>
        </w:rPr>
        <w:t>Gilt heute:</w:t>
      </w:r>
    </w:p>
    <w:p w14:paraId="7884290A" w14:textId="77777777" w:rsidR="001F7233" w:rsidRDefault="00000000">
      <w:pPr>
        <w:pStyle w:val="ListParagraph"/>
        <w:numPr>
          <w:ilvl w:val="0"/>
          <w:numId w:val="1"/>
        </w:numPr>
        <w:spacing w:after="60"/>
      </w:pPr>
      <w:r>
        <w:rPr>
          <w:b/>
          <w:bCs/>
        </w:rPr>
        <w:t>Interview für fast alle</w:t>
      </w:r>
      <w:r>
        <w:t xml:space="preserve"> und Antrag im Land der Staatsangehörigkeit oder des Wohnsitzes (siehe oben).</w:t>
      </w:r>
    </w:p>
    <w:p w14:paraId="01276CDB" w14:textId="77777777" w:rsidR="001F7233" w:rsidRDefault="00000000">
      <w:pPr>
        <w:pStyle w:val="ListParagraph"/>
        <w:numPr>
          <w:ilvl w:val="0"/>
          <w:numId w:val="1"/>
        </w:numPr>
        <w:spacing w:after="60"/>
      </w:pPr>
      <w:r>
        <w:rPr>
          <w:b/>
          <w:bCs/>
        </w:rPr>
        <w:t>Online-Präsenz-Prüfung seit 15. Dezember 2025: H-1B- und H-4-Antragsteller sollen ihre Profile in sozialen Netzwerken öffentlich stellen. Laut Kanzleien achten Konsulate auf Widersprüche zu DS-160 und Petition, auf Feindseligkeit gegen den USA und bei H-1B auf die Beteiligung an „Zensur“ amerikanischer Bürger. Berichtet wird zudem eine interne Weisung, die Tätigkeiten in Content-Moderation, Faktenprüfung oder Online-Sicherheit erfasst. Private Profile können negative Schlüsse zulassen, Verzögerungen sind wahrscheinlicher. Lösche nichts hektisch, kläre Zweifel vorher mit der Kanzlei.</w:t>
      </w:r>
    </w:p>
    <w:p w14:paraId="6087C9B9" w14:textId="77777777" w:rsidR="001F7233" w:rsidRDefault="00000000">
      <w:pPr>
        <w:pStyle w:val="ListParagraph"/>
        <w:numPr>
          <w:ilvl w:val="0"/>
          <w:numId w:val="1"/>
        </w:numPr>
        <w:spacing w:after="60"/>
      </w:pPr>
      <w:r>
        <w:rPr>
          <w:b/>
          <w:bCs/>
        </w:rPr>
        <w:lastRenderedPageBreak/>
        <w:t>Visa Integrity Fee: gesetzlich für erteilte Nichteinwanderungsvisa vorgesehen, nicht für ESTA-Reisende. Die zentrale Gebührenliste des State Department weist sie derzeit nicht separat aus. Prüfe die konkrete Zahlungsanweisung des Konsulats; dieses Kapitel druckt keinen Betrag.</w:t>
      </w:r>
    </w:p>
    <w:p w14:paraId="5452B8F1" w14:textId="77777777" w:rsidR="001F7233" w:rsidRDefault="00000000">
      <w:pPr>
        <w:pStyle w:val="ListParagraph"/>
        <w:numPr>
          <w:ilvl w:val="0"/>
          <w:numId w:val="1"/>
        </w:numPr>
        <w:spacing w:after="60"/>
      </w:pPr>
      <w:r>
        <w:rPr>
          <w:b/>
          <w:bCs/>
        </w:rPr>
        <w:t>Zusatzzahlung nach Proklamation 10973:</w:t>
      </w:r>
      <w:r>
        <w:t xml:space="preserve"> Sie kann neue Petitionen für Personen im Ausland treffen. Ob sie in der Woche der Einreichung erhoben wird, liest du auf der USCIS-Alert-Seite. Dieses Kapitel druckt den Betrag nicht und sagt nicht, dass er gerade nicht erhoben wird. Einzelheiten: Kapitel </w:t>
      </w:r>
      <w:hyperlink w:anchor="k5">
        <w:r w:rsidR="001F7233">
          <w:t>5</w:t>
        </w:r>
      </w:hyperlink>
      <w:r>
        <w:t>.</w:t>
      </w:r>
    </w:p>
    <w:p w14:paraId="048DC8BA" w14:textId="77777777" w:rsidR="001F7233" w:rsidRDefault="00000000">
      <w:pPr>
        <w:pStyle w:val="ListParagraph"/>
        <w:numPr>
          <w:ilvl w:val="0"/>
          <w:numId w:val="1"/>
        </w:numPr>
        <w:spacing w:after="60"/>
      </w:pPr>
      <w:r>
        <w:rPr>
          <w:b/>
          <w:bCs/>
        </w:rPr>
        <w:t>Kürzere RFE-Fristen</w:t>
      </w:r>
      <w:r>
        <w:t xml:space="preserve"> seit 5. August 2026 (siehe unten).</w:t>
      </w:r>
    </w:p>
    <w:p w14:paraId="4E5A2C82" w14:textId="77777777" w:rsidR="001F7233" w:rsidRDefault="001F7233">
      <w:pPr>
        <w:spacing w:line="120" w:lineRule="exact"/>
      </w:pPr>
    </w:p>
    <w:p w14:paraId="746A661E" w14:textId="77777777" w:rsidR="001F7233" w:rsidRDefault="00000000">
      <w:pPr>
        <w:spacing w:after="140"/>
      </w:pPr>
      <w:r>
        <w:rPr>
          <w:b/>
          <w:bCs/>
        </w:rPr>
        <w:t>Nur Vorschläge oder offen:</w:t>
      </w:r>
    </w:p>
    <w:p w14:paraId="30DC8682" w14:textId="77777777" w:rsidR="001F7233" w:rsidRDefault="00000000">
      <w:pPr>
        <w:pStyle w:val="ListParagraph"/>
        <w:numPr>
          <w:ilvl w:val="0"/>
          <w:numId w:val="1"/>
        </w:numPr>
        <w:spacing w:after="60"/>
      </w:pPr>
      <w:r>
        <w:rPr>
          <w:b/>
          <w:bCs/>
        </w:rPr>
        <w:t>Weitere Gebühr im DHS-Entwurf:</w:t>
      </w:r>
      <w:r>
        <w:t xml:space="preserve"> nur ein Entwurf, solange im Federal Register keine Rule steht. Den Betrag druckt dieses Kapitel nicht.</w:t>
      </w:r>
    </w:p>
    <w:p w14:paraId="1720FB93" w14:textId="77777777" w:rsidR="001F7233" w:rsidRDefault="00000000">
      <w:pPr>
        <w:pStyle w:val="ListParagraph"/>
        <w:numPr>
          <w:ilvl w:val="0"/>
          <w:numId w:val="1"/>
        </w:numPr>
        <w:spacing w:after="60"/>
      </w:pPr>
      <w:r>
        <w:rPr>
          <w:b/>
          <w:bCs/>
        </w:rPr>
        <w:t>Wegfall der 60-Tage-Frist</w:t>
      </w:r>
      <w:r>
        <w:t xml:space="preserve"> nach Jobverlust (Entwurf vom 11. September 2026, Kommentare bis 10. November 2026): Bis zu einer Endfassung gilt die Frist weiter (Kapitel </w:t>
      </w:r>
      <w:hyperlink w:anchor="k30">
        <w:r w:rsidR="001F7233">
          <w:t>30</w:t>
        </w:r>
      </w:hyperlink>
      <w:r>
        <w:t>).</w:t>
      </w:r>
    </w:p>
    <w:p w14:paraId="676001C7" w14:textId="77777777" w:rsidR="001F7233" w:rsidRDefault="00000000">
      <w:pPr>
        <w:pStyle w:val="ListParagraph"/>
        <w:numPr>
          <w:ilvl w:val="0"/>
          <w:numId w:val="1"/>
        </w:numPr>
        <w:spacing w:after="60"/>
      </w:pPr>
      <w:r>
        <w:rPr>
          <w:b/>
          <w:bCs/>
        </w:rPr>
        <w:t>Höhere Pflichtlöhne</w:t>
      </w:r>
      <w:r>
        <w:t xml:space="preserve"> (</w:t>
      </w:r>
      <w:r>
        <w:rPr>
          <w:i/>
          <w:iCs/>
        </w:rPr>
        <w:t>Prevailing Wage</w:t>
      </w:r>
      <w:r>
        <w:t>, Entwurf des Arbeitsministeriums vom 27. März 2026): bis zum 20. September 2026 keine Endfassung.</w:t>
      </w:r>
    </w:p>
    <w:p w14:paraId="69312527" w14:textId="77777777" w:rsidR="001F7233" w:rsidRDefault="00000000">
      <w:pPr>
        <w:pStyle w:val="ListParagraph"/>
        <w:numPr>
          <w:ilvl w:val="0"/>
          <w:numId w:val="1"/>
        </w:numPr>
        <w:spacing w:after="60"/>
      </w:pPr>
      <w:r>
        <w:rPr>
          <w:b/>
          <w:bCs/>
        </w:rPr>
        <w:t>Executive Order vom 18. September 2026: Entlassungen ähnlich qualifizierter US-Beschäftigter beim Arbeitgeber sollen bei LCA, Petition und Visum berücksichtigt werden; die Umsetzung ist offen. Frage vor dem Angebot nach Stellenabbau der letzten zwölf Monate.</w:t>
      </w:r>
    </w:p>
    <w:p w14:paraId="1D6B3EA8" w14:textId="77777777" w:rsidR="001F7233" w:rsidRDefault="001F7233">
      <w:pPr>
        <w:spacing w:line="120" w:lineRule="exact"/>
      </w:pPr>
    </w:p>
    <w:p w14:paraId="364F85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im Überblick</w:t>
      </w:r>
    </w:p>
    <w:p w14:paraId="23C8251A" w14:textId="77777777" w:rsidR="001F7233" w:rsidRDefault="00000000">
      <w:pPr>
        <w:spacing w:after="140"/>
      </w:pPr>
      <w:r>
        <w:t xml:space="preserve">Die Petition zahlt der Arbeitgeber. Was an dir als Person hängt, zahlst du oder verhandelst es. Die Beträge stehen auf </w:t>
      </w:r>
      <w:hyperlink r:id="rId187">
        <w:r w:rsidR="001F7233">
          <w:rPr>
            <w:color w:val="0563C1"/>
            <w:u w:val="single"/>
          </w:rPr>
          <w:t>uscis.gov/g-1055</w:t>
        </w:r>
      </w:hyperlink>
      <w:r>
        <w:t xml:space="preserve"> und </w:t>
      </w:r>
      <w:hyperlink r:id="rId188">
        <w:r w:rsidR="001F7233">
          <w:rPr>
            <w:color w:val="0563C1"/>
            <w:u w:val="single"/>
          </w:rPr>
          <w:t>travel.state.gov</w:t>
        </w:r>
      </w:hyperlink>
      <w:r>
        <w:t>. Dieses Kapitel druckt sie nicht.</w:t>
      </w:r>
    </w:p>
    <w:p w14:paraId="50441576" w14:textId="77777777" w:rsidR="001F7233" w:rsidRDefault="00000000">
      <w:r>
        <w:rPr>
          <w:b/>
        </w:rPr>
        <w:t>H-1B</w:t>
      </w:r>
    </w:p>
    <w:p w14:paraId="5EF8207D" w14:textId="77777777" w:rsidR="001F7233" w:rsidRDefault="00000000">
      <w:r>
        <w:rPr>
          <w:b/>
        </w:rPr>
        <w:t xml:space="preserve">Wo der Betrag steht: </w:t>
      </w:r>
      <w:r>
        <w:t>g-1055 und travel.state.gov</w:t>
      </w:r>
    </w:p>
    <w:p w14:paraId="70034655" w14:textId="77777777" w:rsidR="001F7233" w:rsidRDefault="00000000">
      <w:r>
        <w:rPr>
          <w:b/>
        </w:rPr>
        <w:t xml:space="preserve">Wer die Petition zahlt: </w:t>
      </w:r>
      <w:r>
        <w:t>Arbeitgeber</w:t>
      </w:r>
    </w:p>
    <w:p w14:paraId="48AE0C6F" w14:textId="77777777" w:rsidR="001F7233" w:rsidRDefault="00000000">
      <w:r>
        <w:rPr>
          <w:b/>
        </w:rPr>
        <w:t>L-1</w:t>
      </w:r>
    </w:p>
    <w:p w14:paraId="581FEB58" w14:textId="77777777" w:rsidR="001F7233" w:rsidRDefault="00000000">
      <w:r>
        <w:rPr>
          <w:b/>
        </w:rPr>
        <w:t xml:space="preserve">Wo der Betrag steht: </w:t>
      </w:r>
      <w:r>
        <w:t>g-1055 und travel.state.gov</w:t>
      </w:r>
    </w:p>
    <w:p w14:paraId="5B9473D2" w14:textId="77777777" w:rsidR="001F7233" w:rsidRDefault="00000000">
      <w:r>
        <w:rPr>
          <w:b/>
        </w:rPr>
        <w:t xml:space="preserve">Wer die Petition zahlt: </w:t>
      </w:r>
      <w:r>
        <w:t>Arbeitgeber</w:t>
      </w:r>
    </w:p>
    <w:p w14:paraId="692C2BDC" w14:textId="77777777" w:rsidR="001F7233" w:rsidRDefault="00000000">
      <w:r>
        <w:rPr>
          <w:b/>
        </w:rPr>
        <w:t>O-1</w:t>
      </w:r>
    </w:p>
    <w:p w14:paraId="5E9B7854" w14:textId="77777777" w:rsidR="001F7233" w:rsidRDefault="00000000">
      <w:r>
        <w:rPr>
          <w:b/>
        </w:rPr>
        <w:t xml:space="preserve">Wo der Betrag steht: </w:t>
      </w:r>
      <w:r>
        <w:t>g-1055 und travel.state.gov</w:t>
      </w:r>
    </w:p>
    <w:p w14:paraId="0D640D74" w14:textId="77777777" w:rsidR="001F7233" w:rsidRDefault="00000000">
      <w:r>
        <w:rPr>
          <w:b/>
        </w:rPr>
        <w:t xml:space="preserve">Wer die Petition zahlt: </w:t>
      </w:r>
      <w:r>
        <w:t>Arbeitgeber oder Agent</w:t>
      </w:r>
    </w:p>
    <w:p w14:paraId="5264D3EF" w14:textId="77777777" w:rsidR="001F7233" w:rsidRDefault="00000000">
      <w:r>
        <w:rPr>
          <w:b/>
        </w:rPr>
        <w:t>E-2</w:t>
      </w:r>
    </w:p>
    <w:p w14:paraId="01236BE4" w14:textId="77777777" w:rsidR="001F7233" w:rsidRDefault="00000000">
      <w:r>
        <w:rPr>
          <w:b/>
        </w:rPr>
        <w:t xml:space="preserve">Wo der Betrag steht: </w:t>
      </w:r>
      <w:r>
        <w:t>travel.state.gov; I-129 nur bei Statuswechsel im Inland</w:t>
      </w:r>
    </w:p>
    <w:p w14:paraId="46EECB2A" w14:textId="77777777" w:rsidR="001F7233" w:rsidRDefault="00000000">
      <w:r>
        <w:rPr>
          <w:b/>
        </w:rPr>
        <w:t xml:space="preserve">Wer die Petition zahlt: </w:t>
      </w:r>
      <w:r>
        <w:t>du selbst</w:t>
      </w:r>
    </w:p>
    <w:p w14:paraId="51F4F315" w14:textId="77777777" w:rsidR="001F7233" w:rsidRDefault="00000000">
      <w:r>
        <w:rPr>
          <w:b/>
        </w:rPr>
        <w:t>F-1</w:t>
      </w:r>
    </w:p>
    <w:p w14:paraId="3D1E565A" w14:textId="77777777" w:rsidR="001F7233" w:rsidRDefault="00000000">
      <w:r>
        <w:rPr>
          <w:b/>
        </w:rPr>
        <w:t xml:space="preserve">Wo der Betrag steht: </w:t>
      </w:r>
      <w:r>
        <w:t>travel.state.gov, plus SEVIS</w:t>
      </w:r>
    </w:p>
    <w:p w14:paraId="4FE39FD9" w14:textId="77777777" w:rsidR="001F7233" w:rsidRDefault="00000000">
      <w:r>
        <w:rPr>
          <w:b/>
        </w:rPr>
        <w:t xml:space="preserve">Wer die Petition zahlt: </w:t>
      </w:r>
      <w:r>
        <w:t>du selbst</w:t>
      </w:r>
    </w:p>
    <w:p w14:paraId="6A7829E9" w14:textId="77777777" w:rsidR="001F7233" w:rsidRDefault="00000000">
      <w:r>
        <w:rPr>
          <w:b/>
        </w:rPr>
        <w:t>J-1</w:t>
      </w:r>
    </w:p>
    <w:p w14:paraId="1EECC6EF" w14:textId="77777777" w:rsidR="001F7233" w:rsidRDefault="00000000">
      <w:r>
        <w:rPr>
          <w:b/>
        </w:rPr>
        <w:t xml:space="preserve">Wo der Betrag steht: </w:t>
      </w:r>
      <w:r>
        <w:t>travel.state.gov, plus SEVIS</w:t>
      </w:r>
    </w:p>
    <w:p w14:paraId="7C9878E4" w14:textId="77777777" w:rsidR="001F7233" w:rsidRDefault="00000000">
      <w:r>
        <w:rPr>
          <w:b/>
        </w:rPr>
        <w:t xml:space="preserve">Wer die Petition zahlt: </w:t>
      </w:r>
      <w:r>
        <w:t>du oder Sponsor</w:t>
      </w:r>
    </w:p>
    <w:p w14:paraId="0062BA45" w14:textId="77777777" w:rsidR="001F7233" w:rsidRDefault="001F7233">
      <w:pPr>
        <w:spacing w:line="180" w:lineRule="exact"/>
      </w:pPr>
    </w:p>
    <w:p w14:paraId="66908ADB" w14:textId="77777777" w:rsidR="001F7233" w:rsidRDefault="00000000">
      <w:pPr>
        <w:spacing w:after="140"/>
      </w:pPr>
      <w:r>
        <w:t>Premium Processing entscheidet binnen 15 Werktagen. Die Gebühr steht auf g-1055. Die Zusatzzahlung der Proklamation 10973 prüfst du auf der USCIS-Alert-Seite in der Woche der Einreichung. Dieses Kapitel sagt nicht, dass sie gerade erhoben oder nicht erhoben wird, und druckt den Betrag nicht.</w:t>
      </w:r>
    </w:p>
    <w:p w14:paraId="522BF0B1" w14:textId="77777777" w:rsidR="001F7233" w:rsidRDefault="00000000">
      <w:pPr>
        <w:spacing w:after="140"/>
      </w:pPr>
      <w:r>
        <w:t xml:space="preserve">Was dich betrifft: Die ACWIA-Gebühr sowie Anwalts- und Petitionskosten darf der Arbeitgeber nicht vom Lohn zurückholen. Konsulargebühren, H-4-Anträge und Umzug zahlst du, sofern nichts anderes vereinbart ist. Eine Visa Integrity Fee solltest du nur dann </w:t>
      </w:r>
      <w:r>
        <w:lastRenderedPageBreak/>
        <w:t>als eigene Ausgabe ansetzen, wenn sie für deinen Antrag tatsächlich verlangt wird. Was der Arbeitgeber übernimmt, gehört ins Angebotsschreiben.</w:t>
      </w:r>
    </w:p>
    <w:p w14:paraId="7ABD8532" w14:textId="77777777" w:rsidR="001F7233" w:rsidRDefault="001F7233">
      <w:pPr>
        <w:spacing w:line="220" w:lineRule="exact"/>
      </w:pPr>
    </w:p>
    <w:p w14:paraId="53ABD9A1" w14:textId="77777777" w:rsidR="001F7233" w:rsidRDefault="00000000">
      <w:r>
        <w:rPr>
          <w:b/>
        </w:rPr>
        <w:t xml:space="preserve">SPARTIPP: </w:t>
      </w:r>
    </w:p>
    <w:p w14:paraId="02C8E91B" w14:textId="77777777" w:rsidR="001F7233" w:rsidRDefault="00000000">
      <w:r>
        <w:t>• Lass dir im Angebotsschreiben ausdrücklich zusichern, dass der Arbeitgeber Konsulargebühren, Visa Integrity Fee und H-4-Kosten für die ganze Familie erstattet. Die regulären Konsulargebühren stehen auf travel.state.gov; die gesetzliche Visa Integrity Fee ist dort derzeit nicht separat ausgewiesen. Bitte um Kostenübernahme für jede Gebühr, die konkret erhoben wird. Die Umzugskosten gehören in dieselbe Verhandlung (</w:t>
      </w:r>
      <w:hyperlink w:anchor="k20">
        <w:r w:rsidR="001F7233">
          <w:t>Kapitel 20</w:t>
        </w:r>
      </w:hyperlink>
      <w:r>
        <w:t>).</w:t>
      </w:r>
    </w:p>
    <w:p w14:paraId="70A36EB2" w14:textId="77777777" w:rsidR="001F7233" w:rsidRDefault="001F7233">
      <w:pPr>
        <w:spacing w:line="220" w:lineRule="exact"/>
      </w:pPr>
    </w:p>
    <w:p w14:paraId="48DAA4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Request for Evidence: wenn USCIS nachfragt</w:t>
      </w:r>
    </w:p>
    <w:p w14:paraId="06DAC500" w14:textId="77777777" w:rsidR="001F7233" w:rsidRDefault="00000000">
      <w:pPr>
        <w:spacing w:after="140"/>
      </w:pPr>
      <w:r>
        <w:t xml:space="preserve">Eine </w:t>
      </w:r>
      <w:r>
        <w:rPr>
          <w:i/>
          <w:iCs/>
        </w:rPr>
        <w:t>Request for Evidence</w:t>
      </w:r>
      <w:r>
        <w:t xml:space="preserve"> (RFE, Nachforderung) heißt: USCIS hält die Belege für unzureichend und will mehr sehen, bevor die Behörde entscheidet – keine Ablehnung, aber ernst. Typische Themen: ob die Stelle eine </w:t>
      </w:r>
      <w:r>
        <w:rPr>
          <w:i/>
          <w:iCs/>
        </w:rPr>
        <w:t>Specialty Occupation</w:t>
      </w:r>
      <w:r>
        <w:t xml:space="preserve"> ist, ob dein Abschluss zur Stelle passt (für deutsche Abschlüsse ist ein Äquivalenzgutachten üblich, Kapitel </w:t>
      </w:r>
      <w:hyperlink w:anchor="k19">
        <w:r w:rsidR="001F7233">
          <w:t>19</w:t>
        </w:r>
      </w:hyperlink>
      <w:r>
        <w:t>), Arbeitsort und Kunde bei Einsätzen bei Dritten sowie die Lohnhöhe.</w:t>
      </w:r>
    </w:p>
    <w:p w14:paraId="11C43D83" w14:textId="77777777" w:rsidR="001F7233" w:rsidRDefault="00000000">
      <w:pPr>
        <w:spacing w:after="140"/>
      </w:pPr>
      <w:r>
        <w:t>Die Frist für die Antwort beträgt nach der Regel bis zu 84 Tage. Seit einer USCIS-Richtlinie vom 5. August 2026 dürfen Sachbearbeiter kürzere, fallbezogene Fristen setzen; Kanzleien berichten von RFE mit nur 30 Tagen. Die Antwort muss USCIS innerhalb der Frist erreichen. USCIS kann außerdem bestimmte Anträge mit fehlenden Pflichtbelegen ohne vorherige RFE ablehnen. Beim Premium Processing steht die 15-Werktage-Uhr während der RFE still. Die Antwort kostet ein Honorar, das die Kanzlei nennt, und geht zulasten des Arbeitgebers.</w:t>
      </w:r>
    </w:p>
    <w:p w14:paraId="30787A05" w14:textId="77777777" w:rsidR="001F7233" w:rsidRDefault="00000000">
      <w:r>
        <w:rPr>
          <w:b/>
        </w:rPr>
        <w:lastRenderedPageBreak/>
        <w:t xml:space="preserve">ACHTUNG: </w:t>
      </w:r>
    </w:p>
    <w:p w14:paraId="18EDEAD5" w14:textId="77777777" w:rsidR="001F7233" w:rsidRDefault="00000000">
      <w:r>
        <w:t>• Bei 30 Tagen zählt jede Woche. Halte Diplome, Zeugnisse, Arbeitszeugnisse und Stellenbeschreibung griffbereit, bleibe auch im Urlaub erreichbar und liefere angeforderte Unterlagen der Kanzlei binnen zwei Tagen.</w:t>
      </w:r>
    </w:p>
    <w:p w14:paraId="7A56BF1F" w14:textId="77777777" w:rsidR="001F7233" w:rsidRDefault="001F7233">
      <w:pPr>
        <w:spacing w:line="220" w:lineRule="exact"/>
      </w:pPr>
    </w:p>
    <w:p w14:paraId="6CEF0E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Zeitplan: vom Jobangebot bis zum Umzug</w:t>
      </w:r>
    </w:p>
    <w:p w14:paraId="2A1EA3CD" w14:textId="77777777" w:rsidR="001F7233" w:rsidRDefault="00000000">
      <w:pPr>
        <w:spacing w:after="140"/>
      </w:pPr>
      <w:r>
        <w:t>Beim H-1B mit Lotterie bestimmt der Kalender alles. Die Tabelle zeigt die Saison FY2027 (Fiskaljahr 1. Oktober 2026 bis 30. September 2027); Zeiten ab der Entscheidung sind Praxis- und Aggregatorwerte:</w:t>
      </w:r>
    </w:p>
    <w:p w14:paraId="747EC99C" w14:textId="77777777" w:rsidR="001F7233" w:rsidRDefault="00000000">
      <w:r>
        <w:rPr>
          <w:b/>
        </w:rPr>
        <w:t>vor März</w:t>
      </w:r>
    </w:p>
    <w:p w14:paraId="3F095338" w14:textId="77777777" w:rsidR="001F7233" w:rsidRDefault="00000000">
      <w:r>
        <w:rPr>
          <w:b/>
        </w:rPr>
        <w:t xml:space="preserve">Schritt: </w:t>
      </w:r>
      <w:r>
        <w:t>Angebot, schriftliche Sponsoring-Zusage, Lohn-Level, Diplombewertung</w:t>
      </w:r>
    </w:p>
    <w:p w14:paraId="63CA5466" w14:textId="77777777" w:rsidR="001F7233" w:rsidRDefault="00000000">
      <w:r>
        <w:rPr>
          <w:b/>
        </w:rPr>
        <w:t xml:space="preserve">Wer: </w:t>
      </w:r>
      <w:r>
        <w:t>du, Arbeitgeber</w:t>
      </w:r>
    </w:p>
    <w:p w14:paraId="6414AAB7" w14:textId="77777777" w:rsidR="001F7233" w:rsidRDefault="00000000">
      <w:r>
        <w:rPr>
          <w:b/>
        </w:rPr>
        <w:t xml:space="preserve">Dauer und Hinweis: </w:t>
      </w:r>
      <w:r>
        <w:t>muss vor der Registrierung stehen (</w:t>
      </w:r>
      <w:hyperlink w:anchor="k5">
        <w:r w:rsidR="001F7233">
          <w:rPr>
            <w:rStyle w:val="Hyperlink"/>
          </w:rPr>
          <w:t>Kapitel 5</w:t>
        </w:r>
      </w:hyperlink>
      <w:r>
        <w:t>)</w:t>
      </w:r>
    </w:p>
    <w:p w14:paraId="07E60A45" w14:textId="77777777" w:rsidR="001F7233" w:rsidRDefault="00000000">
      <w:r>
        <w:rPr>
          <w:b/>
        </w:rPr>
        <w:t>März</w:t>
      </w:r>
    </w:p>
    <w:p w14:paraId="1F24C01A" w14:textId="77777777" w:rsidR="001F7233" w:rsidRDefault="00000000">
      <w:r>
        <w:rPr>
          <w:b/>
        </w:rPr>
        <w:t xml:space="preserve">Schritt: </w:t>
      </w:r>
      <w:r>
        <w:t>Registrierung (215 $)</w:t>
      </w:r>
    </w:p>
    <w:p w14:paraId="5FEA606A" w14:textId="77777777" w:rsidR="001F7233" w:rsidRDefault="00000000">
      <w:r>
        <w:rPr>
          <w:b/>
        </w:rPr>
        <w:t xml:space="preserve">Wer: </w:t>
      </w:r>
      <w:r>
        <w:t>Arbeitgeber</w:t>
      </w:r>
    </w:p>
    <w:p w14:paraId="3D819A79" w14:textId="77777777" w:rsidR="001F7233" w:rsidRDefault="00000000">
      <w:r>
        <w:rPr>
          <w:b/>
        </w:rPr>
        <w:t xml:space="preserve">Dauer und Hinweis: </w:t>
      </w:r>
      <w:r>
        <w:t>FY2027: 4.–19. März 2026; Ergebnis bis 31. März</w:t>
      </w:r>
    </w:p>
    <w:p w14:paraId="300FF73D" w14:textId="77777777" w:rsidR="001F7233" w:rsidRDefault="00000000">
      <w:r>
        <w:rPr>
          <w:b/>
        </w:rPr>
        <w:t>April bis Juni</w:t>
      </w:r>
    </w:p>
    <w:p w14:paraId="6F8CAC7C" w14:textId="77777777" w:rsidR="001F7233" w:rsidRDefault="00000000">
      <w:r>
        <w:rPr>
          <w:b/>
        </w:rPr>
        <w:t xml:space="preserve">Schritt: </w:t>
      </w:r>
      <w:r>
        <w:t>LCA, dann Petition</w:t>
      </w:r>
    </w:p>
    <w:p w14:paraId="02C1FC46" w14:textId="77777777" w:rsidR="001F7233" w:rsidRDefault="00000000">
      <w:r>
        <w:rPr>
          <w:b/>
        </w:rPr>
        <w:t xml:space="preserve">Wer: </w:t>
      </w:r>
      <w:r>
        <w:t>Kanzlei</w:t>
      </w:r>
    </w:p>
    <w:p w14:paraId="66F7BA35" w14:textId="77777777" w:rsidR="001F7233" w:rsidRDefault="00000000">
      <w:r>
        <w:rPr>
          <w:b/>
        </w:rPr>
        <w:t xml:space="preserve">Dauer und Hinweis: </w:t>
      </w:r>
      <w:r>
        <w:t>LCA-Prüfung sieben Werktage; Filing-Fenster mindestens 90 Tage</w:t>
      </w:r>
    </w:p>
    <w:p w14:paraId="48AF669C" w14:textId="77777777" w:rsidR="001F7233" w:rsidRDefault="00000000">
      <w:r>
        <w:rPr>
          <w:b/>
        </w:rPr>
        <w:t>nach Einreichung</w:t>
      </w:r>
    </w:p>
    <w:p w14:paraId="0C0059F9" w14:textId="77777777" w:rsidR="001F7233" w:rsidRDefault="00000000">
      <w:r>
        <w:rPr>
          <w:b/>
        </w:rPr>
        <w:t xml:space="preserve">Schritt: </w:t>
      </w:r>
      <w:r>
        <w:t>Entscheidung, ggf. RFE</w:t>
      </w:r>
    </w:p>
    <w:p w14:paraId="04885D22" w14:textId="77777777" w:rsidR="001F7233" w:rsidRDefault="00000000">
      <w:r>
        <w:rPr>
          <w:b/>
        </w:rPr>
        <w:t xml:space="preserve">Wer: </w:t>
      </w:r>
      <w:r>
        <w:t>USCIS</w:t>
      </w:r>
    </w:p>
    <w:p w14:paraId="7E699340" w14:textId="77777777" w:rsidR="001F7233" w:rsidRDefault="00000000">
      <w:r>
        <w:rPr>
          <w:b/>
        </w:rPr>
        <w:lastRenderedPageBreak/>
        <w:t xml:space="preserve">Dauer und Hinweis: </w:t>
      </w:r>
      <w:r>
        <w:t>Premium 15 Werktage; regulär mehrere Monate (uscis.gov/processing-times)</w:t>
      </w:r>
    </w:p>
    <w:p w14:paraId="3342FD68" w14:textId="77777777" w:rsidR="001F7233" w:rsidRDefault="00000000">
      <w:r>
        <w:rPr>
          <w:b/>
        </w:rPr>
        <w:t>nach Genehmigung</w:t>
      </w:r>
    </w:p>
    <w:p w14:paraId="2C003BB3" w14:textId="77777777" w:rsidR="001F7233" w:rsidRDefault="00000000">
      <w:r>
        <w:rPr>
          <w:b/>
        </w:rPr>
        <w:t xml:space="preserve">Schritt: </w:t>
      </w:r>
      <w:r>
        <w:t>DS-160, Gebühr, Termin</w:t>
      </w:r>
    </w:p>
    <w:p w14:paraId="1FFF0F5B" w14:textId="77777777" w:rsidR="001F7233" w:rsidRDefault="00000000">
      <w:r>
        <w:rPr>
          <w:b/>
        </w:rPr>
        <w:t xml:space="preserve">Wer: </w:t>
      </w:r>
      <w:r>
        <w:t>du</w:t>
      </w:r>
    </w:p>
    <w:p w14:paraId="16FCDAEC" w14:textId="77777777" w:rsidR="001F7233" w:rsidRDefault="00000000">
      <w:r>
        <w:rPr>
          <w:b/>
        </w:rPr>
        <w:t xml:space="preserve">Dauer und Hinweis: </w:t>
      </w:r>
      <w:r>
        <w:t>Frankfurt ca. zwei Monate, Berlin ca. ein Monat, München unter zwei Wochen</w:t>
      </w:r>
    </w:p>
    <w:p w14:paraId="7D67406F" w14:textId="77777777" w:rsidR="001F7233" w:rsidRDefault="00000000">
      <w:r>
        <w:rPr>
          <w:b/>
        </w:rPr>
        <w:t>Interviewtag</w:t>
      </w:r>
    </w:p>
    <w:p w14:paraId="7D1FE512" w14:textId="77777777" w:rsidR="001F7233" w:rsidRDefault="00000000">
      <w:r>
        <w:rPr>
          <w:b/>
        </w:rPr>
        <w:t xml:space="preserve">Schritt: </w:t>
      </w:r>
      <w:r>
        <w:t>Interview, ggf. 221(g)</w:t>
      </w:r>
    </w:p>
    <w:p w14:paraId="4BA3E264" w14:textId="77777777" w:rsidR="001F7233" w:rsidRDefault="00000000">
      <w:r>
        <w:rPr>
          <w:b/>
        </w:rPr>
        <w:t xml:space="preserve">Wer: </w:t>
      </w:r>
      <w:r>
        <w:t>du</w:t>
      </w:r>
    </w:p>
    <w:p w14:paraId="69310419" w14:textId="77777777" w:rsidR="001F7233" w:rsidRDefault="00000000">
      <w:r>
        <w:rPr>
          <w:b/>
        </w:rPr>
        <w:t xml:space="preserve">Dauer und Hinweis: </w:t>
      </w:r>
      <w:r>
        <w:t>Wochen bis Monate bei 221(g)</w:t>
      </w:r>
    </w:p>
    <w:p w14:paraId="187710E5" w14:textId="77777777" w:rsidR="001F7233" w:rsidRDefault="00000000">
      <w:r>
        <w:rPr>
          <w:b/>
        </w:rPr>
        <w:t>nach dem Visum</w:t>
      </w:r>
    </w:p>
    <w:p w14:paraId="2ACFE48E" w14:textId="77777777" w:rsidR="001F7233" w:rsidRDefault="00000000">
      <w:r>
        <w:rPr>
          <w:b/>
        </w:rPr>
        <w:t xml:space="preserve">Schritt: </w:t>
      </w:r>
      <w:r>
        <w:t>Kündigung, Flug, Umzug</w:t>
      </w:r>
    </w:p>
    <w:p w14:paraId="047FDA61" w14:textId="77777777" w:rsidR="001F7233" w:rsidRDefault="00000000">
      <w:r>
        <w:rPr>
          <w:b/>
        </w:rPr>
        <w:t xml:space="preserve">Wer: </w:t>
      </w:r>
      <w:r>
        <w:t>du</w:t>
      </w:r>
    </w:p>
    <w:p w14:paraId="37E976F5" w14:textId="77777777" w:rsidR="001F7233" w:rsidRDefault="00000000">
      <w:r>
        <w:rPr>
          <w:b/>
        </w:rPr>
        <w:t xml:space="preserve">Dauer und Hinweis: </w:t>
      </w:r>
      <w:r>
        <w:t xml:space="preserve">Kündigungsfrist im Job einplanen; </w:t>
      </w:r>
      <w:hyperlink w:anchor="k15">
        <w:r w:rsidR="001F7233">
          <w:rPr>
            <w:rStyle w:val="Hyperlink"/>
          </w:rPr>
          <w:t>Kapitel 15</w:t>
        </w:r>
      </w:hyperlink>
      <w:r>
        <w:t xml:space="preserve"> und 20</w:t>
      </w:r>
    </w:p>
    <w:p w14:paraId="128565EE" w14:textId="77777777" w:rsidR="001F7233" w:rsidRDefault="00000000">
      <w:r>
        <w:rPr>
          <w:b/>
        </w:rPr>
        <w:t>frühestens 21. September</w:t>
      </w:r>
    </w:p>
    <w:p w14:paraId="22A41588" w14:textId="77777777" w:rsidR="001F7233" w:rsidRDefault="00000000">
      <w:r>
        <w:rPr>
          <w:b/>
        </w:rPr>
        <w:t xml:space="preserve">Schritt: </w:t>
      </w:r>
      <w:r>
        <w:t>Einreise, zehn Tage vor Petitionsbeginn 1. Oktober</w:t>
      </w:r>
    </w:p>
    <w:p w14:paraId="0BDAD37B" w14:textId="77777777" w:rsidR="001F7233" w:rsidRDefault="00000000">
      <w:r>
        <w:rPr>
          <w:b/>
        </w:rPr>
        <w:t xml:space="preserve">Wer: </w:t>
      </w:r>
      <w:r>
        <w:t>du</w:t>
      </w:r>
    </w:p>
    <w:p w14:paraId="64EFDDB0" w14:textId="77777777" w:rsidR="001F7233" w:rsidRDefault="00000000">
      <w:r>
        <w:rPr>
          <w:b/>
        </w:rPr>
        <w:t xml:space="preserve">Dauer und Hinweis: </w:t>
      </w:r>
      <w:hyperlink w:anchor="k23">
        <w:r w:rsidR="001F7233">
          <w:rPr>
            <w:rStyle w:val="Hyperlink"/>
          </w:rPr>
          <w:t>Kapitel 23</w:t>
        </w:r>
      </w:hyperlink>
    </w:p>
    <w:p w14:paraId="61189821" w14:textId="77777777" w:rsidR="001F7233" w:rsidRDefault="00000000">
      <w:r>
        <w:rPr>
          <w:b/>
        </w:rPr>
        <w:t>ab 1. Oktober</w:t>
      </w:r>
    </w:p>
    <w:p w14:paraId="0791191C" w14:textId="77777777" w:rsidR="001F7233" w:rsidRDefault="00000000">
      <w:r>
        <w:rPr>
          <w:b/>
        </w:rPr>
        <w:t xml:space="preserve">Schritt: </w:t>
      </w:r>
      <w:r>
        <w:t>Arbeitsbeginn</w:t>
      </w:r>
    </w:p>
    <w:p w14:paraId="647D08F5" w14:textId="77777777" w:rsidR="001F7233" w:rsidRDefault="00000000">
      <w:r>
        <w:rPr>
          <w:b/>
        </w:rPr>
        <w:t xml:space="preserve">Wer: </w:t>
      </w:r>
      <w:r>
        <w:t>du</w:t>
      </w:r>
    </w:p>
    <w:p w14:paraId="2BCD8B47" w14:textId="77777777" w:rsidR="001F7233" w:rsidRDefault="00000000">
      <w:r>
        <w:rPr>
          <w:b/>
        </w:rPr>
        <w:t xml:space="preserve">Dauer und Hinweis: </w:t>
      </w:r>
      <w:r>
        <w:t>nicht vor dem Startdatum der Petition</w:t>
      </w:r>
    </w:p>
    <w:p w14:paraId="0764E855" w14:textId="77777777" w:rsidR="001F7233" w:rsidRDefault="001F7233">
      <w:pPr>
        <w:spacing w:line="180" w:lineRule="exact"/>
      </w:pPr>
    </w:p>
    <w:p w14:paraId="4531A792" w14:textId="77777777" w:rsidR="001F7233" w:rsidRDefault="00000000">
      <w:pPr>
        <w:spacing w:after="140"/>
      </w:pPr>
      <w:r>
        <w:t>Vom Angebot bis zum Start sind es beim Lotterieweg je nach Zeitpunkt zwischen acht und 18 Monaten, und nur, wenn die Auswahl klappt. Beispiel: Wer im September 2026 ein Angebot annimmt, wird im März 2027 registriert (Saison FY2028, Termine noch nicht offiziell) und startet frühestens am 1. Oktober 2027. Ohne Lotterie geht es schneller: Bei L-1, O-1 und Cap-exempt-H-1B (Hochschulen, Forschung; Kapitel </w:t>
      </w:r>
      <w:hyperlink w:anchor="k5">
        <w:r w:rsidR="001F7233">
          <w:t>5</w:t>
        </w:r>
      </w:hyperlink>
      <w:r>
        <w:t xml:space="preserve"> und </w:t>
      </w:r>
      <w:hyperlink w:anchor="k9">
        <w:r w:rsidR="001F7233">
          <w:t>9</w:t>
        </w:r>
      </w:hyperlink>
      <w:r>
        <w:t>) dauert die Strecke von der Einreichung bis zum Visum mit Premium Processing oft nur wenige Monate (abgeleitet aus Premium-Frist und Terminwartezeiten, ohne Garantie).</w:t>
      </w:r>
    </w:p>
    <w:p w14:paraId="1CF669B4" w14:textId="77777777" w:rsidR="001F7233" w:rsidRDefault="00000000">
      <w:r>
        <w:rPr>
          <w:b/>
        </w:rPr>
        <w:lastRenderedPageBreak/>
        <w:t xml:space="preserve">ACHTUNG: </w:t>
      </w:r>
    </w:p>
    <w:p w14:paraId="3441D3D1" w14:textId="77777777" w:rsidR="001F7233" w:rsidRDefault="00000000">
      <w:r>
        <w:t>• Ein Angebot im April bedeutet: Die März-Registrierung ist verpasst, der Start frühestens im Oktober des Folgejahres. Frage bei jedem Angebot, wann und wie der Arbeitgeber registriert, und plane ein Ausweichmodell (</w:t>
      </w:r>
      <w:hyperlink w:anchor="k4">
        <w:r w:rsidR="001F7233">
          <w:rPr>
            <w:color w:val="0563C1"/>
            <w:u w:val="single"/>
          </w:rPr>
          <w:t>Kapitel 4</w:t>
        </w:r>
      </w:hyperlink>
      <w:r>
        <w:t>).</w:t>
      </w:r>
    </w:p>
    <w:p w14:paraId="5C67BFF5" w14:textId="77777777" w:rsidR="001F7233" w:rsidRDefault="001F7233">
      <w:pPr>
        <w:spacing w:line="220" w:lineRule="exact"/>
      </w:pPr>
    </w:p>
    <w:p w14:paraId="133BFB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F25EA34" w14:textId="77777777" w:rsidR="001F7233" w:rsidRDefault="00000000">
      <w:pPr>
        <w:spacing w:after="140"/>
      </w:pPr>
      <w:r>
        <w:t>Bitte deinen Arbeitgeber um Kanzlei, Ansprechpartner und eine schriftliche Kostenübernahme. Stelle Unterlagen und eine Liste deiner Social-Media-Konten zusammen, prüfe die Terminlage schon vor der Genehmigung und plane vom Startdatum aus rückwärts, mit mehreren Wochen Puffer.</w:t>
      </w:r>
    </w:p>
    <w:p w14:paraId="6C96D688" w14:textId="77777777" w:rsidR="001F7233" w:rsidRDefault="00000000">
      <w:r>
        <w:t>• Angebotsschreiben: Sponsoring, Startdatum und Kostenübernahme (Konsulargebühren, Visa Integrity Fee, H-4, Umzug) schriftlich</w:t>
      </w:r>
    </w:p>
    <w:p w14:paraId="71B1132B" w14:textId="77777777" w:rsidR="001F7233" w:rsidRDefault="00000000">
      <w:r>
        <w:t>• Kanzlei, Ansprechperson und Kopien von Petition und LCA erfragt</w:t>
      </w:r>
    </w:p>
    <w:p w14:paraId="31394AE3" w14:textId="77777777" w:rsidR="001F7233" w:rsidRDefault="00000000">
      <w:r>
        <w:t>• Entschieden, ob du zusätzlich einen eigenen Anwalt brauchst; Zulassung bei der Anwaltskammer geprüft, Honorarvereinbarung schriftlich</w:t>
      </w:r>
    </w:p>
    <w:p w14:paraId="7DFAC073" w14:textId="77777777" w:rsidR="001F7233" w:rsidRDefault="00000000">
      <w:r>
        <w:t>• Diplome, Zeugnisse, Arbeitszeugnisse und Lebenslauf bereit (</w:t>
      </w:r>
      <w:hyperlink w:anchor="k19">
        <w:r w:rsidR="001F7233">
          <w:rPr>
            <w:color w:val="0563C1"/>
            <w:u w:val="single"/>
          </w:rPr>
          <w:t>Kapitel 19</w:t>
        </w:r>
      </w:hyperlink>
      <w:r>
        <w:t>); bei Familie Heirats- und Geburtsurkunden</w:t>
      </w:r>
    </w:p>
    <w:p w14:paraId="17B601C0" w14:textId="77777777" w:rsidR="001F7233" w:rsidRDefault="00000000">
      <w:r>
        <w:t>• DS-160 für jede Person ausgefüllt (Petitionsnummer aus dem Bescheid I-797), mit Petition und Lebenslauf abgeglichen, alle Social-Media-Konten angegeben.</w:t>
      </w:r>
    </w:p>
    <w:p w14:paraId="3C6DF3E6" w14:textId="77777777" w:rsidR="001F7233" w:rsidRDefault="00000000">
      <w:r>
        <w:t>• Konsulargebühr (205 $ je Person) gezahlt, Termin für die Familie gemeinsam gebucht, Standorte verglichen</w:t>
      </w:r>
    </w:p>
    <w:p w14:paraId="61328D87" w14:textId="77777777" w:rsidR="001F7233" w:rsidRDefault="00000000">
      <w:r>
        <w:t>• Profile in sozialen Netzwerken vor dem Termin auf „öffentlich“ gestellt, nichts hektisch gelöscht</w:t>
      </w:r>
    </w:p>
    <w:p w14:paraId="6B6C5F1D" w14:textId="77777777" w:rsidR="001F7233" w:rsidRDefault="00000000">
      <w:r>
        <w:t>• Interview-Mappe gepackt: Pass, DS-160-Bestätigung, Terminbestätigung, Gebührenbeleg, I-797, Kopien</w:t>
      </w:r>
    </w:p>
    <w:p w14:paraId="3789CB07" w14:textId="77777777" w:rsidR="001F7233" w:rsidRDefault="00000000">
      <w:r>
        <w:t>• Visum geprüft (Name, Kategorie, Datum); erst danach gekündigt, Flüge gebucht, Umzug beauftragt</w:t>
      </w:r>
    </w:p>
    <w:p w14:paraId="3C3EB02C" w14:textId="77777777" w:rsidR="001F7233" w:rsidRDefault="001F7233">
      <w:pPr>
        <w:spacing w:line="220" w:lineRule="exact"/>
      </w:pPr>
    </w:p>
    <w:p w14:paraId="4BF95F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8D75113" w14:textId="77777777" w:rsidR="001F7233" w:rsidRDefault="00000000">
      <w:pPr>
        <w:pStyle w:val="ListParagraph"/>
        <w:numPr>
          <w:ilvl w:val="0"/>
          <w:numId w:val="1"/>
        </w:numPr>
        <w:spacing w:after="60"/>
      </w:pPr>
      <w:r>
        <w:t xml:space="preserve">US-Außenministerium — Visa, Gebühren, Wartezeiten: </w:t>
      </w:r>
      <w:hyperlink r:id="rId189">
        <w:r w:rsidR="001F7233">
          <w:rPr>
            <w:color w:val="0563C1"/>
            <w:u w:val="single"/>
          </w:rPr>
          <w:t>travel.state.gov/visas</w:t>
        </w:r>
      </w:hyperlink>
    </w:p>
    <w:p w14:paraId="374E23B7" w14:textId="77777777" w:rsidR="001F7233" w:rsidRDefault="00000000">
      <w:pPr>
        <w:pStyle w:val="ListParagraph"/>
        <w:numPr>
          <w:ilvl w:val="0"/>
          <w:numId w:val="1"/>
        </w:numPr>
        <w:spacing w:after="60"/>
      </w:pPr>
      <w:r>
        <w:t xml:space="preserve">US-Botschaft und Konsulate in Deutschland — Visaverfahren und Terminportal: </w:t>
      </w:r>
      <w:hyperlink r:id="rId190">
        <w:r w:rsidR="001F7233">
          <w:rPr>
            <w:color w:val="0563C1"/>
            <w:u w:val="single"/>
          </w:rPr>
          <w:t>de.usembassy.gov/visas</w:t>
        </w:r>
      </w:hyperlink>
    </w:p>
    <w:p w14:paraId="4BBCE6D7" w14:textId="77777777" w:rsidR="001F7233" w:rsidRDefault="00000000">
      <w:pPr>
        <w:pStyle w:val="ListParagraph"/>
        <w:numPr>
          <w:ilvl w:val="0"/>
          <w:numId w:val="1"/>
        </w:numPr>
        <w:spacing w:after="60"/>
      </w:pPr>
      <w:r>
        <w:t xml:space="preserve">DS-160 und Statusabfrage: </w:t>
      </w:r>
      <w:hyperlink r:id="rId191">
        <w:r w:rsidR="001F7233">
          <w:rPr>
            <w:color w:val="0563C1"/>
            <w:u w:val="single"/>
          </w:rPr>
          <w:t>ceac.state.gov/genniv</w:t>
        </w:r>
      </w:hyperlink>
    </w:p>
    <w:p w14:paraId="28F0AB43" w14:textId="77777777" w:rsidR="001F7233" w:rsidRDefault="00000000">
      <w:pPr>
        <w:pStyle w:val="ListParagraph"/>
        <w:numPr>
          <w:ilvl w:val="0"/>
          <w:numId w:val="1"/>
        </w:numPr>
        <w:spacing w:after="60"/>
      </w:pPr>
      <w:r>
        <w:t xml:space="preserve">USCIS — Gebührenübersicht (G-1055): </w:t>
      </w:r>
      <w:hyperlink r:id="rId192">
        <w:r w:rsidR="001F7233">
          <w:rPr>
            <w:color w:val="0563C1"/>
            <w:u w:val="single"/>
          </w:rPr>
          <w:t>uscis.gov/g-1055</w:t>
        </w:r>
      </w:hyperlink>
    </w:p>
    <w:p w14:paraId="33E6E50F" w14:textId="77777777" w:rsidR="001F7233" w:rsidRDefault="00000000">
      <w:pPr>
        <w:pStyle w:val="ListParagraph"/>
        <w:numPr>
          <w:ilvl w:val="0"/>
          <w:numId w:val="1"/>
        </w:numPr>
        <w:spacing w:after="60"/>
      </w:pPr>
      <w:r>
        <w:t xml:space="preserve">USCIS — H-1B: </w:t>
      </w:r>
      <w:hyperlink r:id="rId193">
        <w:r w:rsidR="001F7233">
          <w:rPr>
            <w:color w:val="0563C1"/>
            <w:u w:val="single"/>
          </w:rPr>
          <w:t>uscis.gov/working-in-the-united-states/h-1b-specialty-occupations</w:t>
        </w:r>
      </w:hyperlink>
    </w:p>
    <w:p w14:paraId="3BEE415F" w14:textId="77777777" w:rsidR="001F7233" w:rsidRDefault="00000000">
      <w:pPr>
        <w:pStyle w:val="ListParagraph"/>
        <w:numPr>
          <w:ilvl w:val="0"/>
          <w:numId w:val="1"/>
        </w:numPr>
        <w:spacing w:after="60"/>
      </w:pPr>
      <w:r>
        <w:t xml:space="preserve">USCIS — Bearbeitungszeiten: </w:t>
      </w:r>
      <w:hyperlink r:id="rId194">
        <w:r w:rsidR="001F7233">
          <w:rPr>
            <w:color w:val="0563C1"/>
            <w:u w:val="single"/>
          </w:rPr>
          <w:t>USCIS: Bearbeitungszeiten</w:t>
        </w:r>
      </w:hyperlink>
    </w:p>
    <w:p w14:paraId="3E4EB9F2" w14:textId="77777777" w:rsidR="001F7233" w:rsidRDefault="00000000">
      <w:pPr>
        <w:pStyle w:val="ListParagraph"/>
        <w:numPr>
          <w:ilvl w:val="0"/>
          <w:numId w:val="1"/>
        </w:numPr>
        <w:spacing w:after="60"/>
      </w:pPr>
      <w:r>
        <w:t xml:space="preserve">USCIS — Betrug vermeiden: </w:t>
      </w:r>
      <w:hyperlink r:id="rId195">
        <w:r w:rsidR="001F7233">
          <w:rPr>
            <w:color w:val="0563C1"/>
            <w:u w:val="single"/>
          </w:rPr>
          <w:t>uscis.gov/avoid-scams</w:t>
        </w:r>
      </w:hyperlink>
    </w:p>
    <w:p w14:paraId="6D4049FC" w14:textId="77777777" w:rsidR="001F7233" w:rsidRDefault="00000000">
      <w:pPr>
        <w:pStyle w:val="ListParagraph"/>
        <w:numPr>
          <w:ilvl w:val="0"/>
          <w:numId w:val="1"/>
        </w:numPr>
        <w:spacing w:after="60"/>
      </w:pPr>
      <w:r>
        <w:t xml:space="preserve">Verbraucherschutzbehörde FTC — Betrug melden: </w:t>
      </w:r>
      <w:hyperlink r:id="rId196">
        <w:r w:rsidR="001F7233">
          <w:rPr>
            <w:color w:val="0563C1"/>
            <w:u w:val="single"/>
          </w:rPr>
          <w:t>reportfraud.ftc.gov</w:t>
        </w:r>
      </w:hyperlink>
    </w:p>
    <w:p w14:paraId="566336EA" w14:textId="77777777" w:rsidR="001F7233" w:rsidRDefault="001F7233">
      <w:pPr>
        <w:spacing w:line="120" w:lineRule="exact"/>
      </w:pPr>
    </w:p>
    <w:p w14:paraId="373E9E47" w14:textId="77777777" w:rsidR="001F7233" w:rsidRDefault="00000000">
      <w:r>
        <w:t>• Quellen- und Datenstand: September 2026; Redaktionsschluss: Oktober 2026. Diese Angaben ändern sich schnell: Konsulargebühren, Visa Integrity Fee und Premium-Gebühr, die Terminwartezeiten (wöchentlich, hier Aggregatordaten), die Erhebung der 100.000-$-Zahlung (laufende Gerichtsverfahren), die Entwürfe zu 103.265 $ und zum Wegfall der 60-Tage-Frist, die Interview- und Online-Prüfung sowie die RFE-Fristen. Prüfe vor jeder Entscheidung die offiziellen Seiten und frage deine Kanzlei.</w:t>
      </w:r>
    </w:p>
    <w:p w14:paraId="784AD983" w14:textId="77777777" w:rsidR="001F7233" w:rsidRDefault="001F7233">
      <w:pPr>
        <w:spacing w:line="220" w:lineRule="exact"/>
      </w:pPr>
    </w:p>
    <w:p w14:paraId="6A8780FB" w14:textId="77777777" w:rsidR="001F7233" w:rsidRDefault="00000000">
      <w:r>
        <w:br w:type="page"/>
      </w:r>
    </w:p>
    <w:p w14:paraId="6B6C09E7" w14:textId="77777777" w:rsidR="001F7233" w:rsidRDefault="00000000">
      <w:pPr>
        <w:pStyle w:val="Heading1"/>
        <w:keepNext/>
        <w:spacing w:line="341" w:lineRule="auto"/>
        <w:jc w:val="center"/>
      </w:pPr>
      <w:bookmarkStart w:id="35" w:name="rev73h2008"/>
      <w:r>
        <w:rPr>
          <w:rFonts w:ascii="Amazon Ember" w:eastAsia="Amazon Ember" w:hAnsi="Amazon Ember" w:cs="Amazon Ember"/>
          <w:color w:val="0000FF"/>
        </w:rPr>
        <w:lastRenderedPageBreak/>
        <w:t>TEIL III — Wohnort und Wohnen</w:t>
      </w:r>
      <w:bookmarkEnd w:id="35"/>
    </w:p>
    <w:p w14:paraId="2AC4D243" w14:textId="77777777" w:rsidR="001F7233" w:rsidRDefault="00000000">
      <w:pPr>
        <w:spacing w:after="160" w:line="300" w:lineRule="auto"/>
        <w:ind w:left="400" w:right="400"/>
        <w:jc w:val="center"/>
      </w:pPr>
      <w:r>
        <w:rPr>
          <w:i/>
          <w:iCs/>
          <w:sz w:val="24"/>
          <w:szCs w:val="24"/>
        </w:rPr>
        <w:t>Wo du lebst, entscheidet über Gehalt, Schule, Steuern und Freundeskreis und ob du mietest oder kaufst, über einen großen Teil deines Vermögens.</w:t>
      </w:r>
    </w:p>
    <w:p w14:paraId="5BC32B2E" w14:textId="77777777" w:rsidR="001F7233" w:rsidRDefault="00000000">
      <w:r>
        <w:br w:type="page"/>
      </w:r>
    </w:p>
    <w:p w14:paraId="695C718E" w14:textId="77777777" w:rsidR="001F7233" w:rsidRDefault="00000000">
      <w:pPr>
        <w:pStyle w:val="Heading2"/>
        <w:keepNext/>
        <w:spacing w:line="341" w:lineRule="auto"/>
        <w:jc w:val="center"/>
      </w:pPr>
      <w:bookmarkStart w:id="36" w:name="k12"/>
      <w:r>
        <w:rPr>
          <w:rFonts w:ascii="Amazon Ember" w:eastAsia="Amazon Ember" w:hAnsi="Amazon Ember" w:cs="Amazon Ember"/>
          <w:color w:val="0000FF"/>
          <w:sz w:val="36"/>
          <w:szCs w:val="36"/>
        </w:rPr>
        <w:lastRenderedPageBreak/>
        <w:t>Kapitel 12: Wo leben? Die besten Orte nach Berufsfeld</w:t>
      </w:r>
      <w:bookmarkEnd w:id="36"/>
    </w:p>
    <w:p w14:paraId="1A7D395E" w14:textId="77777777" w:rsidR="001F7233" w:rsidRDefault="00000000">
      <w:pPr>
        <w:spacing w:after="140"/>
      </w:pPr>
      <w:r>
        <w:t>Die Zusage kommt mit einer Adresse: Auburn Hills, Michigan. Nicht München, nicht Berlin – ein Vorort von Detroit, von dem die meisten Bewerber vorher nie gehört haben. Für die meisten Fachkräfte, die über ein Arbeitsvisum in die USA kommen, entscheidet nicht der Wunschzettel über den ersten Wohnort, sondern der Arbeitgeber. Die gute Nachricht: Das ist kein Urteil auf Lebenszeit. Amerikaner wechseln Job und Ort weit häufiger als Deutsche, und du wirst es wahrscheinlich auch tun (Kapitel </w:t>
      </w:r>
      <w:hyperlink w:anchor="k30">
        <w:r w:rsidR="001F7233">
          <w:t>30</w:t>
        </w:r>
      </w:hyperlink>
      <w:r>
        <w:t>).</w:t>
      </w:r>
    </w:p>
    <w:p w14:paraId="510E8A63" w14:textId="77777777" w:rsidR="001F7233" w:rsidRDefault="00000000">
      <w:r>
        <w:rPr>
          <w:b/>
        </w:rPr>
        <w:t xml:space="preserve">KURZ GESAGT: </w:t>
      </w:r>
    </w:p>
    <w:p w14:paraId="35DFDD7E" w14:textId="77777777" w:rsidR="001F7233" w:rsidRDefault="00000000">
      <w:r>
        <w:t>• Beim ersten Job bestimmt fast immer der Arbeitgeber den Ort; freie Wahl kommt meist erst beim zweiten oder dritten Job (</w:t>
      </w:r>
      <w:hyperlink w:anchor="k30">
        <w:r w:rsidR="001F7233">
          <w:rPr>
            <w:color w:val="0563C1"/>
            <w:u w:val="single"/>
          </w:rPr>
          <w:t>Kapitel 30</w:t>
        </w:r>
      </w:hyperlink>
      <w:r>
        <w:t>).</w:t>
      </w:r>
    </w:p>
    <w:p w14:paraId="68410955" w14:textId="77777777" w:rsidR="001F7233" w:rsidRDefault="00000000">
      <w:r>
        <w:t>• Rechne Gehalt, Wohnkosten und Steuern immer zusammen: 130.000 $ bedeuten in Columbus etwas anderes als in San Francisco.</w:t>
      </w:r>
    </w:p>
    <w:p w14:paraId="220FE490" w14:textId="77777777" w:rsidR="001F7233" w:rsidRDefault="00000000">
      <w:r>
        <w:t>• Tech zahlt am besten, aber 2026 mit Entlassungswelle und schwachem Einstiegsmarkt. Halbleiter-Jobs entstehen schon in Arizona, Idaho und Texas, in Ohio erst ab 2030.</w:t>
      </w:r>
    </w:p>
    <w:p w14:paraId="56C02441" w14:textId="77777777" w:rsidR="001F7233" w:rsidRDefault="00000000">
      <w:r>
        <w:t>• Neun Bundesstaaten erheben keine Einkommensteuer auf Löhne. Das ersetzt aber keine Rechnung mit Grundsteuer und Versicherung.</w:t>
      </w:r>
    </w:p>
    <w:p w14:paraId="243BB771" w14:textId="77777777" w:rsidR="001F7233" w:rsidRDefault="00000000">
      <w:r>
        <w:t>• Miete das erste Jahr, auch wenn du dich schon entschieden hast; das spart teure Fehlentscheidungen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21F93E1F" w14:textId="77777777" w:rsidR="001F7233" w:rsidRDefault="001F7233">
      <w:pPr>
        <w:spacing w:line="220" w:lineRule="exact"/>
      </w:pPr>
    </w:p>
    <w:p w14:paraId="71D0FD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der Job den Ort bestimmt – und warum sich das später ändert</w:t>
      </w:r>
    </w:p>
    <w:p w14:paraId="7998554E" w14:textId="77777777" w:rsidR="001F7233" w:rsidRDefault="00000000">
      <w:pPr>
        <w:spacing w:after="140"/>
      </w:pPr>
      <w:r>
        <w:t xml:space="preserve">Verbreiteter Irrtum: Wer ein Jobangebot in der Tasche hat, sucht sich aus, in welcher Stadt er lebt. Tatsächlich entscheidest du beim </w:t>
      </w:r>
      <w:r>
        <w:lastRenderedPageBreak/>
        <w:t xml:space="preserve">ersten Job in den USA selten selbst, wo du wohnst. Kommst du über ein Arbeitgeber-Visum wie H-1B oder L-1, nennt die Petition deines Arbeitgebers einen festen Arbeitsort, meist eine Metropolregion (englisch </w:t>
      </w:r>
      <w:r>
        <w:rPr>
          <w:i/>
          <w:iCs/>
        </w:rPr>
        <w:t>Metro Area</w:t>
      </w:r>
      <w:r>
        <w:t xml:space="preserve">, eine zusammenhängende Wirtschafts- und Pendlerregion um eine Kernstadt). Die </w:t>
      </w:r>
      <w:r>
        <w:rPr>
          <w:i/>
          <w:iCs/>
        </w:rPr>
        <w:t>Labor Condition Application</w:t>
      </w:r>
      <w:r>
        <w:t>, die dein Arbeitgeber beim Arbeitsministerium einreicht, bindet dich an dieses Gebiet; ein Umzug in eine andere Region braucht in der Regel eine neue Petition (Kapitel </w:t>
      </w:r>
      <w:hyperlink w:anchor="k30">
        <w:r w:rsidR="001F7233">
          <w:t>30</w:t>
        </w:r>
      </w:hyperlink>
      <w:r>
        <w:t>). Wer über ein Studium kommt (F-1, OPT, Kapitel </w:t>
      </w:r>
      <w:hyperlink w:anchor="k8">
        <w:r w:rsidR="001F7233">
          <w:t>8</w:t>
        </w:r>
      </w:hyperlink>
      <w:r>
        <w:t>), hat beim ersten Arbeitgeber ebenfalls wenig Spielraum, weil schon das Jobangebot selbst rar ist. Nur wer über E-2, L-1A oder O-1 selbständig oder als Führungskraft kommt (Kapitel </w:t>
      </w:r>
      <w:hyperlink w:anchor="k9">
        <w:r w:rsidR="001F7233">
          <w:t>9</w:t>
        </w:r>
      </w:hyperlink>
      <w:r>
        <w:t>) oder bereits eine Green Card besitzt, wählt den Ort wirklich frei.</w:t>
      </w:r>
    </w:p>
    <w:p w14:paraId="640D8F70" w14:textId="77777777" w:rsidR="001F7233" w:rsidRDefault="00000000">
      <w:pPr>
        <w:spacing w:after="140"/>
      </w:pPr>
      <w:r>
        <w:t>Das klingt einschränkender, als es ist. Amerikaner bleiben im Median nur 3,9 Jahre bei einem Arbeitgeber (Kapitel </w:t>
      </w:r>
      <w:hyperlink w:anchor="k30">
        <w:r w:rsidR="001F7233">
          <w:t>30</w:t>
        </w:r>
      </w:hyperlink>
      <w:r>
        <w:t>), und ein Wechsel zieht oft einen Umzug nach sich – vom Autozulieferer in Michigan zum Halbleiterwerk in Arizona, vom Start-up in Austin zum Konzern in Seattle. Die erste Platzierung ist ein Anfang, kein Urteil auf Lebenszeit. Wer beim ersten Angebot noch keine Wahl hat, kann trotzdem prüfen, was der zugewiesene Ort für Gehalt, Kosten und Alltag bedeutet – und beim nächsten Wechsel gezielter suchen.</w:t>
      </w:r>
    </w:p>
    <w:p w14:paraId="7744B07F" w14:textId="77777777" w:rsidR="001F7233" w:rsidRDefault="00000000">
      <w:r>
        <w:rPr>
          <w:b/>
        </w:rPr>
        <w:t xml:space="preserve">MERKE: </w:t>
      </w:r>
    </w:p>
    <w:p w14:paraId="2133FF29" w14:textId="77777777" w:rsidR="001F7233" w:rsidRDefault="00000000">
      <w:r>
        <w:t>• Der erste Wohnort folgt fast immer dem ersten Job, nicht umgekehrt. Wer die Wahl hat, sollte die Kriterien dieses Kapitels schon beim Jobangebot prüfen, nicht erst nach der Zusage.</w:t>
      </w:r>
    </w:p>
    <w:p w14:paraId="62D087A8" w14:textId="77777777" w:rsidR="001F7233" w:rsidRDefault="001F7233">
      <w:pPr>
        <w:spacing w:line="220" w:lineRule="exact"/>
      </w:pPr>
    </w:p>
    <w:p w14:paraId="74F127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bei der Wahl zählt: Gehalt, Kosten und Steuern</w:t>
      </w:r>
    </w:p>
    <w:p w14:paraId="62976388" w14:textId="77777777" w:rsidR="001F7233" w:rsidRDefault="00000000">
      <w:pPr>
        <w:spacing w:after="140"/>
      </w:pPr>
      <w:r>
        <w:t>Sobald du wählen kannst oder das zugewiesene Angebot bewerten willst, zählt zuerst das Verhältnis von Gehalt zu Lebenshaltungskosten, nicht das Gehalt allein (Kapitel </w:t>
      </w:r>
      <w:hyperlink w:anchor="k3">
        <w:r w:rsidR="001F7233">
          <w:t>3</w:t>
        </w:r>
      </w:hyperlink>
      <w:r>
        <w:t xml:space="preserve"> zeigt das </w:t>
      </w:r>
      <w:r>
        <w:lastRenderedPageBreak/>
        <w:t>Rechenmodell). Ein Softwareentwickler verdient im Median 213.110 $ in San José, aber ein Einfamilienhaus kostet dort 2.050.000 $. In Columbus, Ohio, sind es dagegen 122.340 $ Gehalt bei 363.100 $ Kaufpreis – ein deutlich günstigeres Verhältnis, auch wenn die absolute Zahl kleiner wirkt. Ein hohes Nominalgehalt in San Francisco oder Boston lässt nach Steuern und Wohnkosten oft weniger übrig als ein niedrigeres Gehalt in Columbus oder Raleigh. Wer nur auf die Zahl im Angebotsschreiben schaut, wundert sich am Monatsende, wohin das Geld verschwunden ist.</w:t>
      </w:r>
    </w:p>
    <w:p w14:paraId="64D23DC8" w14:textId="77777777" w:rsidR="001F7233" w:rsidRDefault="00000000">
      <w:pPr>
        <w:spacing w:after="140"/>
      </w:pPr>
      <w:r>
        <w:t>Die Einkommensteuer schwankt zwischen 0 % (Texas, Florida, Tennessee und fünf weitere Staaten, siehe unten) und einem Spitzensatz von 13,3 % in Kalifornien. Dazu kommen oft Kommunalsteuern: Ohio-Städte, Detroit und New York City erheben eigene Lohnsteuern; Bundes- und Landessteuer erklärt Kapitel </w:t>
      </w:r>
      <w:hyperlink w:anchor="k28">
        <w:r w:rsidR="001F7233">
          <w:t>28</w:t>
        </w:r>
      </w:hyperlink>
      <w:r>
        <w:t>. Die Grundsteuer (</w:t>
      </w:r>
      <w:r>
        <w:rPr>
          <w:i/>
          <w:iCs/>
        </w:rPr>
        <w:t>Property Tax</w:t>
      </w:r>
      <w:r>
        <w:t>) variiert ebenfalls stark, von rund 0,3 % des Hauswerts in Hawaii bis 1,9 % in New Jersey und Illinois (Kapitel </w:t>
      </w:r>
      <w:hyperlink w:anchor="k14">
        <w:r w:rsidR="001F7233">
          <w:t>14</w:t>
        </w:r>
      </w:hyperlink>
      <w:r>
        <w:t>).</w:t>
      </w:r>
    </w:p>
    <w:p w14:paraId="709918A4" w14:textId="77777777" w:rsidR="001F7233" w:rsidRDefault="00000000">
      <w:pPr>
        <w:spacing w:after="140"/>
      </w:pPr>
      <w:r>
        <w:t>Für Familien ist Schulqualität oft das gewichtigste Kriterium: Die öffentliche Schule richtet sich nach dem Schulbezirk (</w:t>
      </w:r>
      <w:r>
        <w:rPr>
          <w:i/>
          <w:iCs/>
        </w:rPr>
        <w:t>School District</w:t>
      </w:r>
      <w:r>
        <w:t>) des Wohnorts, nicht nach der Stadt insgesamt, und gefragte Bezirke kosten beim Kauf oder Mieten einen spürbaren Aufschlag. Wie du Schulbezirke bewertest, erklärt Kapitel </w:t>
      </w:r>
      <w:hyperlink w:anchor="k36">
        <w:r w:rsidR="001F7233">
          <w:t>36</w:t>
        </w:r>
      </w:hyperlink>
      <w:r>
        <w:t>; die Steckbriefe weiter unten nennen je Region Beispiele gefragter Bezirke.</w:t>
      </w:r>
    </w:p>
    <w:p w14:paraId="3C533680" w14:textId="77777777" w:rsidR="001F7233" w:rsidRDefault="00000000">
      <w:pPr>
        <w:pStyle w:val="Heading3"/>
      </w:pPr>
      <w:r>
        <w:t>Schulbezirk, Grundsteuer und die Wahl der Schule</w:t>
      </w:r>
    </w:p>
    <w:p w14:paraId="5F5EAE21" w14:textId="77777777" w:rsidR="001F7233" w:rsidRDefault="00000000">
      <w:r>
        <w:t xml:space="preserve">Keine eigenen Kinder zu haben senkt in den USA meist weder die Grundsteuer noch den Schulanteil darin. Die Steuer hängt am Grundstück und am lokalen Steuerbezirk, nicht daran, ob du Kinder hast oder öffentliche Schulen nutzt. Auch wer Privatschule, Charter School oder Homeschool wählt, zahlt meist weiter. Als Mieter zahlst du die Abgabe nicht separat; sie steckt mittelbar in Miete und Betriebskosten. Schulsteuern und Befreiungen unterscheiden sich </w:t>
      </w:r>
      <w:r>
        <w:lastRenderedPageBreak/>
        <w:t>lokal, deshalb zählt die konkrete Steuerrechnung der Adresse. Nicht die Behauptung, ein Viertel habe „keine Schulkosten“.</w:t>
      </w:r>
    </w:p>
    <w:p w14:paraId="4E4B1BD4" w14:textId="77777777" w:rsidR="001F7233" w:rsidRDefault="00000000">
      <w:r>
        <w:t>Wenn du keine Kinder hast, zahle keinen Aufpreis nur für einen begehrten School District. Vergleiche Miete oder Kaufpreis, Grundsteuer, Versicherung, Fahrtzeit und Naturgefahren. Ein Viertel außer des gefragten Bezirks kann günstiger sein, aber eine niedrige Grundsteuer ist nicht garantiert und kann durch andere Abgaben oder schwächere Dienste aufgewogen werden. Erst mieten und die tatsächliche Pendelroute testen.</w:t>
      </w:r>
    </w:p>
    <w:p w14:paraId="327766D0" w14:textId="77777777" w:rsidR="001F7233" w:rsidRDefault="00000000">
      <w:r>
        <w:t>Wenn Kinder da sind oder geplant sind, ist „beste Schule“ keine landesweite Rangliste. Prüfe zuerst die zonierte öffentliche Schule anhand des aktuellen staatlichen School Report Card: Lernfortschritt neben Testergebnissen, Abschlussquote, Kursangebot, Förder- und Sprachprogramme, sonderpädagogische Unterstützung, Sicherheit und tatsächliche Erreichbarkeit. Bestätige die Zuordnung schriftlich beim Bezirk für genau diese Adresse. Grenzen, Plätze und Ausnahmen können sich ändern. Privatschule ist sinnvoll, wenn sie einen konkreten Bedarf besser deckt und die volle Gebühr samt Transport tragbar ist. Charter Schools sind je nach Staat öffentliche Schulen mit eigenen Aufnahme- und Platzregeln, nicht automatisch bessere Schulen. Für den ersten Vergleich nutze die staatlichen Schulberichte und das NCES-Suchportal (nces.ed.gov/ccd/schoolsearch), nicht nur kommerzielle Stern-Rankings.</w:t>
      </w:r>
    </w:p>
    <w:p w14:paraId="29B00864" w14:textId="77777777" w:rsidR="001F7233" w:rsidRDefault="00000000">
      <w:r>
        <w:t>Kurzempfehlung: Ohne Kinder zuerst Job, Pendeln und Gesamtkosten optimieren. Mit Kindern zunächst gute zonierte öffentliche Schulen prüfen und private oder Charter-Angebote nur gegen einen klaren Bedarf vergleichen. In beiden Fällen macht die konkrete Adresse den Unterschied. Die Schule bleibt öffentlich; die Grundsteuer auch.</w:t>
      </w:r>
    </w:p>
    <w:p w14:paraId="613E9B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Klima, Naturgefahren und der Alltag vor Ort</w:t>
      </w:r>
    </w:p>
    <w:p w14:paraId="39D105D1" w14:textId="77777777" w:rsidR="001F7233" w:rsidRDefault="00000000">
      <w:pPr>
        <w:spacing w:after="140"/>
      </w:pPr>
      <w:r>
        <w:t>Die USA sind klimatisch und geologisch vielfältiger als jedes Land Europas – was in Deutschland vier Jahreszeiten sind, verteilen die USA großzügig auf 50 Bundesstaaten, gerne auch gleichzeitig: Hitzewelle in Phoenix, Schneesturm in Minneapolis, derselbe Kalendertag. Jede Metropolregion trägt ein eigenes Risikoprofil. Manche Gefahr betrifft vor allem den Immobilienkauf (Versicherbarkeit, Kapitel </w:t>
      </w:r>
      <w:hyperlink w:anchor="k14">
        <w:r w:rsidR="001F7233">
          <w:t>14</w:t>
        </w:r>
      </w:hyperlink>
      <w:r>
        <w:t>), andere den Alltag – Hitzeperioden, Winterstürme, Rauch von Waldbränden.</w:t>
      </w:r>
    </w:p>
    <w:p w14:paraId="22D906CF" w14:textId="77777777" w:rsidR="001F7233" w:rsidRDefault="00000000">
      <w:r>
        <w:rPr>
          <w:b/>
        </w:rPr>
        <w:t>Hurrikan</w:t>
      </w:r>
    </w:p>
    <w:p w14:paraId="7AE6EB8B" w14:textId="77777777" w:rsidR="001F7233" w:rsidRDefault="00000000">
      <w:r>
        <w:rPr>
          <w:b/>
        </w:rPr>
        <w:t xml:space="preserve">Betroffene Regionen (Beispiele): </w:t>
      </w:r>
      <w:r>
        <w:t>Golfküste, Florida, Houston, Carolinas, teils Washington DC</w:t>
      </w:r>
    </w:p>
    <w:p w14:paraId="07E7241E" w14:textId="77777777" w:rsidR="001F7233" w:rsidRDefault="00000000">
      <w:r>
        <w:rPr>
          <w:b/>
        </w:rPr>
        <w:t xml:space="preserve">Worauf du achtest: </w:t>
      </w:r>
      <w:r>
        <w:t>Sturmsaison Juni bis November, Evakuierungszonen, Selbstbehalt</w:t>
      </w:r>
    </w:p>
    <w:p w14:paraId="496146AC" w14:textId="77777777" w:rsidR="001F7233" w:rsidRDefault="00000000">
      <w:r>
        <w:rPr>
          <w:b/>
        </w:rPr>
        <w:t>Waldbrand</w:t>
      </w:r>
    </w:p>
    <w:p w14:paraId="33E12208" w14:textId="77777777" w:rsidR="001F7233" w:rsidRDefault="00000000">
      <w:r>
        <w:rPr>
          <w:b/>
        </w:rPr>
        <w:t xml:space="preserve">Betroffene Regionen (Beispiele): </w:t>
      </w:r>
      <w:r>
        <w:t>Kalifornien, Colorado, Pacific-Northwest-Rauch</w:t>
      </w:r>
    </w:p>
    <w:p w14:paraId="5EE355CF" w14:textId="77777777" w:rsidR="001F7233" w:rsidRDefault="00000000">
      <w:r>
        <w:rPr>
          <w:b/>
        </w:rPr>
        <w:t xml:space="preserve">Worauf du achtest: </w:t>
      </w:r>
      <w:r>
        <w:t>FEMA-Gefahrenkarten, Versicherbarkeit vor dem Kauf prüfen</w:t>
      </w:r>
    </w:p>
    <w:p w14:paraId="525FDC49" w14:textId="77777777" w:rsidR="001F7233" w:rsidRDefault="00000000">
      <w:r>
        <w:rPr>
          <w:b/>
        </w:rPr>
        <w:t>Erdbeben</w:t>
      </w:r>
    </w:p>
    <w:p w14:paraId="4292C08D" w14:textId="77777777" w:rsidR="001F7233" w:rsidRDefault="00000000">
      <w:r>
        <w:rPr>
          <w:b/>
        </w:rPr>
        <w:t xml:space="preserve">Betroffene Regionen (Beispiele): </w:t>
      </w:r>
      <w:r>
        <w:t>San Francisco/Los Angeles, Seattle/Portland, Salt Lake City</w:t>
      </w:r>
    </w:p>
    <w:p w14:paraId="12F1A782" w14:textId="77777777" w:rsidR="001F7233" w:rsidRDefault="00000000">
      <w:r>
        <w:rPr>
          <w:b/>
        </w:rPr>
        <w:t xml:space="preserve">Worauf du achtest: </w:t>
      </w:r>
      <w:r>
        <w:t>Standardpolice deckt Erdbeben meist nicht; Zusatzpolice nötig</w:t>
      </w:r>
    </w:p>
    <w:p w14:paraId="5BB3E83D" w14:textId="77777777" w:rsidR="001F7233" w:rsidRDefault="00000000">
      <w:r>
        <w:rPr>
          <w:b/>
        </w:rPr>
        <w:t>Tornado</w:t>
      </w:r>
    </w:p>
    <w:p w14:paraId="1FE146FA" w14:textId="77777777" w:rsidR="001F7233" w:rsidRDefault="00000000">
      <w:r>
        <w:rPr>
          <w:b/>
        </w:rPr>
        <w:t xml:space="preserve">Betroffene Regionen (Beispiele): </w:t>
      </w:r>
      <w:r>
        <w:t>Dallas, Houston, Nashville, Huntsville, Atlanta, Minneapolis</w:t>
      </w:r>
    </w:p>
    <w:p w14:paraId="206C9DFE" w14:textId="77777777" w:rsidR="001F7233" w:rsidRDefault="00000000">
      <w:r>
        <w:rPr>
          <w:b/>
        </w:rPr>
        <w:t xml:space="preserve">Worauf du achtest: </w:t>
      </w:r>
      <w:r>
        <w:t>Sturmkeller oder sicherer Innenraum, Warn-Apps</w:t>
      </w:r>
    </w:p>
    <w:p w14:paraId="01F5E375" w14:textId="77777777" w:rsidR="001F7233" w:rsidRDefault="00000000">
      <w:r>
        <w:rPr>
          <w:b/>
        </w:rPr>
        <w:t>Extreme Hitze</w:t>
      </w:r>
    </w:p>
    <w:p w14:paraId="5123AC3C" w14:textId="77777777" w:rsidR="001F7233" w:rsidRDefault="00000000">
      <w:r>
        <w:rPr>
          <w:b/>
        </w:rPr>
        <w:t xml:space="preserve">Betroffene Regionen (Beispiele): </w:t>
      </w:r>
      <w:r>
        <w:t>Phoenix, Austin, Houston, Dallas</w:t>
      </w:r>
    </w:p>
    <w:p w14:paraId="6093647F" w14:textId="77777777" w:rsidR="001F7233" w:rsidRDefault="00000000">
      <w:r>
        <w:rPr>
          <w:b/>
        </w:rPr>
        <w:lastRenderedPageBreak/>
        <w:t xml:space="preserve">Worauf du achtest: </w:t>
      </w:r>
      <w:r>
        <w:t>Klimaanlage ist Pflichtausgabe, hohe Stromrechnung im Sommer</w:t>
      </w:r>
    </w:p>
    <w:p w14:paraId="11833FCB" w14:textId="77777777" w:rsidR="001F7233" w:rsidRDefault="00000000">
      <w:r>
        <w:rPr>
          <w:b/>
        </w:rPr>
        <w:t>Strenger Winter</w:t>
      </w:r>
    </w:p>
    <w:p w14:paraId="7333188C" w14:textId="77777777" w:rsidR="001F7233" w:rsidRDefault="00000000">
      <w:r>
        <w:rPr>
          <w:b/>
        </w:rPr>
        <w:t xml:space="preserve">Betroffene Regionen (Beispiele): </w:t>
      </w:r>
      <w:r>
        <w:t>Minneapolis, Chicago, Denver, Upstate New York</w:t>
      </w:r>
    </w:p>
    <w:p w14:paraId="0A41AFD8" w14:textId="77777777" w:rsidR="001F7233" w:rsidRDefault="00000000">
      <w:r>
        <w:rPr>
          <w:b/>
        </w:rPr>
        <w:t xml:space="preserve">Worauf du achtest: </w:t>
      </w:r>
      <w:r>
        <w:t>Heizkosten, Winterreifen, Schneeräumpflicht am eigenen Grundstück</w:t>
      </w:r>
    </w:p>
    <w:p w14:paraId="1503A40C" w14:textId="77777777" w:rsidR="001F7233" w:rsidRDefault="001F7233">
      <w:pPr>
        <w:spacing w:line="180" w:lineRule="exact"/>
      </w:pPr>
    </w:p>
    <w:p w14:paraId="47B92B23" w14:textId="77777777" w:rsidR="001F7233" w:rsidRDefault="00000000">
      <w:pPr>
        <w:spacing w:after="140"/>
      </w:pPr>
      <w:r>
        <w:t>Als Faustregel gilt: Wer eine Immobilie in einer Hochrisikozone kauft, holt vor der Kaufentscheidung ein Versicherungsangebot ein, nicht danach.</w:t>
      </w:r>
    </w:p>
    <w:p w14:paraId="25B8C232" w14:textId="77777777" w:rsidR="001F7233" w:rsidRDefault="00000000">
      <w:r>
        <w:rPr>
          <w:b/>
        </w:rPr>
        <w:t xml:space="preserve">ACHTUNG: </w:t>
      </w:r>
    </w:p>
    <w:p w14:paraId="3BFEC1E5" w14:textId="77777777" w:rsidR="001F7233" w:rsidRDefault="00000000">
      <w:r>
        <w:t>• In Florida kostet eine Hausversicherung mit 300.000 $ Deckung im Schnitt 6.432 $ im Jahr, in Louisiana 5.004 $, in Texas 4.644 $ – mehr als das Dreifache des kalifornischen Werts von 2.040 $. In einigen Regionen ziehen sich private Versicherer zurück; Kalifornien fängt das über den staatlichen Notversicherer FAIR Plan auf (663.000 Policen, Stand März 2026). Prüfe die Versicherbarkeit, bevor du kaufst (</w:t>
      </w:r>
      <w:hyperlink w:anchor="k14">
        <w:r w:rsidR="001F7233">
          <w:rPr>
            <w:color w:val="0563C1"/>
            <w:u w:val="single"/>
          </w:rPr>
          <w:t>Kapitel 14</w:t>
        </w:r>
      </w:hyperlink>
      <w:r>
        <w:t>).</w:t>
      </w:r>
    </w:p>
    <w:p w14:paraId="37613DD7" w14:textId="77777777" w:rsidR="001F7233" w:rsidRDefault="001F7233">
      <w:pPr>
        <w:spacing w:line="220" w:lineRule="exact"/>
      </w:pPr>
    </w:p>
    <w:p w14:paraId="288E3E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Direktflüge, deutsche Community und ÖPNV</w:t>
      </w:r>
    </w:p>
    <w:p w14:paraId="73F3C206" w14:textId="77777777" w:rsidR="001F7233" w:rsidRDefault="00000000">
      <w:pPr>
        <w:spacing w:after="140"/>
      </w:pPr>
      <w:r>
        <w:t>Wer regelmäßig nach Deutschland reist, spart mit einem Nonstop-Flug Zeit und Umsteigestress. Lufthansa, United, Delta und saisonal Condor fliegen unter anderem Atlanta, Austin, Boston, Charlotte, Chicago, Dallas–Fort Worth, Denver, Detroit, Houston, Los Angeles, New York, Raleigh–Durham, San Diego, San Francisco, Seattle und Washington nonstop an (Datenstand September 2026; Streckenpläne ändern sich saisonal). Ohne Nonstop-Verbindung reist du unter anderem ab Phoenix, Salt Lake City, Boise, Columbus, Nashville, Greenville–Spartanburg und Huntsville. Meist mit Umstieg über eines der genannten Drehkreuze.</w:t>
      </w:r>
    </w:p>
    <w:p w14:paraId="6967482E" w14:textId="77777777" w:rsidR="001F7233" w:rsidRDefault="00000000">
      <w:pPr>
        <w:spacing w:after="140"/>
      </w:pPr>
      <w:r>
        <w:rPr>
          <w:i/>
          <w:iCs/>
        </w:rPr>
        <w:lastRenderedPageBreak/>
        <w:t>Für Familien mit Kindern kann eine Deutsche Auslandsschule mit Deutschem Internationalen Abitur (DIA) den Ausschlag geben. Es gibt sie unter anderem in Boston, New York (White Plains), Washington (Potomac, Maryland) und im Silicon Valley. Das Schulgeld liegt 2026/27 bei rund 27.700 bis 35.750 $ im Jahr. Generalkonsulate findest du in Atlanta, Boston, Chicago, Houston, Los Angeles, New York und San Francisco, dazu die Botschaft in Washington. Goethe-Institute ergänzen das Netz in denselben Städten.</w:t>
      </w:r>
    </w:p>
    <w:p w14:paraId="3A48EB0C" w14:textId="77777777" w:rsidR="001F7233" w:rsidRDefault="00000000">
      <w:pPr>
        <w:spacing w:after="140"/>
      </w:pPr>
      <w:r>
        <w:t>Außerhalb der dichten Kernlagen von New York, Boston, Chicago, Washington und San Francisco brauchst du praktisch überall ein Auto; öffentlicher Nahverkehr existiert vielerorts, deckt aber selten den ganzen Alltag ab. Wer aus einer deutschen Stadt mit Straßenbahn kommt, gewöhnt sich um: Hier bringt dich nicht die nächste Bahn in zehn Minuten irgendwohin, sondern nur der eigene Zündschlüssel. Führerschein und Auto beschreibt Kapitel </w:t>
      </w:r>
      <w:hyperlink w:anchor="k27">
        <w:r w:rsidR="001F7233">
          <w:t>27</w:t>
        </w:r>
      </w:hyperlink>
      <w:r>
        <w:t>.</w:t>
      </w:r>
    </w:p>
    <w:p w14:paraId="1A6DF9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Tech, Software und Halbleiter: hohe Löhne, unsichere Zeiten</w:t>
      </w:r>
    </w:p>
    <w:p w14:paraId="07FB7C06" w14:textId="77777777" w:rsidR="001F7233" w:rsidRDefault="00000000">
      <w:r>
        <w:rPr>
          <w:b/>
        </w:rPr>
        <w:t xml:space="preserve">ACHTUNG: </w:t>
      </w:r>
    </w:p>
    <w:p w14:paraId="55D1B085" w14:textId="77777777" w:rsidR="001F7233" w:rsidRDefault="00000000">
      <w:r>
        <w:t>• Der Tech-Arbeitsmarkt ist 2026 merklich härter als noch vor zwei Jahren. Von Januar bis August 2026 kündigten US-Unternehmen laut einer Beratung 155.126 Tech-Stellen, 52 % mehr als im Vorjahreszeitraum. In rund einem Viertel der Ankündigungen nannten Unternehmen ausdrücklich Künstliche Intelligenz als Grund. Stellenanzeigen für Softwareentwickler lagen Mitte 2026 rund 27,5 % unter Vor-Pandemie-Niveau und Einstiegsstellen für Berufsanfänger sanken auch um 7,5 % gegen dem Vorjahr. Ein Jobangebot in der Tech-Branche ist 2026 kein Selbstläufer mehr, besonders nicht für den ersten Job.</w:t>
      </w:r>
    </w:p>
    <w:p w14:paraId="686DBCF3" w14:textId="77777777" w:rsidR="001F7233" w:rsidRDefault="001F7233">
      <w:pPr>
        <w:spacing w:line="220" w:lineRule="exact"/>
      </w:pPr>
    </w:p>
    <w:p w14:paraId="54F69FED" w14:textId="77777777" w:rsidR="001F7233" w:rsidRDefault="00000000">
      <w:pPr>
        <w:spacing w:after="140"/>
      </w:pPr>
      <w:r>
        <w:t xml:space="preserve">Halbleiter-Standorte sind stark ortsgebunden, mit sehr unterschiedlichen Zeitplänen. In Arizona fertigt Intels Fab 52 in </w:t>
      </w:r>
      <w:r>
        <w:lastRenderedPageBreak/>
        <w:t>Chandler seit Oktober 2025 in Serie und tSMC baut seine zweite Fabrik seit dem dritten Quartal 2026 aus (Serienproduktion ab 2027). Dort entstehen schon jetzt Stellen. In Idaho startet Micron die Serienproduktion in Boise 2027, im texanischen Sherman fertigt Texas Instruments bereits seit Dezember 2025 und samsung will in Taylor, Texas, 2027 in Serie gehen. Ganz anders in Ohio: Intels Werk bei Columbus soll frühestens 2030/31 den Betrieb aufnehmen. Ähnlich verhält es sich mit Micron im Bundesstaat New York (Baubeginn 2026, Produktion um 2030).</w:t>
      </w:r>
    </w:p>
    <w:p w14:paraId="14622549" w14:textId="77777777" w:rsidR="001F7233" w:rsidRDefault="001F7233">
      <w:pPr>
        <w:spacing w:line="220" w:lineRule="exact"/>
      </w:pPr>
    </w:p>
    <w:p w14:paraId="143D215D" w14:textId="77777777" w:rsidR="001F7233" w:rsidRDefault="00000000">
      <w:r>
        <w:rPr>
          <w:b/>
        </w:rPr>
        <w:t xml:space="preserve">ACHTUNG: </w:t>
      </w:r>
    </w:p>
    <w:p w14:paraId="083596F9" w14:textId="77777777" w:rsidR="001F7233" w:rsidRDefault="00000000">
      <w:r>
        <w:t>• Verlass dich bei der Ortswahl nicht auf Ankündigungen, sondern auf den tatsächlichen Baufortschritt. Intel Ohio wurde mehrfach verschoben; wer wegen eines Halbleiterwerks umzieht, fragt den aktuellen Stand direkt beim Arbeitgeber ab, nicht bei einer zwei Jahre alten Pressemitteilung.</w:t>
      </w:r>
    </w:p>
    <w:p w14:paraId="0AED8C0D" w14:textId="77777777" w:rsidR="001F7233" w:rsidRDefault="001F7233">
      <w:pPr>
        <w:spacing w:line="220" w:lineRule="exact"/>
      </w:pPr>
    </w:p>
    <w:p w14:paraId="56228E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Automobil und Maschinenbau: Zulieferer unter Zolldruck</w:t>
      </w:r>
    </w:p>
    <w:p w14:paraId="06AFDBC5" w14:textId="77777777" w:rsidR="001F7233" w:rsidRDefault="00000000">
      <w:pPr>
        <w:spacing w:after="140"/>
      </w:pPr>
      <w:r>
        <w:t xml:space="preserve">Deutsche Automobilhersteller und -zulieferer sind in den USA breit vertreten: BMW in Spartanburg/Greer, South Carolina (rund 43.000 gesicherte Arbeitsplätze laut einer Studie), Mercedes-Benz in Tuscaloosa/Vance, Alabama (seit 1997, rund 4 Millionen gefertigte Fahrzeuge), Volkswagen in Chattanooga, Tennessee. Zulieferer konzentrieren sich auf wenige Cluster: Michigan (Bosch, ZF, Continental, Mahle und Brose rund um Detroit und Ann Arbor), die Carolinas (Schaeffler und Continental Tire in Fort Mill, BMW-Zulieferer rund um Greenville–Spartanburg) sowie Alabama und Tennessee. Maschinenbauingenieure verdienen bundesweit im Median 104.110 $. In den Autoclustern selbst zahlt die Branche kaum einen Aufschlag (Detroit 109.470 $, Charlotte 101.950 $, Greenville 101.570 $). Die höchsten Gehälter gibt es eher außer, in </w:t>
      </w:r>
      <w:r>
        <w:lastRenderedPageBreak/>
        <w:t>Denver (128.180 $), Ann Arbor (127.310 $) oder Houston (125.350 $).</w:t>
      </w:r>
    </w:p>
    <w:p w14:paraId="238EC8A5" w14:textId="77777777" w:rsidR="001F7233" w:rsidRDefault="00000000">
      <w:pPr>
        <w:spacing w:after="140"/>
      </w:pPr>
      <w:r>
        <w:t>Die Branche steht 2025/26 unter spürbarem Zolldruck: Seit April 2025 gilt ein Einfuhrzoll von 25 % auf Personenwagen, seit Mai 2025 auch auf Teile (Section 232). Für die EU wurde er im August 2025 auf 15 % gesenkt; am 1. Mai 2026 kündigte die US-Regierung an, EU-Fahrzeuge wieder mit 25 % zu belegen. Ob und wie das umgesetzt wird, war im September 2026 noch nicht abschließend geklärt. Deutsche Zulieferer bauen als Reaktion in Deutschland Stellen ab (Bosch, ZF, Schaeffler). Welche Folgen das für die US-Werke selbst hat, ist nicht sicher beziffert.</w:t>
      </w:r>
    </w:p>
    <w:p w14:paraId="37B41EA2" w14:textId="77777777" w:rsidR="001F7233" w:rsidRDefault="001F7233">
      <w:pPr>
        <w:spacing w:line="220" w:lineRule="exact"/>
      </w:pPr>
    </w:p>
    <w:p w14:paraId="14080BA4" w14:textId="77777777" w:rsidR="001F7233" w:rsidRDefault="00000000">
      <w:r>
        <w:rPr>
          <w:b/>
        </w:rPr>
        <w:t xml:space="preserve">ACHTUNG: </w:t>
      </w:r>
    </w:p>
    <w:p w14:paraId="13B33D71" w14:textId="77777777" w:rsidR="001F7233" w:rsidRDefault="00000000">
      <w:r>
        <w:t>• Wer für einen Job bei einem deutschen Automobilzulieferer in die USA zieht, erfragt die Auftragslage und Zollrisiken des konkreten Werks, nicht nur die Konzernzahlen. Stellenabbau in Deutschland ist keine verlässliche Prognose für den US-Standort, aber ein Warnsignal.</w:t>
      </w:r>
    </w:p>
    <w:p w14:paraId="5E48C7A1" w14:textId="77777777" w:rsidR="001F7233" w:rsidRDefault="001F7233">
      <w:pPr>
        <w:spacing w:line="220" w:lineRule="exact"/>
      </w:pPr>
    </w:p>
    <w:p w14:paraId="291F52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Pharma, Biotech, Medtech und Gesundheitsberufe</w:t>
      </w:r>
    </w:p>
    <w:p w14:paraId="31AA828E" w14:textId="77777777" w:rsidR="001F7233" w:rsidRDefault="00000000">
      <w:pPr>
        <w:spacing w:after="140"/>
      </w:pPr>
      <w:r>
        <w:t xml:space="preserve">Pharma- und Biotech-Unternehmen bündeln sich in wenigen Regionen: Boston/Cambridge und die San Francisco Bay Area für Forschung und Start-ups, San Diego für Biotech, der „Pharma-Gürtel“ zwischen New Jersey, New York und Philadelphia für Großkonzerne, Raleigh–Durham (Research Triangle Park) und der Großraum Washington/Maryland (Rockville, Gaithersburg) für Behörden- und Förder-Nähe. Deutsche Konzerne sind dort breit vertreten: Bayer (New Jersey, Kalifornien, North Carolina), Boehringer Ingelheim (Connecticut), Merck KGaA/EMD Serono und Fresenius (Massachusetts), Siemens Healthineers (Pennsylvania), BioNTech </w:t>
      </w:r>
      <w:r>
        <w:lastRenderedPageBreak/>
        <w:t>(Massachusetts), B. Braun (Pennsylvania). Seit Herbst 2025 gilt für Marken-Arzneimittel ein Einfuhrzoll von 100 %, gedeckelt auf 15 % für Länder mit Handelsabkommen wie die EU. Welche Folgen das für Produktionsentscheidungen in den USA hat, ist noch offen.</w:t>
      </w:r>
    </w:p>
    <w:p w14:paraId="755F62B1" w14:textId="77777777" w:rsidR="001F7233" w:rsidRDefault="00000000">
      <w:pPr>
        <w:spacing w:after="140"/>
      </w:pPr>
      <w:r>
        <w:t>Pflegefachkräfte (</w:t>
      </w:r>
      <w:r>
        <w:rPr>
          <w:i/>
          <w:iCs/>
        </w:rPr>
        <w:t>Registered Nurses</w:t>
      </w:r>
      <w:r>
        <w:t>, RN) verdienen bundesweit im Median 97.550 $, mit einem erwarteten Stellenwachstum von 6 % bis 2035. Die Spanne ist groß: Los Angeles zahlt 135.560 $, Portland 130.310 $, New York 119.720 $, Boston 106.180 $ – Huntsville dagegen nur 77.090 $ und Greenville 81.400 $. Der Weg in den Beruf führt über die Zulassung im jeweiligen Bundesstaat (</w:t>
      </w:r>
      <w:r>
        <w:rPr>
          <w:i/>
          <w:iCs/>
        </w:rPr>
        <w:t>State Board of Nursing</w:t>
      </w:r>
      <w:r>
        <w:t xml:space="preserve">), die Prüfung </w:t>
      </w:r>
      <w:r>
        <w:rPr>
          <w:i/>
          <w:iCs/>
        </w:rPr>
        <w:t>NCLEX-RN</w:t>
      </w:r>
      <w:r>
        <w:t xml:space="preserve"> und meist über ein Green-Card-Verfahren (Kapitel </w:t>
      </w:r>
      <w:hyperlink w:anchor="k6">
        <w:r w:rsidR="001F7233">
          <w:t>6</w:t>
        </w:r>
      </w:hyperlink>
      <w:r>
        <w:t xml:space="preserve">); Ärzte durchlaufen zusätzlich die Anerkennung durch ECFMG und das Auswahlverfahren </w:t>
      </w:r>
      <w:r>
        <w:rPr>
          <w:i/>
          <w:iCs/>
        </w:rPr>
        <w:t>Match</w:t>
      </w:r>
      <w:r>
        <w:t>. Große Versorgungszentren wie das Texas Medical Center in Houston, die Cleveland Clinic, Duke in Durham oder HCA in Nashville stellen regelmäßig internationales Personal ein.</w:t>
      </w:r>
    </w:p>
    <w:p w14:paraId="675A09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Finanzen, Energie und Luft-/Raumfahrt</w:t>
      </w:r>
    </w:p>
    <w:p w14:paraId="0433EDEE" w14:textId="77777777" w:rsidR="001F7233" w:rsidRDefault="00000000">
      <w:pPr>
        <w:spacing w:after="140"/>
      </w:pPr>
      <w:r>
        <w:t>Finanzberufe konzentrieren sich auf New York und Jersey City (Wall Street), Charlotte (Bank of America, Truist, Wells Fargo), Chicago (Handel und Derivate), San Francisco (Fintech und Wagniskapital), Boston (Fondsgesellschaften) und Dallas–Fort Worth. Deutsche Häuser wie die Deutsche Bank, Allianz, Munich Re und Commerzbank haben dort eigene US-Standorte. Belastbare Gehaltsdaten für Finanzberufe nach Metro liegen nicht vor.</w:t>
      </w:r>
    </w:p>
    <w:p w14:paraId="573B7044" w14:textId="77777777" w:rsidR="001F7233" w:rsidRDefault="00000000">
      <w:pPr>
        <w:spacing w:after="140"/>
      </w:pPr>
      <w:r>
        <w:t xml:space="preserve">Energie bündelt sich in Houston (Öl, Gas, Flüssigerdgas, Chemie, mit einem großen Siemens-Energy-Standort), im Großraum Dallas/Midland (Permian-Becken), in Denver (erneuerbare Energien, Netzausbau) und in Charlotte/Raleigh (Netzausbau, Kernenergie-Ingenieurwesen, ebenfalls Siemens Energy). Der Strombedarf steigt durch neue Rechenzentren spürbar; </w:t>
      </w:r>
      <w:r>
        <w:lastRenderedPageBreak/>
        <w:t>Elektroingenieure verdienen dort oft über 130.000 $ im Median (Houston 131.070 $).</w:t>
      </w:r>
    </w:p>
    <w:p w14:paraId="1E4ED25F" w14:textId="77777777" w:rsidR="001F7233" w:rsidRDefault="00000000">
      <w:pPr>
        <w:spacing w:after="140"/>
      </w:pPr>
      <w:r>
        <w:t>Luft- und Raumfahrt ist zu Hause in Seattle (Boeing), Huntsville (NASA Marshall Space Flight Center, Redstone Arsenal und das künftige Hauptquartier des U.S. Space Command, Umzug bis 2032), Houston (NASA Johnson Space Center), Los Angeles (SpaceX, Northrop Grumman), Denver/Colorado Springs (ULA, Lockheed Martin) und Dallas–Fort Worth (Lockheed Martin, Bell).</w:t>
      </w:r>
    </w:p>
    <w:p w14:paraId="50E94F0B" w14:textId="77777777" w:rsidR="001F7233" w:rsidRDefault="00000000">
      <w:r>
        <w:rPr>
          <w:b/>
        </w:rPr>
        <w:t xml:space="preserve">ACHTUNG: </w:t>
      </w:r>
    </w:p>
    <w:p w14:paraId="218A2C3E" w14:textId="77777777" w:rsidR="001F7233" w:rsidRDefault="00000000">
      <w:r>
        <w:t>• Viele Stellen in der Rüstungs- und Raumfahrtindustrie verlangen eine Security Clearance (Sicherheitsüberprüfung) und oft die US-Staatsbürgerschaft, weil sie der Exportkontrolle (ITAR/EAR) unterliegen. Für Inhaber eines Arbeitsvisums sind solche Stellen häufig von vornherein nicht zugänglich. Frage vor der Bewerbung gezielt nach, ob die Position für Ausländer offen ist.</w:t>
      </w:r>
    </w:p>
    <w:p w14:paraId="4CD018CB" w14:textId="77777777" w:rsidR="001F7233" w:rsidRDefault="001F7233">
      <w:pPr>
        <w:spacing w:line="220" w:lineRule="exact"/>
      </w:pPr>
    </w:p>
    <w:p w14:paraId="66540E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Forschung, Handwerk und Selbständigkeit</w:t>
      </w:r>
    </w:p>
    <w:p w14:paraId="41BDD7F0" w14:textId="77777777" w:rsidR="001F7233" w:rsidRDefault="00000000">
      <w:pPr>
        <w:spacing w:after="140"/>
      </w:pPr>
      <w:r>
        <w:t>Universitäten und nationale Forschungslabore ziehen sich durchs ganze Land: Boston/Cambridge (Harvard, MIT), die Bay Area (Stanford, Berkeley), Pittsburgh (Carnegie Mellon), Raleigh–Durham (Duke, UNC, NC State), Ann Arbor, Madison, Seattle, San Diego und Baltimore (Johns Hopkins), dazu nationale Labore wie Oak Ridge, Los Alamos, Argonne und Brookhaven. Hochschulen und viele gemeinnützige Forschungseinrichtungen sind beim H-1B-Visum von der jährlichen Quote befreit (</w:t>
      </w:r>
      <w:r>
        <w:rPr>
          <w:i/>
          <w:iCs/>
        </w:rPr>
        <w:t>cap-exempt</w:t>
      </w:r>
      <w:r>
        <w:t>, Kapitel </w:t>
      </w:r>
      <w:hyperlink w:anchor="k5">
        <w:r w:rsidR="001F7233">
          <w:t>5</w:t>
        </w:r>
      </w:hyperlink>
      <w:r>
        <w:t>) – ein Vorteil für den Einstieg.</w:t>
      </w:r>
    </w:p>
    <w:p w14:paraId="2B11E0F0" w14:textId="77777777" w:rsidR="001F7233" w:rsidRDefault="00000000">
      <w:pPr>
        <w:spacing w:after="140"/>
      </w:pPr>
      <w:r>
        <w:t xml:space="preserve">Handwerksberufe hängen stärker an Bundesstaat und Kommune als an der Metropolregion. Elektriker verdienen bundesweit im Median 63.190 $, mit den höchsten Werten in Portland (105.090 $), Chicago </w:t>
      </w:r>
      <w:r>
        <w:lastRenderedPageBreak/>
        <w:t>(102.350 $) und Detroit (81.990 $). Am unteren Ende liegt Raleigh mit 56.800 $. Eine deutsche Gesellen- oder Meisterprüfung wird in der Regel nicht automatisch anerkannt; du brauchst die Lizenz des jeweiligen Bundesstaats oder der Kommune, meist nach Prüfung. Ein Arbeitsvisum ist im Handwerk selten, weil H-1B einen Hochschulabschluss voraussetzt; realistischer sind Arbeitgeber-Sponsoring über die Green-Card-Kategorie EB-3 oder Selbständigkeit (Kapitel </w:t>
      </w:r>
      <w:hyperlink w:anchor="k6">
        <w:r w:rsidR="001F7233">
          <w:t>6</w:t>
        </w:r>
      </w:hyperlink>
      <w:r>
        <w:t>, Kapitel </w:t>
      </w:r>
      <w:hyperlink w:anchor="k9">
        <w:r w:rsidR="001F7233">
          <w:t>9</w:t>
        </w:r>
      </w:hyperlink>
      <w:r>
        <w:t>). Nachfrage entsteht vor allem durch Rechenzentren, neue Fabriken und den Netzausbau, unter anderem in Virginia, Texas, Georgia, Ohio und Arizona.</w:t>
      </w:r>
    </w:p>
    <w:p w14:paraId="67EF2D5A" w14:textId="77777777" w:rsidR="001F7233" w:rsidRDefault="00000000">
      <w:pPr>
        <w:spacing w:after="140"/>
      </w:pPr>
      <w:r>
        <w:t>Selbständigkeit allein verschafft kein Aufenthaltsrecht; die Wege führen über E-2 (für Deutsche offen), L-1A oder O-1 (Kapitel </w:t>
      </w:r>
      <w:hyperlink w:anchor="k9">
        <w:r w:rsidR="001F7233">
          <w:t>9</w:t>
        </w:r>
      </w:hyperlink>
      <w:r>
        <w:t>). Bei der Standortwahl zählt zusätzlich das Unternehmensrecht: Viele Gründer errichten ihre Gesellschaft (</w:t>
      </w:r>
      <w:r>
        <w:rPr>
          <w:i/>
          <w:iCs/>
        </w:rPr>
        <w:t>LLC</w:t>
      </w:r>
      <w:r>
        <w:t>) in Delaware oder Wyoming und registrieren sie ergänzend am tatsächlichen Geschäftsort (</w:t>
      </w:r>
      <w:r>
        <w:rPr>
          <w:i/>
          <w:iCs/>
        </w:rPr>
        <w:t>Foreign Qualification</w:t>
      </w:r>
      <w:r>
        <w:t>). Kalifornien erhebt unabhängig vom Gewinn eine Mindeststeuer von 800 $ im Jahr für Kapitalgesellschaften (</w:t>
      </w:r>
      <w:r>
        <w:rPr>
          <w:i/>
          <w:iCs/>
        </w:rPr>
        <w:t>Franchise Tax</w:t>
      </w:r>
      <w:r>
        <w:t>); andere Staaten staffeln sie nach Umsatz. Wer keinen festen Bürostandort braucht, wägt oft zwischen einem Staat ohne Einkommensteuer und einem starken Branchen-Ökosystem wie San Francisco, Austin oder Boston.</w:t>
      </w:r>
    </w:p>
    <w:p w14:paraId="5DABD1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Steckbriefe: 26 Metropolregionen im Überblick</w:t>
      </w:r>
    </w:p>
    <w:p w14:paraId="2392F1BB" w14:textId="77777777" w:rsidR="001F7233" w:rsidRDefault="00000000">
      <w:pPr>
        <w:spacing w:after="140"/>
      </w:pPr>
      <w:r>
        <w:t xml:space="preserve">Die folgenden Steckbriefe fassen Kaufpreis, Miete und Standortmerkmale von 26 Metropolregionen in drei geografischen Gruppen zusammen. Kaufpreise sind Mediane für bestehende Einfamilienhäuser (NAR, zweites Quartal 2026), Mieten die Stadt-Mediane für eine und zwei Zimmer (Zumper, August 2026, in Dollar pro Monat). Beide Werte schwanken je nach Quelle und ändern sich laufend, sieh sie als Orientierung. Wo keine Miete steht, lag zum </w:t>
      </w:r>
      <w:r>
        <w:lastRenderedPageBreak/>
        <w:t>Redaktionsschluss keine belastbare Stadt-Miete vor („nicht ermittelt“). Nutze Immobilienportale für aktuelle Werte.</w:t>
      </w:r>
    </w:p>
    <w:p w14:paraId="57504ECD" w14:textId="77777777" w:rsidR="001F7233" w:rsidRDefault="00000000">
      <w:pPr>
        <w:spacing w:after="140"/>
      </w:pPr>
      <w:r>
        <w:rPr>
          <w:b/>
          <w:bCs/>
        </w:rPr>
        <w:t>Westküste und Bergstaaten: hohe bis sehr hohe Kosten, Tech- und Halbleiternähe</w:t>
      </w:r>
    </w:p>
    <w:p w14:paraId="3EEBED55" w14:textId="77777777" w:rsidR="001F7233" w:rsidRDefault="00000000">
      <w:r>
        <w:rPr>
          <w:b/>
        </w:rPr>
        <w:t>San Francisco Bay/Silicon Valley</w:t>
      </w:r>
    </w:p>
    <w:p w14:paraId="7BFCAE11" w14:textId="77777777" w:rsidR="001F7233" w:rsidRDefault="00000000">
      <w:r>
        <w:rPr>
          <w:b/>
        </w:rPr>
        <w:t xml:space="preserve">Stärken/Branchen: </w:t>
      </w:r>
      <w:r>
        <w:t>Big Tech, KI, Halbleiter-Design, Biotech</w:t>
      </w:r>
    </w:p>
    <w:p w14:paraId="27AEBA5D" w14:textId="77777777" w:rsidR="001F7233" w:rsidRDefault="00000000">
      <w:r>
        <w:rPr>
          <w:b/>
        </w:rPr>
        <w:t xml:space="preserve">Kosten (Kauf / Miete 1-Zi–2-Zi): </w:t>
      </w:r>
      <w:r>
        <w:t>SF 1.500.000 $ / 4.300–6.120 $; San José 2.050.000 $ / 2.880–3.660 $</w:t>
      </w:r>
    </w:p>
    <w:p w14:paraId="753042BF" w14:textId="77777777" w:rsidR="001F7233" w:rsidRDefault="00000000">
      <w:r>
        <w:rPr>
          <w:b/>
        </w:rPr>
        <w:t xml:space="preserve">Hinweise: </w:t>
      </w:r>
      <w:r>
        <w:t>CA bis 13,3 %; Erdbeben, Waldbrandrauch; Nonstop</w:t>
      </w:r>
    </w:p>
    <w:p w14:paraId="577D85BB" w14:textId="77777777" w:rsidR="001F7233" w:rsidRDefault="00000000">
      <w:r>
        <w:rPr>
          <w:b/>
        </w:rPr>
        <w:t>Seattle</w:t>
      </w:r>
    </w:p>
    <w:p w14:paraId="058049F4" w14:textId="77777777" w:rsidR="001F7233" w:rsidRDefault="00000000">
      <w:r>
        <w:rPr>
          <w:b/>
        </w:rPr>
        <w:t xml:space="preserve">Stärken/Branchen: </w:t>
      </w:r>
      <w:r>
        <w:t>Amazon, Microsoft, Boeing, Cloud/KI</w:t>
      </w:r>
    </w:p>
    <w:p w14:paraId="25A1C226" w14:textId="77777777" w:rsidR="001F7233" w:rsidRDefault="00000000">
      <w:r>
        <w:rPr>
          <w:b/>
        </w:rPr>
        <w:t xml:space="preserve">Kosten (Kauf / Miete 1-Zi–2-Zi): </w:t>
      </w:r>
      <w:r>
        <w:t>815.000 $ / 1.930–2.720 $</w:t>
      </w:r>
    </w:p>
    <w:p w14:paraId="49A20199" w14:textId="77777777" w:rsidR="001F7233" w:rsidRDefault="00000000">
      <w:r>
        <w:rPr>
          <w:b/>
        </w:rPr>
        <w:t xml:space="preserve">Hinweise: </w:t>
      </w:r>
      <w:r>
        <w:t>WA keine Lohnsteuer; Erdbebenrisiko; Nonstop</w:t>
      </w:r>
    </w:p>
    <w:p w14:paraId="67242398" w14:textId="77777777" w:rsidR="001F7233" w:rsidRDefault="00000000">
      <w:r>
        <w:rPr>
          <w:b/>
        </w:rPr>
        <w:t>Portland/Hillsboro</w:t>
      </w:r>
    </w:p>
    <w:p w14:paraId="70767653" w14:textId="77777777" w:rsidR="001F7233" w:rsidRDefault="00000000">
      <w:r>
        <w:rPr>
          <w:b/>
        </w:rPr>
        <w:t xml:space="preserve">Stärken/Branchen: </w:t>
      </w:r>
      <w:r>
        <w:t>Intel-Forschung, Halbleiterausrüstung, adidas NA</w:t>
      </w:r>
    </w:p>
    <w:p w14:paraId="0BA654E0" w14:textId="77777777" w:rsidR="001F7233" w:rsidRDefault="00000000">
      <w:r>
        <w:rPr>
          <w:b/>
        </w:rPr>
        <w:t xml:space="preserve">Kosten (Kauf / Miete 1-Zi–2-Zi): </w:t>
      </w:r>
      <w:r>
        <w:t>611.100 $ / 1.400–1.710 $</w:t>
      </w:r>
    </w:p>
    <w:p w14:paraId="0712DFA2" w14:textId="77777777" w:rsidR="001F7233" w:rsidRDefault="00000000">
      <w:r>
        <w:rPr>
          <w:b/>
        </w:rPr>
        <w:t xml:space="preserve">Hinweise: </w:t>
      </w:r>
      <w:r>
        <w:t>OR bis 9,9 %; Waldbrandrauch; kein Nonstop ganzjährig</w:t>
      </w:r>
    </w:p>
    <w:p w14:paraId="7A19FD8D" w14:textId="77777777" w:rsidR="001F7233" w:rsidRDefault="00000000">
      <w:r>
        <w:rPr>
          <w:b/>
        </w:rPr>
        <w:t>Los Angeles/Orange County</w:t>
      </w:r>
    </w:p>
    <w:p w14:paraId="5220F0CC" w14:textId="77777777" w:rsidR="001F7233" w:rsidRDefault="00000000">
      <w:r>
        <w:rPr>
          <w:b/>
        </w:rPr>
        <w:t xml:space="preserve">Stärken/Branchen: </w:t>
      </w:r>
      <w:r>
        <w:t>Medien, Luft-/Raumfahrt, Medtech</w:t>
      </w:r>
    </w:p>
    <w:p w14:paraId="54C2B593" w14:textId="77777777" w:rsidR="001F7233" w:rsidRDefault="00000000">
      <w:r>
        <w:rPr>
          <w:b/>
        </w:rPr>
        <w:t xml:space="preserve">Kosten (Kauf / Miete 1-Zi–2-Zi): </w:t>
      </w:r>
      <w:r>
        <w:t>LA 879.900 $ / 2.170–2.960 $; OC 1.485.000 $</w:t>
      </w:r>
    </w:p>
    <w:p w14:paraId="4CBC9EB8" w14:textId="77777777" w:rsidR="001F7233" w:rsidRDefault="00000000">
      <w:r>
        <w:rPr>
          <w:b/>
        </w:rPr>
        <w:t xml:space="preserve">Hinweise: </w:t>
      </w:r>
      <w:r>
        <w:t>CA-Steuer; Waldbrand, Erdbeben, Hitze; Nonstop</w:t>
      </w:r>
    </w:p>
    <w:p w14:paraId="7B21DC45" w14:textId="77777777" w:rsidR="001F7233" w:rsidRDefault="00000000">
      <w:r>
        <w:rPr>
          <w:b/>
        </w:rPr>
        <w:t>San Diego</w:t>
      </w:r>
    </w:p>
    <w:p w14:paraId="5D0C44B1" w14:textId="77777777" w:rsidR="001F7233" w:rsidRDefault="00000000">
      <w:r>
        <w:rPr>
          <w:b/>
        </w:rPr>
        <w:t xml:space="preserve">Stärken/Branchen: </w:t>
      </w:r>
      <w:r>
        <w:t>Biotech, Verteidigung, Telekom/Chips</w:t>
      </w:r>
    </w:p>
    <w:p w14:paraId="3AB41D6E" w14:textId="77777777" w:rsidR="001F7233" w:rsidRDefault="00000000">
      <w:r>
        <w:rPr>
          <w:b/>
        </w:rPr>
        <w:t xml:space="preserve">Kosten (Kauf / Miete 1-Zi–2-Zi): </w:t>
      </w:r>
      <w:r>
        <w:t>1.075.000 $ / 2.200–3.010 $</w:t>
      </w:r>
    </w:p>
    <w:p w14:paraId="2AD9EAB7" w14:textId="77777777" w:rsidR="001F7233" w:rsidRDefault="00000000">
      <w:r>
        <w:rPr>
          <w:b/>
        </w:rPr>
        <w:t xml:space="preserve">Hinweise: </w:t>
      </w:r>
      <w:r>
        <w:t>CA-Steuer; Waldbrand; Nonstop</w:t>
      </w:r>
    </w:p>
    <w:p w14:paraId="050E3B96" w14:textId="77777777" w:rsidR="001F7233" w:rsidRDefault="00000000">
      <w:r>
        <w:rPr>
          <w:b/>
        </w:rPr>
        <w:t>Phoenix</w:t>
      </w:r>
    </w:p>
    <w:p w14:paraId="0E109973" w14:textId="77777777" w:rsidR="001F7233" w:rsidRDefault="00000000">
      <w:r>
        <w:rPr>
          <w:b/>
        </w:rPr>
        <w:t xml:space="preserve">Stärken/Branchen: </w:t>
      </w:r>
      <w:r>
        <w:t>Intel, TSMC, Amkor, Rechenzentren</w:t>
      </w:r>
    </w:p>
    <w:p w14:paraId="2DDB8DD8" w14:textId="77777777" w:rsidR="001F7233" w:rsidRDefault="00000000">
      <w:r>
        <w:rPr>
          <w:b/>
        </w:rPr>
        <w:t xml:space="preserve">Kosten (Kauf / Miete 1-Zi–2-Zi): </w:t>
      </w:r>
      <w:r>
        <w:t>477.700 $ / 1.190–1.480 $</w:t>
      </w:r>
    </w:p>
    <w:p w14:paraId="5ADD72BB" w14:textId="77777777" w:rsidR="001F7233" w:rsidRDefault="00000000">
      <w:r>
        <w:rPr>
          <w:b/>
        </w:rPr>
        <w:t xml:space="preserve">Hinweise: </w:t>
      </w:r>
      <w:r>
        <w:t>AZ 2,5 %; extreme Hitze, Wasserknappheit; kein Nonstop</w:t>
      </w:r>
    </w:p>
    <w:p w14:paraId="7C8752E9" w14:textId="77777777" w:rsidR="001F7233" w:rsidRDefault="00000000">
      <w:r>
        <w:rPr>
          <w:b/>
        </w:rPr>
        <w:t>Salt Lake City</w:t>
      </w:r>
    </w:p>
    <w:p w14:paraId="6E84B2D2" w14:textId="77777777" w:rsidR="001F7233" w:rsidRDefault="00000000">
      <w:r>
        <w:rPr>
          <w:b/>
        </w:rPr>
        <w:t xml:space="preserve">Stärken/Branchen: </w:t>
      </w:r>
      <w:r>
        <w:t>Fintech/Software, Luftfahrt, Halbleiter</w:t>
      </w:r>
    </w:p>
    <w:p w14:paraId="73CD1DFE" w14:textId="77777777" w:rsidR="001F7233" w:rsidRDefault="00000000">
      <w:r>
        <w:rPr>
          <w:b/>
        </w:rPr>
        <w:t xml:space="preserve">Kosten (Kauf / Miete 1-Zi–2-Zi): </w:t>
      </w:r>
      <w:r>
        <w:t>601.200 $ / 1.200–1.630 $</w:t>
      </w:r>
    </w:p>
    <w:p w14:paraId="1F049548" w14:textId="77777777" w:rsidR="001F7233" w:rsidRDefault="00000000">
      <w:r>
        <w:rPr>
          <w:b/>
        </w:rPr>
        <w:lastRenderedPageBreak/>
        <w:t xml:space="preserve">Hinweise: </w:t>
      </w:r>
      <w:r>
        <w:t>UT 4,5 %; Erdbebenrisiko; kein Nonstop</w:t>
      </w:r>
    </w:p>
    <w:p w14:paraId="0DDFB650" w14:textId="77777777" w:rsidR="001F7233" w:rsidRDefault="00000000">
      <w:r>
        <w:rPr>
          <w:b/>
        </w:rPr>
        <w:t>Boise</w:t>
      </w:r>
    </w:p>
    <w:p w14:paraId="5A61D5A8" w14:textId="77777777" w:rsidR="001F7233" w:rsidRDefault="00000000">
      <w:r>
        <w:rPr>
          <w:b/>
        </w:rPr>
        <w:t xml:space="preserve">Stärken/Branchen: </w:t>
      </w:r>
      <w:r>
        <w:t>Micron, HP, Software</w:t>
      </w:r>
    </w:p>
    <w:p w14:paraId="764E6984" w14:textId="77777777" w:rsidR="001F7233" w:rsidRDefault="00000000">
      <w:r>
        <w:rPr>
          <w:b/>
        </w:rPr>
        <w:t xml:space="preserve">Kosten (Kauf / Miete 1-Zi–2-Zi): </w:t>
      </w:r>
      <w:r>
        <w:t>521.600 $ / 1.450–1.640 $</w:t>
      </w:r>
    </w:p>
    <w:p w14:paraId="3932E4D7" w14:textId="77777777" w:rsidR="001F7233" w:rsidRDefault="00000000">
      <w:r>
        <w:rPr>
          <w:b/>
        </w:rPr>
        <w:t xml:space="preserve">Hinweise: </w:t>
      </w:r>
      <w:r>
        <w:t>ID 5,3 %; Waldbrand; kein Nonstop, Mieten steigend</w:t>
      </w:r>
    </w:p>
    <w:p w14:paraId="7081D78E" w14:textId="77777777" w:rsidR="001F7233" w:rsidRDefault="00000000">
      <w:r>
        <w:rPr>
          <w:b/>
        </w:rPr>
        <w:t>Denver/Boulder</w:t>
      </w:r>
    </w:p>
    <w:p w14:paraId="40375F6B" w14:textId="77777777" w:rsidR="001F7233" w:rsidRDefault="00000000">
      <w:r>
        <w:rPr>
          <w:b/>
        </w:rPr>
        <w:t xml:space="preserve">Stärken/Branchen: </w:t>
      </w:r>
      <w:r>
        <w:t>Luft-/Raumfahrt, Energie, Forschung, Software</w:t>
      </w:r>
    </w:p>
    <w:p w14:paraId="27545707" w14:textId="77777777" w:rsidR="001F7233" w:rsidRDefault="00000000">
      <w:r>
        <w:rPr>
          <w:b/>
        </w:rPr>
        <w:t xml:space="preserve">Kosten (Kauf / Miete 1-Zi–2-Zi): </w:t>
      </w:r>
      <w:r>
        <w:t>Denver 668.300 $ / 1.540–2.150 $; Boulder 841.500 $</w:t>
      </w:r>
    </w:p>
    <w:p w14:paraId="699B6222" w14:textId="77777777" w:rsidR="001F7233" w:rsidRDefault="00000000">
      <w:r>
        <w:rPr>
          <w:b/>
        </w:rPr>
        <w:t xml:space="preserve">Hinweise: </w:t>
      </w:r>
      <w:r>
        <w:t>CO 4,4 %; Hagel, Höhenlage; Nonstop</w:t>
      </w:r>
    </w:p>
    <w:p w14:paraId="0910B435" w14:textId="77777777" w:rsidR="001F7233" w:rsidRDefault="001F7233">
      <w:pPr>
        <w:spacing w:line="180" w:lineRule="exact"/>
      </w:pPr>
    </w:p>
    <w:p w14:paraId="60DE0069" w14:textId="77777777" w:rsidR="001F7233" w:rsidRDefault="00000000">
      <w:pPr>
        <w:spacing w:after="140"/>
      </w:pPr>
      <w:r>
        <w:rPr>
          <w:b/>
          <w:bCs/>
        </w:rPr>
        <w:t>Süden, Texas und Südosten: Wachstumsregion, niedrige bis mittlere Kosten</w:t>
      </w:r>
    </w:p>
    <w:p w14:paraId="3FC2ADF6" w14:textId="77777777" w:rsidR="001F7233" w:rsidRDefault="00000000">
      <w:r>
        <w:rPr>
          <w:b/>
        </w:rPr>
        <w:t>Austin</w:t>
      </w:r>
    </w:p>
    <w:p w14:paraId="2A988CD6" w14:textId="77777777" w:rsidR="001F7233" w:rsidRDefault="00000000">
      <w:r>
        <w:rPr>
          <w:b/>
        </w:rPr>
        <w:t xml:space="preserve">Stärken/Branchen: </w:t>
      </w:r>
      <w:r>
        <w:t>Tesla, Oracle, Apple, Samsung, Infineon, SAP</w:t>
      </w:r>
    </w:p>
    <w:p w14:paraId="395FB8BF" w14:textId="77777777" w:rsidR="001F7233" w:rsidRDefault="00000000">
      <w:r>
        <w:rPr>
          <w:b/>
        </w:rPr>
        <w:t xml:space="preserve">Kosten (Kauf / Miete 1-Zi–2-Zi): </w:t>
      </w:r>
      <w:r>
        <w:t>485.400 $ / 1.260–1.610 $</w:t>
      </w:r>
    </w:p>
    <w:p w14:paraId="283F4A69" w14:textId="77777777" w:rsidR="001F7233" w:rsidRDefault="00000000">
      <w:r>
        <w:rPr>
          <w:b/>
        </w:rPr>
        <w:t xml:space="preserve">Hinweise: </w:t>
      </w:r>
      <w:r>
        <w:t>TX steuerfrei; Hitze, Sturzfluten; Nonstop, Mieten fallend</w:t>
      </w:r>
    </w:p>
    <w:p w14:paraId="1F165B83" w14:textId="77777777" w:rsidR="001F7233" w:rsidRDefault="00000000">
      <w:r>
        <w:rPr>
          <w:b/>
        </w:rPr>
        <w:t>Dallas–Fort Worth</w:t>
      </w:r>
    </w:p>
    <w:p w14:paraId="37C1815D" w14:textId="77777777" w:rsidR="001F7233" w:rsidRDefault="00000000">
      <w:r>
        <w:rPr>
          <w:b/>
        </w:rPr>
        <w:t xml:space="preserve">Stärken/Branchen: </w:t>
      </w:r>
      <w:r>
        <w:t>Finanzen, Telekom, Luftfahrt</w:t>
      </w:r>
    </w:p>
    <w:p w14:paraId="158C9F49" w14:textId="77777777" w:rsidR="001F7233" w:rsidRDefault="00000000">
      <w:r>
        <w:rPr>
          <w:b/>
        </w:rPr>
        <w:t xml:space="preserve">Kosten (Kauf / Miete 1-Zi–2-Zi): </w:t>
      </w:r>
      <w:r>
        <w:t>380.100 $ / 1.270–1.810 $</w:t>
      </w:r>
    </w:p>
    <w:p w14:paraId="4EC76678" w14:textId="77777777" w:rsidR="001F7233" w:rsidRDefault="00000000">
      <w:r>
        <w:rPr>
          <w:b/>
        </w:rPr>
        <w:t xml:space="preserve">Hinweise: </w:t>
      </w:r>
      <w:r>
        <w:t>TX steuerfrei; Tornados, Eisstürme; Nonstop</w:t>
      </w:r>
    </w:p>
    <w:p w14:paraId="52B2F737" w14:textId="77777777" w:rsidR="001F7233" w:rsidRDefault="00000000">
      <w:r>
        <w:rPr>
          <w:b/>
        </w:rPr>
        <w:t>Houston</w:t>
      </w:r>
    </w:p>
    <w:p w14:paraId="36C2C8DB" w14:textId="77777777" w:rsidR="001F7233" w:rsidRDefault="00000000">
      <w:r>
        <w:rPr>
          <w:b/>
        </w:rPr>
        <w:t xml:space="preserve">Stärken/Branchen: </w:t>
      </w:r>
      <w:r>
        <w:t>Öl/Gas, LNG, NASA, Medizin, Siemens Energy</w:t>
      </w:r>
    </w:p>
    <w:p w14:paraId="69A04529" w14:textId="77777777" w:rsidR="001F7233" w:rsidRDefault="00000000">
      <w:r>
        <w:rPr>
          <w:b/>
        </w:rPr>
        <w:t xml:space="preserve">Kosten (Kauf / Miete 1-Zi–2-Zi): </w:t>
      </w:r>
      <w:r>
        <w:t>345.200 $ / 1.050–1.400 $</w:t>
      </w:r>
    </w:p>
    <w:p w14:paraId="448A1A4C" w14:textId="77777777" w:rsidR="001F7233" w:rsidRDefault="00000000">
      <w:r>
        <w:rPr>
          <w:b/>
        </w:rPr>
        <w:t xml:space="preserve">Hinweise: </w:t>
      </w:r>
      <w:r>
        <w:t>TX steuerfrei; Hurrikan, Hitze; Nonstop</w:t>
      </w:r>
    </w:p>
    <w:p w14:paraId="011FBEBD" w14:textId="77777777" w:rsidR="001F7233" w:rsidRDefault="00000000">
      <w:r>
        <w:rPr>
          <w:b/>
        </w:rPr>
        <w:t>Raleigh–Durham</w:t>
      </w:r>
    </w:p>
    <w:p w14:paraId="39E50611" w14:textId="77777777" w:rsidR="001F7233" w:rsidRDefault="00000000">
      <w:r>
        <w:rPr>
          <w:b/>
        </w:rPr>
        <w:t xml:space="preserve">Stärken/Branchen: </w:t>
      </w:r>
      <w:r>
        <w:t>Biotech/Pharma (RTP), Software, Universitäten</w:t>
      </w:r>
    </w:p>
    <w:p w14:paraId="222696DE" w14:textId="77777777" w:rsidR="001F7233" w:rsidRDefault="00000000">
      <w:r>
        <w:rPr>
          <w:b/>
        </w:rPr>
        <w:t xml:space="preserve">Kosten (Kauf / Miete 1-Zi–2-Zi): </w:t>
      </w:r>
      <w:r>
        <w:t>Raleigh 466.700 $ / 1.270–1.500 $; Durham 478.900 $</w:t>
      </w:r>
    </w:p>
    <w:p w14:paraId="3D7675AD" w14:textId="77777777" w:rsidR="001F7233" w:rsidRDefault="00000000">
      <w:r>
        <w:rPr>
          <w:b/>
        </w:rPr>
        <w:t xml:space="preserve">Hinweise: </w:t>
      </w:r>
      <w:r>
        <w:t>NC 3,99 %; Hurrikanreste; Nonstop; ≈ 24.000 Jobs bei dt. Firmen</w:t>
      </w:r>
    </w:p>
    <w:p w14:paraId="048D3C14" w14:textId="77777777" w:rsidR="001F7233" w:rsidRDefault="00000000">
      <w:r>
        <w:rPr>
          <w:b/>
        </w:rPr>
        <w:t>Charlotte</w:t>
      </w:r>
    </w:p>
    <w:p w14:paraId="394670A8" w14:textId="77777777" w:rsidR="001F7233" w:rsidRDefault="00000000">
      <w:r>
        <w:rPr>
          <w:b/>
        </w:rPr>
        <w:t xml:space="preserve">Stärken/Branchen: </w:t>
      </w:r>
      <w:r>
        <w:t>Banken, Siemens Energy, Autozulieferer (Fort Mill)</w:t>
      </w:r>
    </w:p>
    <w:p w14:paraId="5E5CA902" w14:textId="77777777" w:rsidR="001F7233" w:rsidRDefault="00000000">
      <w:r>
        <w:rPr>
          <w:b/>
        </w:rPr>
        <w:t xml:space="preserve">Kosten (Kauf / Miete 1-Zi–2-Zi): </w:t>
      </w:r>
      <w:r>
        <w:t>434.000 $ / 1.430–1.700 $</w:t>
      </w:r>
    </w:p>
    <w:p w14:paraId="23CC929C" w14:textId="77777777" w:rsidR="001F7233" w:rsidRDefault="00000000">
      <w:r>
        <w:rPr>
          <w:b/>
        </w:rPr>
        <w:lastRenderedPageBreak/>
        <w:t xml:space="preserve">Hinweise: </w:t>
      </w:r>
      <w:r>
        <w:t>NC 3,99 %; Hurrikanreste, Hitze; Nonstop</w:t>
      </w:r>
    </w:p>
    <w:p w14:paraId="7A213F30" w14:textId="77777777" w:rsidR="001F7233" w:rsidRDefault="00000000">
      <w:r>
        <w:rPr>
          <w:b/>
        </w:rPr>
        <w:t>Atlanta</w:t>
      </w:r>
    </w:p>
    <w:p w14:paraId="68821071" w14:textId="77777777" w:rsidR="001F7233" w:rsidRDefault="00000000">
      <w:r>
        <w:rPr>
          <w:b/>
        </w:rPr>
        <w:t xml:space="preserve">Stärken/Branchen: </w:t>
      </w:r>
      <w:r>
        <w:t>Logistik, Fintech, Delta, Mercedes-Benz, Porsche</w:t>
      </w:r>
    </w:p>
    <w:p w14:paraId="60BDB091" w14:textId="77777777" w:rsidR="001F7233" w:rsidRDefault="00000000">
      <w:r>
        <w:rPr>
          <w:b/>
        </w:rPr>
        <w:t xml:space="preserve">Kosten (Kauf / Miete 1-Zi–2-Zi): </w:t>
      </w:r>
      <w:r>
        <w:t>387.000 $ / 1.660–2.100 $</w:t>
      </w:r>
    </w:p>
    <w:p w14:paraId="682B8BA2" w14:textId="77777777" w:rsidR="001F7233" w:rsidRDefault="00000000">
      <w:r>
        <w:rPr>
          <w:b/>
        </w:rPr>
        <w:t xml:space="preserve">Hinweise: </w:t>
      </w:r>
      <w:r>
        <w:t>GA 5,19 % (auch: 4,99 %); Unwetter, Hitze; Nonstop</w:t>
      </w:r>
    </w:p>
    <w:p w14:paraId="6998A156" w14:textId="77777777" w:rsidR="001F7233" w:rsidRDefault="00000000">
      <w:r>
        <w:rPr>
          <w:b/>
        </w:rPr>
        <w:t>Nashville</w:t>
      </w:r>
    </w:p>
    <w:p w14:paraId="1F725821" w14:textId="77777777" w:rsidR="001F7233" w:rsidRDefault="00000000">
      <w:r>
        <w:rPr>
          <w:b/>
        </w:rPr>
        <w:t xml:space="preserve">Stärken/Branchen: </w:t>
      </w:r>
      <w:r>
        <w:t>Gesundheits</w:t>
      </w:r>
      <w:r>
        <w:t>wirtschaft, Nissan NA, Oracle</w:t>
      </w:r>
    </w:p>
    <w:p w14:paraId="00ABB572" w14:textId="77777777" w:rsidR="001F7233" w:rsidRDefault="00000000">
      <w:r>
        <w:rPr>
          <w:b/>
        </w:rPr>
        <w:t xml:space="preserve">Kosten (Kauf / Miete 1-Zi–2-Zi): </w:t>
      </w:r>
      <w:r>
        <w:t>420.900 $ / 1.520–1.780 $</w:t>
      </w:r>
    </w:p>
    <w:p w14:paraId="565C8684" w14:textId="77777777" w:rsidR="001F7233" w:rsidRDefault="00000000">
      <w:r>
        <w:rPr>
          <w:b/>
        </w:rPr>
        <w:t xml:space="preserve">Hinweise: </w:t>
      </w:r>
      <w:r>
        <w:t>TN steuerfrei; Tornados; kein Nonstop; VW Chattanooga ≈ 2 Std.</w:t>
      </w:r>
    </w:p>
    <w:p w14:paraId="36A16752" w14:textId="77777777" w:rsidR="001F7233" w:rsidRDefault="00000000">
      <w:r>
        <w:rPr>
          <w:b/>
        </w:rPr>
        <w:t>Greenville–Spartanburg</w:t>
      </w:r>
    </w:p>
    <w:p w14:paraId="69059345" w14:textId="77777777" w:rsidR="001F7233" w:rsidRDefault="00000000">
      <w:r>
        <w:rPr>
          <w:b/>
        </w:rPr>
        <w:t xml:space="preserve">Stärken/Branchen: </w:t>
      </w:r>
      <w:r>
        <w:t>BMW, Bosch, ZF, Dräxlmaier</w:t>
      </w:r>
    </w:p>
    <w:p w14:paraId="15EFC025" w14:textId="77777777" w:rsidR="001F7233" w:rsidRDefault="00000000">
      <w:r>
        <w:rPr>
          <w:b/>
        </w:rPr>
        <w:t xml:space="preserve">Kosten (Kauf / Miete 1-Zi–2-Zi): </w:t>
      </w:r>
      <w:r>
        <w:t>Greenville 354.400 $; Spartanburg 303.100 $</w:t>
      </w:r>
    </w:p>
    <w:p w14:paraId="29AB0B82" w14:textId="77777777" w:rsidR="001F7233" w:rsidRDefault="00000000">
      <w:r>
        <w:rPr>
          <w:b/>
        </w:rPr>
        <w:t xml:space="preserve">Hinweise: </w:t>
      </w:r>
      <w:r>
        <w:t>SC bis 6,0 %; Hurrikanreste; kein Nonstop, Charlotte ≈ 1,5–2 Std.</w:t>
      </w:r>
    </w:p>
    <w:p w14:paraId="21E53951" w14:textId="77777777" w:rsidR="001F7233" w:rsidRDefault="00000000">
      <w:r>
        <w:rPr>
          <w:b/>
        </w:rPr>
        <w:t>Huntsville</w:t>
      </w:r>
    </w:p>
    <w:p w14:paraId="71D4B004" w14:textId="77777777" w:rsidR="001F7233" w:rsidRDefault="00000000">
      <w:r>
        <w:rPr>
          <w:b/>
        </w:rPr>
        <w:t xml:space="preserve">Stärken/Branchen: </w:t>
      </w:r>
      <w:r>
        <w:t>NASA, Redstone Arsenal, Space Command (ab 2032)</w:t>
      </w:r>
    </w:p>
    <w:p w14:paraId="07717042" w14:textId="77777777" w:rsidR="001F7233" w:rsidRDefault="00000000">
      <w:r>
        <w:rPr>
          <w:b/>
        </w:rPr>
        <w:t xml:space="preserve">Kosten (Kauf / Miete 1-Zi–2-Zi): </w:t>
      </w:r>
      <w:r>
        <w:t>332.400 $</w:t>
      </w:r>
    </w:p>
    <w:p w14:paraId="25EC4F8C" w14:textId="77777777" w:rsidR="001F7233" w:rsidRDefault="00000000">
      <w:r>
        <w:rPr>
          <w:b/>
        </w:rPr>
        <w:t xml:space="preserve">Hinweise: </w:t>
      </w:r>
      <w:r>
        <w:t>AL 2–5 %; Tornados; kein Nonstop, oft Sicherheitsüberprüfung</w:t>
      </w:r>
    </w:p>
    <w:p w14:paraId="75B470D8" w14:textId="77777777" w:rsidR="001F7233" w:rsidRDefault="001F7233">
      <w:pPr>
        <w:spacing w:line="180" w:lineRule="exact"/>
      </w:pPr>
    </w:p>
    <w:p w14:paraId="2659F725" w14:textId="77777777" w:rsidR="001F7233" w:rsidRDefault="00000000">
      <w:pPr>
        <w:spacing w:after="140"/>
      </w:pPr>
      <w:r>
        <w:rPr>
          <w:b/>
          <w:bCs/>
        </w:rPr>
        <w:t>Mittlerer Westen und Nordosten: Industrie, Finanzen, Forschung</w:t>
      </w:r>
    </w:p>
    <w:p w14:paraId="646B16D6" w14:textId="77777777" w:rsidR="001F7233" w:rsidRDefault="00000000">
      <w:r>
        <w:rPr>
          <w:b/>
        </w:rPr>
        <w:t>Minneapolis–St. Paul</w:t>
      </w:r>
    </w:p>
    <w:p w14:paraId="7B580C1F" w14:textId="77777777" w:rsidR="001F7233" w:rsidRDefault="00000000">
      <w:r>
        <w:rPr>
          <w:b/>
        </w:rPr>
        <w:t xml:space="preserve">Stärken/Branchen: </w:t>
      </w:r>
      <w:r>
        <w:t>Medtronic, Target, Finanzen, deutsche Grundschule</w:t>
      </w:r>
    </w:p>
    <w:p w14:paraId="7BD5EF2E" w14:textId="77777777" w:rsidR="001F7233" w:rsidRDefault="00000000">
      <w:r>
        <w:rPr>
          <w:b/>
        </w:rPr>
        <w:t xml:space="preserve">Kosten (Kauf / Miete 1-Zi–2-Zi): </w:t>
      </w:r>
      <w:r>
        <w:t>414.300 $ / 1.280–1.750 $</w:t>
      </w:r>
    </w:p>
    <w:p w14:paraId="5945A388" w14:textId="77777777" w:rsidR="001F7233" w:rsidRDefault="00000000">
      <w:r>
        <w:rPr>
          <w:b/>
        </w:rPr>
        <w:t xml:space="preserve">Hinweise: </w:t>
      </w:r>
      <w:r>
        <w:t>MN bis 9,85 %; Extremkälte; kein Nonstop ganzjährig</w:t>
      </w:r>
    </w:p>
    <w:p w14:paraId="5F9F80EE" w14:textId="77777777" w:rsidR="001F7233" w:rsidRDefault="00000000">
      <w:r>
        <w:rPr>
          <w:b/>
        </w:rPr>
        <w:t>Chicago</w:t>
      </w:r>
    </w:p>
    <w:p w14:paraId="05221337" w14:textId="77777777" w:rsidR="001F7233" w:rsidRDefault="00000000">
      <w:r>
        <w:rPr>
          <w:b/>
        </w:rPr>
        <w:t xml:space="preserve">Stärken/Branchen: </w:t>
      </w:r>
      <w:r>
        <w:t>Finanzen, Logistik, Pharma, Industrie</w:t>
      </w:r>
    </w:p>
    <w:p w14:paraId="0747D5EA" w14:textId="77777777" w:rsidR="001F7233" w:rsidRDefault="00000000">
      <w:r>
        <w:rPr>
          <w:b/>
        </w:rPr>
        <w:t xml:space="preserve">Kosten (Kauf / Miete 1-Zi–2-Zi): </w:t>
      </w:r>
      <w:r>
        <w:t>438.600 $ / 2.190–2.500 $</w:t>
      </w:r>
    </w:p>
    <w:p w14:paraId="69E61692" w14:textId="77777777" w:rsidR="001F7233" w:rsidRDefault="00000000">
      <w:r>
        <w:rPr>
          <w:b/>
        </w:rPr>
        <w:t xml:space="preserve">Hinweise: </w:t>
      </w:r>
      <w:r>
        <w:t>IL 4,95 %; Kälte, Hochwasser; Nonstop</w:t>
      </w:r>
    </w:p>
    <w:p w14:paraId="3AFCD175" w14:textId="77777777" w:rsidR="001F7233" w:rsidRDefault="00000000">
      <w:r>
        <w:rPr>
          <w:b/>
        </w:rPr>
        <w:lastRenderedPageBreak/>
        <w:t>Detroit/Ann Arbor</w:t>
      </w:r>
    </w:p>
    <w:p w14:paraId="0FFC36FF" w14:textId="77777777" w:rsidR="001F7233" w:rsidRDefault="00000000">
      <w:r>
        <w:rPr>
          <w:b/>
        </w:rPr>
        <w:t xml:space="preserve">Stärken/Branchen: </w:t>
      </w:r>
      <w:r>
        <w:t>Autoindustrie/Zulieferer, Universität Michigan</w:t>
      </w:r>
    </w:p>
    <w:p w14:paraId="59D67EAC" w14:textId="77777777" w:rsidR="001F7233" w:rsidRDefault="00000000">
      <w:r>
        <w:rPr>
          <w:b/>
        </w:rPr>
        <w:t xml:space="preserve">Kosten (Kauf / Miete 1-Zi–2-Zi): </w:t>
      </w:r>
      <w:r>
        <w:t>Detroit 311.800 $ / 940–1.100 $; Ann Arbor 512.100 $</w:t>
      </w:r>
    </w:p>
    <w:p w14:paraId="14C66281" w14:textId="77777777" w:rsidR="001F7233" w:rsidRDefault="00000000">
      <w:r>
        <w:rPr>
          <w:b/>
        </w:rPr>
        <w:t xml:space="preserve">Hinweise: </w:t>
      </w:r>
      <w:r>
        <w:t>MI 4,25 % + Stadtsteuer; Winter; Nonstop</w:t>
      </w:r>
    </w:p>
    <w:p w14:paraId="19BDB66C" w14:textId="77777777" w:rsidR="001F7233" w:rsidRDefault="00000000">
      <w:r>
        <w:rPr>
          <w:b/>
        </w:rPr>
        <w:t>Columbus (Ohio)</w:t>
      </w:r>
    </w:p>
    <w:p w14:paraId="1E0C129F" w14:textId="77777777" w:rsidR="001F7233" w:rsidRDefault="00000000">
      <w:r>
        <w:rPr>
          <w:b/>
        </w:rPr>
        <w:t xml:space="preserve">Stärken/Branchen: </w:t>
      </w:r>
      <w:r>
        <w:t>Versicherungen/Banken, künftig Intel (ab 2030)</w:t>
      </w:r>
    </w:p>
    <w:p w14:paraId="503318E1" w14:textId="77777777" w:rsidR="001F7233" w:rsidRDefault="00000000">
      <w:r>
        <w:rPr>
          <w:b/>
        </w:rPr>
        <w:t xml:space="preserve">Kosten (Kauf / Miete 1-Zi–2-Zi): </w:t>
      </w:r>
      <w:r>
        <w:t>363.100 $ / 1.190–1.380 $</w:t>
      </w:r>
    </w:p>
    <w:p w14:paraId="534E55A4" w14:textId="77777777" w:rsidR="001F7233" w:rsidRDefault="00000000">
      <w:r>
        <w:rPr>
          <w:b/>
        </w:rPr>
        <w:t xml:space="preserve">Hinweise: </w:t>
      </w:r>
      <w:r>
        <w:t>OH 2,75 % + Kommunalsteuer; kein Nonstop</w:t>
      </w:r>
    </w:p>
    <w:p w14:paraId="7F384F9D" w14:textId="77777777" w:rsidR="001F7233" w:rsidRDefault="00000000">
      <w:r>
        <w:rPr>
          <w:b/>
        </w:rPr>
        <w:t>Boston/Cambridge</w:t>
      </w:r>
    </w:p>
    <w:p w14:paraId="2E532E7A" w14:textId="77777777" w:rsidR="001F7233" w:rsidRDefault="00000000">
      <w:r>
        <w:rPr>
          <w:b/>
        </w:rPr>
        <w:t xml:space="preserve">Stärken/Branchen: </w:t>
      </w:r>
      <w:r>
        <w:t>Biotech/Pharma, Harvard/MIT, Finanzen</w:t>
      </w:r>
    </w:p>
    <w:p w14:paraId="482ABC49" w14:textId="77777777" w:rsidR="001F7233" w:rsidRDefault="00000000">
      <w:r>
        <w:rPr>
          <w:b/>
        </w:rPr>
        <w:t xml:space="preserve">Kosten (Kauf / Miete 1-Zi–2-Zi): </w:t>
      </w:r>
      <w:r>
        <w:t>844.600 $ / 2.960–3.550 $</w:t>
      </w:r>
    </w:p>
    <w:p w14:paraId="2A861EAD" w14:textId="77777777" w:rsidR="001F7233" w:rsidRDefault="00000000">
      <w:r>
        <w:rPr>
          <w:b/>
        </w:rPr>
        <w:t xml:space="preserve">Hinweise: </w:t>
      </w:r>
      <w:r>
        <w:t>MA 5–9 %; Nor’easter, Winter; Nonstop; DIA-Schule</w:t>
      </w:r>
    </w:p>
    <w:p w14:paraId="7653AABC" w14:textId="77777777" w:rsidR="001F7233" w:rsidRDefault="00000000">
      <w:r>
        <w:rPr>
          <w:b/>
        </w:rPr>
        <w:t>New York/New Jersey</w:t>
      </w:r>
    </w:p>
    <w:p w14:paraId="02C9F0FA" w14:textId="77777777" w:rsidR="001F7233" w:rsidRDefault="00000000">
      <w:r>
        <w:rPr>
          <w:b/>
        </w:rPr>
        <w:t xml:space="preserve">Stärken/Branchen: </w:t>
      </w:r>
      <w:r>
        <w:t>Finanzen, Medien, Pharma, Tech</w:t>
      </w:r>
    </w:p>
    <w:p w14:paraId="182E51E8" w14:textId="77777777" w:rsidR="001F7233" w:rsidRDefault="00000000">
      <w:r>
        <w:rPr>
          <w:b/>
        </w:rPr>
        <w:t xml:space="preserve">Kosten (Kauf / Miete 1-Zi–2-Zi): </w:t>
      </w:r>
      <w:r>
        <w:t>802.400 $; NYC 4.500–5.410 $; Jersey City 2.830–3.100 $</w:t>
      </w:r>
    </w:p>
    <w:p w14:paraId="4408F5C5" w14:textId="77777777" w:rsidR="001F7233" w:rsidRDefault="00000000">
      <w:r>
        <w:rPr>
          <w:b/>
        </w:rPr>
        <w:t xml:space="preserve">Hinweise: </w:t>
      </w:r>
      <w:r>
        <w:t>NY bis 10,9 %; Hurrikan/Küstenflut; Nonstop; DIA-Schule</w:t>
      </w:r>
    </w:p>
    <w:p w14:paraId="26C951CC" w14:textId="77777777" w:rsidR="001F7233" w:rsidRDefault="00000000">
      <w:r>
        <w:rPr>
          <w:b/>
        </w:rPr>
        <w:t>Washington DC/Nord-Virginia</w:t>
      </w:r>
    </w:p>
    <w:p w14:paraId="1453C0AD" w14:textId="77777777" w:rsidR="001F7233" w:rsidRDefault="00000000">
      <w:r>
        <w:rPr>
          <w:b/>
        </w:rPr>
        <w:t xml:space="preserve">Stärken/Branchen: </w:t>
      </w:r>
      <w:r>
        <w:t>Bundesbehörden, Rüstung, Rechenzentren</w:t>
      </w:r>
    </w:p>
    <w:p w14:paraId="6C135DD9" w14:textId="77777777" w:rsidR="001F7233" w:rsidRDefault="00000000">
      <w:r>
        <w:rPr>
          <w:b/>
        </w:rPr>
        <w:t xml:space="preserve">Kosten (Kauf / Miete 1-Zi–2-Zi): </w:t>
      </w:r>
      <w:r>
        <w:t>688.200 $ / 2.220–3.000 $</w:t>
      </w:r>
    </w:p>
    <w:p w14:paraId="3E044618" w14:textId="77777777" w:rsidR="001F7233" w:rsidRDefault="00000000">
      <w:r>
        <w:rPr>
          <w:b/>
        </w:rPr>
        <w:t xml:space="preserve">Hinweise: </w:t>
      </w:r>
      <w:r>
        <w:t>DC/VA/MD-Steuer unterschiedlich; Nonstop; DIA-Schule</w:t>
      </w:r>
    </w:p>
    <w:p w14:paraId="4501CEBA" w14:textId="77777777" w:rsidR="001F7233" w:rsidRDefault="00000000">
      <w:r>
        <w:rPr>
          <w:b/>
        </w:rPr>
        <w:t>Upstate New York (Syracuse, Albany)</w:t>
      </w:r>
    </w:p>
    <w:p w14:paraId="71647E66" w14:textId="77777777" w:rsidR="001F7233" w:rsidRDefault="00000000">
      <w:r>
        <w:rPr>
          <w:b/>
        </w:rPr>
        <w:t xml:space="preserve">Stärken/Branchen: </w:t>
      </w:r>
      <w:r>
        <w:t>Halbleiter (GlobalFoundries, Micron im Bau)</w:t>
      </w:r>
    </w:p>
    <w:p w14:paraId="3751FE2D" w14:textId="77777777" w:rsidR="001F7233" w:rsidRDefault="00000000">
      <w:r>
        <w:rPr>
          <w:b/>
        </w:rPr>
        <w:t xml:space="preserve">Kosten (Kauf / Miete 1-Zi–2-Zi): </w:t>
      </w:r>
      <w:r>
        <w:t>Syracuse 274.100 $ / 1.360–1.550 $; Albany 350.200 $</w:t>
      </w:r>
    </w:p>
    <w:p w14:paraId="5F90C635" w14:textId="77777777" w:rsidR="001F7233" w:rsidRDefault="00000000">
      <w:r>
        <w:rPr>
          <w:b/>
        </w:rPr>
        <w:t xml:space="preserve">Hinweise: </w:t>
      </w:r>
      <w:r>
        <w:t>NY-Steuer, keine Lokalsteuer außerhalb NYC; kein Nonstop</w:t>
      </w:r>
    </w:p>
    <w:p w14:paraId="5010D27E" w14:textId="77777777" w:rsidR="001F7233" w:rsidRDefault="001F7233">
      <w:pPr>
        <w:spacing w:line="180" w:lineRule="exact"/>
      </w:pPr>
    </w:p>
    <w:p w14:paraId="3068138D" w14:textId="77777777" w:rsidR="001F7233" w:rsidRDefault="00000000">
      <w:pPr>
        <w:spacing w:after="140"/>
      </w:pPr>
      <w:r>
        <w:t>Weitere Nonstop-Ziele ohne eigenen Steckbrief: Miami, Orlando, Tampa, Las Vegas, Philadelphia, St. Louis.</w:t>
      </w:r>
    </w:p>
    <w:p w14:paraId="23C2D1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Bundesstaaten ohne Einkommensteuer</w:t>
      </w:r>
    </w:p>
    <w:p w14:paraId="03F1CDD0" w14:textId="77777777" w:rsidR="001F7233" w:rsidRDefault="00000000">
      <w:pPr>
        <w:spacing w:after="140"/>
      </w:pPr>
      <w:r>
        <w:t>Neun Bundesstaaten erheben keine allgemeine Einkommensteuer auf Lohneinkommen: Alaska, Florida, Nevada, New Hampshire, South Dakota, Tennessee, Texas, Washington und Wyoming. Washington besteuert bestimmte hohe langfristige Kapitalgewinne separat. Eine 2026 beschlossene zusätzliche Einkommensteuer des Bundesstaats ist für 2028 vorgesehen; ihre Umsetzung ist Gegenstand von Rechtsstreitigkeiten. Fehlende Einkommensteuer bedeutet nicht automatisch niedrige Gesamtkosten: Texas und Florida gleichen mit höherer Grundsteuer und Versicherung aus (Kapitel </w:t>
      </w:r>
      <w:hyperlink w:anchor="k14">
        <w:r w:rsidR="001F7233">
          <w:t>14</w:t>
        </w:r>
      </w:hyperlink>
      <w:r>
        <w:t>), und Kalifornien bleibt mit bis zu 13,3 % Spitzensteuersatz trotzdem der teuerste Softwaremarkt des Landes.</w:t>
      </w:r>
    </w:p>
    <w:p w14:paraId="6E7145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Politik und Recht als Standortfaktor</w:t>
      </w:r>
    </w:p>
    <w:p w14:paraId="0A7F8983" w14:textId="77777777" w:rsidR="001F7233" w:rsidRDefault="00000000">
      <w:pPr>
        <w:spacing w:after="140"/>
      </w:pPr>
      <w:r>
        <w:t>Neben Steuern unterscheiden sich Bundesstaaten in Regeln, die deinen Alltag und deine Karriere direkt betreffen – hier rein sachlich, ohne Wertung.</w:t>
      </w:r>
    </w:p>
    <w:p w14:paraId="59CB1006" w14:textId="77777777" w:rsidR="001F7233" w:rsidRDefault="00000000">
      <w:pPr>
        <w:spacing w:after="140"/>
      </w:pPr>
      <w:r>
        <w:t>Wettbewerbsverbote sind in Kalifornien, Minnesota, North Dakota und Oklahoma weitgehend unwirksam, in Wyoming seit Juli 2025 nur noch mit engen Ausnahmen. Eine geplante bundesweite Verbotsregel der Handelsaufsicht FTC wurde im Februar 2026 wieder gestrichen; die Behörde prüft seitdem Einzelfälle. In den meisten anderen Staaten bindet dich eine Klausel im Arbeitsvertrag auch nach der Kündigung (Kapitel </w:t>
      </w:r>
      <w:hyperlink w:anchor="k29">
        <w:r w:rsidR="001F7233">
          <w:t>29</w:t>
        </w:r>
      </w:hyperlink>
      <w:r>
        <w:t>).</w:t>
      </w:r>
    </w:p>
    <w:p w14:paraId="5E32A12D" w14:textId="77777777" w:rsidR="001F7233" w:rsidRDefault="00000000">
      <w:pPr>
        <w:spacing w:after="140"/>
      </w:pPr>
      <w:r>
        <w:rPr>
          <w:i/>
          <w:iCs/>
        </w:rPr>
        <w:t xml:space="preserve">Waffenrecht ist Ländersache. 29 Staaten erlauben das Führen einer Waffe ohne gesonderten Schein (Permitless Carry, Stand Februar 2025), darunter Texas, Georgia und Arizona. Andere wie Kalifornien, New York, New Jersey, Massachusetts und Illinois verlangen eine </w:t>
      </w:r>
      <w:r>
        <w:rPr>
          <w:i/>
          <w:iCs/>
        </w:rPr>
        <w:lastRenderedPageBreak/>
        <w:t>Genehmigung, kennen Wartefristen oder beschränken Magazine und bestimmte Waffentypen.</w:t>
      </w:r>
    </w:p>
    <w:p w14:paraId="575E23DF" w14:textId="77777777" w:rsidR="001F7233" w:rsidRDefault="00000000">
      <w:pPr>
        <w:spacing w:after="140"/>
      </w:pPr>
      <w:r>
        <w:t>Cannabis ist in 24 Bundesstaaten und dem Distrikt Washington für Erwachsene legal (Datenstand September 2026; geprüft im Oktober 2026); bundesrechtlich bleibt der Freizeitkonsum illegal (Schedule I), auch wenn seit dem 22. April 2026 staatlich lizenzierte medizinische Produkte in die mildere Kategorie Schedule III eingestuft sind. Für Inhaber eines Visums ist das mehr als eine Formalie: Konsum oder Handel kann bei Einreise, Statuswechsel oder Einbürgerung als Frage des guten Leumunds gewertet werden (</w:t>
      </w:r>
      <w:hyperlink w:anchor="k6">
        <w:r w:rsidR="001F7233">
          <w:t>Kapitel 6</w:t>
        </w:r>
      </w:hyperlink>
      <w:r>
        <w:t xml:space="preserve">, </w:t>
      </w:r>
      <w:hyperlink w:anchor="k41">
        <w:r w:rsidR="001F7233">
          <w:t>Kapitel 41</w:t>
        </w:r>
      </w:hyperlink>
      <w:r>
        <w:t>) – unabhängig vom Landesrecht am Wohnort.</w:t>
      </w:r>
    </w:p>
    <w:p w14:paraId="51930AC3" w14:textId="77777777" w:rsidR="001F7233" w:rsidRDefault="00000000">
      <w:pPr>
        <w:spacing w:after="140"/>
      </w:pPr>
      <w:r>
        <w:rPr>
          <w:i/>
          <w:iCs/>
        </w:rPr>
        <w:t>Bezahlten Familienurlaub kennen 2026 zwölf Bundesstaaten und der Hauptstadtdistrikt Washington DC, darunter Kalifornien, Colorado, New York und der Bundesstaat Washington; Maryland und Virginia folgen erst 2028. Alle übrigen Staaten kennen nur den unbezahlten, bundesweiten Anspruch nach dem Family and Medical Leave Act. Prüfe die Regeln deines Zielstaats bei Familienplanung.</w:t>
      </w:r>
    </w:p>
    <w:p w14:paraId="1110B222" w14:textId="77777777" w:rsidR="001F7233" w:rsidRDefault="00000000">
      <w:r>
        <w:t>Ein Stadion oder eine Arena in der Nähe ist kein automatischer Ausschlussgrund. Es kann Wege zu Sport, Konzerten und Arbeit verkürzen. An Veranstaltungstagen kommen aber Verkehr, Lärm, Scheinwerfer, Parkplatzsuche und zeitweise Straßensperren hinzu. Besuche die konkrete Adresse an einem Spiel- oder Konzertabend, prüfe den Veranstaltungskalender und frage Nachbarn, Vermieter oder Hausverwaltung nach An- und Abreise, Nachtruhe und Zufahrten. Wenn dich große Menschenmengen beunruhigen, musst du die Arena nicht nutzen: Wichtig ist, ob die Wege zu Hause und zum öffentlichen Verkehr für dich funktionieren und ob du die Ein- und Auslassbereiche problemlos umgehen kannst.</w:t>
      </w:r>
    </w:p>
    <w:p w14:paraId="488E8D48" w14:textId="77777777" w:rsidR="001F7233" w:rsidRDefault="00000000">
      <w:pPr>
        <w:pStyle w:val="Heading3"/>
      </w:pPr>
      <w:r>
        <w:t>Stadionnähe: Spieltage selbst testen</w:t>
      </w:r>
    </w:p>
    <w:p w14:paraId="1FCECF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Wo leben? Die besten Orte nach Berufsfeld</w:t>
      </w:r>
    </w:p>
    <w:p w14:paraId="5BF00C1A" w14:textId="77777777" w:rsidR="001F7233" w:rsidRDefault="00000000">
      <w:r>
        <w:rPr>
          <w:b/>
        </w:rPr>
        <w:t>Plus: Neun Bundesstaaten ohne Einkommensteuer auf Löhne senken die Steuerlast spürbar</w:t>
      </w:r>
    </w:p>
    <w:p w14:paraId="230D3835" w14:textId="77777777" w:rsidR="001F7233" w:rsidRDefault="00000000">
      <w:r>
        <w:rPr>
          <w:b/>
        </w:rPr>
        <w:t xml:space="preserve">Minus: </w:t>
      </w:r>
      <w:r>
        <w:t>Niedrige Steuer bedeutet oft höhere Grundsteuer oder Versicherung</w:t>
      </w:r>
    </w:p>
    <w:p w14:paraId="4D321F45" w14:textId="77777777" w:rsidR="001F7233" w:rsidRDefault="00000000">
      <w:r>
        <w:rPr>
          <w:b/>
        </w:rPr>
        <w:t>Plus: Süden und Texas wachsen, mehr Jobs und neue Wohnungen</w:t>
      </w:r>
    </w:p>
    <w:p w14:paraId="16E687FD" w14:textId="77777777" w:rsidR="001F7233" w:rsidRDefault="00000000">
      <w:r>
        <w:rPr>
          <w:b/>
        </w:rPr>
        <w:t xml:space="preserve">Minus: </w:t>
      </w:r>
      <w:r>
        <w:t>Wachstumsregionen bauen Infrastruktur oft langsamer nach als Bevölkerung</w:t>
      </w:r>
    </w:p>
    <w:p w14:paraId="24FBBA4C" w14:textId="77777777" w:rsidR="001F7233" w:rsidRDefault="00000000">
      <w:r>
        <w:rPr>
          <w:b/>
        </w:rPr>
        <w:t>Plus: Halbleiter- und Energieprojekte schaffen neue, gut bezahlte Stellen</w:t>
      </w:r>
    </w:p>
    <w:p w14:paraId="6826B0BA" w14:textId="77777777" w:rsidR="001F7233" w:rsidRDefault="00000000">
      <w:r>
        <w:rPr>
          <w:b/>
        </w:rPr>
        <w:t xml:space="preserve">Minus: </w:t>
      </w:r>
      <w:r>
        <w:t>Viele Projekte, etwa in Ohio, liegen noch Jahre in der Zukunft</w:t>
      </w:r>
    </w:p>
    <w:p w14:paraId="2F56B579" w14:textId="77777777" w:rsidR="001F7233" w:rsidRDefault="00000000">
      <w:r>
        <w:rPr>
          <w:b/>
        </w:rPr>
        <w:t>Plus: Große Metropolregionen bieten Direktflüge und deutsche Community</w:t>
      </w:r>
    </w:p>
    <w:p w14:paraId="2C7CBDFF" w14:textId="77777777" w:rsidR="001F7233" w:rsidRDefault="00000000">
      <w:r>
        <w:rPr>
          <w:b/>
        </w:rPr>
        <w:t xml:space="preserve">Minus: </w:t>
      </w:r>
      <w:r>
        <w:t>Genau diese Regionen sind meist am teuersten</w:t>
      </w:r>
    </w:p>
    <w:p w14:paraId="4891ADB6" w14:textId="77777777" w:rsidR="001F7233" w:rsidRDefault="00000000">
      <w:r>
        <w:rPr>
          <w:b/>
        </w:rPr>
        <w:t>Plus: Kleinere Städte bieten deutlich günstigeren Wohnraum</w:t>
      </w:r>
    </w:p>
    <w:p w14:paraId="17C2034D" w14:textId="77777777" w:rsidR="001F7233" w:rsidRDefault="00000000">
      <w:r>
        <w:rPr>
          <w:b/>
        </w:rPr>
        <w:t xml:space="preserve">Minus: </w:t>
      </w:r>
      <w:r>
        <w:t>Niedrigere Gehälter, seltener Direktflug, kleinere deutsche Community</w:t>
      </w:r>
    </w:p>
    <w:p w14:paraId="09054ED5" w14:textId="77777777" w:rsidR="001F7233" w:rsidRDefault="00000000">
      <w:r>
        <w:rPr>
          <w:b/>
        </w:rPr>
        <w:t>Plus: Der erste Job bringt oft einen konkreten, planbaren Ort</w:t>
      </w:r>
    </w:p>
    <w:p w14:paraId="2BADFB26" w14:textId="77777777" w:rsidR="001F7233" w:rsidRDefault="00000000">
      <w:r>
        <w:rPr>
          <w:b/>
        </w:rPr>
        <w:t xml:space="preserve">Minus: </w:t>
      </w:r>
      <w:r>
        <w:t>Wenig Mitsprache bei der Wahl, solange das Visum an den Arbeitgeber bindet</w:t>
      </w:r>
    </w:p>
    <w:p w14:paraId="4C88BC5E" w14:textId="77777777" w:rsidR="001F7233" w:rsidRDefault="001F7233">
      <w:pPr>
        <w:spacing w:line="180" w:lineRule="exact"/>
      </w:pPr>
    </w:p>
    <w:p w14:paraId="34AF3A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erste Schritt: ein Jahr mieten, dann entscheiden</w:t>
      </w:r>
    </w:p>
    <w:p w14:paraId="41696CE9" w14:textId="77777777" w:rsidR="001F7233" w:rsidRDefault="001F7233">
      <w:pPr>
        <w:spacing w:after="140"/>
      </w:pPr>
      <w:hyperlink w:anchor="k14">
        <w:r>
          <w:t>Im ersten Jahr nicht kaufen</w:t>
        </w:r>
      </w:hyperlink>
      <w:r>
        <w:t xml:space="preserve">: FHA-Kredite stehen Nicht-Daueraufenthaltsberechtigten seit 25. Mai 2025 nach HUD Mortgagee Letter 2025-09 nicht offen; rechtmäßige Daueraufenthaltsberechtigte können weiterhin antragsberechtigt </w:t>
      </w:r>
      <w:r>
        <w:lastRenderedPageBreak/>
        <w:t>sein. Reguläre Kreditangebote hängen von Kredithistorie, Anzahlung und Kreditgeberregeln ab.</w:t>
      </w:r>
    </w:p>
    <w:p w14:paraId="0483FD7E" w14:textId="77777777" w:rsidR="001F7233" w:rsidRDefault="00000000">
      <w:r>
        <w:rPr>
          <w:b/>
        </w:rPr>
        <w:t xml:space="preserve">SPARTIPP: </w:t>
      </w:r>
    </w:p>
    <w:p w14:paraId="56A06BE4" w14:textId="77777777" w:rsidR="001F7233" w:rsidRDefault="00000000">
      <w:r>
        <w:t>• Miete das erste Jahr, auch wenn du überzeugt bist, langfristig zu bleiben. Du lernst Viertel, Schuldistrikt und Pendelzeiten aus eigener Erfahrung kennen, baust nebenbei eine US-Kredithistorie auf (</w:t>
      </w:r>
      <w:hyperlink w:anchor="k25">
        <w:r w:rsidR="001F7233">
          <w:rPr>
            <w:color w:val="0563C1"/>
            <w:u w:val="single"/>
          </w:rPr>
          <w:t>Kapitel 25</w:t>
        </w:r>
      </w:hyperlink>
      <w:r>
        <w:t>) und behältst die Flexibilität, falls Job, Familie oder Aufenthaltsstatus sich ändern (</w:t>
      </w:r>
      <w:hyperlink w:anchor="k30">
        <w:r w:rsidR="001F7233">
          <w:rPr>
            <w:color w:val="0563C1"/>
            <w:u w:val="single"/>
          </w:rPr>
          <w:t>Kapitel 30</w:t>
        </w:r>
      </w:hyperlink>
      <w:r>
        <w:t>). Erst danach lohnt sich der Vergleich von Miete und Kauf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6357EE9B" w14:textId="77777777" w:rsidR="001F7233" w:rsidRDefault="001F7233">
      <w:pPr>
        <w:spacing w:line="220" w:lineRule="exact"/>
      </w:pPr>
    </w:p>
    <w:p w14:paraId="3F6995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0A8F12C" w14:textId="77777777" w:rsidR="001F7233" w:rsidRDefault="00000000">
      <w:pPr>
        <w:spacing w:after="140"/>
      </w:pPr>
      <w:r>
        <w:t>Sammle die Kriterien aus diesem Kapitel für jedes Jobangebot: Nettogehalt nach Steuern, Kauf- oder Mietpreis am Zielort, Schuldistrikt, Naturgefahren, Flugverbindung und, falls wichtig, deutsche Community. Sprich mit dem Arbeitgeber offen über den genauen Arbeitsort – „Großraum Phoenix“ kann eine Stunde Pendelzeit bedeuten. Wenn du die Wahl hast, vergleiche mindestens zwei bis drei Regionen mit dem Rechenmodell aus Kapitel 3, bevor du unterschreibst und plane von Anfang an mit einem Umzug in den ersten Jahren – das ist in den USA normal (Kapitel 30).</w:t>
      </w:r>
    </w:p>
    <w:p w14:paraId="7C39038A" w14:textId="77777777" w:rsidR="001F7233" w:rsidRDefault="00000000">
      <w:r>
        <w:t>• Nettogehalt nach Bundes-, Landes- und gegebenenfalls Kommunalsteuer für den Zielort berechnet (</w:t>
      </w:r>
      <w:hyperlink w:anchor="k3">
        <w:r w:rsidR="001F7233">
          <w:rPr>
            <w:color w:val="0563C1"/>
            <w:u w:val="single"/>
          </w:rPr>
          <w:t>Kapitel 3</w:t>
        </w:r>
      </w:hyperlink>
      <w:r>
        <w:t xml:space="preserve">, </w:t>
      </w:r>
      <w:hyperlink w:anchor="k28">
        <w:r w:rsidR="001F7233">
          <w:rPr>
            <w:color w:val="0563C1"/>
            <w:u w:val="single"/>
          </w:rPr>
          <w:t>Kapitel 28</w:t>
        </w:r>
      </w:hyperlink>
      <w:r>
        <w:t>)</w:t>
      </w:r>
    </w:p>
    <w:p w14:paraId="3249CE2E" w14:textId="77777777" w:rsidR="001F7233" w:rsidRDefault="00000000">
      <w:r>
        <w:t>• Kauf- und Mietpreise der Zielregion mit dem eigenen Budget verglichen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547776BA" w14:textId="77777777" w:rsidR="001F7233" w:rsidRDefault="00000000">
      <w:r>
        <w:t>• Naturgefahren der Region recherchiert und Versicherbarkeit grob eingeschätzt</w:t>
      </w:r>
    </w:p>
    <w:p w14:paraId="0612AA5F" w14:textId="77777777" w:rsidR="001F7233" w:rsidRDefault="00000000">
      <w:r>
        <w:t>• Schuldistrikt geprüft, falls Kinder mitziehen (</w:t>
      </w:r>
      <w:hyperlink w:anchor="k36">
        <w:r w:rsidR="001F7233">
          <w:rPr>
            <w:color w:val="0563C1"/>
            <w:u w:val="single"/>
          </w:rPr>
          <w:t>Kapitel 36</w:t>
        </w:r>
      </w:hyperlink>
      <w:r>
        <w:t>)</w:t>
      </w:r>
    </w:p>
    <w:p w14:paraId="151EA81A" w14:textId="77777777" w:rsidR="001F7233" w:rsidRDefault="00000000">
      <w:r>
        <w:t>• Direktflugverbindung oder realistische Umsteigezeit nach Deutschland ermittelt</w:t>
      </w:r>
    </w:p>
    <w:p w14:paraId="542399A7" w14:textId="77777777" w:rsidR="001F7233" w:rsidRDefault="00000000">
      <w:r>
        <w:t>• Deutsche Community, Konsulat, Goethe-Institut oder deutsche Schule am Zielort recherchiert, falls relevant</w:t>
      </w:r>
    </w:p>
    <w:p w14:paraId="74CA7BF3" w14:textId="77777777" w:rsidR="001F7233" w:rsidRDefault="00000000">
      <w:r>
        <w:lastRenderedPageBreak/>
        <w:t>• Geklärt, ob am Wohnort ein Auto nötig ist, und Budget dafür eingeplant (</w:t>
      </w:r>
      <w:hyperlink w:anchor="k27">
        <w:r w:rsidR="001F7233">
          <w:rPr>
            <w:color w:val="0563C1"/>
            <w:u w:val="single"/>
          </w:rPr>
          <w:t>Kapitel 27</w:t>
        </w:r>
      </w:hyperlink>
      <w:r>
        <w:t>)</w:t>
      </w:r>
    </w:p>
    <w:p w14:paraId="170202C7" w14:textId="77777777" w:rsidR="001F7233" w:rsidRDefault="00000000">
      <w:r>
        <w:t>• Beim Arbeitgeber nachgefragt, wie genau das Beschäftigungsgebiet der Petition definiert ist (</w:t>
      </w:r>
      <w:hyperlink w:anchor="k30">
        <w:r w:rsidR="001F7233">
          <w:rPr>
            <w:color w:val="0563C1"/>
            <w:u w:val="single"/>
          </w:rPr>
          <w:t>Kapitel 30</w:t>
        </w:r>
      </w:hyperlink>
      <w:r>
        <w:t>)</w:t>
      </w:r>
    </w:p>
    <w:p w14:paraId="43315C8B" w14:textId="77777777" w:rsidR="001F7233" w:rsidRDefault="00000000">
      <w:r>
        <w:t>• Entschieden, das erste Jahr zu mieten statt zu kaufen</w:t>
      </w:r>
    </w:p>
    <w:p w14:paraId="57B80893" w14:textId="77777777" w:rsidR="001F7233" w:rsidRDefault="00000000">
      <w:r>
        <w:t>• Bei Halbleiter-, Automobil- oder Energie-Jobs den aktuellen Projektstand direkt beim Arbeitgeber erfragt, nicht nur Presseankündigungen</w:t>
      </w:r>
    </w:p>
    <w:p w14:paraId="4A2DE590" w14:textId="77777777" w:rsidR="001F7233" w:rsidRDefault="001F7233">
      <w:pPr>
        <w:spacing w:line="220" w:lineRule="exact"/>
      </w:pPr>
    </w:p>
    <w:p w14:paraId="5DCCB0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094AF3A" w14:textId="77777777" w:rsidR="001F7233" w:rsidRDefault="00000000">
      <w:pPr>
        <w:pStyle w:val="ListParagraph"/>
        <w:numPr>
          <w:ilvl w:val="0"/>
          <w:numId w:val="1"/>
        </w:numPr>
        <w:spacing w:after="60"/>
      </w:pPr>
      <w:r>
        <w:t xml:space="preserve">U.S. Bureau of Labor Statistics, Gehälter und Berufsausblick — </w:t>
      </w:r>
      <w:hyperlink r:id="rId197">
        <w:r w:rsidR="001F7233">
          <w:rPr>
            <w:color w:val="0563C1"/>
            <w:u w:val="single"/>
          </w:rPr>
          <w:t>bls.gov</w:t>
        </w:r>
      </w:hyperlink>
    </w:p>
    <w:p w14:paraId="33130675" w14:textId="77777777" w:rsidR="001F7233" w:rsidRDefault="00000000">
      <w:pPr>
        <w:pStyle w:val="ListParagraph"/>
        <w:numPr>
          <w:ilvl w:val="0"/>
          <w:numId w:val="1"/>
        </w:numPr>
        <w:spacing w:after="60"/>
      </w:pPr>
      <w:r>
        <w:t xml:space="preserve">National Association of Realtors, Metro-Kaufpreise — </w:t>
      </w:r>
      <w:hyperlink r:id="rId198">
        <w:r w:rsidR="001F7233">
          <w:rPr>
            <w:color w:val="0563C1"/>
            <w:u w:val="single"/>
          </w:rPr>
          <w:t>nar.realtor</w:t>
        </w:r>
      </w:hyperlink>
    </w:p>
    <w:p w14:paraId="7BEB8DCB" w14:textId="77777777" w:rsidR="001F7233" w:rsidRDefault="00000000">
      <w:pPr>
        <w:pStyle w:val="ListParagraph"/>
        <w:numPr>
          <w:ilvl w:val="0"/>
          <w:numId w:val="1"/>
        </w:numPr>
        <w:spacing w:after="60"/>
      </w:pPr>
      <w:r>
        <w:t xml:space="preserve">Zumper National Rent Report — </w:t>
      </w:r>
      <w:hyperlink r:id="rId199">
        <w:r w:rsidR="001F7233">
          <w:rPr>
            <w:color w:val="0563C1"/>
            <w:u w:val="single"/>
          </w:rPr>
          <w:t>zumper.com/rent-research</w:t>
        </w:r>
      </w:hyperlink>
    </w:p>
    <w:p w14:paraId="16AB960A" w14:textId="77777777" w:rsidR="001F7233" w:rsidRDefault="00000000">
      <w:pPr>
        <w:pStyle w:val="ListParagraph"/>
        <w:numPr>
          <w:ilvl w:val="0"/>
          <w:numId w:val="1"/>
        </w:numPr>
        <w:spacing w:after="60"/>
      </w:pPr>
      <w:r>
        <w:t xml:space="preserve">U.S. Census Bureau, Bevölkerungs- und Wanderungsdaten — </w:t>
      </w:r>
      <w:hyperlink r:id="rId200">
        <w:r w:rsidR="001F7233">
          <w:rPr>
            <w:color w:val="0563C1"/>
            <w:u w:val="single"/>
          </w:rPr>
          <w:t>census.gov</w:t>
        </w:r>
      </w:hyperlink>
    </w:p>
    <w:p w14:paraId="4FA7C9AF" w14:textId="77777777" w:rsidR="001F7233" w:rsidRDefault="00000000">
      <w:pPr>
        <w:pStyle w:val="ListParagraph"/>
        <w:numPr>
          <w:ilvl w:val="0"/>
          <w:numId w:val="1"/>
        </w:numPr>
        <w:spacing w:after="60"/>
      </w:pPr>
      <w:r>
        <w:t xml:space="preserve">Tax Foundation, Bundesstaatensteuern — </w:t>
      </w:r>
      <w:hyperlink r:id="rId201">
        <w:r w:rsidR="001F7233">
          <w:rPr>
            <w:color w:val="0563C1"/>
            <w:u w:val="single"/>
          </w:rPr>
          <w:t>taxfoundation.org</w:t>
        </w:r>
      </w:hyperlink>
    </w:p>
    <w:p w14:paraId="72F1266C" w14:textId="77777777" w:rsidR="001F7233" w:rsidRDefault="00000000">
      <w:pPr>
        <w:pStyle w:val="ListParagraph"/>
        <w:numPr>
          <w:ilvl w:val="0"/>
          <w:numId w:val="1"/>
        </w:numPr>
        <w:spacing w:after="60"/>
      </w:pPr>
      <w:r>
        <w:t xml:space="preserve">USCIS, H-1B und Arbeitgeberwechsel — </w:t>
      </w:r>
      <w:hyperlink r:id="rId202">
        <w:r w:rsidR="001F7233">
          <w:rPr>
            <w:color w:val="0563C1"/>
            <w:u w:val="single"/>
          </w:rPr>
          <w:t>uscis.gov</w:t>
        </w:r>
      </w:hyperlink>
    </w:p>
    <w:p w14:paraId="285BF3FF" w14:textId="77777777" w:rsidR="001F7233" w:rsidRDefault="001F7233">
      <w:pPr>
        <w:spacing w:line="120" w:lineRule="exact"/>
      </w:pPr>
    </w:p>
    <w:p w14:paraId="6AAC53BA" w14:textId="77777777" w:rsidR="001F7233" w:rsidRDefault="00000000">
      <w:r>
        <w:t>• Quellen- und Datenstand: September 2026; Redaktionsschluss: Oktober 2026. Gehälter (BLS, Mai 2025), Kaufpreise (NAR, 2. Quartal 2026) und Mieten (Zumper, August 2026) ändern sich laufend und schwanken je nach Quelle – nutze sie als Orientierung. Besonders unsicher: der Ausgang der EU-Autozölle (Ankündigung von 25 % ab 1. Mai 2026, Stand offen), die Zeitpläne der Halbleiterwerke in Ohio und im Bundesstaat New York sowie die weitere Entwicklung der Tech-Entlassungen. Prüfe Gehalts- und Preisangaben vor einer Entscheidung noch einmal aktuell.</w:t>
      </w:r>
    </w:p>
    <w:p w14:paraId="7014FB75" w14:textId="77777777" w:rsidR="001F7233" w:rsidRDefault="00000000">
      <w:pPr>
        <w:spacing w:line="220" w:lineRule="exact"/>
      </w:pPr>
      <w:r>
        <w:br w:type="page"/>
      </w:r>
    </w:p>
    <w:p w14:paraId="6FFF9F21" w14:textId="77777777" w:rsidR="001F7233" w:rsidRDefault="00000000">
      <w:pPr>
        <w:pStyle w:val="Heading2"/>
        <w:keepNext/>
        <w:spacing w:line="341" w:lineRule="auto"/>
        <w:jc w:val="center"/>
      </w:pPr>
      <w:bookmarkStart w:id="37" w:name="k13"/>
      <w:r>
        <w:rPr>
          <w:rFonts w:ascii="Amazon Ember" w:eastAsia="Amazon Ember" w:hAnsi="Amazon Ember" w:cs="Amazon Ember"/>
          <w:color w:val="0000FF"/>
          <w:sz w:val="36"/>
          <w:szCs w:val="36"/>
        </w:rPr>
        <w:lastRenderedPageBreak/>
        <w:t>Kapitel 13: Mieten in den USA</w:t>
      </w:r>
      <w:bookmarkEnd w:id="37"/>
    </w:p>
    <w:p w14:paraId="3C8896EC" w14: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w14:paraId="5F129ECB" w14:textId="77777777" w:rsidR="001F7233" w:rsidRDefault="00000000">
      <w:pPr>
        <w:spacing w:after="140"/>
      </w:pPr>
      <w:r>
        <w:rPr>
          <w:i/>
          <w:iCs/>
        </w:rPr>
        <w:t>Die Hausverwaltung in Seattle antwortet binnen einer Stunde: Wohnung frei, Einkommen ausreichend, Visum gültig. Nur ein Feld im Antrag bleibt leer, der Credit Score, die Kreditwürdigkeit nach US-Art. Du hast keinen schlechten, du hast gar keinen. An dieser Stelle scheitern viele Neuankömmlinge und deshalb lohnt sich Vorbereitung, bevor du das erste Inserat öffnest.</w:t>
      </w:r>
    </w:p>
    <w:p w14:paraId="6862C163" w14:textId="77777777" w:rsidR="001F7233" w:rsidRDefault="00000000">
      <w:r>
        <w:rPr>
          <w:b/>
        </w:rPr>
        <w:t xml:space="preserve">KURZ GESAGT: </w:t>
      </w:r>
    </w:p>
    <w:p w14:paraId="2FA1E588" w14:textId="77777777" w:rsidR="001F7233" w:rsidRDefault="00000000">
      <w:r>
        <w:t>• Standard ist ein Mietvertrag über zwölf Monate. Verlangt wird meist ein Bruttoeinkommen vom Dreifachen der Monatsmiete (Faustregel, kein Gesetz).</w:t>
      </w:r>
    </w:p>
    <w:p w14:paraId="70EF61D4" w14:textId="77777777" w:rsidR="001F7233" w:rsidRDefault="00000000">
      <w:r>
        <w:t>• Ohne US-Kredithistorie helfen Arbeitgeberbrief, Bürgschaftsdienst, Vorauszahlung oder ein Übergang über möbliertes Wohnen auf Zeit (Corporate Housing).</w:t>
      </w:r>
    </w:p>
    <w:p w14:paraId="2A88F089" w14:textId="77777777" w:rsidR="001F7233" w:rsidRDefault="00000000">
      <w:r>
        <w:t>• Mietrecht ist Ländersache: Kaution, Gebühren, Fristen und Mieterhöhungen unterscheiden sich je Bundesstaat und Stadt.</w:t>
      </w:r>
    </w:p>
    <w:p w14:paraId="62808E9C" w14:textId="77777777" w:rsidR="001F7233" w:rsidRDefault="00000000">
      <w:r>
        <w:t>• Beim Einzug fallen erste Miete, Kaution und Gebühren an, je nach Stadt grob 3.000–15.000 $; Nebenkosten und Versicherung kommen hinzu.</w:t>
      </w:r>
    </w:p>
    <w:p w14:paraId="78EBE483" w14:textId="77777777" w:rsidR="001F7233" w:rsidRDefault="00000000">
      <w:r>
        <w:t>• Die häufigsten Fallen: Fake-Inserate mit Vorauszahlung, versteckte Zusatzgebühren und in New York die Maklergebühr (seit Juni 2025 neu geregelt).</w:t>
      </w:r>
    </w:p>
    <w:p w14:paraId="0CAA80BC" w14:textId="77777777" w:rsidR="001F7233" w:rsidRDefault="001F7233">
      <w:pPr>
        <w:spacing w:line="220" w:lineRule="exact"/>
      </w:pPr>
    </w:p>
    <w:p w14:paraId="04196B9E" w14:textId="77777777" w:rsidR="001F7233" w:rsidRDefault="00000000">
      <w:pPr>
        <w:pStyle w:val="Heading3"/>
      </w:pPr>
      <w:bookmarkStart w:id="38" w:name="Wohnform_Check_USA"/>
      <w:r>
        <w:t>Mieten, kaufen oder bauen: erst die Wohnform, dann das Land</w:t>
      </w:r>
      <w:bookmarkEnd w:id="38"/>
    </w:p>
    <w:p w14:paraId="5E422C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Wohnungssuche: Portale, Größen, Zeitplan</w:t>
      </w:r>
    </w:p>
    <w:p w14:paraId="2BA54810" w14:textId="77777777" w:rsidR="001F7233" w:rsidRDefault="00000000">
      <w:r>
        <w:t>Ein Strandhaus, ein Haus am See oder ein eigener Pool ist kein einzelner Kaufpreis. Vergleiche die Gesamtkosten und die Verpflichtungsdauer mit deiner Aufenthaltsplanung. Mieten kostet keine Tilgung und baut kein Wohneigentum auf, erhält aber Beweglichkeit, wenn Visum, Job, Schulbezirk oder Rückkehrplan sich ändern. Kaufen kann über die Tilgung Eigenkapital schaffen und gibt mehr Kontrolle über die Immobilie; Wertsteigerung ist nicht garantiert und zinsen, Kauf- und Verkaufskosten, Steuern, Versicherung, Instandhaltung sowie Gemeinschaftsbeiträge können einen frühen Verkauf teuer machen. In den ersten Jahren kann der Verkaufserlös nach diesen Kosten kaum Eigenkapital übrig lassen. Die Verbraucheraufsicht CFPB empfiehlt deshalb, Kauf- und Verkaufsnebenkosten, Reparaturen und die voraussichtliche Aufenthaltsdauer in dieselbe Rechnung einzubeziehen.</w:t>
      </w:r>
    </w:p>
    <w:p w14:paraId="7ECA4A80" w14:textId="77777777" w:rsidR="001F7233" w:rsidRDefault="00000000">
      <w:r>
        <w:t>Ein Haus bietet typischerweise mehr private Außenfläche und Entscheidungsfreiheit, aber auch Verantwortung für Dach, Fassade, Heizung, Garten, Zufahrt und Entwässerung. Eine Wohnung kann diese Arbeit teilweise in gemeinschaftliche Instandhaltung verlagern. Dafür zahlst du Umlagen und musst Regeln, Rücklagen, geplante Arbeiten und mögliche Sonderumlagen mittragen. Lies bei einer Eigentumswohnung die Teilungs- oder Gemeinschaftsunterlagen, Protokolle, Versicherungsdeckung, Rücklagen und anhängige Streitigkeiten vor dem Angebot. Die Bezeichnungen unterscheiden sich: US-HOA/condominium association, kanadische condominium corporation, australische owners corporation/strata/body corporate und neuseeländische body corporate. Auch freistehende Häuser können einer HOA oder geplanten Gemeinschaft angehören.</w:t>
      </w:r>
    </w:p>
    <w:p w14:paraId="319915A6" w14:textId="77777777" w:rsidR="001F7233" w:rsidRDefault="00000000">
      <w:r>
        <w:t xml:space="preserve">Ein HOA-freies Haus bietet mehr Freiheit bei Garten, Haustieren, Vermietung, Außenfarbe, Solaranlage oder Pool, aber du organisierst </w:t>
      </w:r>
      <w:r>
        <w:lastRenderedPageBreak/>
        <w:t>und bezahlst die gemeinsame Infrastruktur selbst. Eine HOA kann Straßen, Tore, Grünflächen oder einen Gemeinschaftspool pflegen und ein einheitliches Erscheinungsbild sichern. Sie kann zugleich Beiträge erhöhen, Sonderumlagen festsetzen und Nutzung oder Umbauten einschränken. Prüfe vor dem Kauf die laufenden Gebühren, Rücklagen, Versicherung, Sonderumlagen, Regeln zu Vermietung und Gästen, Poolzeiten, baulichen Änderungen und die jüngsten Versammlungsprotokolle. In den USA sind HOA-Beiträge meist nicht Teil der Mortgage-Rate. Rechne sie daher ausdrücklich zur monatlichen Belastung hinzu.</w:t>
      </w:r>
    </w:p>
    <w:p w14:paraId="58E0529A" w14:textId="77777777" w:rsidR="001F7233" w:rsidRDefault="00000000">
      <w:r>
        <w:t>Gated community: Bewohner und Besucher passieren ein Tor, Zugangskarte oder einen Sicherheitsdienst. Käufer suchen dort oft kontrollierten Zugang, Privatsphäre, gepflegte Gemeinschaftsflächen, Sportangebote oder ein stärkeres Nachbarschaftsgefühl. Der Kompromiss sind Gebühren, Besuchs- und Lieferregeln, Wartezeiten, private Straßen und die Abhängigkeit von Tor- und Sicherheitsbetrieb. Ein Tor ist für sich kein Nachweis, dass die Nachbarschaft sicherer ist. Vergleiche örtliche Kriminalitätsdaten und prüfe Beleuchtung, Zugangskontrolle, Reaktionszeiten, Notfallzugang für Feuerwehr und Rettungsdienst sowie die tatsächliche Finanzierung des Sicherheitsdienstes.</w:t>
      </w:r>
    </w:p>
    <w:p w14:paraId="30CDBADC" w14:textId="77777777" w:rsidR="001F7233" w:rsidRDefault="00000000">
      <w:r>
        <w:t xml:space="preserve">Ein eigener Pool bietet private Schwimm- und Freizeitnutzung, kann in warmen Regionen den Alltag aufwerten und vermeidet geteilte Öffnungszeiten. Dafür entstehen Wasser-, Strom- oder Heizkosten, Chemikalien- und Reinigungsaufwand, Reparaturen, Versicherungsthemen und eine dauerhafte Aufsichtspflicht. Bei Kindern wird der Pool zur Sicherheitsaufgabe: Barriere, selbstschließendes Tor und Abdeckung sind zusätzliche Schutzschichten, kein Ersatz für Aufsicht. Anforderungen an Zaun, Registrierung und Inspektion sind lokal verschieden. Ein Gemeinschaftspool verteilt Pflegekosten, bringt aber Regeln, Öffnungszeiten, Gebühren und geteilte Nutzung. Prüfe beim Hauskauf den Zustand von Becken, Pumpe, Filter, Abdeckung und Sicherheitsbarriere fachkundig. </w:t>
      </w:r>
      <w:hyperlink r:id="rId203">
        <w:r w:rsidR="001F7233">
          <w:rPr>
            <w:color w:val="0563C1"/>
            <w:u w:val="single"/>
          </w:rPr>
          <w:t>CPSC: Pool Safety Guidelines</w:t>
        </w:r>
      </w:hyperlink>
    </w:p>
    <w:p w14:paraId="5F864663" w14:textId="77777777" w:rsidR="001F7233" w:rsidRDefault="00000000">
      <w:r>
        <w:rPr>
          <w:b/>
        </w:rPr>
        <w:t>Internet am konkreten Haus prüfen</w:t>
      </w:r>
    </w:p>
    <w:p w14:paraId="3D473435" w14:textId="77777777" w:rsidR="001F7233" w:rsidRDefault="00000000">
      <w:r>
        <w:lastRenderedPageBreak/>
        <w:t>„Internet verfügbar“ im Inserat sagt weder Anschlussart noch tatsächliche Leistung. Prüfe vor Mietvertrag oder Kauf mit der genauen Adresse bei den Anbietern, welche Anschlüsse verfügbar sind, welche Upload- und Downloadwerte der Tarif verspricht und ob Datenlimits oder Installationskosten gelten. Auf dem Land belegt eine Stadt- oder Regionalwerbung nicht die Versorgung am einzelnen Grundstück. Plane bei Homeoffice einen belastbaren Ausweichanschluss ein.</w:t>
      </w:r>
    </w:p>
    <w:p w14:paraId="6FAAB2D6" w14:textId="77777777" w:rsidR="001F7233" w:rsidRDefault="00000000">
      <w:pPr>
        <w:pStyle w:val="Heading3"/>
      </w:pPr>
      <w:r>
        <w:t>Garagentoröffner und Funkfernbedienung</w:t>
      </w:r>
    </w:p>
    <w:p w14:paraId="029BB6EE" w14:textId="77777777" w:rsidR="001F7233" w:rsidRDefault="00000000">
      <w:r>
        <w:t>Ein deutscher Handsender lässt sich nicht automatisch mit einem Garagentorantrieb im Zielland koppeln: Frequenz, Funkprotokoll und Empfänger müssen zusammenpassen. Beim Kauf die für das Land zugelassene Anlage und kompatible Handsender wählen. Kanada zertifiziert solche Funkgeräte; Australien hat ACMA-Vorgaben. Als Mieter vor Austausch oder Codeänderung Vermieter oder HOA/Body Corporate fragen. Beim Einzug alte Handsender und Tastaturcodes löschen lassen und die Sicherheitsumkehr sowie Lichtschranken nach Herstelleranleitung testen. ISED: https://ised-isde.canada.ca/site/certification-engineering-bureau/en/publications/compliance-information; ACMA: https://www.acma.gov.au/quick-links-devices-interference-infrastructure; CPSC: https://www.cpsc.gov/s3fs-public/garage.pdf</w:t>
      </w:r>
    </w:p>
    <w:p w14:paraId="2AC56D41" w14:textId="77777777" w:rsidR="001F7233" w:rsidRDefault="00000000">
      <w:r>
        <w:t>Hochhaus oder Apartmenthaus: Prüfe nicht nur Aussicht und Kaufpreis. In einem Mehrparteienhaus kaufst oder mietest du auch in eine Gebäudeverwaltung und Gemeinschaftsregeln hinein: Hausgeld/Strata- oder Condo-Gebühren, Sonderumlagen, Rücklagen, Versicherung, Aufzüge, Parkplätze, Haustiere, Kurzzeitvermietung, Lärm und Renovierungen. Frage nach Protokollen, geplanten Arbeiten, Brandschutz, Evakuierungswegen, Notstrom und dem Zustand von Dach, Fassade und Balkonen. Auch ein weithin bekannter Name am Gebäude ersetzt weder Bauprüfung noch Finanz- und Verwaltungsunterlagen. Miete erst zur Probe, wenn du Höhe, Aufzug und Gemeinschaftsregeln nicht kennst.</w:t>
      </w:r>
    </w:p>
    <w:p w14:paraId="72FD1135" w14:textId="77777777" w:rsidR="001F7233" w:rsidRDefault="00000000">
      <w:r>
        <w:lastRenderedPageBreak/>
        <w:t>Golfplatznähe kann Aussicht und einen kurzen Weg zur Runde bieten. Prüfe aber frühe Mäharbeiten, Bewässerung, Pflegeeinsätze, Golfwagenverkehr, Streulicht und ob Bälle auf das Grundstück fliegen. Frage, wer den Platz besitzt und wer seine Pflege bezahlt: Ein Platz kann geschlossen oder umgewidmet werden und ein Blick ins Grüne ist keine Grundbucheintragung. Der Golfschäger bleibt für manche die langlebigste Beziehung im Haus.</w:t>
      </w:r>
    </w:p>
    <w:p w14:paraId="718A10BE" w14:textId="77777777" w:rsidR="001F7233" w:rsidRDefault="00000000">
      <w:r>
        <w:t>Bauen kann Grundriss, Energiebedarf und Barrierefreiheit auf den Standort zuschneiden, bindet dich aber länger an Ort und Projekt. Dazu kommen Grundstück, Anschlüsse, Genehmigungen, Planung, Bauvertrag, Bauüberwachung, Verzögerungs- und Nachtragsrisiko. Ein Festpreis deckt nicht automatisch Grundstücksarbeiten, Zufahrt, Erschließung, Außenanlagen oder Änderungen ab. Lass Grundstück und Vertrag prüfen, fordere einen detaillierten Leistungsumfang und einen unabhängigen Inspektionsplan und halte eine finanzielle Reserve für Verzögerungen und Mängel zurück. Neubau ist nicht automatisch billiger oder wartungsfrei.</w:t>
      </w:r>
    </w:p>
    <w:p w14:paraId="58B137D7" w14:textId="77777777" w:rsidR="001F7233" w:rsidRDefault="00000000">
      <w:r>
        <w:t xml:space="preserve">Bauweise und Dach: Der deutsche Eindruck von massivem Mauerwerk und geneigtem Ziegeldach ist kein verlässlicher Qualitätsmaßstab für die vier Zielländer. In den USA und Kanada ist Holzrahmenbau weit verbreitet; Dachdeckung, Schneelast, Windverankerung, Dämmung und Feuchteschutz richten sich nach Region und Bauvorschriften. Australiens „brick veneer“ ist oft eine äußere Ziegelschale vor einem Holz- oder Stahlrahmen, kein deutsches zweischaliges tragendes Mauerwerk. In Neuseeland ist Holzrahmenbau traditionell verbreitet; profilierte Metalldächer und leichte Außenbekleidungen sind häufig. Bei jedem Haus zählt das Gesamtsystem: Fundament, Tragwerk, Dachdeckung und Unterspann-/Entwässerungsebene, Dämmung, Luftdichtheit, Feuchteführung und Wartungszugang. Beauftrage vor Kauf eine unabhängige Inspektion mit Augenmerk auf Dachalter, Lecks, Unterdeckung, Dachbodenlüftung, Schimmel, Termiten, Sturm- oder Hagelschäden und lokale Schneelast. </w:t>
      </w:r>
      <w:hyperlink r:id="rId204">
        <w:r w:rsidR="001F7233">
          <w:rPr>
            <w:color w:val="0563C1"/>
            <w:u w:val="single"/>
          </w:rPr>
          <w:t>Canada: light-frame construction</w:t>
        </w:r>
      </w:hyperlink>
      <w:r>
        <w:t xml:space="preserve">; </w:t>
      </w:r>
      <w:hyperlink r:id="rId205">
        <w:r w:rsidR="001F7233">
          <w:rPr>
            <w:color w:val="0563C1"/>
            <w:u w:val="single"/>
          </w:rPr>
          <w:t>Australia: YourHome construction systems</w:t>
        </w:r>
      </w:hyperlink>
      <w:r>
        <w:t xml:space="preserve">; </w:t>
      </w:r>
      <w:hyperlink r:id="rId206">
        <w:r w:rsidR="001F7233">
          <w:rPr>
            <w:color w:val="0563C1"/>
            <w:u w:val="single"/>
          </w:rPr>
          <w:t>New Zealand: timber construction</w:t>
        </w:r>
      </w:hyperlink>
    </w:p>
    <w:p w14:paraId="21B825D3" w14:textId="77777777" w:rsidR="001F7233" w:rsidRDefault="00000000">
      <w:r>
        <w:lastRenderedPageBreak/>
        <w:t xml:space="preserve">Strand- oder Seenähe kann außerhalb bekannter Ferienorte und großer Arbeitsmärkte günstiger sein; „am Wasser“ sagt aber wenig über die tatsächlichen Kosten. Vergleiche Häuser nicht nur direkt am Ufer, sondern auch in Orten 20 bis 60 Minuten landeinwärts mit ganzjähriger Versorgung und Arbeitsplätzen. Rechne Miete oder Kaufpreis zusammen mit Versicherung, Grundsteuer, Pendeln, Heiz-/Kühlbedarf und saisonaler Vermietbarkeit. Vor einem Angebot prüfst du Überflutungs- und Sturmflutkarten, Küstenerosion, Waldbrandgefahr, Versicherbarkeit und Selbstbehalt, Ufer- oder Wegerechte, Abwasser-/Septiksystem, Brunnenwasser, Zufahrt und Winterdienst. Am See kommen Uferpflege, Steg- oder Bootsvorschriften und mögliche saisonale Nutzung hinzu. Ein preiswertes Ferienhaus kann teuer werden, wenn Versicherung oder ganzjährige Vermietbarkeit fehlen. In Neuseeland liegen die günstigeren regionalen Märkte nicht automatisch an den gefragten Seen: Stats NZ weist Southland als besonders erschwingliche Region aus, während Queenstown-Lakes zu den teuersten zählt. </w:t>
      </w:r>
      <w:hyperlink r:id="rId207">
        <w:r w:rsidR="001F7233">
          <w:rPr>
            <w:color w:val="0563C1"/>
            <w:u w:val="single"/>
          </w:rPr>
          <w:t>Stats NZ: Housing in Aotearoa New Zealand 2025</w:t>
        </w:r>
      </w:hyperlink>
      <w:r>
        <w:t xml:space="preserve">; </w:t>
      </w:r>
      <w:hyperlink r:id="rId208">
        <w:r w:rsidR="001F7233">
          <w:rPr>
            <w:color w:val="0563C1"/>
            <w:u w:val="single"/>
          </w:rPr>
          <w:t>CFPB: rent or buy</w:t>
        </w:r>
      </w:hyperlink>
      <w:r>
        <w:t xml:space="preserve">; </w:t>
      </w:r>
      <w:hyperlink r:id="rId209">
        <w:r w:rsidR="001F7233">
          <w:rPr>
            <w:color w:val="0563C1"/>
            <w:u w:val="single"/>
          </w:rPr>
          <w:t>CMHC: condominium governance</w:t>
        </w:r>
      </w:hyperlink>
    </w:p>
    <w:p w14:paraId="308FC6A7" w14:textId="77777777" w:rsidR="001F7233" w:rsidRDefault="00000000">
      <w:r>
        <w:t xml:space="preserve">Zeitgebundene Suchbeispiele zeigen, dass Wasserzugang und Uferlage getrennt werden müssen. Eine US-Auswertung für 2026 nennt Racine am Michigansee (durchschnittlicher Hauswert 215.994 US-Dollar) und Panama City an der Golfküste (284.235 US-Dollar); die Auswahl umfasst Städte mit Strand innerhalb von zehn Meilen, nicht zwingend Häuser direkt am Ufer. In Kanada lag der durchschnittliche Hauspreis in New Brunswick im Januar 2026 bei 353.889 CAD, ohne dass diese Provinzangabe nur Küstenobjekte abbildet. Domain meldete für das Märzquartal 2026 Medianpreise von 635.000 AUD in Nambucca Heads, 645.000 AUD in Curlewis und 500.000 AUD in Venus Bay. Das sind unterschiedliche Datentypen und Zeiträume, keine direkte Rangliste. Prüfe aktuelle Angebote, Jobs, Versicherbarkeit und Gefahrenlage für die konkrete Adresse. </w:t>
      </w:r>
      <w:hyperlink r:id="rId210">
        <w:r w:rsidR="001F7233">
          <w:rPr>
            <w:color w:val="0563C1"/>
            <w:u w:val="single"/>
          </w:rPr>
          <w:t>[US: 2026 beach-town study]</w:t>
        </w:r>
      </w:hyperlink>
      <w:r>
        <w:t xml:space="preserve"> </w:t>
      </w:r>
      <w:hyperlink r:id="rId211">
        <w:r w:rsidR="001F7233">
          <w:rPr>
            <w:color w:val="0563C1"/>
            <w:u w:val="single"/>
          </w:rPr>
          <w:t>[Canada: Atlantic housing update, Jan 2026]</w:t>
        </w:r>
      </w:hyperlink>
      <w:r>
        <w:t xml:space="preserve"> </w:t>
      </w:r>
      <w:hyperlink r:id="rId212">
        <w:r w:rsidR="001F7233">
          <w:rPr>
            <w:color w:val="0563C1"/>
            <w:u w:val="single"/>
          </w:rPr>
          <w:t>[Australia: Domain March-quarter examples]</w:t>
        </w:r>
      </w:hyperlink>
    </w:p>
    <w:p w14:paraId="16C4B496" w14:textId="77777777" w:rsidR="001F7233" w:rsidRDefault="00000000">
      <w:r>
        <w:lastRenderedPageBreak/>
        <w:t>Südkalifornien zeigt, warum „nahe am Strand“ keine Lagebeschreibung ersetzt: Laguna Audubon liegt auf der Inlandseite nahe Laguna Canyon Road und Highway 73. Die Buchten und das Dorf Laguna Beach liegen weiter unten am Canyon. Auf der Karte wirkt die Küste nah. Der Zugang führt trotzdem durch einen Engpass, dessen Fahrzeit sich mit Tageszeit und Verkehr ändert. Laguna-Beach-Unterlagen dokumentieren den Wunsch nach besserer Verbindung von Laguna Audubon in die Stadt. Der Canyon ist kurz auf der Karte; im Berufsverkehr ist das eine eigene Entfernungseinheit.</w:t>
      </w:r>
    </w:p>
    <w:p w14:paraId="13508FA6" w14:textId="77777777" w:rsidR="001F7233" w:rsidRDefault="00000000">
      <w:r>
        <w:t>Bei solchen Angeboten zuerst die genaue Adresse auf einer Karte und im Kataster prüfen: Stadtgrenze und passende Dienste, HOA samt Untergemeinschaft, Grundsteuer, Schulbezirk, Hochwasser- und Waldbrandrisiko, Versicherbarkeit sowie die Route zum Strand an einem Werktag und am Wochenende. „Laguna“ im Namen beweist weder die Stadtzugehörigkeit noch Strandlage. Eine Meeresnähe ist eine Entfernung; Strandzugang ist eine Route.</w:t>
      </w:r>
    </w:p>
    <w:p w14:paraId="14A38CC7" w14:textId="77777777" w:rsidR="001F7233" w:rsidRDefault="00000000">
      <w:r>
        <w:t>Ortsquellen: City of Laguna Beach, „Laguna Canyon Road: Protect &amp; Connect“ (lagunabeachcity.net/home/showdocument?id=19172). Seaway Collection / Laguna Audubon community information (seawayhoa.com/index.cfm?action=guestcontent&amp;content_id=63).</w:t>
      </w:r>
    </w:p>
    <w:p w14:paraId="615C6DFB" w14:textId="77777777" w:rsidR="001F7233" w:rsidRDefault="00000000">
      <w:r>
        <w:t>Rodanthe auf den Outer Banks ist die Warnung für die direkte Ozeanfront: Dare County zählt für den Zeitraum vom 29. Mai 2020 bis zum 28. Oktober 2025 insgesamt 27 private, unbewohnte Häuser, die in Rodanthe und Buxton kollabiert sind. Stürme und hohe Brandung können den Schaden beschleunigen. Die dauerhafte Küstenerosion bleibt auch zwischen den Stürmen. Eine schmale Barriereinsel bietet Strand vor der Tür und wenig Ausweichraum.</w:t>
      </w:r>
    </w:p>
    <w:p w14:paraId="31F41F29" w14:textId="77777777" w:rsidR="001F7233" w:rsidRDefault="00000000">
      <w:r>
        <w:t>Die Warnung ist kein Urteil gegen das Leben am Meer. Der Wunsch, dort zu wohnen, ist kein Rechenfehler. Er macht die konkrete Lage und das bewusst akzeptierte Restrisiko zum Teil der Entscheidung. Wer den Traum ernst meint, sollte verschiedene Orte und Jahreszeiten zunächst als Mieter erleben und Versicherung, Rücklage sowie Evakuierungsweg mit derselben Aufmerksamkeit prüfen wie Strandnähe und Aussicht.</w:t>
      </w:r>
    </w:p>
    <w:p w14:paraId="7D5C2DB9" w14:textId="77777777" w:rsidR="001F7233" w:rsidRDefault="00000000">
      <w:r>
        <w:lastRenderedPageBreak/>
        <w:t>Für den dauerhaften Wohnsitz ist etwas weiter landeinwärts und höher gelegen meist die vernünftigere Vorauswahl. Doch „inland“ ist kein Hochwasserschutz: Sturmflut kann Buchten und Flussmündungen hinaufwandern und starkregen lässt Flüsse auch weit von der Küste übertreten. Prüfe für die genaue Adresse FEMA-Hochwasserkarten und NOAA-Küstenrisikodaten, Geländehöhe, vergangene Überflutungen, Versicherbarkeit und mindestens eine praktikable Evakuierungsroute. Auf einer Insel kann der Zugang selbst ausfallen, bevor das Haus Wasser sieht.</w:t>
      </w:r>
    </w:p>
    <w:p w14:paraId="54531D7F" w14:textId="77777777" w:rsidR="001F7233" w:rsidRDefault="00000000">
      <w:r>
        <w:t>Quellen: Dare County, Beach Erosion (darin die Zählung für Rodanthe und Buxton, Stand 28. Oktober 2025), darenc.gov/government/current-issues/beach-erosion; NOAA, Know Your Risk: Water &amp; Wind, noaa.gov/know-your-risk-water-wind. FEMA Flood Map Service Center, msc.fema.gov/portal/home.</w:t>
      </w:r>
    </w:p>
    <w:p w14:paraId="139F84C1" w14:textId="77777777" w:rsidR="001F7233" w:rsidRDefault="00000000">
      <w:r>
        <w:t>Prüfe im Anhang E mit zwei Szenarien: erst mieten und Eigenkapital liquide halten. Kaufen oder bauen und alle laufenden wie einmaligen Kosten einbeziehen. Bei Küste oder See kommt ein drittes Szenario dazu: gleiche Wohnform, aber eine Lage weiter vom Wasser entfernt. So vergleichst du Beweglichkeit, Vermögensbindung und Wasserlage mit denselben Annahmen statt mit einer Monatsrate.</w:t>
      </w:r>
    </w:p>
    <w:p w14:paraId="69B49E00" w14:textId="77777777" w:rsidR="001F7233" w:rsidRDefault="00000000">
      <w:pPr>
        <w:spacing w:after="140"/>
      </w:pPr>
      <w:r>
        <w:t xml:space="preserve">Die Suche läuft fast ausschließlich online: Portale wie Zillow, </w:t>
      </w:r>
      <w:hyperlink r:id="rId213">
        <w:r w:rsidR="001F7233">
          <w:rPr>
            <w:color w:val="0563C1"/>
            <w:u w:val="single"/>
          </w:rPr>
          <w:t>Apartments.com</w:t>
        </w:r>
      </w:hyperlink>
      <w:r>
        <w:t xml:space="preserve">, Apartment List, Zumper und </w:t>
      </w:r>
      <w:hyperlink r:id="rId214">
        <w:r w:rsidR="001F7233">
          <w:rPr>
            <w:color w:val="0563C1"/>
            <w:u w:val="single"/>
          </w:rPr>
          <w:t>Realtor.com</w:t>
        </w:r>
      </w:hyperlink>
      <w:r>
        <w:t xml:space="preserve"> bündeln Inserate von Hausverwaltungen und Privatvermietern, mit Filtern für Preis, Zimmerzahl, Haustiere und Einzugsdatum. Große Wohnanlagen (Apartment Communities) führen freie Einheiten oft zusätzlich auf der eigenen Website. Auf Craigslist und Facebook Marketplace ist das Betrugsrisiko am höchsten (siehe unten).</w:t>
      </w:r>
    </w:p>
    <w:p w14:paraId="511E678D" w14:textId="77777777" w:rsidR="001F7233" w:rsidRDefault="00000000">
      <w:pPr>
        <w:spacing w:after="140"/>
      </w:pPr>
      <w:r>
        <w:rPr>
          <w:i/>
          <w:iCs/>
        </w:rPr>
        <w:t xml:space="preserve">Verbreiteter Irrtum: Eine „2BR“-Wohnung hat zwei Zimmer, wie die Zahl suggeriert. Tatsächlich zählt die US-Zimmerzählung nur Schlafzimmer, Wohnzimmer und Küche bleiben außen vor und weicht damit von Deutschland ab: Ein Studio ist ein Einraumapartment, eine 1BR (One Bedroom, mit abgetrenntem Schlafzimmer) entspricht einer deutschen Zweizimmerwohnung, eine 2BR einer Dreizimmerwohnung. In größeren Anlagen lag die Durchschnittsfläche zuletzt bei 460 sq ft </w:t>
      </w:r>
      <w:r>
        <w:rPr>
          <w:i/>
          <w:iCs/>
        </w:rPr>
        <w:lastRenderedPageBreak/>
        <w:t>(43 m²) fürs Studio, 735 sq ft (68 m²) für 1BR, 1.095 sq ft (102 m²) für 2BR und 1.355 sq ft (126 m²) für 3BR (RentCafe/Yardi, Daten 2025). Außer der Zentren gibt es neben Wohnungen auch Reihen- und Einfamilienhäuser zur Miete.</w:t>
      </w:r>
    </w:p>
    <w:p w14:paraId="1677683D" w14:textId="77777777" w:rsidR="001F7233" w:rsidRDefault="00000000">
      <w:pPr>
        <w:spacing w:after="140"/>
      </w:pPr>
      <w:r>
        <w:t>Beginne etwa 45 bis 60 Tage vor dem Einzug zu suchen, in New York rund 90 Tage (Anbieterangabe). Im Schnitt dauert es etwa 32 Tage, bis ein Inserat vermietet ist (Apartment List). Eine Wohnung nur nach Fotos zu mieten, ist riskant: Du kannst den Zustand nicht prüfen, Betrüger setzen genau hier an. Die meisten Neuankömmlinge überbrücken die ersten Wochen deshalb möbliert und unterschreiben vor Ort (siehe Übergangswohnen).</w:t>
      </w:r>
    </w:p>
    <w:p w14:paraId="7DE6A1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Mieten: Spannen nach Stadt</w:t>
      </w:r>
    </w:p>
    <w:p w14:paraId="13D77E45" w14:textId="77777777" w:rsidR="001F7233" w:rsidRDefault="00000000">
      <w:pPr>
        <w:spacing w:after="140"/>
      </w:pPr>
      <w:r>
        <w:t>Landesweit liegt die Angebotsmiete je nach Quelle bei rund 1.400 bis 1.960 $ im Monat (Apartment List: 1.390 $ im August 2026; Zillow: 1.962 $ im Juli 2026). Die Quellen messen unterschiedlich, vergleiche also nur Werte derselben Quelle. Die Tabelle zeigt Durchschnitte größerer Anlagen (ab 50 Einheiten) in Dollar pro Monat, Stand 31. August 2026 (RentCafe/Yardi Matrix).</w:t>
      </w:r>
    </w:p>
    <w:p w14:paraId="4D13CFF1" w14:textId="77777777" w:rsidR="001F7233" w:rsidRDefault="00000000">
      <w:r>
        <w:rPr>
          <w:b/>
        </w:rPr>
        <w:t>New York City</w:t>
      </w:r>
    </w:p>
    <w:p w14:paraId="0C1D3735" w14:textId="77777777" w:rsidR="001F7233" w:rsidRDefault="00000000">
      <w:r>
        <w:rPr>
          <w:b/>
        </w:rPr>
        <w:t xml:space="preserve">Alle Größen: </w:t>
      </w:r>
      <w:r>
        <w:t>5.204</w:t>
      </w:r>
    </w:p>
    <w:p w14:paraId="57DB99E2" w14:textId="77777777" w:rsidR="001F7233" w:rsidRDefault="00000000">
      <w:r>
        <w:rPr>
          <w:b/>
        </w:rPr>
        <w:t xml:space="preserve">1BR: </w:t>
      </w:r>
      <w:r>
        <w:t>5.227</w:t>
      </w:r>
    </w:p>
    <w:p w14:paraId="1EAB64B2" w14:textId="77777777" w:rsidR="001F7233" w:rsidRDefault="00000000">
      <w:r>
        <w:rPr>
          <w:b/>
        </w:rPr>
        <w:t xml:space="preserve">2BR: </w:t>
      </w:r>
      <w:r>
        <w:t>5.698</w:t>
      </w:r>
    </w:p>
    <w:p w14:paraId="3042C23A" w14:textId="77777777" w:rsidR="001F7233" w:rsidRDefault="00000000">
      <w:r>
        <w:rPr>
          <w:b/>
        </w:rPr>
        <w:t>San Francisco</w:t>
      </w:r>
    </w:p>
    <w:p w14:paraId="0C220271" w14:textId="77777777" w:rsidR="001F7233" w:rsidRDefault="00000000">
      <w:r>
        <w:rPr>
          <w:b/>
        </w:rPr>
        <w:t xml:space="preserve">Alle Größen: </w:t>
      </w:r>
      <w:r>
        <w:t>3.964</w:t>
      </w:r>
    </w:p>
    <w:p w14:paraId="0FC45496" w14:textId="77777777" w:rsidR="001F7233" w:rsidRDefault="00000000">
      <w:r>
        <w:rPr>
          <w:b/>
        </w:rPr>
        <w:t xml:space="preserve">1BR: </w:t>
      </w:r>
      <w:r>
        <w:t>3.859</w:t>
      </w:r>
    </w:p>
    <w:p w14:paraId="79EDC66C" w14:textId="77777777" w:rsidR="001F7233" w:rsidRDefault="00000000">
      <w:r>
        <w:rPr>
          <w:b/>
        </w:rPr>
        <w:t xml:space="preserve">2BR: </w:t>
      </w:r>
      <w:r>
        <w:t>4.998</w:t>
      </w:r>
    </w:p>
    <w:p w14:paraId="31E20576" w14:textId="77777777" w:rsidR="001F7233" w:rsidRDefault="00000000">
      <w:r>
        <w:rPr>
          <w:b/>
        </w:rPr>
        <w:t>Boston</w:t>
      </w:r>
    </w:p>
    <w:p w14:paraId="46F84CD2" w14:textId="77777777" w:rsidR="001F7233" w:rsidRDefault="00000000">
      <w:r>
        <w:rPr>
          <w:b/>
        </w:rPr>
        <w:t xml:space="preserve">Alle Größen: </w:t>
      </w:r>
      <w:r>
        <w:t>3.710</w:t>
      </w:r>
    </w:p>
    <w:p w14:paraId="3EA7DCAC" w14:textId="77777777" w:rsidR="001F7233" w:rsidRDefault="00000000">
      <w:r>
        <w:rPr>
          <w:b/>
        </w:rPr>
        <w:t xml:space="preserve">1BR: </w:t>
      </w:r>
      <w:r>
        <w:t>3.414</w:t>
      </w:r>
    </w:p>
    <w:p w14:paraId="48C977CB" w14:textId="77777777" w:rsidR="001F7233" w:rsidRDefault="00000000">
      <w:r>
        <w:rPr>
          <w:b/>
        </w:rPr>
        <w:t xml:space="preserve">2BR: </w:t>
      </w:r>
      <w:r>
        <w:t>4.320</w:t>
      </w:r>
    </w:p>
    <w:p w14:paraId="74058142" w14:textId="77777777" w:rsidR="001F7233" w:rsidRDefault="00000000">
      <w:r>
        <w:rPr>
          <w:b/>
        </w:rPr>
        <w:t>Chicago</w:t>
      </w:r>
    </w:p>
    <w:p w14:paraId="123CAB01" w14:textId="77777777" w:rsidR="001F7233" w:rsidRDefault="00000000">
      <w:r>
        <w:rPr>
          <w:b/>
        </w:rPr>
        <w:t xml:space="preserve">Alle Größen: </w:t>
      </w:r>
      <w:r>
        <w:t>2.529</w:t>
      </w:r>
    </w:p>
    <w:p w14:paraId="3C78F9BD" w14:textId="77777777" w:rsidR="001F7233" w:rsidRDefault="00000000">
      <w:r>
        <w:rPr>
          <w:b/>
        </w:rPr>
        <w:lastRenderedPageBreak/>
        <w:t xml:space="preserve">1BR: </w:t>
      </w:r>
      <w:r>
        <w:t>2.461</w:t>
      </w:r>
    </w:p>
    <w:p w14:paraId="0811A03B" w14:textId="77777777" w:rsidR="001F7233" w:rsidRDefault="00000000">
      <w:r>
        <w:rPr>
          <w:b/>
        </w:rPr>
        <w:t xml:space="preserve">2BR: </w:t>
      </w:r>
      <w:r>
        <w:t>3.321</w:t>
      </w:r>
    </w:p>
    <w:p w14:paraId="273C9F5F" w14:textId="77777777" w:rsidR="001F7233" w:rsidRDefault="00000000">
      <w:r>
        <w:rPr>
          <w:b/>
        </w:rPr>
        <w:t>Seattle</w:t>
      </w:r>
    </w:p>
    <w:p w14:paraId="5BBAD23B" w14:textId="77777777" w:rsidR="001F7233" w:rsidRDefault="00000000">
      <w:r>
        <w:rPr>
          <w:b/>
        </w:rPr>
        <w:t xml:space="preserve">Alle Größen: </w:t>
      </w:r>
      <w:r>
        <w:t>2.253</w:t>
      </w:r>
    </w:p>
    <w:p w14:paraId="29200FA8" w14:textId="77777777" w:rsidR="001F7233" w:rsidRDefault="00000000">
      <w:r>
        <w:rPr>
          <w:b/>
        </w:rPr>
        <w:t xml:space="preserve">1BR: </w:t>
      </w:r>
      <w:r>
        <w:t>2.217</w:t>
      </w:r>
    </w:p>
    <w:p w14:paraId="4E055AED" w14:textId="77777777" w:rsidR="001F7233" w:rsidRDefault="00000000">
      <w:r>
        <w:rPr>
          <w:b/>
        </w:rPr>
        <w:t xml:space="preserve">2BR: </w:t>
      </w:r>
      <w:r>
        <w:t>2.878</w:t>
      </w:r>
    </w:p>
    <w:p w14:paraId="3E7E0718" w14:textId="77777777" w:rsidR="001F7233" w:rsidRDefault="00000000">
      <w:r>
        <w:rPr>
          <w:b/>
        </w:rPr>
        <w:t>Denver</w:t>
      </w:r>
    </w:p>
    <w:p w14:paraId="03E30B20" w14:textId="77777777" w:rsidR="001F7233" w:rsidRDefault="00000000">
      <w:r>
        <w:rPr>
          <w:b/>
        </w:rPr>
        <w:t xml:space="preserve">Alle Größen: </w:t>
      </w:r>
      <w:r>
        <w:t>1.914</w:t>
      </w:r>
    </w:p>
    <w:p w14:paraId="382E7137" w14:textId="77777777" w:rsidR="001F7233" w:rsidRDefault="00000000">
      <w:r>
        <w:rPr>
          <w:b/>
        </w:rPr>
        <w:t xml:space="preserve">1BR: </w:t>
      </w:r>
      <w:r>
        <w:t>1.716</w:t>
      </w:r>
    </w:p>
    <w:p w14:paraId="68BA135C" w14:textId="77777777" w:rsidR="001F7233" w:rsidRDefault="00000000">
      <w:r>
        <w:rPr>
          <w:b/>
        </w:rPr>
        <w:t xml:space="preserve">2BR: </w:t>
      </w:r>
      <w:r>
        <w:t>2.230</w:t>
      </w:r>
    </w:p>
    <w:p w14:paraId="45859C18" w14:textId="77777777" w:rsidR="001F7233" w:rsidRDefault="00000000">
      <w:r>
        <w:rPr>
          <w:b/>
        </w:rPr>
        <w:t>Atlanta</w:t>
      </w:r>
    </w:p>
    <w:p w14:paraId="31C21F3C" w14:textId="77777777" w:rsidR="001F7233" w:rsidRDefault="00000000">
      <w:r>
        <w:rPr>
          <w:b/>
        </w:rPr>
        <w:t xml:space="preserve">Alle Größen: </w:t>
      </w:r>
      <w:r>
        <w:t>1.804</w:t>
      </w:r>
    </w:p>
    <w:p w14:paraId="7F350474" w14:textId="77777777" w:rsidR="001F7233" w:rsidRDefault="00000000">
      <w:r>
        <w:rPr>
          <w:b/>
        </w:rPr>
        <w:t xml:space="preserve">1BR: </w:t>
      </w:r>
      <w:r>
        <w:t>1.627</w:t>
      </w:r>
    </w:p>
    <w:p w14:paraId="2FF8D72B" w14:textId="77777777" w:rsidR="001F7233" w:rsidRDefault="00000000">
      <w:r>
        <w:rPr>
          <w:b/>
        </w:rPr>
        <w:t xml:space="preserve">2BR: </w:t>
      </w:r>
      <w:r>
        <w:t>1.901</w:t>
      </w:r>
    </w:p>
    <w:p w14:paraId="78635E5D" w14:textId="77777777" w:rsidR="001F7233" w:rsidRDefault="00000000">
      <w:r>
        <w:rPr>
          <w:b/>
        </w:rPr>
        <w:t>Austin</w:t>
      </w:r>
    </w:p>
    <w:p w14:paraId="17281C82" w14:textId="77777777" w:rsidR="001F7233" w:rsidRDefault="00000000">
      <w:r>
        <w:rPr>
          <w:b/>
        </w:rPr>
        <w:t xml:space="preserve">Alle Größen: </w:t>
      </w:r>
      <w:r>
        <w:t>1.641</w:t>
      </w:r>
    </w:p>
    <w:p w14:paraId="78DA717A" w14:textId="77777777" w:rsidR="001F7233" w:rsidRDefault="00000000">
      <w:r>
        <w:rPr>
          <w:b/>
        </w:rPr>
        <w:t xml:space="preserve">1BR: </w:t>
      </w:r>
      <w:r>
        <w:t>1.421</w:t>
      </w:r>
    </w:p>
    <w:p w14:paraId="6F4055BF" w14:textId="77777777" w:rsidR="001F7233" w:rsidRDefault="00000000">
      <w:r>
        <w:rPr>
          <w:b/>
        </w:rPr>
        <w:t xml:space="preserve">2BR: </w:t>
      </w:r>
      <w:r>
        <w:t>1.812</w:t>
      </w:r>
    </w:p>
    <w:p w14:paraId="1226671E" w14:textId="77777777" w:rsidR="001F7233" w:rsidRDefault="00000000">
      <w:r>
        <w:rPr>
          <w:b/>
        </w:rPr>
        <w:t>Raleigh</w:t>
      </w:r>
    </w:p>
    <w:p w14:paraId="664E9E92" w14:textId="77777777" w:rsidR="001F7233" w:rsidRDefault="00000000">
      <w:r>
        <w:rPr>
          <w:b/>
        </w:rPr>
        <w:t xml:space="preserve">Alle Größen: </w:t>
      </w:r>
      <w:r>
        <w:t>1.588</w:t>
      </w:r>
    </w:p>
    <w:p w14:paraId="71263B7A" w14:textId="77777777" w:rsidR="001F7233" w:rsidRDefault="00000000">
      <w:r>
        <w:rPr>
          <w:b/>
        </w:rPr>
        <w:t xml:space="preserve">1BR: </w:t>
      </w:r>
      <w:r>
        <w:t>1.409</w:t>
      </w:r>
    </w:p>
    <w:p w14:paraId="62C49B7F" w14:textId="77777777" w:rsidR="001F7233" w:rsidRDefault="00000000">
      <w:r>
        <w:rPr>
          <w:b/>
        </w:rPr>
        <w:t xml:space="preserve">2BR: </w:t>
      </w:r>
      <w:r>
        <w:t>1.655</w:t>
      </w:r>
    </w:p>
    <w:p w14:paraId="2B8E51CC" w14:textId="77777777" w:rsidR="001F7233" w:rsidRDefault="00000000">
      <w:r>
        <w:rPr>
          <w:b/>
        </w:rPr>
        <w:t>Houston</w:t>
      </w:r>
    </w:p>
    <w:p w14:paraId="0DE4BFDA" w14:textId="77777777" w:rsidR="001F7233" w:rsidRDefault="00000000">
      <w:r>
        <w:rPr>
          <w:b/>
        </w:rPr>
        <w:t xml:space="preserve">Alle Größen: </w:t>
      </w:r>
      <w:r>
        <w:t>1.344</w:t>
      </w:r>
    </w:p>
    <w:p w14:paraId="1BA0BF47" w14:textId="77777777" w:rsidR="001F7233" w:rsidRDefault="00000000">
      <w:r>
        <w:rPr>
          <w:b/>
        </w:rPr>
        <w:t xml:space="preserve">1BR: </w:t>
      </w:r>
      <w:r>
        <w:t>1.191</w:t>
      </w:r>
    </w:p>
    <w:p w14:paraId="00D6B94C" w14:textId="77777777" w:rsidR="001F7233" w:rsidRDefault="00000000">
      <w:r>
        <w:rPr>
          <w:b/>
        </w:rPr>
        <w:t xml:space="preserve">2BR: </w:t>
      </w:r>
      <w:r>
        <w:t>1.506</w:t>
      </w:r>
    </w:p>
    <w:p w14:paraId="488F5C6B" w14:textId="77777777" w:rsidR="001F7233" w:rsidRDefault="001F7233">
      <w:pPr>
        <w:spacing w:line="180" w:lineRule="exact"/>
      </w:pPr>
    </w:p>
    <w:p w14:paraId="3ED95D79" w14:textId="77777777" w:rsidR="001F7233" w:rsidRDefault="00000000">
      <w:pPr>
        <w:spacing w:after="140"/>
      </w:pPr>
      <w:r>
        <w:t>Der Trend ist gespalten: Bundesweit stagnieren oder sinken die Mieten (Realtor.com, Top-50-Metros: minus 0,9 % zum Vorjahr im August 2026), in der Bay Area steigen sie. In 43,5 % der Inserate standen Rabatte, und Apartment List nennt 7,1 % Leerstand. Für Städte ohne Tabelleneintrag, etwa Detroit oder Phoenix, zeigen Portale aktuelle Spannen nach Zimmerzahl (Ortswahl: Kapitel </w:t>
      </w:r>
      <w:hyperlink w:anchor="k12">
        <w:r w:rsidR="001F7233">
          <w:t>12</w:t>
        </w:r>
      </w:hyperlink>
      <w:r>
        <w:t>).</w:t>
      </w:r>
    </w:p>
    <w:p w14:paraId="33E3BFC7" w14:textId="77777777" w:rsidR="001F7233" w:rsidRDefault="00000000">
      <w:r>
        <w:rPr>
          <w:b/>
        </w:rPr>
        <w:t xml:space="preserve">SPARTIPP: </w:t>
      </w:r>
    </w:p>
    <w:p w14:paraId="43410072" w14:textId="77777777" w:rsidR="001F7233" w:rsidRDefault="00000000">
      <w:r>
        <w:lastRenderedPageBreak/>
        <w:t>• Frage nach Sonderangeboten (Specials), etwa einem Gratismonat bei zwölf Monaten Laufzeit und vergleiche mehrere Anlagen im selben Viertel. In Märkten mit hohem Leerstand lässt sich verhandeln.</w:t>
      </w:r>
    </w:p>
    <w:p w14:paraId="2FBAF65F" w14:textId="77777777" w:rsidR="001F7233" w:rsidRDefault="001F7233">
      <w:pPr>
        <w:spacing w:line="220" w:lineRule="exact"/>
      </w:pPr>
    </w:p>
    <w:p w14:paraId="328A760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Einkommen und Gebühren</w:t>
      </w:r>
    </w:p>
    <w:p w14:paraId="04DDAF87" w14:textId="77777777" w:rsidR="001F7233" w:rsidRDefault="00000000">
      <w:pPr>
        <w:spacing w:after="140"/>
      </w:pPr>
      <w:r>
        <w:rPr>
          <w:i/>
          <w:iCs/>
        </w:rPr>
        <w:t>Wer aus Deutschland eine kurze Schufa-Auskunft und ein, zwei Gehaltsnachweise gewohnt ist, wird hier gründlicher durchleuchtet, als es die eigene Hausbank je tun würde. Der Ablauf: Besichtigung, Antrag (Application, mit Gebühr für jede erwachsene Person), Prüfung (Screening) von Kreditbericht, Einkommen und Vorvermietern, dann der Mietvertrag (Lease). Die Prüfung dauert meist 24 bis 72 Stunden, bei internationalen Fällen bis zu einer Woche. Bei der Unterschrift werden Kaution und erste Monatsmiete fällig, regional auch die letzte.</w:t>
      </w:r>
    </w:p>
    <w:p w14:paraId="47A37322" w14:textId="77777777" w:rsidR="001F7233" w:rsidRDefault="00000000">
      <w:pPr>
        <w:spacing w:after="140"/>
      </w:pPr>
      <w:r>
        <w:rPr>
          <w:i/>
          <w:iCs/>
        </w:rPr>
        <w:t>Du brauchst Reisepass, Visum und I-94, den Arbeitsvertrag oder die Zusage (Offer Letter) mit Gehalt und Startdatum, Gehaltsabrechnungen, sofern vorhanden, und drei Monate Kontoauszüge. Übersetzungen kosten laut einem Anbieter 20–40 $ je Seite.</w:t>
      </w:r>
    </w:p>
    <w:p w14:paraId="6484B5D1" w14:textId="77777777" w:rsidR="001F7233" w:rsidRDefault="00000000">
      <w:pPr>
        <w:spacing w:after="140"/>
      </w:pPr>
      <w:r>
        <w:t>Beim Einkommen gilt als Faustregel: Dein Bruttoeinkommen pro Monat soll das Dreifache der Monatsmiete betragen. Bei 2.200 $ Miete sind das 6.600 $ im Monat oder 79.200 $ im Jahr. Das ist Branchenübung, kein Gesetz; jede Verwaltung legt ihre Schwelle selbst fest. Hat nur eine Person Einkommen, zählt nur dieses. In New York gelten härtere Maßstäbe: Anbieter nennen das Vierzigfache der Monatsmiete als Jahreseinkommen, für einen persönlichen Bürgen das Achtzigfache.</w:t>
      </w:r>
    </w:p>
    <w:p w14:paraId="5240044B" w14:textId="77777777" w:rsidR="001F7233" w:rsidRDefault="00000000">
      <w:pPr>
        <w:spacing w:after="140"/>
      </w:pPr>
      <w:r>
        <w:t xml:space="preserve">Die Bewerbungsgebühr ist in einigen Staaten gedeckelt: New York 20 $, New Jersey 50 $ (seit 1. Mai 2026), Virginia 50 $ plus </w:t>
      </w:r>
      <w:r>
        <w:lastRenderedPageBreak/>
        <w:t>Fremdkosten, Kalifornien rund 66–69 $ (2026, an die Inflation gekoppelt; die Quellen weichen ab). Texas, Florida, Georgia und Illinois kennen keinen Deckel. Vermont und Massachusetts untersagen die Gebühr den Vermietern. Anbieter nennen 50–200 $ als üblich.</w:t>
      </w:r>
    </w:p>
    <w:p w14:paraId="7CF18443" w14:textId="77777777" w:rsidR="001F7233" w:rsidRDefault="00000000">
      <w:r>
        <w:rPr>
          <w:b/>
        </w:rPr>
        <w:t xml:space="preserve">ACHTUNG: </w:t>
      </w:r>
    </w:p>
    <w:p w14:paraId="586C086E" w14:textId="77777777" w:rsidR="001F7233" w:rsidRDefault="00000000">
      <w:r>
        <w:t>• Die Gebühr fällt pro erwachsener Person und pro Bewerbung an und wird bei Ablehnung meist nicht erstattet. Wer sich auf drei Wohnungen bewirbt, zahlt dreimal, ein Paar doppelt. In Kalifornien und New Jersey darf die Verwaltung sie nur für eine tatsächlich verfügbare Wohnung verlangen.</w:t>
      </w:r>
    </w:p>
    <w:p w14:paraId="438C5B2C" w14:textId="77777777" w:rsidR="001F7233" w:rsidRDefault="001F7233">
      <w:pPr>
        <w:spacing w:line="220" w:lineRule="exact"/>
      </w:pPr>
    </w:p>
    <w:p w14:paraId="7A9280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ohne Kredithistorie</w:t>
      </w:r>
    </w:p>
    <w:p w14:paraId="615690F8" w14:textId="77777777" w:rsidR="001F7233" w:rsidRDefault="00000000">
      <w:pPr>
        <w:spacing w:after="140"/>
      </w:pPr>
      <w:r>
        <w:t>Deine Schufa spielt in den USA keine Rolle: Die Kreditwürdigkeit entsteht erst vor Ort im Credit Score (meist FICO-Score), durch Kredite, Kreditkarten und pünktliche Zahlungen. Die Sozialversicherungsnummer (SSN) bekommst du erst nach der Ankunft (Kapitel </w:t>
      </w:r>
      <w:hyperlink w:anchor="k24">
        <w:r w:rsidR="001F7233">
          <w:t>24</w:t>
        </w:r>
      </w:hyperlink>
      <w:r>
        <w:t>); die Steuernummer ITIN über das Formular W-7 dauert laut einem Anbieter sechs bis zehn Wochen. Wie du danach Kredit aufbaust, steht in Kapitel </w:t>
      </w:r>
      <w:hyperlink w:anchor="k25">
        <w:r w:rsidR="001F7233">
          <w:t>25</w:t>
        </w:r>
      </w:hyperlink>
      <w:r>
        <w:t xml:space="preserve"> – bis dahin brauchst du Wege, die dem Vermieter das Risiko abnehmen:</w:t>
      </w:r>
    </w:p>
    <w:p w14:paraId="5104682A" w14:textId="77777777" w:rsidR="001F7233" w:rsidRDefault="00000000">
      <w:r>
        <w:rPr>
          <w:b/>
        </w:rPr>
        <w:t>Arbeitgeberbrief</w:t>
      </w:r>
    </w:p>
    <w:p w14:paraId="311CE694" w14:textId="77777777" w:rsidR="001F7233" w:rsidRDefault="00000000">
      <w:r>
        <w:rPr>
          <w:b/>
        </w:rPr>
        <w:t xml:space="preserve">Kosten: </w:t>
      </w:r>
      <w:r>
        <w:t>keine</w:t>
      </w:r>
    </w:p>
    <w:p w14:paraId="3CC69501" w14:textId="77777777" w:rsidR="001F7233" w:rsidRDefault="00000000">
      <w:r>
        <w:rPr>
          <w:b/>
        </w:rPr>
        <w:t xml:space="preserve">Hinweis: </w:t>
      </w:r>
      <w:r>
        <w:t>Offer Letter mit Gehalt und Startdatum ersetzt Gehaltsabrechnungen; Grundlage für alle anderen Wege</w:t>
      </w:r>
    </w:p>
    <w:p w14:paraId="294F2E04" w14:textId="77777777" w:rsidR="001F7233" w:rsidRDefault="00000000">
      <w:r>
        <w:rPr>
          <w:b/>
        </w:rPr>
        <w:t>Höhere Kaution</w:t>
      </w:r>
    </w:p>
    <w:p w14:paraId="5DA52372" w14:textId="77777777" w:rsidR="001F7233" w:rsidRDefault="00000000">
      <w:r>
        <w:rPr>
          <w:b/>
        </w:rPr>
        <w:t xml:space="preserve">Kosten: </w:t>
      </w:r>
      <w:r>
        <w:t>Zusatzbetrag, rückzahlbar</w:t>
      </w:r>
    </w:p>
    <w:p w14:paraId="234DBE02" w14:textId="77777777" w:rsidR="001F7233" w:rsidRDefault="00000000">
      <w:r>
        <w:rPr>
          <w:b/>
        </w:rPr>
        <w:t xml:space="preserve">Hinweis: </w:t>
      </w:r>
      <w:r>
        <w:t>Nur, wo kein Deckel gilt</w:t>
      </w:r>
    </w:p>
    <w:p w14:paraId="787F1449" w14:textId="77777777" w:rsidR="001F7233" w:rsidRDefault="00000000">
      <w:r>
        <w:rPr>
          <w:b/>
        </w:rPr>
        <w:t>Bürgschaftsdienst</w:t>
      </w:r>
    </w:p>
    <w:p w14:paraId="3E3A3240" w14:textId="77777777" w:rsidR="001F7233" w:rsidRDefault="00000000">
      <w:r>
        <w:rPr>
          <w:b/>
        </w:rPr>
        <w:t xml:space="preserve">Kosten: </w:t>
      </w:r>
      <w:r>
        <w:t>40–130 % einer Monatsmiete, einmalig für zwölf Monate</w:t>
      </w:r>
    </w:p>
    <w:p w14:paraId="59A6934C" w14:textId="77777777" w:rsidR="001F7233" w:rsidRDefault="00000000">
      <w:r>
        <w:rPr>
          <w:b/>
        </w:rPr>
        <w:lastRenderedPageBreak/>
        <w:t>Hinweis: Insurent (nur NY, NJ, CT), TheGuarantors (u. a. NYC, LA, Chicago, Boston, Miami), Leap (bundesweit); Prüfung 24–48 Stunden</w:t>
      </w:r>
    </w:p>
    <w:p w14:paraId="666DA07A" w14:textId="77777777" w:rsidR="001F7233" w:rsidRDefault="00000000">
      <w:r>
        <w:rPr>
          <w:b/>
        </w:rPr>
        <w:t>Persönlicher Bürge</w:t>
      </w:r>
    </w:p>
    <w:p w14:paraId="16B2484E" w14:textId="77777777" w:rsidR="001F7233" w:rsidRDefault="00000000">
      <w:r>
        <w:rPr>
          <w:b/>
        </w:rPr>
        <w:t xml:space="preserve">Kosten: </w:t>
      </w:r>
      <w:r>
        <w:t>keine</w:t>
      </w:r>
    </w:p>
    <w:p w14:paraId="508CA5F6" w14:textId="77777777" w:rsidR="001F7233" w:rsidRDefault="00000000">
      <w:r>
        <w:rPr>
          <w:b/>
        </w:rPr>
        <w:t xml:space="preserve">Hinweis: </w:t>
      </w:r>
      <w:r>
        <w:t>Braucht US-Konto und Jahreseinkommen von 80–100× der Monatsmiete; für Neuankömmlinge selten</w:t>
      </w:r>
    </w:p>
    <w:p w14:paraId="3EC7AF1A" w14:textId="77777777" w:rsidR="001F7233" w:rsidRDefault="00000000">
      <w:r>
        <w:rPr>
          <w:b/>
        </w:rPr>
        <w:t>Vorauszahlung oder Guthaben</w:t>
      </w:r>
    </w:p>
    <w:p w14:paraId="0D953F08" w14:textId="77777777" w:rsidR="001F7233" w:rsidRDefault="00000000">
      <w:r>
        <w:rPr>
          <w:b/>
        </w:rPr>
        <w:t xml:space="preserve">Kosten: </w:t>
      </w:r>
      <w:r>
        <w:t>2–12 Monatsmieten im Voraus; Guthaben 6–12 Monatsmieten</w:t>
      </w:r>
    </w:p>
    <w:p w14:paraId="319FCD6E" w14:textId="77777777" w:rsidR="001F7233" w:rsidRDefault="00000000">
      <w:r>
        <w:rPr>
          <w:b/>
        </w:rPr>
        <w:t xml:space="preserve">Hinweis: </w:t>
      </w:r>
      <w:r>
        <w:t>Verhandlungssache; ein Guthaben kann den Einkommensnachweis ersetzen</w:t>
      </w:r>
    </w:p>
    <w:p w14:paraId="5A98BF4A" w14:textId="77777777" w:rsidR="001F7233" w:rsidRDefault="001F7233">
      <w:pPr>
        <w:spacing w:line="180" w:lineRule="exact"/>
      </w:pPr>
    </w:p>
    <w:p w14:paraId="30EF5AEB" w14:textId="77777777" w:rsidR="001F7233" w:rsidRDefault="00000000">
      <w:pPr>
        <w:spacing w:after="140"/>
      </w:pPr>
      <w:r>
        <w:t>Ein Rechenbeispiel: Bei 2.500 $ Monatsmiete kostet ein Bürgschaftsdienst zwischen 1.000 und 3.250 $. Anders als eine Kaution siehst du dieses Geld nicht wieder. Erstattet wird die Prämie oft nur, wenn kein Mietvertrag zustande kommt.</w:t>
      </w:r>
    </w:p>
    <w:p w14:paraId="697FA576" w14:textId="77777777" w:rsidR="001F7233" w:rsidRDefault="00000000">
      <w:r>
        <w:rPr>
          <w:b/>
        </w:rPr>
        <w:t xml:space="preserve">SPARTIPP: </w:t>
      </w:r>
    </w:p>
    <w:p w14:paraId="60FB93A1" w14:textId="77777777" w:rsidR="001F7233" w:rsidRDefault="00000000">
      <w:r>
        <w:t>• Hole bei mindestens zwei Bürgschaftsdiensten ein Angebot ein und frage, ob die Prämie bei Ablehnung erstattet wird. Ein US-Konto mit zwei bis drei Monaten Kontoauszügen stärkt jeden Antrag (</w:t>
      </w:r>
      <w:hyperlink w:anchor="k25">
        <w:r w:rsidR="001F7233">
          <w:rPr>
            <w:color w:val="0563C1"/>
            <w:u w:val="single"/>
          </w:rPr>
          <w:t>Kapitel 25</w:t>
        </w:r>
      </w:hyperlink>
      <w:r>
        <w:t>).</w:t>
      </w:r>
    </w:p>
    <w:p w14:paraId="2E5B79AE" w14:textId="77777777" w:rsidR="001F7233" w:rsidRDefault="001F7233">
      <w:pPr>
        <w:spacing w:line="220" w:lineRule="exact"/>
      </w:pPr>
    </w:p>
    <w:p w14:paraId="0657DB29" w14:textId="77777777" w:rsidR="001F7233" w:rsidRDefault="00000000">
      <w:pPr>
        <w:spacing w:after="140"/>
      </w:pPr>
      <w:r>
        <w:rPr>
          <w:i/>
          <w:iCs/>
        </w:rPr>
        <w:t>Der Dienst Nova Credit übersetzt ausländische Kreditberichte ins US-Format. Laut Anbieterangaben gehört Deutschland zu den angebundenen Ländern. Ob eine Verwaltung solche Berichte annimmt, klärst du vor der Bewerbung. Manche lassen sich auch von einer englischen Referenz deines bisherigen Vermieters und einer Schufa-Datenkopie überzeugen; das ist Kulanz, kein Standard.</w:t>
      </w:r>
    </w:p>
    <w:p w14:paraId="737F6A4A" w14:textId="77777777" w:rsidR="001F7233" w:rsidRDefault="00000000">
      <w:r>
        <w:rPr>
          <w:b/>
        </w:rPr>
        <w:t xml:space="preserve">ACHTUNG: </w:t>
      </w:r>
    </w:p>
    <w:p w14:paraId="7A1D9423" w14:textId="77777777" w:rsidR="001F7233" w:rsidRDefault="00000000">
      <w:r>
        <w:t>• Lass dir schriftlich bestätigen, wofür ein Betrag gedacht ist (Kaution, Miete im Voraus oder Gebühr) und ob er zurückgezahlt wird. Wo ein Kautionsdeckel gilt, müssen darüber hinausgehende Beträge als vorausbezahlte Miete deklariert sein.</w:t>
      </w:r>
    </w:p>
    <w:p w14:paraId="5BC8FB46" w14:textId="77777777" w:rsidR="001F7233" w:rsidRDefault="001F7233">
      <w:pPr>
        <w:spacing w:line="220" w:lineRule="exact"/>
      </w:pPr>
    </w:p>
    <w:p w14:paraId="485C90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Kaution und Kosten beim Einzug</w:t>
      </w:r>
    </w:p>
    <w:p w14:paraId="22190569" w14:textId="77777777" w:rsidR="001F7233" w:rsidRDefault="00000000">
      <w:pPr>
        <w:spacing w:after="140"/>
      </w:pPr>
      <w:r>
        <w:rPr>
          <w:i/>
          <w:iCs/>
        </w:rPr>
        <w:t>Die Kaution (Security Deposit) sichert Schäden und Rückstände ab. Ihre Höhe regelt der Bundesstaat: Kalifornien und New York deckeln sie bei einer Monatsmiete, Michigan bei 1,5 Monatsmieten. Rund 20 Staaten – darunter Texas, Florida und Illinois – haben keinen Deckel. Die Rückgabefristen liegen bei 14 bis 60 Tagen. Sammelangaben schwanken, prüfe den Stand deines Staates bei der Landesbehörde.</w:t>
      </w:r>
    </w:p>
    <w:p w14:paraId="34F15766" w14:textId="77777777" w:rsidR="001F7233" w:rsidRDefault="00000000">
      <w:pPr>
        <w:spacing w:after="140"/>
      </w:pPr>
      <w:r>
        <w:t>Zum Einzug kommen erste Monatsmiete, Kaution, Bewerbungsgebühr und gegebenenfalls eine Haustierkaution (Kapitel </w:t>
      </w:r>
      <w:hyperlink w:anchor="k22">
        <w:r w:rsidR="001F7233">
          <w:t>22</w:t>
        </w:r>
      </w:hyperlink>
      <w:r>
        <w:t>) zusammen. Ein Anbieter beziffert die Einzugskosten inklusive Vermittlung für New York mit 6.000–15.000 $, Boston 4.500–10.000 $, Washington D. C. 3.800–7.200 $ und Chicago 2.900–5.750 $.</w:t>
      </w:r>
    </w:p>
    <w:p w14:paraId="29B2BE1F" w14:textId="77777777" w:rsidR="001F7233" w:rsidRDefault="001F7233">
      <w:pPr>
        <w:spacing w:line="220" w:lineRule="exact"/>
      </w:pPr>
    </w:p>
    <w:p w14:paraId="49346B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Mietvertrag: Laufzeit, Ausstieg, Untervermietung</w:t>
      </w:r>
    </w:p>
    <w:p w14:paraId="7B0BF458" w14:textId="77777777" w:rsidR="001F7233" w:rsidRDefault="00000000">
      <w:pPr>
        <w:spacing w:after="140"/>
      </w:pPr>
      <w:r>
        <w:t>Standard ist ein befristeter Vertrag über zwölf Monate; kürzere Laufzeiten oder Monatsverträge kosten meist Aufschlag. Einen stillschweigend unbefristeten Vertrag wie in Deutschland gibt es selten: Am Ende verlängert sich der Vertrag je nach Klausel automatisch, wird zum Monatsvertrag oder läuft aus. Lies Verlängerung und Kündigungsfrist genau – die Frist beträgt oft mehrere Wochen bis Monate vor Vertragsende und bei einer Verlängerung darf der Vermieter den Preis meist neu setzen. Grenzen gibt es nur in wenigen Staaten.</w:t>
      </w:r>
    </w:p>
    <w:p w14:paraId="14A9C9AF" w14:textId="77777777" w:rsidR="001F7233" w:rsidRDefault="00000000">
      <w:pPr>
        <w:spacing w:after="140"/>
      </w:pPr>
      <w:r>
        <w:rPr>
          <w:i/>
          <w:iCs/>
        </w:rPr>
        <w:t xml:space="preserve">Wer vorzeitig auszieht (Break Lease), kommt nicht so leicht davon, wie er vielleicht hofft: Er schuldet meist weiter Miete. Typisch sind ein bis zwei Monatsmieten plus Verlust der Kaution (Anbieterangabe). </w:t>
      </w:r>
      <w:r>
        <w:rPr>
          <w:i/>
          <w:iCs/>
        </w:rPr>
        <w:lastRenderedPageBreak/>
        <w:t>Manche Verträge nennen eine feste Ausstiegsgebühr. In den meisten Staaten muss sich der Vermieter zudem redlich um einen Nachmieter bemühen. Du zahlst dann nur bis zur Neuvermietung.</w:t>
      </w:r>
    </w:p>
    <w:p w14:paraId="50AAFFD6" w14:textId="77777777" w:rsidR="001F7233" w:rsidRDefault="00000000">
      <w:r>
        <w:rPr>
          <w:b/>
        </w:rPr>
        <w:t xml:space="preserve">ACHTUNG: </w:t>
      </w:r>
    </w:p>
    <w:p w14:paraId="4B259699" w14:textId="77777777" w:rsidR="001F7233" w:rsidRDefault="00000000">
      <w:r>
        <w:t xml:space="preserve">• Ein Zwölf-Monats-Vertrag ist ein Risiko, wenn dein Arbeitgeber ohne Angabe von Gründen kündigen darf (At-will Employment, </w:t>
      </w:r>
      <w:hyperlink w:anchor="k29">
        <w:r w:rsidR="001F7233">
          <w:rPr>
            <w:color w:val="0563C1"/>
            <w:u w:val="single"/>
          </w:rPr>
          <w:t>Kapitel 29</w:t>
        </w:r>
      </w:hyperlink>
      <w:r>
        <w:t>) und dein Aufenthaltsstatus am Job hängt (</w:t>
      </w:r>
      <w:hyperlink w:anchor="k30">
        <w:r w:rsidR="001F7233">
          <w:rPr>
            <w:color w:val="0563C1"/>
            <w:u w:val="single"/>
          </w:rPr>
          <w:t>Kapitel 30</w:t>
        </w:r>
      </w:hyperlink>
      <w:r>
        <w:t>). Frage vor der Unterschrift nach der Break-Lease-Klausel, einer Ausstiegsgebühr oder einer kürzeren Laufzeit.</w:t>
      </w:r>
    </w:p>
    <w:p w14:paraId="7C0F4DF6" w14:textId="77777777" w:rsidR="001F7233" w:rsidRDefault="001F7233">
      <w:pPr>
        <w:spacing w:line="220" w:lineRule="exact"/>
      </w:pPr>
    </w:p>
    <w:p w14:paraId="722EC329" w14:textId="77777777" w:rsidR="001F7233" w:rsidRDefault="00000000">
      <w:pPr>
        <w:spacing w:after="140"/>
      </w:pPr>
      <w:r>
        <w:rPr>
          <w:i/>
          <w:iCs/>
        </w:rPr>
        <w:t>Für Untervermietung (Sublease) oder Vertragsübernahme brauchst du meist die schriftliche Zustimmung des Vermieters, je nach Vertrag und Landesrecht. Auch heimliche Untervermietung über Ferienportale kann die Kündigung nach sich ziehen. Beim Einzug fotografierst du jeden Raum und jeden Schaden und füllst die Übergabeliste (Move-in Checklist) aus. In Michigan ist eine Inventarliste gesetzlich vorgesehen, die du binnen sieben Tagen zurückgibst.</w:t>
      </w:r>
    </w:p>
    <w:p w14:paraId="0701F2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Nebenkosten und Ausstattung</w:t>
      </w:r>
    </w:p>
    <w:p w14:paraId="70B5ADE6" w14:textId="77777777" w:rsidR="001F7233" w:rsidRDefault="00000000">
      <w:pPr>
        <w:spacing w:after="140"/>
      </w:pPr>
      <w:r>
        <w:t>Eine Warmmiete kennst du in den USA kaum: Die Miete (</w:t>
      </w:r>
      <w:r>
        <w:rPr>
          <w:i/>
          <w:iCs/>
        </w:rPr>
        <w:t>Rent</w:t>
      </w:r>
      <w:r>
        <w:t>) ist der Grundpreis, Strom, Gas, Wasser, Müll und Internet kommen oft hinzu. Richtwerte pro Monat: Strom 75–120 $, Gas 40–100 $ (ohne Gasgeräte 0–50 $), Wasser und Abwasser 30–60 $, Internet 40–75 $ (Glasfaser 70–110 $). Ohne Internet ergibt das für ein Studio 100–160 $, für 1BR 150–250 $ und für 2BR 200–350 $.</w:t>
      </w:r>
    </w:p>
    <w:p w14:paraId="04DD37CF" w14:textId="77777777" w:rsidR="001F7233" w:rsidRDefault="00000000">
      <w:pPr>
        <w:spacing w:after="140"/>
      </w:pPr>
      <w:r>
        <w:t>Der Strompreis lag im Juni 2026 im Schnitt bei 18,34 ¢ je kWh (EIA, plus 5 % zum Vorjahr). RentCafe (September 2026) rechnet höher: 335 $ (Wisconsin) bis 675 $ (Hawaii) inklusive Internet. Teuer sind Hawaii, Alaska und Connecticut, günstig Idaho, Washington und Utah. Manche Versorger verlangen ohne Kredithistorie eine Sicherheitsleistung.</w:t>
      </w:r>
    </w:p>
    <w:p w14:paraId="35B2BF5D" w14:textId="77777777" w:rsidR="001F7233" w:rsidRDefault="00000000">
      <w:pPr>
        <w:spacing w:after="140"/>
      </w:pPr>
      <w:r>
        <w:rPr>
          <w:i/>
          <w:iCs/>
        </w:rPr>
        <w:lastRenderedPageBreak/>
        <w:t>In Inseraten meint Utilities included meist nur Wasser und Müll; Strom und Internet zahlst du fast immer selbst. Frage, welche Posten pauschal enthalten sind.</w:t>
      </w:r>
    </w:p>
    <w:p w14:paraId="25643159" w14:textId="77777777" w:rsidR="001F7233" w:rsidRDefault="00000000">
      <w:pPr>
        <w:spacing w:after="140"/>
      </w:pPr>
      <w:r>
        <w:t>Herd und Kühlschrank gehören meist zur Wohnung, eine Spülmaschine häufig, und in Neubauten oft auch eine Waschmaschine; sonst gibt es einen Waschraum im Haus, ältere New Yorker Häuser haben häufig keinen (Erfahrungswerte, regional verschieden). Die leere Küche, die du aus deutschen Mietwohnungen kennst, ist in den USA die Ausnahme. Möbel organisierst du selbst; ob du sie mitbringst oder vor Ort kaufst, klärt Kapitel </w:t>
      </w:r>
      <w:hyperlink w:anchor="k21">
        <w:r w:rsidR="001F7233">
          <w:t>21</w:t>
        </w:r>
      </w:hyperlink>
      <w:r>
        <w:t>.</w:t>
      </w:r>
    </w:p>
    <w:p w14:paraId="0FC5DF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Renters Insurance</w:t>
      </w:r>
    </w:p>
    <w:p w14:paraId="3521C59D" w14:textId="77777777" w:rsidR="001F7233" w:rsidRDefault="00000000">
      <w:pPr>
        <w:spacing w:after="140"/>
      </w:pPr>
      <w:r>
        <w:rPr>
          <w:i/>
          <w:iCs/>
        </w:rPr>
        <w:t>Die Renters Insurance ist Hausrat- und Haftpflichtversicherung in einer Police. Sie ersetzt Möbel, Kleidung und Elektronik bei Feuer, Einbruch oder Leitungswasser und zahlt, wenn du einen Schaden verursachst, etwa einen Wasserschaden in der Wohnung darunter. Viele Vermieter fordern sie im Vertrag und den Nachweis vor dem Einzug.</w:t>
      </w:r>
    </w:p>
    <w:p w14:paraId="6BA6D77F" w14:textId="77777777" w:rsidR="001F7233" w:rsidRDefault="00000000">
      <w:pPr>
        <w:spacing w:after="140"/>
      </w:pPr>
      <w:r>
        <w:t>Im Schnitt kostet sie 151 $ im Jahr, rund 13 $ im Monat, bei 30.000 $ Hausrat und 100.000 $ Haftpflicht (NerdWallet, Januar 2026); andere Quellen nennen 15–24 $ im Monat. Teuer sind Louisiana (266 $ im Jahr) und Mississippi (223 $), günstig Alaska (101 $) und Vermont (102 $). Hochwasser und Erdbeben sind meist nicht eingeschlossen. Mehr zu Versicherungen steht in Kapitel </w:t>
      </w:r>
      <w:hyperlink w:anchor="k25">
        <w:r w:rsidR="001F7233">
          <w:t>25</w:t>
        </w:r>
      </w:hyperlink>
      <w:r>
        <w:t>.</w:t>
      </w:r>
    </w:p>
    <w:p w14:paraId="7AA61D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Übergangswohnen: möbliert und Corporate Housing</w:t>
      </w:r>
    </w:p>
    <w:p w14:paraId="51C93C62" w14:textId="77777777" w:rsidR="001F7233" w:rsidRDefault="00000000">
      <w:pPr>
        <w:spacing w:after="140"/>
      </w:pPr>
      <w:r>
        <w:t>Corporate Housing sind möblierte Wohnungen auf Zeit, meist ab 30 Tagen Mindestaufenthalt, mit Strom und Internet im Preis. Sie geben dir Zeit für Bankkonto, SSN und Besichtigungen vor Ort.</w:t>
      </w:r>
    </w:p>
    <w:p w14:paraId="301E6D6B" w14:textId="77777777" w:rsidR="001F7233" w:rsidRDefault="00000000">
      <w:pPr>
        <w:spacing w:after="140"/>
      </w:pPr>
      <w:r>
        <w:lastRenderedPageBreak/>
        <w:t>Anbieterangaben für 2026: 1BR rund 3.300 $ im Monat (etwa 110 $ pro Tag), 2BR rund 5.300 $, 3BR rund 7.400 $. New York und San Francisco liegen bei etwa 4.000 $ für 1BR, Chicago bei 3.500 $, Los Angeles bei 3.000 $, Atlanta bei 2.000 $; in Spitzenlagen sind 5.000–7.500 $ üblich. Zwei Monate in einer 1BR kosten also rund 6.600 $. Längere Laufzeiten senken den Preis.</w:t>
      </w:r>
    </w:p>
    <w:p w14:paraId="1A587857" w14:textId="77777777" w:rsidR="001F7233" w:rsidRDefault="00000000">
      <w:pPr>
        <w:spacing w:after="140"/>
      </w:pPr>
      <w:r>
        <w:t>Alternativen sind Extended-Stay-Hotels und möblierte Monatsmieten über Vermittlungsportale. Manche Arbeitgeber übernehmen die ersten Wochen im Rahmen eines Relocation-Pakets: Frage vor der Vertragsunterschrift danach. Die ersten Tage nach der Landung beschreibt Kapitel </w:t>
      </w:r>
      <w:hyperlink w:anchor="k23">
        <w:r w:rsidR="001F7233">
          <w:t>23</w:t>
        </w:r>
      </w:hyperlink>
      <w:r>
        <w:t>.</w:t>
      </w:r>
    </w:p>
    <w:p w14:paraId="4F0D6C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Mieterrechte: 50 Staaten, 50 Regeln</w:t>
      </w:r>
    </w:p>
    <w:p w14:paraId="510C6FB1" w14:textId="77777777" w:rsidR="001F7233" w:rsidRDefault="00000000">
      <w:pPr>
        <w:spacing w:after="140"/>
      </w:pPr>
      <w:r>
        <w:rPr>
          <w:i/>
          <w:iCs/>
        </w:rPr>
        <w:t>Das Mietrecht (Landlord-Tenant Law) regeln die Bundesstaaten, teils die Städte. Es gibt weder eine bundesweite Mietpreisbremse noch ein bundesweites Kündigungsschutzgesetz. Auf Bundesebene verbietet der Fair Housing Act Benachteiligung bei der Wohnungsvergabe, unter anderem wegen der nationalen Herkunft. Beschwerden gehen an das Ministerium für Wohnungsbau und Stadtentwicklung (HUD). Die Tabelle zeigt, wie unterschiedlich die Landesregeln sind (Datenstand September 2026; geprüft im Oktober 2026).</w:t>
      </w:r>
    </w:p>
    <w:p w14:paraId="6525BD07" w14:textId="77777777" w:rsidR="001F7233" w:rsidRDefault="00000000">
      <w:r>
        <w:rPr>
          <w:b/>
        </w:rPr>
        <w:t>Kalifornien</w:t>
      </w:r>
    </w:p>
    <w:p w14:paraId="73D1ACAD" w14:textId="77777777" w:rsidR="001F7233" w:rsidRDefault="00000000">
      <w:r>
        <w:rPr>
          <w:b/>
        </w:rPr>
        <w:t xml:space="preserve">Kaution: </w:t>
      </w:r>
      <w:r>
        <w:t>höchstens 1 Monatsmiete; Rückgabe binnen 21 Tagen</w:t>
      </w:r>
    </w:p>
    <w:p w14:paraId="4DDA61B5" w14:textId="77777777" w:rsidR="001F7233" w:rsidRDefault="00000000">
      <w:r>
        <w:rPr>
          <w:b/>
        </w:rPr>
        <w:t xml:space="preserve">Frist bei Mietrückstand: </w:t>
      </w:r>
      <w:r>
        <w:t>3 Tage</w:t>
      </w:r>
    </w:p>
    <w:p w14:paraId="4DE33625" w14:textId="77777777" w:rsidR="001F7233" w:rsidRDefault="00000000">
      <w:r>
        <w:rPr>
          <w:b/>
        </w:rPr>
        <w:t xml:space="preserve">Besonderheit: </w:t>
      </w:r>
      <w:r>
        <w:t>Erhöhungen bei älteren Gebäuden auf 5 % plus Inflation, höchstens 10 % im Jahr begrenzt (bis 2030)</w:t>
      </w:r>
    </w:p>
    <w:p w14:paraId="20A0F7AB" w14:textId="77777777" w:rsidR="001F7233" w:rsidRDefault="00000000">
      <w:r>
        <w:rPr>
          <w:b/>
        </w:rPr>
        <w:t>New York</w:t>
      </w:r>
    </w:p>
    <w:p w14:paraId="5A4A26DF" w14:textId="77777777" w:rsidR="001F7233" w:rsidRDefault="00000000">
      <w:r>
        <w:rPr>
          <w:b/>
        </w:rPr>
        <w:t xml:space="preserve">Kaution: </w:t>
      </w:r>
      <w:r>
        <w:t>höchstens 1 Monatsmiete; Rückgabe binnen 14 Tagen</w:t>
      </w:r>
    </w:p>
    <w:p w14:paraId="69C22B5A" w14:textId="77777777" w:rsidR="001F7233" w:rsidRDefault="00000000">
      <w:r>
        <w:rPr>
          <w:b/>
        </w:rPr>
        <w:t xml:space="preserve">Frist bei Mietrückstand: </w:t>
      </w:r>
      <w:r>
        <w:t>14 Tage</w:t>
      </w:r>
    </w:p>
    <w:p w14:paraId="5905FC94" w14:textId="77777777" w:rsidR="001F7233" w:rsidRDefault="00000000">
      <w:r>
        <w:rPr>
          <w:b/>
        </w:rPr>
        <w:t xml:space="preserve">Besonderheit: </w:t>
      </w:r>
      <w:r>
        <w:t>Mietstabilisierung in New York City; FARE Act</w:t>
      </w:r>
    </w:p>
    <w:p w14:paraId="55B78E49" w14:textId="77777777" w:rsidR="001F7233" w:rsidRDefault="00000000">
      <w:r>
        <w:rPr>
          <w:b/>
        </w:rPr>
        <w:t>Texas</w:t>
      </w:r>
    </w:p>
    <w:p w14:paraId="7DDA5C29" w14:textId="77777777" w:rsidR="001F7233" w:rsidRDefault="00000000">
      <w:r>
        <w:rPr>
          <w:b/>
        </w:rPr>
        <w:t xml:space="preserve">Kaution: </w:t>
      </w:r>
      <w:r>
        <w:t>kein Deckel</w:t>
      </w:r>
    </w:p>
    <w:p w14:paraId="3D0E8256" w14:textId="77777777" w:rsidR="001F7233" w:rsidRDefault="00000000">
      <w:r>
        <w:rPr>
          <w:b/>
        </w:rPr>
        <w:t xml:space="preserve">Frist bei Mietrückstand: </w:t>
      </w:r>
      <w:r>
        <w:t>3 Tage</w:t>
      </w:r>
    </w:p>
    <w:p w14:paraId="70AAF761" w14:textId="77777777" w:rsidR="001F7233" w:rsidRDefault="00000000">
      <w:r>
        <w:rPr>
          <w:b/>
        </w:rPr>
        <w:lastRenderedPageBreak/>
        <w:t xml:space="preserve">Besonderheit: </w:t>
      </w:r>
      <w:r>
        <w:t>Neue Räumungsverfahren seit 1. Januar 2026 (SB 38)</w:t>
      </w:r>
    </w:p>
    <w:p w14:paraId="69E131C8" w14:textId="77777777" w:rsidR="001F7233" w:rsidRDefault="00000000">
      <w:r>
        <w:rPr>
          <w:b/>
        </w:rPr>
        <w:t>Michigan</w:t>
      </w:r>
    </w:p>
    <w:p w14:paraId="7F3FB512" w14:textId="77777777" w:rsidR="001F7233" w:rsidRDefault="00000000">
      <w:r>
        <w:rPr>
          <w:b/>
        </w:rPr>
        <w:t xml:space="preserve">Kaution: </w:t>
      </w:r>
      <w:r>
        <w:t>höchstens 1,5 Monatsmieten; Abrechnung binnen 30 Tagen</w:t>
      </w:r>
    </w:p>
    <w:p w14:paraId="4A127790" w14:textId="77777777" w:rsidR="001F7233" w:rsidRDefault="00000000">
      <w:r>
        <w:rPr>
          <w:b/>
        </w:rPr>
        <w:t xml:space="preserve">Frist bei Mietrückstand: </w:t>
      </w:r>
      <w:r>
        <w:t>7 Tage</w:t>
      </w:r>
    </w:p>
    <w:p w14:paraId="4181AB40" w14:textId="77777777" w:rsidR="001F7233" w:rsidRDefault="00000000">
      <w:r>
        <w:rPr>
          <w:b/>
        </w:rPr>
        <w:t xml:space="preserve">Besonderheit: </w:t>
      </w:r>
      <w:r>
        <w:t>Doppelter Schadensersatz bei unrechtmäßigem Einbehalt</w:t>
      </w:r>
    </w:p>
    <w:p w14:paraId="26938B38" w14:textId="77777777" w:rsidR="001F7233" w:rsidRDefault="00000000">
      <w:r>
        <w:rPr>
          <w:b/>
        </w:rPr>
        <w:t>Washington</w:t>
      </w:r>
    </w:p>
    <w:p w14:paraId="0550BC70" w14:textId="77777777" w:rsidR="001F7233" w:rsidRDefault="00000000">
      <w:r>
        <w:rPr>
          <w:b/>
        </w:rPr>
        <w:t xml:space="preserve">Kaution: </w:t>
      </w:r>
      <w:r>
        <w:t>kein landesweiter Deckel; Seattle: Kaution plus Gebühren höchstens 1 Monatsmiete</w:t>
      </w:r>
    </w:p>
    <w:p w14:paraId="0559C70B" w14:textId="77777777" w:rsidR="001F7233" w:rsidRDefault="00000000">
      <w:r>
        <w:rPr>
          <w:b/>
        </w:rPr>
        <w:t xml:space="preserve">Frist bei Mietrückstand: </w:t>
      </w:r>
      <w:r>
        <w:t>14 Tage</w:t>
      </w:r>
    </w:p>
    <w:p w14:paraId="6035A6DE" w14:textId="77777777" w:rsidR="001F7233" w:rsidRDefault="00000000">
      <w:r>
        <w:rPr>
          <w:b/>
        </w:rPr>
        <w:t xml:space="preserve">Besonderheit: </w:t>
      </w:r>
      <w:r>
        <w:t>Erhöhung höchstens 7 % plus Inflation, maximal 10 %; 90 Tage Vorlauf</w:t>
      </w:r>
    </w:p>
    <w:p w14:paraId="054F837F" w14:textId="77777777" w:rsidR="001F7233" w:rsidRDefault="001F7233">
      <w:pPr>
        <w:spacing w:line="180" w:lineRule="exact"/>
      </w:pPr>
    </w:p>
    <w:p w14:paraId="56744161" w14:textId="77777777" w:rsidR="001F7233" w:rsidRDefault="00000000">
      <w:pPr>
        <w:spacing w:after="140"/>
      </w:pPr>
      <w:r>
        <w:rPr>
          <w:i/>
          <w:iCs/>
        </w:rPr>
        <w:t>Die Fristen bei Mietrückstand zeigen den Kontrast zu Deutschland: Hier greift die fristlose Kündigung erst bei zwei Monatsmieten Rückstand, dort laufen Fristen in Tagen. Kannst du eine Miete nicht zahlen, sprich sofort mit dem Vermieter. Zum anderen darf niemand eigenmächtig räumen: Schlösser wechseln oder Strom abstellen ist unzulässig, eine Räumung (Eviction) läuft über das Gericht.</w:t>
      </w:r>
    </w:p>
    <w:p w14:paraId="44FD0074" w14:textId="77777777" w:rsidR="001F7233" w:rsidRDefault="00000000">
      <w:r>
        <w:rPr>
          <w:b/>
        </w:rPr>
        <w:t xml:space="preserve">MERKE: </w:t>
      </w:r>
    </w:p>
    <w:p w14:paraId="3907304B" w14:textId="77777777" w:rsidR="001F7233" w:rsidRDefault="00000000">
      <w:r>
        <w:t>• Mietrecht ist Landesrecht. Was in Kalifornien gilt, muss in Texas nicht gelten. Lies deshalb die Seiten deiner Landes- oder Stadtbehörde und deinen Vertrag, nicht einen Ratgeber aus einem anderen Staat.</w:t>
      </w:r>
    </w:p>
    <w:p w14:paraId="63D47207" w14:textId="77777777" w:rsidR="001F7233" w:rsidRDefault="001F7233">
      <w:pPr>
        <w:spacing w:line="220" w:lineRule="exact"/>
      </w:pPr>
    </w:p>
    <w:p w14:paraId="68276D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Mietrecht</w:t>
      </w:r>
    </w:p>
    <w:p w14:paraId="4B8D9FDF" w14:textId="77777777" w:rsidR="001F7233" w:rsidRDefault="00000000">
      <w:r>
        <w:rPr>
          <w:b/>
        </w:rPr>
        <w:t>Kündigungsschutz</w:t>
      </w:r>
    </w:p>
    <w:p w14:paraId="133B060E" w14:textId="77777777" w:rsidR="001F7233" w:rsidRDefault="00000000">
      <w:r>
        <w:rPr>
          <w:b/>
        </w:rPr>
        <w:t xml:space="preserve">Deutschland: </w:t>
      </w:r>
      <w:r>
        <w:t>Unbefristet üblich; Vermieter braucht ein berechtigtes Interesse (z. B. Eigenbedarf), Fristen ab drei Monaten</w:t>
      </w:r>
    </w:p>
    <w:p w14:paraId="5A640AF8" w14:textId="77777777" w:rsidR="001F7233" w:rsidRDefault="00000000">
      <w:r>
        <w:rPr>
          <w:b/>
        </w:rPr>
        <w:lastRenderedPageBreak/>
        <w:t>USA: Meist zwölf Monate befristet; danach oft Verlängerung nach Ermessen des Vermieters, Kündigungsgründe nur in einzelnen Staaten (z. B. Kalifornien)</w:t>
      </w:r>
    </w:p>
    <w:p w14:paraId="4B05BBA9" w14:textId="77777777" w:rsidR="001F7233" w:rsidRDefault="00000000">
      <w:r>
        <w:rPr>
          <w:b/>
        </w:rPr>
        <w:t>Mietpreisbremse</w:t>
      </w:r>
    </w:p>
    <w:p w14:paraId="35FD2DFE" w14:textId="77777777" w:rsidR="001F7233" w:rsidRDefault="00000000">
      <w:r>
        <w:rPr>
          <w:b/>
        </w:rPr>
        <w:t xml:space="preserve">Deutschland: </w:t>
      </w:r>
      <w:r>
        <w:t>In angespannten Märkten Neuvertrag höchstens 10 % über der ortsüblichen Vergleichsmiete; verlängert bis 31. Dezember 2029</w:t>
      </w:r>
    </w:p>
    <w:p w14:paraId="4CDA3CD1" w14:textId="77777777" w:rsidR="001F7233" w:rsidRDefault="00000000">
      <w:r>
        <w:rPr>
          <w:b/>
        </w:rPr>
        <w:t>USA: Bundesweit keine; Begrenzungen nur in einzelnen Staaten und Städten (z. B. Kalifornien, Washington, New York City)</w:t>
      </w:r>
    </w:p>
    <w:p w14:paraId="6B5C0C11" w14:textId="77777777" w:rsidR="001F7233" w:rsidRDefault="00000000">
      <w:r>
        <w:rPr>
          <w:b/>
        </w:rPr>
        <w:t>Nebenkosten</w:t>
      </w:r>
    </w:p>
    <w:p w14:paraId="4547E8D4" w14:textId="77777777" w:rsidR="001F7233" w:rsidRDefault="00000000">
      <w:r>
        <w:rPr>
          <w:b/>
        </w:rPr>
        <w:t xml:space="preserve">Deutschland: </w:t>
      </w:r>
      <w:r>
        <w:t>Vorauszahlung und jährliche Abrechnung mit Nachzahlung oder Guthaben</w:t>
      </w:r>
    </w:p>
    <w:p w14:paraId="72BBE235" w14:textId="77777777" w:rsidR="001F7233" w:rsidRDefault="00000000">
      <w:r>
        <w:rPr>
          <w:b/>
        </w:rPr>
        <w:t xml:space="preserve">USA: </w:t>
      </w:r>
      <w:r>
        <w:t>Strom, Gas, Internet direkt beim Versorger; Wasser und Müll pauschal oder monatlich; Jahresabrechnung selten</w:t>
      </w:r>
    </w:p>
    <w:p w14:paraId="2CE1F940" w14:textId="77777777" w:rsidR="001F7233" w:rsidRDefault="00000000">
      <w:r>
        <w:rPr>
          <w:b/>
        </w:rPr>
        <w:t>Kaution</w:t>
      </w:r>
    </w:p>
    <w:p w14:paraId="7423D899" w14:textId="77777777" w:rsidR="001F7233" w:rsidRDefault="00000000">
      <w:r>
        <w:rPr>
          <w:b/>
        </w:rPr>
        <w:t xml:space="preserve">Deutschland: </w:t>
      </w:r>
      <w:r>
        <w:t>Höchstens drei Nettokaltmieten (§ 551 BGB)</w:t>
      </w:r>
    </w:p>
    <w:p w14:paraId="1E39694F" w14:textId="77777777" w:rsidR="001F7233" w:rsidRDefault="00000000">
      <w:r>
        <w:rPr>
          <w:b/>
        </w:rPr>
        <w:t xml:space="preserve">USA: </w:t>
      </w:r>
      <w:r>
        <w:t>Deckel je Staat (eine Monatsmiete bis keiner); Rückgabe in 14–60 Tagen</w:t>
      </w:r>
    </w:p>
    <w:p w14:paraId="1B89BBC4" w14:textId="77777777" w:rsidR="001F7233" w:rsidRDefault="001F7233">
      <w:pPr>
        <w:spacing w:line="180" w:lineRule="exact"/>
      </w:pPr>
    </w:p>
    <w:p w14:paraId="0DF50D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Fake-Anzeigen und Vorauszahlungsbetrug</w:t>
      </w:r>
    </w:p>
    <w:p w14:paraId="0D0BCDD7" w14:textId="77777777" w:rsidR="001F7233" w:rsidRDefault="00000000">
      <w:pPr>
        <w:spacing w:after="140"/>
      </w:pPr>
      <w:r>
        <w:t>Die Nachricht kommt erstaunlich schnell, klingt freundlich und bietet noch vor der ersten Besichtigung einen Link zur Anzahlung an. Genau so beginnen die meisten Fälle, die die US-Verbraucherbehörde FTC zählt: Von Januar 2020 bis Juni 2025 knapp 65.000 Meldungen über Mietbetrug mit rund 65 Millionen $ Schaden. Der mittlere Verlust lag bei 1.000 $. Rund die Hälfte der Fälle begann auf Facebook, 16 % auf Craigslist. Für Neuankömmlinge ist das Risiko höher, weil sie die Wohnung oft nicht besichtigen können.</w:t>
      </w:r>
    </w:p>
    <w:p w14:paraId="18E4718C" w14:textId="77777777" w:rsidR="001F7233" w:rsidRDefault="00000000">
      <w:pPr>
        <w:spacing w:after="140"/>
      </w:pPr>
      <w:r>
        <w:lastRenderedPageBreak/>
        <w:t>Warnsignale sind ein Preis weit unter dem Markt, die Forderung nach Vorauszahlung vor der Besichtigung, ein Objekt, das zugleich zum Verkauf steht, wechselnde Kontaktdaten und Zeitdruck. Weitere Muster: „Bonitätsprüfungen“ auf fremden Websites, die in Abo-Fallen oder Identitätsdiebstahl (SSN, Führerschein) münden, und gefälschte Codes für Schlüsselkästen.</w:t>
      </w:r>
    </w:p>
    <w:p w14:paraId="0EE4C36E" w14:textId="77777777" w:rsidR="001F7233" w:rsidRDefault="00000000">
      <w:r>
        <w:rPr>
          <w:b/>
        </w:rPr>
        <w:t xml:space="preserve">ACHTUNG: </w:t>
      </w:r>
    </w:p>
    <w:p w14:paraId="792A15F2" w14:textId="77777777" w:rsidR="001F7233" w:rsidRDefault="00000000">
      <w:r>
        <w:t>• Zahle keine Kaution, Miete oder Gebühr, bevor du die Wohnung gesehen hast, persönlich oder per Live-Videotour, und einen schriftlichen Mietvertrag hast. Zahle nie per Bargeld, Geschenkkarte oder Kryptowährung. Prüfe, ob das Inserat auch auf der Website der Hausverwaltung steht und ob der Eigentümer laut Grundstücksunterlagen des County (meist online einsehbar) stimmt.</w:t>
      </w:r>
    </w:p>
    <w:p w14:paraId="5E98CD96" w14:textId="77777777" w:rsidR="001F7233" w:rsidRDefault="001F7233">
      <w:pPr>
        <w:spacing w:line="220" w:lineRule="exact"/>
      </w:pPr>
    </w:p>
    <w:p w14:paraId="2713EA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Junk Fees und Maklergebühr</w:t>
      </w:r>
    </w:p>
    <w:p w14:paraId="420E95A2" w14:textId="77777777" w:rsidR="001F7233" w:rsidRDefault="00000000">
      <w:pPr>
        <w:spacing w:after="140"/>
      </w:pPr>
      <w:r>
        <w:rPr>
          <w:i/>
          <w:iCs/>
        </w:rPr>
        <w:t>Junk Fees sind Zusatzgebühren, die im Inserat fehlen: Verwaltungsgebühr, Pflichtpakete für Internet oder Müllabholung an der Haustür, Paketannahme, Gebühr für Gemeinschaftsflächen, Tier- und Stellplatzgebühren. Nach Angaben der Stadt Seattle können sie 10–30 % auf die Miete aufschlagen.</w:t>
      </w:r>
    </w:p>
    <w:p w14:paraId="448F2F68" w14:textId="77777777" w:rsidR="001F7233" w:rsidRDefault="00000000">
      <w:pPr>
        <w:spacing w:after="140"/>
      </w:pPr>
      <w:r>
        <w:t>Am 13. April 2026 forderten 27 Generalstaatsanwälte von der FTC bundesweite Standards. Seattle hat beschlossen, ab 1. Juli 2027 alle nicht ausdrücklich erlaubten Gebühren zu verbieten und die Offenlegung aller Pflicht- und Zusatzgebühren im Inserat zu verlangen.</w:t>
      </w:r>
    </w:p>
    <w:p w14:paraId="441A9487" w14:textId="77777777" w:rsidR="001F7233" w:rsidRDefault="00000000">
      <w:r>
        <w:rPr>
          <w:b/>
        </w:rPr>
        <w:t xml:space="preserve">MERKE: </w:t>
      </w:r>
    </w:p>
    <w:p w14:paraId="4AC0E086" w14:textId="77777777" w:rsidR="001F7233" w:rsidRDefault="00000000">
      <w:r>
        <w:t>• Vergleiche Wohnungen nicht nach der Inseratsmiete, sondern nach den Gesamtkosten im Monat: Miete, Pflichtgebühren, Nebenkosten und Versicherung. Lass dir diese Summe vor der Bewerbung schriftlich nennen.</w:t>
      </w:r>
    </w:p>
    <w:p w14:paraId="64725A95" w14:textId="77777777" w:rsidR="001F7233" w:rsidRDefault="001F7233">
      <w:pPr>
        <w:spacing w:line="220" w:lineRule="exact"/>
      </w:pPr>
    </w:p>
    <w:p w14:paraId="1209E12B" w14:textId="77777777" w:rsidR="001F7233" w:rsidRDefault="00000000">
      <w:pPr>
        <w:spacing w:after="140"/>
      </w:pPr>
      <w:r>
        <w:lastRenderedPageBreak/>
        <w:t xml:space="preserve">In New York City zahlten Mietende bei einer Vermittlung bisher oft 10–15 % der Jahresmiete an den Makler, bei 3.000 $ Monatsmiete also 3.600–5.400 $. Der </w:t>
      </w:r>
      <w:r>
        <w:rPr>
          <w:i/>
          <w:iCs/>
        </w:rPr>
        <w:t>FARE Act</w:t>
      </w:r>
      <w:r>
        <w:t xml:space="preserve"> (Fairness in Apartment Rental Expenses Act, seit 11. Juni 2025) kehrt das um: Wer den Makler beauftragt, meist der Vermieter, zahlt ihn.</w:t>
      </w:r>
    </w:p>
    <w:p w14:paraId="200FFCB3" w14:textId="77777777" w:rsidR="001F7233" w:rsidRDefault="00000000">
      <w:pPr>
        <w:spacing w:after="140"/>
      </w:pPr>
      <w:r>
        <w:t>Du darfst freiwillig einen eigenen Makler beauftragen, doch niemand darf dich dazu zwingen; Prüfgebühren bleiben erlaubt. Bei Verstößen drohen Bußgeld, Rückerstattung und private Klagen. Das Berufungsgericht (2nd Circuit) wies die Klagen der Immobilienbranche am 13. Juli 2026 ab; weitere Rechtsmittel sind möglich.</w:t>
      </w:r>
    </w:p>
    <w:p w14:paraId="205E1CD8" w14:textId="77777777" w:rsidR="001F7233" w:rsidRDefault="00000000">
      <w:r>
        <w:rPr>
          <w:b/>
        </w:rPr>
        <w:t xml:space="preserve">ACHTUNG: </w:t>
      </w:r>
    </w:p>
    <w:p w14:paraId="55855EB0" w14:textId="77777777" w:rsidR="001F7233" w:rsidRDefault="00000000">
      <w:r>
        <w:t>• Verlangt in New York ein Makler des Vermieters Geld von dir, fordere die Zahlung zurück und melde den Fall der städtischen Verbraucherbehörde (DCWP). Außer New Yorks unterscheiden sich Maklergebühren je Markt: Frage vor der Besichtigung, wer den Makler bezahlt.</w:t>
      </w:r>
    </w:p>
    <w:p w14:paraId="788E6611" w14:textId="77777777" w:rsidR="001F7233" w:rsidRDefault="001F7233">
      <w:pPr>
        <w:spacing w:line="220" w:lineRule="exact"/>
      </w:pPr>
    </w:p>
    <w:p w14:paraId="09EE9C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Auszug und Kaution zurück</w:t>
      </w:r>
    </w:p>
    <w:p w14:paraId="21E76A16" w14:textId="77777777" w:rsidR="001F7233" w:rsidRDefault="00000000">
      <w:pPr>
        <w:spacing w:after="140"/>
      </w:pPr>
      <w:r>
        <w:t>Kündige schriftlich und halte die im Vertrag genannte Frist ein, meist ein bis zwei Monate vor Vertragsende. Die Wohnung gibst du im Zustand des Einzugs zurück, abzüglich normaler Abnutzung (</w:t>
      </w:r>
      <w:r>
        <w:rPr>
          <w:i/>
          <w:iCs/>
        </w:rPr>
        <w:t>Normal Wear and Tear</w:t>
      </w:r>
      <w:r>
        <w:t>): Kleine Gebrauchsspuren gehören dazu, Löcher in der Wand oder Flecken im Teppich nicht.</w:t>
      </w:r>
    </w:p>
    <w:p w14:paraId="45DDA343" w14:textId="77777777" w:rsidR="001F7233" w:rsidRDefault="00000000">
      <w:pPr>
        <w:spacing w:after="140"/>
      </w:pPr>
      <w:r>
        <w:rPr>
          <w:i/>
          <w:iCs/>
        </w:rPr>
        <w:t>Fotografiere alles, gib die Schlüssel gegen Quittung ab und hinterlege eine Weiterleitungsadresse. In Michigan solltest du sie binnen vier Tagen nach dem Auszug mitteilen. Der Vermieter muss die Kaution je nach Staat binnen 14 bis 60 Tagen zurückzahlen oder einzeln abrechnen. Bleibt er dir Geld schuldig, hilft das Small Claims Court, ein vereinfachtes Gericht für kleinere Streitwerte, meist ohne Anwalt.</w:t>
      </w:r>
    </w:p>
    <w:p w14:paraId="62CD0FF0" w14:textId="77777777" w:rsidR="001F7233" w:rsidRDefault="00000000">
      <w:pPr>
        <w:pStyle w:val="Heading3"/>
      </w:pPr>
      <w:r>
        <w:lastRenderedPageBreak/>
        <w:t>Geräte, Gas und Reparatur: vor dem Einzug prüfen</w:t>
      </w:r>
    </w:p>
    <w:p w14:paraId="6FE958C7" w14:textId="77777777" w:rsidR="001F7233" w:rsidRDefault="00000000">
      <w:r>
        <w:t>Vor Miet- oder Kaufvertrag klären: Welche Geräte bleiben, wer repariert sie, und ist Gas überhaupt angeschlossen? Herd, Warmwasser, Heizung, Trockner und Klimaanlage können unterschiedlich versorgt sein. Modellnummern fotografieren, Geräte beim Einzug testen und Wartung/Filter der Klimaanlage planen. Deutsche Geräte nicht mit bloßem Steckeradapter anschließen: Typenschild zu Spannung/Frequenz prüfen. USA und Kanada verwenden meist 120 V/60 Hz, Deutschland 230 V/50 Hz. Eine US-Home-Warranty ist ein separater Servicevertrag, keine Hausrat- oder Gebäudeversicherung. Ausschlüsse, Einsatzgebühr, Höchstbetrag und Ablehnung bei fehlender Wartung lesen.</w:t>
      </w:r>
    </w:p>
    <w:p w14:paraId="65FFCE64" w14:textId="77777777" w:rsidR="001F7233" w:rsidRDefault="00000000">
      <w:pPr>
        <w:pStyle w:val="Heading3"/>
      </w:pPr>
      <w:r>
        <w:t>Wenn der Nachbar Streit sucht: ruhig bleiben und den Weg dokumentieren</w:t>
      </w:r>
    </w:p>
    <w:p w14:paraId="219DB529" w14:textId="77777777" w:rsidR="001F7233" w:rsidRDefault="00000000">
      <w:r>
        <w:t>Ein kühler Gruß ist noch keine Feindschaft. Bei Lärm, Grenz- oder Parkplatzstreit: konkrete Vorfälle mit Datum notieren, Regeln im Mietvertrag/HOA und in der örtlichen Lärmordnung prüfen und einmal sachlich um eine Lösung bitten. Danach Vermieter oder HOA schriftlich einschalten; Zuständigkeit und Mieterschutz unterscheiden sich nach Bundesstaat und Stadt. Bei Drohung, Nachstellung oder Gewalt Abstand halten und Polizei/Notruf einschalten; nicht zurückdrohen oder selbst „ermitteln“.</w:t>
      </w:r>
    </w:p>
    <w:p w14:paraId="3A3BAF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Mieten in den USA</w:t>
      </w:r>
    </w:p>
    <w:p w14:paraId="1ED31C84" w14:textId="77777777" w:rsidR="001F7233" w:rsidRDefault="00000000">
      <w:r>
        <w:rPr>
          <w:b/>
        </w:rPr>
        <w:t>Plus: Küchengeräte sind meist inklusive; neue Anlagen bieten Fitnessraum, Pool und Waschküche</w:t>
      </w:r>
    </w:p>
    <w:p w14:paraId="23F9C8C6" w14:textId="77777777" w:rsidR="001F7233" w:rsidRDefault="00000000">
      <w:r>
        <w:rPr>
          <w:b/>
        </w:rPr>
        <w:t xml:space="preserve">Minus: </w:t>
      </w:r>
      <w:r>
        <w:t>Ohne Credit Score brauchst du Zusatzsicherheiten (Bürgschaft, Vorauszahlung, höhere Kaution)</w:t>
      </w:r>
    </w:p>
    <w:p w14:paraId="40981F15" w14:textId="77777777" w:rsidR="001F7233" w:rsidRDefault="00000000">
      <w:r>
        <w:rPr>
          <w:b/>
        </w:rPr>
        <w:t>Plus: Viele Märkte mit stagnierenden Mieten, Rabatten und Verhandlungsspielraum</w:t>
      </w:r>
    </w:p>
    <w:p w14:paraId="26ED4997" w14:textId="77777777" w:rsidR="001F7233" w:rsidRDefault="00000000">
      <w:r>
        <w:rPr>
          <w:b/>
        </w:rPr>
        <w:t xml:space="preserve">Minus: </w:t>
      </w:r>
      <w:r>
        <w:t>Beim Einzug fallen schnell 3.000–15.000 $ an</w:t>
      </w:r>
    </w:p>
    <w:p w14:paraId="782CDAFA" w14:textId="77777777" w:rsidR="001F7233" w:rsidRDefault="00000000">
      <w:r>
        <w:rPr>
          <w:b/>
        </w:rPr>
        <w:lastRenderedPageBreak/>
        <w:t>Plus: Reparaturen und Instandhaltung liegen beim Vermieter</w:t>
      </w:r>
    </w:p>
    <w:p w14:paraId="6BD9A0B4" w14:textId="77777777" w:rsidR="001F7233" w:rsidRDefault="00000000">
      <w:r>
        <w:rPr>
          <w:b/>
        </w:rPr>
        <w:t xml:space="preserve">Minus: </w:t>
      </w:r>
      <w:r>
        <w:t>Gebühren pro Person, Nebenkosten und Versicherung kommen obendrauf</w:t>
      </w:r>
    </w:p>
    <w:p w14:paraId="16F70B36" w14:textId="77777777" w:rsidR="001F7233" w:rsidRDefault="00000000">
      <w:r>
        <w:rPr>
          <w:b/>
        </w:rPr>
        <w:t>Plus: Nach zwölf Monaten kannst du ohne Verkaufsrisiko weiterziehen (Job, Visum)</w:t>
      </w:r>
    </w:p>
    <w:p w14:paraId="1E75C6CC" w14:textId="77777777" w:rsidR="001F7233" w:rsidRDefault="00000000">
      <w:r>
        <w:rPr>
          <w:b/>
        </w:rPr>
        <w:t xml:space="preserve">Minus: </w:t>
      </w:r>
      <w:r>
        <w:t>Vorzeitiger Auszug kostet meist ein bis zwei Monatsmieten oder mehr</w:t>
      </w:r>
    </w:p>
    <w:p w14:paraId="27585215" w14:textId="77777777" w:rsidR="001F7233" w:rsidRDefault="00000000">
      <w:r>
        <w:rPr>
          <w:b/>
        </w:rPr>
        <w:t>Plus: Suche, Antrag und Prüfung laufen digital, meist binnen Tagen</w:t>
      </w:r>
    </w:p>
    <w:p w14:paraId="0251BE88" w14:textId="77777777" w:rsidR="001F7233" w:rsidRDefault="00000000">
      <w:r>
        <w:rPr>
          <w:b/>
        </w:rPr>
        <w:t>Minus: Mieterschutz ist Landesrecht und oft dünner als in Deutschland. Fristen bei Mietrückstand teils nur drei Tage.</w:t>
      </w:r>
    </w:p>
    <w:p w14:paraId="15072526" w14:textId="77777777" w:rsidR="001F7233" w:rsidRDefault="00000000">
      <w:r>
        <w:rPr>
          <w:b/>
        </w:rPr>
        <w:t>Plus: Miete ist planbar, ohne Grundsteuer und Reparaturrisiko</w:t>
      </w:r>
    </w:p>
    <w:p w14:paraId="4E28F00F" w14:textId="77777777" w:rsidR="001F7233" w:rsidRDefault="00000000">
      <w:r>
        <w:rPr>
          <w:b/>
        </w:rPr>
        <w:t xml:space="preserve">Minus: </w:t>
      </w:r>
      <w:r>
        <w:t>Betrug und Junk Fees treffen Neuankömmlinge aus dem Ausland besonders</w:t>
      </w:r>
    </w:p>
    <w:p w14:paraId="138E4459" w14:textId="77777777" w:rsidR="001F7233" w:rsidRDefault="001F7233">
      <w:pPr>
        <w:spacing w:line="180" w:lineRule="exact"/>
      </w:pPr>
    </w:p>
    <w:p w14:paraId="53E0B6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B66D30" w14:textId="77777777" w:rsidR="001F7233" w:rsidRDefault="00000000">
      <w:pPr>
        <w:spacing w:after="140"/>
      </w:pPr>
      <w:r>
        <w:t>Lege vor dem Abflug dein Mietbudget nach der Dreifach-Regel fest, sammle deine Unterlagen und plane die ersten 30 Tage möbliert. Suche die Wohnung nach der Landung vor Ort, möglichst mit SSN und US-Konto (Kapitel </w:t>
      </w:r>
      <w:hyperlink w:anchor="k24">
        <w:r w:rsidR="001F7233">
          <w:t>24</w:t>
        </w:r>
      </w:hyperlink>
      <w:r>
        <w:t xml:space="preserve"> und </w:t>
      </w:r>
      <w:hyperlink w:anchor="k25">
        <w:r w:rsidR="001F7233">
          <w:t>25</w:t>
        </w:r>
      </w:hyperlink>
      <w:r>
        <w:t>). Ob später ein Kauf infrage kommt, klärt Kapitel </w:t>
      </w:r>
      <w:hyperlink w:anchor="k14">
        <w:r w:rsidR="001F7233">
          <w:t>14</w:t>
        </w:r>
      </w:hyperlink>
      <w:r>
        <w:t>; als Faustregel gilt dort eine Haltedauer von mindestens fünf Jahren.</w:t>
      </w:r>
    </w:p>
    <w:p w14:paraId="6787CCA9" w14:textId="77777777" w:rsidR="001F7233" w:rsidRDefault="00000000">
      <w:r>
        <w:t>• Mietbudget festlegen: Monatsmiete höchstens ein Drittel des Bruttoeinkommens, dazu 150–300 $ Nebenkosten</w:t>
      </w:r>
    </w:p>
    <w:p w14:paraId="5FC363E8" w14:textId="77777777" w:rsidR="001F7233" w:rsidRDefault="00000000">
      <w:r>
        <w:t>• Offer Letter mit Gehalt und Startdatum als PDF bereithalten</w:t>
      </w:r>
    </w:p>
    <w:p w14:paraId="65DCA66D" w14:textId="77777777" w:rsidR="001F7233" w:rsidRDefault="00000000">
      <w:r>
        <w:t>• Drei Monate Kontoauszüge und eine englische Referenz des bisherigen Vermieters besorgen</w:t>
      </w:r>
    </w:p>
    <w:p w14:paraId="5CE99A0F" w14:textId="77777777" w:rsidR="001F7233" w:rsidRDefault="00000000">
      <w:r>
        <w:t>• Erste 30 Tage möbliert planen und den Arbeitgeber nach Relocation-Unterstützung fragen</w:t>
      </w:r>
    </w:p>
    <w:p w14:paraId="08C811F6" w14:textId="77777777" w:rsidR="001F7233" w:rsidRDefault="00000000">
      <w:r>
        <w:t>• US-Konto so früh wie möglich eröffnen (</w:t>
      </w:r>
      <w:hyperlink w:anchor="k25">
        <w:r w:rsidR="001F7233">
          <w:rPr>
            <w:color w:val="0563C1"/>
            <w:u w:val="single"/>
          </w:rPr>
          <w:t>Kapitel 25</w:t>
        </w:r>
      </w:hyperlink>
      <w:r>
        <w:t>)</w:t>
      </w:r>
    </w:p>
    <w:p w14:paraId="7E65BC0B" w14:textId="77777777" w:rsidR="001F7233" w:rsidRDefault="00000000">
      <w:r>
        <w:t>• Vor jeder Bewerbung die Gesamtkosten im Monat (Miete, Pflichtgebühren, Nebenkosten) schriftlich erfragen</w:t>
      </w:r>
    </w:p>
    <w:p w14:paraId="1FEBDC3F" w14:textId="77777777" w:rsidR="001F7233" w:rsidRDefault="00000000">
      <w:r>
        <w:lastRenderedPageBreak/>
        <w:t>• Bewerbungsgebühren pro Person und Wohnung zusammenrechnen</w:t>
      </w:r>
    </w:p>
    <w:p w14:paraId="366D263E" w14:textId="77777777" w:rsidR="001F7233" w:rsidRDefault="00000000">
      <w:r>
        <w:t>• Nie zahlen, bevor du die Wohnung gesehen und einen Vertrag hast; Vermieter und Adresse prüfen</w:t>
      </w:r>
    </w:p>
    <w:p w14:paraId="1460EBB2" w14:textId="77777777" w:rsidR="001F7233" w:rsidRDefault="00000000">
      <w:r>
        <w:t>• Mietvertrag komplett lesen: Laufzeit, Verlängerung, Break-Lease, Untervermietung, Gebühren</w:t>
      </w:r>
    </w:p>
    <w:p w14:paraId="653ED6F7" w14:textId="77777777" w:rsidR="001F7233" w:rsidRDefault="00000000">
      <w:r>
        <w:t>• Renters Insurance abschließen und den Nachweis an die Verwaltung schicken</w:t>
      </w:r>
    </w:p>
    <w:p w14:paraId="36C9B0A0" w14:textId="77777777" w:rsidR="001F7233" w:rsidRDefault="00000000">
      <w:r>
        <w:t>• Beim Einzug jeden Raum fotografieren und die Übergabeliste ausfüllen</w:t>
      </w:r>
    </w:p>
    <w:p w14:paraId="7289BD5E" w14:textId="77777777" w:rsidR="001F7233" w:rsidRDefault="001F7233">
      <w:pPr>
        <w:spacing w:line="220" w:lineRule="exact"/>
      </w:pPr>
    </w:p>
    <w:p w14:paraId="2932B7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C15E95" w14:textId="77777777" w:rsidR="001F7233" w:rsidRDefault="00000000">
      <w:pPr>
        <w:pStyle w:val="ListParagraph"/>
        <w:numPr>
          <w:ilvl w:val="0"/>
          <w:numId w:val="1"/>
        </w:numPr>
        <w:spacing w:after="60"/>
      </w:pPr>
      <w:r>
        <w:t>HUD (Ministerium für Wohnungsbau und Stadtentwicklung) — Fair Housing Act und Beschwerden bei Diskriminierung (</w:t>
      </w:r>
      <w:hyperlink r:id="rId215">
        <w:r w:rsidR="001F7233">
          <w:rPr>
            <w:color w:val="0563C1"/>
            <w:u w:val="single"/>
          </w:rPr>
          <w:t>hud.gov/fairhousing</w:t>
        </w:r>
      </w:hyperlink>
      <w:r>
        <w:t>)</w:t>
      </w:r>
    </w:p>
    <w:p w14:paraId="2A563553" w14:textId="77777777" w:rsidR="001F7233" w:rsidRDefault="00000000">
      <w:pPr>
        <w:pStyle w:val="ListParagraph"/>
        <w:numPr>
          <w:ilvl w:val="0"/>
          <w:numId w:val="1"/>
        </w:numPr>
        <w:spacing w:after="60"/>
      </w:pPr>
      <w:r>
        <w:t>FTC — Warnungen zu Mietbetrug (</w:t>
      </w:r>
      <w:hyperlink r:id="rId216">
        <w:r w:rsidR="001F7233">
          <w:rPr>
            <w:color w:val="0563C1"/>
            <w:u w:val="single"/>
          </w:rPr>
          <w:t>FTC: Betrug mit Mietangeboten</w:t>
        </w:r>
      </w:hyperlink>
      <w:r>
        <w:t>) und Betrug melden (</w:t>
      </w:r>
      <w:hyperlink r:id="rId217">
        <w:r w:rsidR="001F7233">
          <w:rPr>
            <w:color w:val="0563C1"/>
            <w:u w:val="single"/>
          </w:rPr>
          <w:t>reportfraud.ftc.gov</w:t>
        </w:r>
      </w:hyperlink>
      <w:r>
        <w:t>)</w:t>
      </w:r>
    </w:p>
    <w:p w14:paraId="484877A9" w14:textId="77777777" w:rsidR="001F7233" w:rsidRDefault="00000000">
      <w:pPr>
        <w:pStyle w:val="ListParagraph"/>
        <w:numPr>
          <w:ilvl w:val="0"/>
          <w:numId w:val="1"/>
        </w:numPr>
        <w:spacing w:after="60"/>
      </w:pPr>
      <w:r>
        <w:t>NYC Department of Consumer and Worker Protection — FARE Act und Maklergebühren (</w:t>
      </w:r>
      <w:hyperlink r:id="rId218">
        <w:r w:rsidR="001F7233">
          <w:rPr>
            <w:color w:val="0563C1"/>
            <w:u w:val="single"/>
          </w:rPr>
          <w:t>nyc.gov/site/dca/about/FAQ-Broker-Fees.page</w:t>
        </w:r>
      </w:hyperlink>
      <w:r>
        <w:t>)</w:t>
      </w:r>
    </w:p>
    <w:p w14:paraId="1F236550" w14:textId="77777777" w:rsidR="001F7233" w:rsidRDefault="00000000">
      <w:pPr>
        <w:pStyle w:val="ListParagraph"/>
        <w:numPr>
          <w:ilvl w:val="0"/>
          <w:numId w:val="1"/>
        </w:numPr>
        <w:spacing w:after="60"/>
      </w:pPr>
      <w:r>
        <w:t>Stadt Seattle — Kaution, Einzugsgebühren und Mieterrechte (</w:t>
      </w:r>
      <w:hyperlink r:id="rId219">
        <w:r w:rsidR="001F7233">
          <w:rPr>
            <w:color w:val="0563C1"/>
            <w:u w:val="single"/>
          </w:rPr>
          <w:t>seattle.gov/rentinginseattle</w:t>
        </w:r>
      </w:hyperlink>
      <w:r>
        <w:t>)</w:t>
      </w:r>
    </w:p>
    <w:p w14:paraId="2BF27C84" w14:textId="77777777" w:rsidR="001F7233" w:rsidRDefault="00000000">
      <w:pPr>
        <w:pStyle w:val="ListParagraph"/>
        <w:numPr>
          <w:ilvl w:val="0"/>
          <w:numId w:val="1"/>
        </w:numPr>
        <w:spacing w:after="60"/>
      </w:pPr>
      <w:r>
        <w:t>Michigan Legal Help — Kaution und Mietrückstand in Michigan (</w:t>
      </w:r>
      <w:hyperlink r:id="rId220">
        <w:r w:rsidR="001F7233">
          <w:rPr>
            <w:color w:val="0563C1"/>
            <w:u w:val="single"/>
          </w:rPr>
          <w:t>michiganlegalhelp.org</w:t>
        </w:r>
      </w:hyperlink>
      <w:r>
        <w:t>)</w:t>
      </w:r>
    </w:p>
    <w:p w14:paraId="109F8E40" w14:textId="77777777" w:rsidR="001F7233" w:rsidRDefault="00000000">
      <w:pPr>
        <w:pStyle w:val="ListParagraph"/>
        <w:numPr>
          <w:ilvl w:val="0"/>
          <w:numId w:val="1"/>
        </w:numPr>
        <w:spacing w:after="60"/>
      </w:pPr>
      <w:r>
        <w:t>Washington State Department of Commerce — Mieterhöhungen (</w:t>
      </w:r>
      <w:hyperlink r:id="rId221">
        <w:r w:rsidR="001F7233">
          <w:rPr>
            <w:color w:val="0563C1"/>
            <w:u w:val="single"/>
          </w:rPr>
          <w:t>commerce.wa.gov/housing-policy/hb1217-landlord-resource-center</w:t>
        </w:r>
      </w:hyperlink>
      <w:r>
        <w:t>)</w:t>
      </w:r>
    </w:p>
    <w:p w14:paraId="5420ECDD" w14:textId="77777777" w:rsidR="001F7233" w:rsidRDefault="00000000">
      <w:pPr>
        <w:pStyle w:val="ListParagraph"/>
        <w:numPr>
          <w:ilvl w:val="0"/>
          <w:numId w:val="1"/>
        </w:numPr>
        <w:spacing w:after="60"/>
      </w:pPr>
      <w:r>
        <w:t>Bundesministerium der Justiz — deutsches Mietrecht, §§ 535 ff. BGB (</w:t>
      </w:r>
      <w:hyperlink r:id="rId222">
        <w:r w:rsidR="001F7233">
          <w:rPr>
            <w:color w:val="0563C1"/>
            <w:u w:val="single"/>
          </w:rPr>
          <w:t>gesetze-im-internet.de/bgb</w:t>
        </w:r>
      </w:hyperlink>
      <w:r>
        <w:t>)</w:t>
      </w:r>
    </w:p>
    <w:p w14:paraId="0E2BBC4B" w14:textId="77777777" w:rsidR="001F7233" w:rsidRDefault="001F7233">
      <w:pPr>
        <w:spacing w:line="120" w:lineRule="exact"/>
      </w:pPr>
    </w:p>
    <w:p w14:paraId="3EE35333" w14:textId="77777777" w:rsidR="001F7233" w:rsidRDefault="001F7233">
      <w:pPr>
        <w:pStyle w:val="ListParagraph"/>
      </w:pPr>
      <w:hyperlink r:id="rId223">
        <w:r>
          <w:rPr>
            <w:rStyle w:val="Hyperlink"/>
          </w:rPr>
          <w:t>USA.gov</w:t>
        </w:r>
      </w:hyperlink>
      <w:r>
        <w:t xml:space="preserve"> — tenant rights overview: </w:t>
      </w:r>
      <w:hyperlink r:id="rId224">
        <w:r>
          <w:rPr>
            <w:rStyle w:val="Hyperlink"/>
          </w:rPr>
          <w:t>usa.gov/tenant-rights</w:t>
        </w:r>
      </w:hyperlink>
    </w:p>
    <w:p w14:paraId="31FBB015" w14:textId="77777777" w:rsidR="001F7233" w:rsidRDefault="00000000">
      <w:r>
        <w:lastRenderedPageBreak/>
        <w:t>• Quellen- und Datenstand: September 2026; Redaktionsschluss: Oktober 2026. Diese Angaben ändern sich schnell: Mieten (je Markt monatlich), Bewerbungsgebühren und Kautionsregeln (Landesgesetze werden häufig angepasst), Preise für Bürgschaft und Corporate Housing, Strompreise, der FARE Act (weitere Rechtsmittel möglich) und das Gebührenverbot der Stadt Seattle (ab 1. Juli 2027). Prüfe vor jeder Unterschrift Mietvertrag und aktuelle Regeln deines Staates.</w:t>
      </w:r>
    </w:p>
    <w:p w14:paraId="1F9EE654" w14:textId="77777777" w:rsidR="001F7233" w:rsidRDefault="00000000">
      <w:pPr>
        <w:spacing w:line="220" w:lineRule="exact"/>
      </w:pPr>
      <w:r>
        <w:br w:type="page"/>
      </w:r>
    </w:p>
    <w:p w14:paraId="2DF6F00B" w14:textId="77777777" w:rsidR="001F7233" w:rsidRDefault="00000000">
      <w:pPr>
        <w:pStyle w:val="Heading2"/>
        <w:keepNext/>
        <w:spacing w:line="341" w:lineRule="auto"/>
        <w:jc w:val="center"/>
      </w:pPr>
      <w:bookmarkStart w:id="39" w:name="k14"/>
      <w:r>
        <w:rPr>
          <w:rFonts w:ascii="Amazon Ember" w:eastAsia="Amazon Ember" w:hAnsi="Amazon Ember" w:cs="Amazon Ember"/>
          <w:color w:val="0000FF"/>
          <w:sz w:val="36"/>
          <w:szCs w:val="36"/>
        </w:rPr>
        <w:lastRenderedPageBreak/>
        <w:t>Kapitel 14: Kaufen in den USA und Hypotheken-Know-how</w:t>
      </w:r>
      <w:bookmarkEnd w:id="39"/>
    </w:p>
    <w:p w14:paraId="7563B36E" w14:textId="77777777" w:rsidR="001F7233" w:rsidRDefault="00000000">
      <w:pPr>
        <w:spacing w:after="140"/>
      </w:pPr>
      <w:r>
        <w:t>Im Vorgarten steckt ein Schild „For Sale“, drei Tage später hängt darunter „Under Contract“. Im August 2026 dauerte es im Median 31 Tage, bis ein bestehendes Haus vermarktet war und 27 % der Käufe liefen ganz ohne Kredit. Wer als Visa-Inhaber mitbieten will, muss vorher zwei Fragen klären, die sich deutsche Käufer selten so scharf stellen: Bekomme ich überhaupt eine Finanzierung? Und rechnet sich der Kauf, wenn mein Aufenthalt am Arbeitgeber hängt?</w:t>
      </w:r>
    </w:p>
    <w:p w14:paraId="0CE77036" w14:textId="77777777" w:rsidR="001F7233" w:rsidRDefault="00000000">
      <w:r>
        <w:rPr>
          <w:b/>
        </w:rPr>
        <w:t xml:space="preserve">KURZ GESAGT: </w:t>
      </w:r>
    </w:p>
    <w:p w14:paraId="25C874CD" w14:textId="77777777" w:rsidR="001F7233" w:rsidRDefault="00000000">
      <w:r>
        <w:t>• Kaufen lohnt sich rechnerisch meist erst nach fünf bis zehn Jahren am selben Ort: Kauf und Verkauf kosten zusammen rund 10 % des Preises. Das erste Jahr mietest du besser (</w:t>
      </w:r>
      <w:hyperlink w:anchor="k13">
        <w:r w:rsidR="001F7233">
          <w:rPr>
            <w:color w:val="0563C1"/>
            <w:u w:val="single"/>
          </w:rPr>
          <w:t>Kapitel 13</w:t>
        </w:r>
      </w:hyperlink>
      <w:r>
        <w:t>).</w:t>
      </w:r>
    </w:p>
    <w:p w14:paraId="1635A442" w14:textId="77777777" w:rsidR="001F7233" w:rsidRDefault="00000000">
      <w:r>
        <w:t>FHA-Kredite (staatlich abgesicherte Kredite mit kleiner Anzahlung) stehen Nicht-Daueraufenthaltsberechtigten nach HUD Mortgagee Letter 2025-09 seit 25. Mai 2025 nicht offen; für rechtmäßige Daueraufenthaltsberechtigte gelten weiterhin die FHA-Voraussetzungen.</w:t>
      </w:r>
    </w:p>
    <w:p w14:paraId="22EB2BE7" w14:textId="77777777" w:rsidR="001F7233" w:rsidRDefault="00000000">
      <w:r>
        <w:t>• Der 30-Jahres-Festzins lag am 17. September 2026 bei 6,95 %. Ein Haus für 500.000 $ kostet mit 20 % Anzahlung rund 3.314 $ im Monat, mit 10 % Anzahlung rund 3.833 $, jeweils mit Grundsteuer und Versicherung.</w:t>
      </w:r>
    </w:p>
    <w:p w14:paraId="3300120A" w14:textId="77777777" w:rsidR="001F7233" w:rsidRDefault="00000000">
      <w:r>
        <w:t>• Zur Anzahlung kommen 2–5 % Abschlusskosten: Bei 500.000 $ Kaufpreis brauchst du 60.000–125.000 $ Bargeld.</w:t>
      </w:r>
    </w:p>
    <w:p w14:paraId="24C0CA4C" w14:textId="77777777" w:rsidR="001F7233" w:rsidRDefault="00000000">
      <w:r>
        <w:t>• Grundsteuer (etwa 0,3–1,9 % des Werts pro Jahr) und Hausversicherung (grob 1.000–7.000 $ pro Jahr) hängen stark vom Bundesstaat ab.</w:t>
      </w:r>
    </w:p>
    <w:p w14:paraId="131D9616" w14:textId="77777777" w:rsidR="001F7233" w:rsidRDefault="00000000">
      <w:r>
        <w:t>• Statt Notar und Grundbuch arbeiten eine Titelgesellschaft und ein Treuhänder für dich; eine Titelversicherung deckt das Restrisiko.</w:t>
      </w:r>
    </w:p>
    <w:p w14:paraId="7113809D" w14:textId="77777777" w:rsidR="001F7233" w:rsidRDefault="001F7233">
      <w:pPr>
        <w:spacing w:line="220" w:lineRule="exact"/>
      </w:pPr>
    </w:p>
    <w:p w14:paraId="1439F0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Mieten oder kaufen: die Rechnung</w:t>
      </w:r>
    </w:p>
    <w:p w14:paraId="0DD90781" w14:textId="77777777" w:rsidR="001F7233" w:rsidRDefault="00000000">
      <w:pPr>
        <w:spacing w:after="140"/>
      </w:pPr>
      <w:r>
        <w:t>Verbreiteter Irrtum: Miete ist verlorenes Geld, ein Kauf dagegen automatisch Vermögensaufbau. Tatsächlich zeigt die Rechnung weiter unten: Ob sich ein Kauf lohnt, hängt von Haltedauer und Wertzuwachs ab – beides Annahmen, keine Garantien. Die Eigentumsquote lag im zweiten Quartal 2026 bei 65,0 % (Census). Das spiegelt Kultur, Steuerrecht und Zinsen, aber keinen Rechenvorteil für jeden Einzelfall. Für dich zählt ein nüchterner Vergleich.</w:t>
      </w:r>
    </w:p>
    <w:p w14:paraId="5A019775" w14:textId="77777777" w:rsidR="001F7233" w:rsidRDefault="00000000">
      <w:pPr>
        <w:spacing w:after="140"/>
      </w:pPr>
      <w:r>
        <w:t xml:space="preserve">Eine erste Orientierung gibt das </w:t>
      </w:r>
      <w:r>
        <w:rPr>
          <w:i/>
          <w:iCs/>
        </w:rPr>
        <w:t>Price-to-Rent-Verhältnis</w:t>
      </w:r>
      <w:r>
        <w:t xml:space="preserve">: Kaufpreis geteilt durch die Jahresmiete einer vergleichbaren Wohnung. Der Median für bestehende Häuser lag im August 2026 bei 429.100 $ (NAR, </w:t>
      </w:r>
      <w:r>
        <w:rPr>
          <w:i/>
          <w:iCs/>
        </w:rPr>
        <w:t>National Association of Realtors</w:t>
      </w:r>
      <w:r>
        <w:t>, der US-Maklerverband). Geteilt durch die Zillow-Angebotsmiete von 1.962 $ pro Monat ergibt das 18,2, geteilt durch die Apartment-List-Medianmiete von 1.390 $ sind es 25,7. Als Faustregel spricht ein Wert über 20 eher fürs Mieten. Die Datenquellen sind nicht vergleichbar, und Median-Haus gegen Median-Wohnung hinkt. Rechne deshalb mit deinem konkreten Objekt und der Miete eines wirklich vergleichbaren Hauses.</w:t>
      </w:r>
    </w:p>
    <w:p w14:paraId="0A1C5B2B" w14:textId="77777777" w:rsidR="001F7233" w:rsidRDefault="00000000">
      <w:pPr>
        <w:spacing w:after="140"/>
      </w:pPr>
      <w:r>
        <w:t>Genauer wird eine Modellrechnung: Haus für 500.000 $, 10 % Anzahlung, 6,95 % Zins, Grundsteuer 1 %, Versicherung 3.000 $, PMI 0,5 %, Instandhaltung 1 %. Dazu angenommen: Kaufkosten 3 %, Verkaufskosten 7 %, Kapitalkosten 4 % (was das gebundene Geld anderswo einbrächte) und Mietsteigerung 3 % pro Jahr. Die Tabelle nennt die Anfangsmiete in Dollar pro Monat, ab der Kaufen günstiger ist (eigene Modellrechnung, Stand 09/2026).</w:t>
      </w:r>
    </w:p>
    <w:p w14:paraId="7CE2372A" w14:textId="77777777" w:rsidR="001F7233" w:rsidRDefault="00000000">
      <w:r>
        <w:rPr>
          <w:b/>
        </w:rPr>
        <w:t>Drei Jahre</w:t>
      </w:r>
    </w:p>
    <w:p w14:paraId="0D6B4F74" w14:textId="77777777" w:rsidR="001F7233" w:rsidRDefault="00000000">
      <w:r>
        <w:rPr>
          <w:b/>
        </w:rPr>
        <w:t xml:space="preserve">Kein Wertzuwachs: </w:t>
      </w:r>
      <w:r>
        <w:t>5.296</w:t>
      </w:r>
    </w:p>
    <w:p w14:paraId="68D3DF18" w14:textId="77777777" w:rsidR="001F7233" w:rsidRDefault="00000000">
      <w:r>
        <w:rPr>
          <w:b/>
        </w:rPr>
        <w:t xml:space="preserve">2 % pro Jahr: </w:t>
      </w:r>
      <w:r>
        <w:t>4.540</w:t>
      </w:r>
    </w:p>
    <w:p w14:paraId="23228046" w14:textId="77777777" w:rsidR="001F7233" w:rsidRDefault="00000000">
      <w:r>
        <w:rPr>
          <w:b/>
        </w:rPr>
        <w:t xml:space="preserve">4 % pro Jahr: </w:t>
      </w:r>
      <w:r>
        <w:t>3.754</w:t>
      </w:r>
    </w:p>
    <w:p w14:paraId="7D9FCE20" w14:textId="77777777" w:rsidR="001F7233" w:rsidRDefault="00000000">
      <w:r>
        <w:rPr>
          <w:b/>
        </w:rPr>
        <w:t>Fünf Jahre</w:t>
      </w:r>
    </w:p>
    <w:p w14:paraId="76B39383" w14:textId="77777777" w:rsidR="001F7233" w:rsidRDefault="00000000">
      <w:r>
        <w:rPr>
          <w:b/>
        </w:rPr>
        <w:lastRenderedPageBreak/>
        <w:t xml:space="preserve">Kein Wertzuwachs: </w:t>
      </w:r>
      <w:r>
        <w:t>4.615</w:t>
      </w:r>
    </w:p>
    <w:p w14:paraId="622F0C63" w14:textId="77777777" w:rsidR="001F7233" w:rsidRDefault="00000000">
      <w:r>
        <w:rPr>
          <w:b/>
        </w:rPr>
        <w:t xml:space="preserve">2 % pro Jahr: </w:t>
      </w:r>
      <w:r>
        <w:t>3.875</w:t>
      </w:r>
    </w:p>
    <w:p w14:paraId="41FB1F49" w14:textId="77777777" w:rsidR="001F7233" w:rsidRDefault="00000000">
      <w:r>
        <w:rPr>
          <w:b/>
        </w:rPr>
        <w:t xml:space="preserve">4 % pro Jahr: </w:t>
      </w:r>
      <w:r>
        <w:t>3.074</w:t>
      </w:r>
    </w:p>
    <w:p w14:paraId="59EC0DE2" w14:textId="77777777" w:rsidR="001F7233" w:rsidRDefault="00000000">
      <w:r>
        <w:rPr>
          <w:b/>
        </w:rPr>
        <w:t>Sieben Jahre</w:t>
      </w:r>
    </w:p>
    <w:p w14:paraId="4FDD7330" w14:textId="77777777" w:rsidR="001F7233" w:rsidRDefault="00000000">
      <w:r>
        <w:rPr>
          <w:b/>
        </w:rPr>
        <w:t xml:space="preserve">Kein Wertzuwachs: </w:t>
      </w:r>
      <w:r>
        <w:t>4.257</w:t>
      </w:r>
    </w:p>
    <w:p w14:paraId="7D98DB57" w14:textId="77777777" w:rsidR="001F7233" w:rsidRDefault="00000000">
      <w:r>
        <w:rPr>
          <w:b/>
        </w:rPr>
        <w:t xml:space="preserve">2 % pro Jahr: </w:t>
      </w:r>
      <w:r>
        <w:t>3.532</w:t>
      </w:r>
    </w:p>
    <w:p w14:paraId="6C238FD0" w14:textId="77777777" w:rsidR="001F7233" w:rsidRDefault="00000000">
      <w:r>
        <w:rPr>
          <w:b/>
        </w:rPr>
        <w:t xml:space="preserve">4 % pro Jahr: </w:t>
      </w:r>
      <w:r>
        <w:t>2.715</w:t>
      </w:r>
    </w:p>
    <w:p w14:paraId="2B511E77" w14:textId="77777777" w:rsidR="001F7233" w:rsidRDefault="00000000">
      <w:r>
        <w:rPr>
          <w:b/>
        </w:rPr>
        <w:t>Zehn Jahre</w:t>
      </w:r>
    </w:p>
    <w:p w14:paraId="620A9777" w14:textId="77777777" w:rsidR="001F7233" w:rsidRDefault="00000000">
      <w:r>
        <w:rPr>
          <w:b/>
        </w:rPr>
        <w:t xml:space="preserve">Kein Wertzuwachs: </w:t>
      </w:r>
      <w:r>
        <w:t>3.875</w:t>
      </w:r>
    </w:p>
    <w:p w14:paraId="4B61A112" w14:textId="77777777" w:rsidR="001F7233" w:rsidRDefault="00000000">
      <w:r>
        <w:rPr>
          <w:b/>
        </w:rPr>
        <w:t xml:space="preserve">2 % pro Jahr: </w:t>
      </w:r>
      <w:r>
        <w:t>3.173</w:t>
      </w:r>
    </w:p>
    <w:p w14:paraId="7B6D1E81" w14:textId="77777777" w:rsidR="001F7233" w:rsidRDefault="00000000">
      <w:r>
        <w:rPr>
          <w:b/>
        </w:rPr>
        <w:t xml:space="preserve">4 % pro Jahr: </w:t>
      </w:r>
      <w:r>
        <w:t>2.332</w:t>
      </w:r>
    </w:p>
    <w:p w14:paraId="24383B71" w14:textId="77777777" w:rsidR="001F7233" w:rsidRDefault="001F7233">
      <w:pPr>
        <w:spacing w:line="180" w:lineRule="exact"/>
      </w:pPr>
    </w:p>
    <w:p w14:paraId="1C4D2C34" w14:textId="77777777" w:rsidR="001F7233" w:rsidRDefault="00000000">
      <w:pPr>
        <w:spacing w:after="140"/>
      </w:pPr>
      <w:r>
        <w:t>So liest du die Tabelle: Ließe sich ein vergleichbares Haus für 2.600 $ mieten (Price-to-Rent 16), lohnt sich der Kauf in diesem Modell erst bei 4 % Wertzuwachs pro Jahr und rund zehn Jahren Haltedauer. Kostet die Miete in einer teuren Metropole 3.500 $, kippt die Rechnung nach fünf Jahren, sofern der Wert um 4 % jährlich steigt. Bei 2 % dauert es zwischen sieben und zehn Jahren. Der NAR-Median stieg zuletzt nur um 1,6 % pro Jahr. Wertzuwachs ist also eine Annahme, keine Zusage. Die Faustregel „mindestens fünf Jahre“ ist die Untergrenze, keine Garantie. Bei 20 % Anzahlung ändert sich das Bild kaum (nach fünf Jahren: 4.343 $, 3.603 $ bzw. 2.802 $).</w:t>
      </w:r>
    </w:p>
    <w:p w14:paraId="57A58B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Jobrisiko, Liquidität und Verkaufskosten</w:t>
      </w:r>
    </w:p>
    <w:p w14:paraId="04EC3BF3" w14:textId="77777777" w:rsidR="001F7233" w:rsidRDefault="00000000">
      <w:pPr>
        <w:spacing w:after="140"/>
      </w:pPr>
      <w:r>
        <w:t>Bei einem Arbeitsvisum kommt ein Risiko hinzu, das ein Beschäftigter mit unbefristetem deutschem Vertrag nicht kennt: Dein Status hängt am Arbeitgeber (Kapitel </w:t>
      </w:r>
      <w:hyperlink w:anchor="k5">
        <w:r w:rsidR="001F7233">
          <w:t>5</w:t>
        </w:r>
      </w:hyperlink>
      <w:r>
        <w:t>). Nach einem Stellenabbau bleibt meist höchstens ein Fenster von 60 Tagen, um einen neuen Sponsor zu finden oder auszureisen (Kapitel </w:t>
      </w:r>
      <w:hyperlink w:anchor="k30">
        <w:r w:rsidR="001F7233">
          <w:t>30</w:t>
        </w:r>
      </w:hyperlink>
      <w:r>
        <w:t xml:space="preserve">). Wer dann verkaufen muss, zahlt die Rechnung von oben: Kaufkosten von 3 % und Verkaufskosten von 7 % sind bei 500.000 $ zusammen rund </w:t>
      </w:r>
      <w:r>
        <w:lastRenderedPageBreak/>
        <w:t>50.000 $. Eine Rückkehr nach weniger als drei bis fünf Jahren endet deshalb meist mit Verlust.</w:t>
      </w:r>
    </w:p>
    <w:p w14:paraId="75C4936B" w14:textId="77777777" w:rsidR="001F7233" w:rsidRDefault="00000000">
      <w:pPr>
        <w:spacing w:after="140"/>
      </w:pPr>
      <w:r>
        <w:t>Liquidität ist der zweite Punkt. Anzahlung und Abschlusskosten binden 60.000–125.000 $, die dir im Notfall fehlen. Ein Haus verkaufst du nicht in einer Woche: Bis zum Closing vergehen meist Wochen bis Monate. Hinzu kommen Kosten, die eine Mietwohnung nicht kennt. Als Faustregel gelten 1–2 % des Werts pro Jahr für Instandhaltung (nicht belegt). Dach, Heizung, Klimaanlage und Wasserboiler sind allein deine Sache.</w:t>
      </w:r>
    </w:p>
    <w:p w14:paraId="11586E47" w14:textId="77777777" w:rsidR="001F7233" w:rsidRDefault="00000000">
      <w:pPr>
        <w:spacing w:after="140"/>
      </w:pPr>
      <w:r>
        <w:t>Kaufen ist trotzdem vernünftig, wenn du mindestens fünf bis sieben Jahre am Ort bleiben willst, der Arbeitgeber stabil ist, das Green-Card-Verfahren weit fortgeschritten oder abgeschlossen ist (Kapitel </w:t>
      </w:r>
      <w:hyperlink w:anchor="k6">
        <w:r w:rsidR="001F7233">
          <w:t>6</w:t>
        </w:r>
      </w:hyperlink>
      <w:r>
        <w:t>) und nach dem Kauf noch mehrere Monatsraten als Reserve bleiben.</w:t>
      </w:r>
    </w:p>
    <w:p w14:paraId="088B5DC2" w14:textId="77777777" w:rsidR="001F7233" w:rsidRDefault="00000000">
      <w:r>
        <w:rPr>
          <w:b/>
        </w:rPr>
        <w:t xml:space="preserve">MERKE: </w:t>
      </w:r>
    </w:p>
    <w:p w14:paraId="65988549" w14:textId="77777777" w:rsidR="001F7233" w:rsidRDefault="00000000">
      <w:r>
        <w:t>• Wer kauft, wettet auf Bleiben. Die Kosten des Rückwegs von rund 10 % trägst du auch dann, wenn der Grund für den Umzug nicht in deiner Hand liegt.</w:t>
      </w:r>
    </w:p>
    <w:p w14:paraId="273E28FF" w14:textId="77777777" w:rsidR="001F7233" w:rsidRDefault="001F7233">
      <w:pPr>
        <w:spacing w:line="220" w:lineRule="exact"/>
      </w:pPr>
    </w:p>
    <w:p w14:paraId="16B7928F" w14:textId="77777777" w:rsidR="001F7233" w:rsidRDefault="00000000">
      <w:r>
        <w:rPr>
          <w:b/>
        </w:rPr>
        <w:t xml:space="preserve">SPARTIPP: </w:t>
      </w:r>
    </w:p>
    <w:p w14:paraId="1B7E3C36" w14:textId="77777777" w:rsidR="001F7233" w:rsidRDefault="00000000">
      <w:r>
        <w:t>• Miete 12 bis 24 Monate, bevor du kaufst. Du lernst Region, Pendelwege und Schuldistrikt kennen (</w:t>
      </w:r>
      <w:hyperlink w:anchor="k12">
        <w:r w:rsidR="001F7233">
          <w:rPr>
            <w:color w:val="0563C1"/>
            <w:u w:val="single"/>
          </w:rPr>
          <w:t>Kapitel 12</w:t>
        </w:r>
      </w:hyperlink>
      <w:r>
        <w:t xml:space="preserve"> und 36), vermeidest einen teuren Fehlkauf und baust die US-Kredithistorie auf, die Konformkredite ohnehin verlangen (</w:t>
      </w:r>
      <w:hyperlink w:anchor="k25">
        <w:r w:rsidR="001F7233">
          <w:rPr>
            <w:color w:val="0563C1"/>
            <w:u w:val="single"/>
          </w:rPr>
          <w:t>Kapitel 25</w:t>
        </w:r>
      </w:hyperlink>
      <w:r>
        <w:t>).</w:t>
      </w:r>
    </w:p>
    <w:p w14:paraId="54D8A94D" w14:textId="77777777" w:rsidR="001F7233" w:rsidRDefault="001F7233">
      <w:pPr>
        <w:spacing w:line="220" w:lineRule="exact"/>
      </w:pPr>
    </w:p>
    <w:p w14:paraId="16E3C5F8" w14:textId="77777777" w:rsidR="001F7233" w:rsidRDefault="001F7233">
      <w:pPr>
        <w:spacing w:line="220" w:lineRule="exact"/>
      </w:pPr>
    </w:p>
    <w:p w14:paraId="3B2E6A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als Visa-Inhaber</w:t>
      </w:r>
    </w:p>
    <w:p w14:paraId="7EAB1056" w14:textId="77777777" w:rsidR="001F7233" w:rsidRDefault="00000000">
      <w:pPr>
        <w:spacing w:after="140"/>
      </w:pPr>
      <w:r>
        <w:rPr>
          <w:i/>
          <w:iCs/>
        </w:rPr>
        <w:t xml:space="preserve">Ausländer dürfen in den USA meist Immobilien erwerben; Ausnahmen betreffen bestimmte Staatsangehörigkeiten (siehe unten). Die Hürde ist die Finanzierung: Die meisten Hypotheken für Selbstnutzer folgen den Regeln von Fannie Mae und Freddie Mac, zwei staatlich beaufsichtigten Unternehmen, die Kredite aufkaufen. Solche </w:t>
      </w:r>
      <w:r>
        <w:rPr>
          <w:i/>
          <w:iCs/>
        </w:rPr>
        <w:lastRenderedPageBreak/>
        <w:t>Konformkredite (Conforming Loans) sind der Normalfall. Kreditgeber prüfen, ob du verlässlich zurückzahlst und, als Visa-Inhaber, ob dein Aufenthalt lange genug gesichert ist.</w:t>
      </w:r>
    </w:p>
    <w:p w14:paraId="039EBFF6" w14:textId="77777777" w:rsidR="001F7233" w:rsidRDefault="00000000">
      <w:r>
        <w:rPr>
          <w:b/>
        </w:rPr>
        <w:t>Sozialversicherungsnummer</w:t>
      </w:r>
    </w:p>
    <w:p w14:paraId="7C36F8A3" w14:textId="77777777" w:rsidR="001F7233" w:rsidRDefault="00000000">
      <w:r>
        <w:rPr>
          <w:b/>
        </w:rPr>
        <w:t xml:space="preserve">Typische Anforderung: </w:t>
      </w:r>
      <w:r>
        <w:t>SSN in der Praxis nötig (</w:t>
      </w:r>
      <w:hyperlink w:anchor="k24">
        <w:r w:rsidR="001F7233">
          <w:rPr>
            <w:rStyle w:val="Hyperlink"/>
          </w:rPr>
          <w:t>Kapitel 24</w:t>
        </w:r>
      </w:hyperlink>
      <w:r>
        <w:t>); eine ITIN akzeptieren nur einzelne Anbieter</w:t>
      </w:r>
    </w:p>
    <w:p w14:paraId="63ED6EDD" w14:textId="77777777" w:rsidR="001F7233" w:rsidRDefault="00000000">
      <w:r>
        <w:rPr>
          <w:b/>
        </w:rPr>
        <w:t>Kreditwürdigkeit</w:t>
      </w:r>
    </w:p>
    <w:p w14:paraId="26C2F29F" w14:textId="77777777" w:rsidR="001F7233" w:rsidRDefault="00000000">
      <w:r>
        <w:rPr>
          <w:b/>
        </w:rPr>
        <w:t>Typische Anforderung: US-Credit Score (meist FICO-Score). Fannie Mae verlangt im automatisierten Verfahren seit November 2025 keinen Mindestwert, Kreditgeber meist 620 oder mehr; manuelle Prüfung: 620 (Festzins), 640 (ARM).</w:t>
      </w:r>
    </w:p>
    <w:p w14:paraId="1FE28B8A" w14:textId="77777777" w:rsidR="001F7233" w:rsidRDefault="00000000">
      <w:r>
        <w:rPr>
          <w:b/>
        </w:rPr>
        <w:t>Beschäftigung</w:t>
      </w:r>
    </w:p>
    <w:p w14:paraId="510FF570" w14:textId="77777777" w:rsidR="001F7233" w:rsidRDefault="00000000">
      <w:r>
        <w:rPr>
          <w:b/>
        </w:rPr>
        <w:t xml:space="preserve">Typische Anforderung: </w:t>
      </w:r>
      <w:r>
        <w:t>Meist zwei Jahre US-Arbeitshistorie, bei Konzernversetzung verzichtbar; Arbeitgeberbrief und Gehaltsnachweise</w:t>
      </w:r>
    </w:p>
    <w:p w14:paraId="6C47AE64" w14:textId="77777777" w:rsidR="001F7233" w:rsidRDefault="00000000">
      <w:r>
        <w:rPr>
          <w:b/>
        </w:rPr>
        <w:t>Visum</w:t>
      </w:r>
    </w:p>
    <w:p w14:paraId="14FA10F7" w14:textId="77777777" w:rsidR="001F7233" w:rsidRDefault="00000000">
      <w:r>
        <w:rPr>
          <w:b/>
        </w:rPr>
        <w:t>Typische Anforderung: Gültig beim Closing (Freddie Mac). Kreditgeber verlangen oft mindestens zwölf Monate Restlaufzeit oder Verlängerungsnachweis.</w:t>
      </w:r>
    </w:p>
    <w:p w14:paraId="58699717" w14:textId="77777777" w:rsidR="001F7233" w:rsidRDefault="00000000">
      <w:r>
        <w:rPr>
          <w:b/>
        </w:rPr>
        <w:t>Anzahlung (Down Payment)</w:t>
      </w:r>
    </w:p>
    <w:p w14:paraId="65D63282" w14:textId="77777777" w:rsidR="001F7233" w:rsidRDefault="00000000">
      <w:r>
        <w:rPr>
          <w:b/>
        </w:rPr>
        <w:t xml:space="preserve">Typische Anforderung: </w:t>
      </w:r>
      <w:r>
        <w:t>3–20 % je nach Programm, Erstkäufer im Median 10 % (NAR 2025); Herkunft nachweisen, Guthaben mindestens 60 Tage</w:t>
      </w:r>
    </w:p>
    <w:p w14:paraId="655C874E" w14:textId="77777777" w:rsidR="001F7233" w:rsidRDefault="00000000">
      <w:r>
        <w:rPr>
          <w:b/>
        </w:rPr>
        <w:t>Schuldenquote (DTI)</w:t>
      </w:r>
    </w:p>
    <w:p w14:paraId="29BFB2A0" w14:textId="77777777" w:rsidR="001F7233" w:rsidRDefault="00000000">
      <w:r>
        <w:rPr>
          <w:b/>
        </w:rPr>
        <w:t xml:space="preserve">Typische Anforderung: </w:t>
      </w:r>
      <w:r>
        <w:t>Alle Monatsschulden im Verhältnis zum Bruttoeinkommen: Fannie Mae bis 50 %, manuell 36 % (bis 45 %)</w:t>
      </w:r>
    </w:p>
    <w:p w14:paraId="3A345E32" w14:textId="77777777" w:rsidR="001F7233" w:rsidRDefault="001F7233">
      <w:pPr>
        <w:spacing w:line="180" w:lineRule="exact"/>
      </w:pPr>
    </w:p>
    <w:p w14:paraId="060E753E" w14:textId="77777777" w:rsidR="001F7233" w:rsidRDefault="00000000">
      <w:pPr>
        <w:spacing w:after="140"/>
      </w:pPr>
      <w:r>
        <w:rPr>
          <w:i/>
          <w:iCs/>
        </w:rPr>
        <w:t xml:space="preserve">Dahinter steckt ein wichtiger Unterschied: Fannie Mae behandelt Nicht-Daueraufenthaltsberechtigte unter denselben Bedingungen wie US-Bürger (Selling Guide B2-2-02) und die Agenturregeln nennen keine Mindestlaufzeit des Visums. Viele Kreditgeber setzen sie trotzdem, als Overlay (Zusatzregel über die Agenturvorgabe hinaus): Je nach Anbieter sind es ein bis drei Jahre. Frage früh nach Restlaufzeit, Mindest-Score und Reserven. Deine deutsche Schufa-Historie zählt </w:t>
      </w:r>
      <w:r>
        <w:rPr>
          <w:i/>
          <w:iCs/>
        </w:rPr>
        <w:lastRenderedPageBreak/>
        <w:t>praktisch nicht. Die Dienste für internationale Kreditberichte decken Deutschland nach den vorliegenden Angaben nicht sicher ab.</w:t>
      </w:r>
    </w:p>
    <w:p w14:paraId="73B46D2A" w14:textId="77777777" w:rsidR="001F7233" w:rsidRDefault="00000000">
      <w:pPr>
        <w:spacing w:after="140"/>
      </w:pPr>
      <w:r>
        <w:t xml:space="preserve">Fehlt eine ausreichende US-Historie, kennt Fannie Mae die </w:t>
      </w:r>
      <w:r>
        <w:rPr>
          <w:i/>
          <w:iCs/>
        </w:rPr>
        <w:t>nichttraditionelle Kredithistorie</w:t>
      </w:r>
      <w:r>
        <w:t>: Pünktliche Zahlungen für Miete, Strom, Telefon, Internet oder Versicherung dienen als Nachweis. Die Bedingungen sind eng: nur wenn der Kreditgeber keinen Score beschaffen kann, nur Hauptwohnsitz mit einer Wohneinheit, nur bis zur Basisgrenze von 832.750 $, Schuldenquote höchstens 36 %. Als Mindestreserve verlangt Fannie Mae null Monate, wenn du die Mietzahlung dokumentierst, sonst zwölf Monate (Selling Guide B3-5.4-01). Zu ausländischer Kredithistorie schweigt der Leitfaden. Eine dünne US-Historie ist also kein Ausschluss, aber ein Gespräch mit dem Kreditgeber wert.</w:t>
      </w:r>
    </w:p>
    <w:p w14:paraId="6BCCD373" w14:textId="77777777" w:rsidR="001F7233" w:rsidRDefault="00000000">
      <w:pPr>
        <w:spacing w:after="140"/>
      </w:pPr>
      <w:r>
        <w:t>Zu den Einschränkungen beim Landerwerb: Texas (SB 17, seit 1. September 2025) und Florida (SB 264) beschränken den Erwerb durch Staatsangehörige oder Ansässige bestimmter Länder, darunter China, Russland, Iran und Nordkorea (Florida auch Kuba, Venezuela u. a.). Deutschland steht auf keiner dieser Listen. Prüfe die Rechtslage nur, wenn Mitkäufer einen anderen Pass haben.</w:t>
      </w:r>
    </w:p>
    <w:p w14:paraId="2BD8D1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Hypothek passt?</w:t>
      </w:r>
    </w:p>
    <w:p w14:paraId="37F9266B" w14:textId="77777777" w:rsidR="001F7233" w:rsidRDefault="00000000">
      <w:pPr>
        <w:spacing w:after="140"/>
      </w:pPr>
      <w:r>
        <w:rPr>
          <w:i/>
          <w:iCs/>
        </w:rPr>
        <w:t>Eine Hypothek (Mortgage) ist in den USA ein Ratenkredit über meist 15 oder 30 Jahre, gesichert durch das Haus. Beim 30-Jahres-Kredit bleibt der Zins meist die gesamte Laufzeit fest. In Deutschland ist eine Zinsbindung von 10 bis 15 Jahren üblich.</w:t>
      </w:r>
    </w:p>
    <w:p w14:paraId="6C43A3BF" w14:textId="77777777" w:rsidR="001F7233" w:rsidRDefault="00000000">
      <w:r>
        <w:rPr>
          <w:b/>
        </w:rPr>
        <w:t>Konventionell (Fannie/Freddie)</w:t>
      </w:r>
    </w:p>
    <w:p w14:paraId="79EDBE29" w14:textId="77777777" w:rsidR="001F7233" w:rsidRDefault="00000000">
      <w:r>
        <w:rPr>
          <w:b/>
        </w:rPr>
        <w:t xml:space="preserve">Für Visa-Inhaber: </w:t>
      </w:r>
      <w:r>
        <w:t>Ja</w:t>
      </w:r>
    </w:p>
    <w:p w14:paraId="30A51AC4" w14:textId="77777777" w:rsidR="001F7233" w:rsidRDefault="00000000">
      <w:r>
        <w:rPr>
          <w:b/>
        </w:rPr>
        <w:t xml:space="preserve">Anzahlung: </w:t>
      </w:r>
      <w:r>
        <w:t>3–20 %</w:t>
      </w:r>
    </w:p>
    <w:p w14:paraId="49008C06" w14:textId="77777777" w:rsidR="001F7233" w:rsidRDefault="00000000">
      <w:r>
        <w:rPr>
          <w:b/>
        </w:rPr>
        <w:t xml:space="preserve">Kern: </w:t>
      </w:r>
      <w:r>
        <w:t>SSN, US-Kredit, meist Score ab 620; PMI unter 20 %</w:t>
      </w:r>
    </w:p>
    <w:p w14:paraId="35088C36" w14:textId="77777777" w:rsidR="001F7233" w:rsidRDefault="00000000">
      <w:r>
        <w:rPr>
          <w:b/>
        </w:rPr>
        <w:t>FHA</w:t>
      </w:r>
    </w:p>
    <w:p w14:paraId="23F7B8C7" w14:textId="77777777" w:rsidR="001F7233" w:rsidRDefault="00000000">
      <w:r>
        <w:rPr>
          <w:b/>
        </w:rPr>
        <w:t xml:space="preserve">Für Visa-Inhaber: </w:t>
      </w:r>
      <w:r>
        <w:t>Nein, seit 25.05.2025</w:t>
      </w:r>
    </w:p>
    <w:p w14:paraId="717876DE" w14:textId="77777777" w:rsidR="001F7233" w:rsidRDefault="00000000">
      <w:r>
        <w:rPr>
          <w:b/>
        </w:rPr>
        <w:t xml:space="preserve">Anzahlung: </w:t>
      </w:r>
      <w:r>
        <w:t>–</w:t>
      </w:r>
    </w:p>
    <w:p w14:paraId="357514EA" w14:textId="77777777" w:rsidR="001F7233" w:rsidRDefault="00000000">
      <w:r>
        <w:rPr>
          <w:b/>
        </w:rPr>
        <w:lastRenderedPageBreak/>
        <w:t xml:space="preserve">Kern: </w:t>
      </w:r>
      <w:r>
        <w:t>Nur Bürger, Green-Card-Inhaber, Bürger von Mikronesien, Marshallinseln, Palau</w:t>
      </w:r>
    </w:p>
    <w:p w14:paraId="67B02EFF" w14:textId="77777777" w:rsidR="001F7233" w:rsidRDefault="00000000">
      <w:r>
        <w:rPr>
          <w:b/>
        </w:rPr>
        <w:t>Jumbo</w:t>
      </w:r>
    </w:p>
    <w:p w14:paraId="6D07CC3E" w14:textId="77777777" w:rsidR="001F7233" w:rsidRDefault="00000000">
      <w:r>
        <w:rPr>
          <w:b/>
        </w:rPr>
        <w:t xml:space="preserve">Für Visa-Inhaber: </w:t>
      </w:r>
      <w:r>
        <w:t>Ja, Regeln je Kreditgeber</w:t>
      </w:r>
    </w:p>
    <w:p w14:paraId="5F335E08" w14:textId="77777777" w:rsidR="001F7233" w:rsidRDefault="00000000">
      <w:r>
        <w:rPr>
          <w:b/>
        </w:rPr>
        <w:t xml:space="preserve">Anzahlung: </w:t>
      </w:r>
      <w:r>
        <w:t>je Kreditgeber</w:t>
      </w:r>
    </w:p>
    <w:p w14:paraId="50AB4E51" w14:textId="77777777" w:rsidR="001F7233" w:rsidRDefault="00000000">
      <w:r>
        <w:rPr>
          <w:b/>
        </w:rPr>
        <w:t xml:space="preserve">Kern: </w:t>
      </w:r>
      <w:r>
        <w:t>Über der Kreditgrenze: 832.750 $ (2026), in Hochkostenregionen bis 1.249.125 $</w:t>
      </w:r>
    </w:p>
    <w:p w14:paraId="56E86B77" w14:textId="77777777" w:rsidR="001F7233" w:rsidRDefault="00000000">
      <w:r>
        <w:rPr>
          <w:b/>
        </w:rPr>
        <w:t>Non-QM / Foreign National</w:t>
      </w:r>
    </w:p>
    <w:p w14:paraId="2D6F9F9B" w14:textId="77777777" w:rsidR="001F7233" w:rsidRDefault="00000000">
      <w:r>
        <w:rPr>
          <w:b/>
        </w:rPr>
        <w:t xml:space="preserve">Für Visa-Inhaber: </w:t>
      </w:r>
      <w:r>
        <w:t>Ja</w:t>
      </w:r>
    </w:p>
    <w:p w14:paraId="2E4ABBF3" w14:textId="77777777" w:rsidR="001F7233" w:rsidRDefault="00000000">
      <w:r>
        <w:rPr>
          <w:b/>
        </w:rPr>
        <w:t xml:space="preserve">Anzahlung: </w:t>
      </w:r>
      <w:r>
        <w:t>20–50 %</w:t>
      </w:r>
    </w:p>
    <w:p w14:paraId="04192D6D" w14:textId="77777777" w:rsidR="001F7233" w:rsidRDefault="00000000">
      <w:r>
        <w:rPr>
          <w:b/>
        </w:rPr>
        <w:t xml:space="preserve">Kern: </w:t>
      </w:r>
      <w:r>
        <w:t>Kein US-Kredit nötig; Zinsaufschlag 0,5–2 Prozentpunkte; 6–12 Monate Reserven</w:t>
      </w:r>
    </w:p>
    <w:p w14:paraId="54F06166" w14:textId="77777777" w:rsidR="001F7233" w:rsidRDefault="00000000">
      <w:r>
        <w:rPr>
          <w:b/>
        </w:rPr>
        <w:t>DSCR</w:t>
      </w:r>
    </w:p>
    <w:p w14:paraId="24D565BD" w14:textId="77777777" w:rsidR="001F7233" w:rsidRDefault="00000000">
      <w:r>
        <w:rPr>
          <w:b/>
        </w:rPr>
        <w:t xml:space="preserve">Für Visa-Inhaber: </w:t>
      </w:r>
      <w:r>
        <w:t>Nur Vermietobjekte</w:t>
      </w:r>
    </w:p>
    <w:p w14:paraId="29ACDBC7" w14:textId="77777777" w:rsidR="001F7233" w:rsidRDefault="00000000">
      <w:r>
        <w:rPr>
          <w:b/>
        </w:rPr>
        <w:t xml:space="preserve">Anzahlung: </w:t>
      </w:r>
      <w:r>
        <w:t>20–25 %</w:t>
      </w:r>
    </w:p>
    <w:p w14:paraId="67782C25" w14:textId="77777777" w:rsidR="001F7233" w:rsidRDefault="00000000">
      <w:r>
        <w:rPr>
          <w:b/>
        </w:rPr>
        <w:t xml:space="preserve">Kern: </w:t>
      </w:r>
      <w:r>
        <w:t>Nicht für Eigennutzung</w:t>
      </w:r>
    </w:p>
    <w:p w14:paraId="084272E4" w14:textId="77777777" w:rsidR="001F7233" w:rsidRDefault="00000000">
      <w:r>
        <w:rPr>
          <w:b/>
        </w:rPr>
        <w:t>ITIN-Kredit</w:t>
      </w:r>
    </w:p>
    <w:p w14:paraId="783E5A6F" w14:textId="77777777" w:rsidR="001F7233" w:rsidRDefault="00000000">
      <w:r>
        <w:rPr>
          <w:b/>
        </w:rPr>
        <w:t xml:space="preserve">Für Visa-Inhaber: </w:t>
      </w:r>
      <w:r>
        <w:t>Non-QM-Nische</w:t>
      </w:r>
    </w:p>
    <w:p w14:paraId="0B204AB7" w14:textId="77777777" w:rsidR="001F7233" w:rsidRDefault="00000000">
      <w:r>
        <w:rPr>
          <w:b/>
        </w:rPr>
        <w:t xml:space="preserve">Anzahlung: </w:t>
      </w:r>
      <w:r>
        <w:t>Anbieter nennen 10–30 %</w:t>
      </w:r>
    </w:p>
    <w:p w14:paraId="70DF01A7" w14:textId="77777777" w:rsidR="001F7233" w:rsidRDefault="00000000">
      <w:r>
        <w:rPr>
          <w:b/>
        </w:rPr>
        <w:t xml:space="preserve">Kern: </w:t>
      </w:r>
      <w:r>
        <w:t>Aufschlag laut Anbietern 1–3 Prozentpunkte; Konditionen schwanken stark</w:t>
      </w:r>
    </w:p>
    <w:p w14:paraId="364F6632" w14:textId="77777777" w:rsidR="001F7233" w:rsidRDefault="001F7233">
      <w:pPr>
        <w:spacing w:line="180" w:lineRule="exact"/>
      </w:pPr>
    </w:p>
    <w:p w14:paraId="1F104FD4" w14:textId="77777777" w:rsidR="001F7233" w:rsidRDefault="00000000">
      <w:pPr>
        <w:spacing w:after="140"/>
      </w:pPr>
      <w:r>
        <w:rPr>
          <w:i/>
          <w:iCs/>
        </w:rPr>
        <w:t>Non-QM steht für „Non-Qualified Mortgage“: Kredite außer der Fannie-und-Freddie-Standards, bei denen der Kreditgeber das Risiko selbst trägt. Foreign-National-Kredite richten sich an Ausländer ohne US-Kredithistorie; die Spannen stammen von Anbietern und ändern sich. Ein Jumbo-Kredit liegt über der Conforming Loan Limit, der Obergrenze, bis zu der Fannie und Freddie Kredite kaufen (Festlegung der Bundesbehörde FHFA).</w:t>
      </w:r>
    </w:p>
    <w:p w14:paraId="4FD32C51" w14:textId="77777777" w:rsidR="001F7233" w:rsidRDefault="00000000">
      <w:r>
        <w:rPr>
          <w:b/>
        </w:rPr>
        <w:t xml:space="preserve">ACHTUNG: </w:t>
      </w:r>
    </w:p>
    <w:p w14:paraId="7357F105" w14:textId="77777777" w:rsidR="001F7233" w:rsidRDefault="00000000">
      <w:r>
        <w:t xml:space="preserve">Blogs, Foren und ältere Ratgeber versprechen Nicht-Daueraufenthaltsberechtigten FHA-Kredite mit kleiner Anzahlung. Seit dem Mortgagee Letter 2025-09 (wirksam ab 25. Mai 2025) gilt das nicht mehr; rechtmäßige Daueraufenthaltsberechtigte können weiterhin antragsberechtigt sein. Bis zum Redaktionsstand Oktober </w:t>
      </w:r>
      <w:r>
        <w:lastRenderedPageBreak/>
        <w:t>2026 war die Regel nicht zurückgenommen. Prüfe vor dem Antrag HUD-Handbuch und Kreditgeberbedingungen.</w:t>
      </w:r>
    </w:p>
    <w:p w14:paraId="0FC6459B" w14:textId="77777777" w:rsidR="001F7233" w:rsidRDefault="001F7233">
      <w:pPr>
        <w:spacing w:line="220" w:lineRule="exact"/>
      </w:pPr>
    </w:p>
    <w:p w14:paraId="4468F74B" w14:textId="77777777" w:rsidR="001F7233" w:rsidRDefault="00000000">
      <w:pPr>
        <w:spacing w:after="140"/>
      </w:pPr>
      <w:r>
        <w:rPr>
          <w:i/>
          <w:iCs/>
        </w:rPr>
        <w:t>Bei der Laufzeit rechnest du mit 400.000 $ Darlehen. Der 30-Jahres-Kredit (6,95 %) kostet 2.647,79 $ im Monat und in Summe 553.205 $ Zinsen. Der 15-Jahres-Kredit (6,26 %) kostet 3.431,87 $ im Monat und 217.737 $ Zinsen. Er spart also rund 335.000 $ Zinsen, verlangt aber 784 $ mehr pro Monat. Zusätzliche Tilgungen sind bei den meisten konformen Krediten möglich. Prüfe im Vertrag die Klausel zur Vorfälligkeitsentschädigung (Prepayment Penalty).</w:t>
      </w:r>
    </w:p>
    <w:p w14:paraId="09E3C3A1" w14:textId="77777777" w:rsidR="001F7233" w:rsidRDefault="00000000">
      <w:pPr>
        <w:spacing w:after="140"/>
      </w:pPr>
      <w:r>
        <w:rPr>
          <w:i/>
          <w:iCs/>
        </w:rPr>
        <w:t>Ein ARM (Adjustable-Rate Mortgage, Kredit mit anpassbarem Zins) startet mit einem festen Zins und richtet ihn danach regelmäßig an einem Marktindex plus Aufschlag aus. Bei einem 5/6-ARM ist der Zins fünf Jahre fest, dann alle sechs Monate variabel. Übliche Grenzen (Caps) sind 2/1/5: höchstens 2 Prozentpunkte beim ersten Anpassen, danach höchstens 1 Prozentpunkt je Anpassung, insgesamt höchstens 5 Prozentpunkte über dem Startzins. Fannie Mae verlangt bei manueller Prüfung 640 statt 620. Der Zinsvorteil gegen dem Festzins schwankt mit dem Markt und wurde hier nicht ermittelt. Ein ARM passt am ehesten, wenn du sicher weißt, dass du in der Festphase verkaufst oder umschuldest. Bleibst du länger, trägst du das Zinsrisiko. Rechne die Rate deshalb einmal mit dem höchstmöglichen Zins durch (Startzins plus 5 Prozentpunkte). Sinkt der Zins später, kannst du auch einen Festzins-Kredit refinanzieren (neuer Kredit, neue Abschlusskosten).</w:t>
      </w:r>
    </w:p>
    <w:p w14:paraId="01D4A0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Zinsen, Points und Rate Lock</w:t>
      </w:r>
    </w:p>
    <w:p w14:paraId="5522E940" w14:textId="77777777" w:rsidR="001F7233" w:rsidRDefault="00000000">
      <w:pPr>
        <w:spacing w:after="140"/>
      </w:pPr>
      <w:r>
        <w:t xml:space="preserve">Der Referenzwert ist die wöchentliche Umfrage von Freddie Mac (PMMS, donnerstags). Die Umfrage gilt für konventionelle, konforme Kaufkredite mit 20 % Anzahlung und ausgezeichneter Bonität. Am 17. September 2026 lag sie bei 6,95 % für 30 Jahre fest (Vorwoche 6,76 %, Vorjahr 6,26 %) und bei 6,26 % für 15 Jahre (Vorjahr 5,41 %): der höchste Stand seit Januar 2025. Dein Zins liegt bei 10 % </w:t>
      </w:r>
      <w:r>
        <w:lastRenderedPageBreak/>
        <w:t>Anzahlung eher ein Achtel bis ein Viertel Prozentpunkt darüber. Ein halber Prozentpunkt verändert die Rate bei 400.000 $ Darlehen um 130–140 $: 2.515 $ bei 6,45 %, 2.648 $ bei 6,95 %, 2.783 $ bei 7,45 %.</w:t>
      </w:r>
    </w:p>
    <w:p w14:paraId="375B0EE6" w14:textId="77777777" w:rsidR="001F7233" w:rsidRDefault="00000000">
      <w:pPr>
        <w:spacing w:after="140"/>
      </w:pPr>
      <w:r>
        <w:rPr>
          <w:i/>
          <w:iCs/>
        </w:rPr>
        <w:t>Points</w:t>
      </w:r>
      <w:r>
        <w:t xml:space="preserve"> (Diskontpunkte) sind vorausbezahlte Zinsen. Ein Point kostet 1 % des Darlehens und senkt den Zins um einen Betrag, der je Kreditgeber und Marktlage schwankt (CFPB). Beispielwert: Senkt ein Point den Zins bei 400.000 $ von 6,95 % auf 6,70 %, kostet er 4.000 $ und spart 67 $ im Monat (2.647,79 $ statt 2.581,11 $). Der Break-even liegt nach 60 Monaten. Wer früher verkauft oder umschuldet, verschenkt Geld. Umgekehrt gibt es </w:t>
      </w:r>
      <w:r>
        <w:rPr>
          <w:i/>
          <w:iCs/>
        </w:rPr>
        <w:t>Lender Credits</w:t>
      </w:r>
      <w:r>
        <w:t>: höherer Zins gegen Übernahme von Abschlusskosten. Die echten Abschläge stehen im Loan Estimate.</w:t>
      </w:r>
    </w:p>
    <w:p w14:paraId="3B576572" w14:textId="77777777" w:rsidR="001F7233" w:rsidRDefault="00000000">
      <w:pPr>
        <w:spacing w:after="140"/>
      </w:pPr>
      <w:r>
        <w:t xml:space="preserve">Diesen </w:t>
      </w:r>
      <w:r>
        <w:rPr>
          <w:i/>
          <w:iCs/>
        </w:rPr>
        <w:t>Loan Estimate</w:t>
      </w:r>
      <w:r>
        <w:t xml:space="preserve"> (standardisierte Kostenübersicht im gleichen Format bei allen Kreditgebern) erhältst du binnen drei Werktagen nach dem Antrag. Mit dem </w:t>
      </w:r>
      <w:r>
        <w:rPr>
          <w:i/>
          <w:iCs/>
        </w:rPr>
        <w:t>Rate Lock</w:t>
      </w:r>
      <w:r>
        <w:t xml:space="preserve"> sicherst du dir den Zins für 30, 45 oder 60 Tage.</w:t>
      </w:r>
    </w:p>
    <w:p w14:paraId="22DBA2BA" w14:textId="77777777" w:rsidR="001F7233" w:rsidRDefault="00000000">
      <w:r>
        <w:rPr>
          <w:b/>
        </w:rPr>
        <w:t xml:space="preserve">ACHTUNG: </w:t>
      </w:r>
    </w:p>
    <w:p w14:paraId="5EFE8B04" w14:textId="77777777" w:rsidR="001F7233" w:rsidRDefault="00000000">
      <w:r>
        <w:t>• Ein Rate Lock läuft ab. Dauern Gutachten, Underwriting oder Titelprüfung länger als die gesicherte Frist, wird die Verlängerung teuer. Fällt der Marktzins danach, profitierst du meist nicht. Ändert sich dein Antrag (Preis, Anzahlung, Bonität), kann sich auch der Zins ändern (CFPB). Wähle die Frist mit Puffer und ändere nach der Sicherung nichts mehr am Antrag.</w:t>
      </w:r>
    </w:p>
    <w:p w14:paraId="6628034D" w14:textId="77777777" w:rsidR="001F7233" w:rsidRDefault="001F7233">
      <w:pPr>
        <w:spacing w:line="220" w:lineRule="exact"/>
      </w:pPr>
    </w:p>
    <w:p w14:paraId="28137B90" w14:textId="77777777" w:rsidR="001F7233" w:rsidRDefault="00000000">
      <w:r>
        <w:rPr>
          <w:b/>
        </w:rPr>
        <w:t xml:space="preserve">SPARTIPP: </w:t>
      </w:r>
    </w:p>
    <w:p w14:paraId="0E780DF2" w14:textId="77777777" w:rsidR="001F7233" w:rsidRDefault="00000000">
      <w:r>
        <w:t>• Hole mindestens drei Loan Estimates ein und vergleiche Zins, Points, Gebühren und Rate-Lock-Dauer. Das CFPB empfiehlt das, und es kostet meist nichts. Ein Kreditgeber, der Visa-Inhaber regelmäßig finanziert, kennt die Overlays und erspart dir Wochen.</w:t>
      </w:r>
    </w:p>
    <w:p w14:paraId="2EBBAD18" w14:textId="77777777" w:rsidR="001F7233" w:rsidRDefault="001F7233">
      <w:pPr>
        <w:spacing w:line="220" w:lineRule="exact"/>
      </w:pPr>
    </w:p>
    <w:p w14:paraId="70EC43B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PMI und Escrow: was die Rate enthält</w:t>
      </w:r>
    </w:p>
    <w:p w14:paraId="32EDAC34" w14:textId="77777777" w:rsidR="001F7233" w:rsidRDefault="00000000">
      <w:pPr>
        <w:spacing w:after="140"/>
      </w:pPr>
      <w:r>
        <w:rPr>
          <w:i/>
          <w:iCs/>
        </w:rPr>
        <w:t>PMI (Private Mortgage Insurance) ist eine Versicherung, die den Kreditgeber schützt, nicht dich, aber du bezahlst sie. Bei konventionellen Krediten mit weniger als 20 % Anzahlung ist sie Pflicht. Der Satz hängt von Score und Anzahlung ab und liegt grob bei 0,5–1,5 % des Darlehens pro Jahr (Marktangabe; das Rechenbeispiel unten nimmt 0,5 %). Die Zahlung endet auf Antrag, sobald das Darlehen 80 % des ursprünglichen Werts erreicht (schriftlicher Antrag, gute Zahlungshistorie, keine Zweithypothek), automatisch bei 78 %. Im Rechenbeispiel mit 10 % Anzahlung und ohne Wertzuwachs sind das 100 Monate (gut acht Jahre) bis 80 % und 115 Monate bis 78 %; PMI kostet dann insgesamt 18.750–21.563 $. Beantrage die Löschung aktiv; verlass dich nicht darauf, dass jemand dich erinnert.</w:t>
      </w:r>
    </w:p>
    <w:p w14:paraId="62F404B4" w14:textId="77777777" w:rsidR="001F7233" w:rsidRDefault="00000000">
      <w:pPr>
        <w:spacing w:after="140"/>
      </w:pPr>
      <w:r>
        <w:rPr>
          <w:i/>
          <w:iCs/>
        </w:rPr>
        <w:t>Ein Escrow-Konto (hier: Treuhandkonto beim Kreditgeber) sammelt monatlich ein Zwölftel von Grundsteuer und Hausversicherung und zahlt die Rechnungen für dich. Die Gesamtrate heißt PITI (Principal, Interest, Taxes, Insurance: Tilgung, Zins, Steuer, Versicherung). Steigen Steuer oder Prämie, steigt deine Rate, obwohl der Zins fest ist. Beim Kauf begegnet dir das Wort noch einmal anders: Ein neutraler Escrow Agent verwahrt beim Closing Geld und Dokumente, bis alle Bedingungen erfüllt sind.</w:t>
      </w:r>
    </w:p>
    <w:p w14:paraId="466567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Beispiel-Monatsrate mit Rechenweg</w:t>
      </w:r>
    </w:p>
    <w:p w14:paraId="3B529B97" w14:textId="77777777" w:rsidR="001F7233" w:rsidRDefault="00000000">
      <w:pPr>
        <w:spacing w:after="140"/>
      </w:pPr>
      <w:r>
        <w:rPr>
          <w:i/>
          <w:iCs/>
        </w:rPr>
        <w:t>Die Formel für die Rate aus Zins und Tilgung (Principal &amp; Interest, P&amp;I) lautet: M = L × i × (1 + i)^n ÷ ((1 + i)^n − 1). Dabei ist L das Darlehen, i der Jahreszins geteilt durch zwölf und n die Zahl der Monate. Für ein Haus zu 500.000 $ mit 20 % Anzahlung ist L = 400.000 $, i = 6,95 % ÷ 12 = 0,5792 %, n = 360 und (1 + i)^n ≈ 8,00. Das ergibt M = 2.647,79 $. Dazu kommen Grundsteuer (1 % des Preises: 5.000 $ pro Jahr), Versicherung (3.000 $ pro Jahr) und bei weniger als 20 % Anzahlung PMI (0,5 % des Darlehens).</w:t>
      </w:r>
    </w:p>
    <w:p w14:paraId="6B27CB6A" w14:textId="77777777" w:rsidR="001F7233" w:rsidRDefault="00000000">
      <w:r>
        <w:rPr>
          <w:b/>
        </w:rPr>
        <w:lastRenderedPageBreak/>
        <w:t>Tilgung und Zins (P&amp;I)</w:t>
      </w:r>
    </w:p>
    <w:p w14:paraId="70B3A05C" w14:textId="77777777" w:rsidR="001F7233" w:rsidRDefault="00000000">
      <w:r>
        <w:rPr>
          <w:b/>
        </w:rPr>
        <w:t xml:space="preserve">20 % Anzahlung (Darlehen 400.000 $): </w:t>
      </w:r>
      <w:r>
        <w:t>2.647,79</w:t>
      </w:r>
    </w:p>
    <w:p w14:paraId="361BD731" w14:textId="77777777" w:rsidR="001F7233" w:rsidRDefault="00000000">
      <w:r>
        <w:rPr>
          <w:b/>
        </w:rPr>
        <w:t xml:space="preserve">10 % Anzahlung (Darlehen 450.000 $): </w:t>
      </w:r>
      <w:r>
        <w:t>2.978,77</w:t>
      </w:r>
    </w:p>
    <w:p w14:paraId="651B50AF" w14:textId="77777777" w:rsidR="001F7233" w:rsidRDefault="00000000">
      <w:r>
        <w:rPr>
          <w:b/>
        </w:rPr>
        <w:t>Grundsteuer</w:t>
      </w:r>
    </w:p>
    <w:p w14:paraId="63F33A44" w14:textId="77777777" w:rsidR="001F7233" w:rsidRDefault="00000000">
      <w:r>
        <w:rPr>
          <w:b/>
        </w:rPr>
        <w:t xml:space="preserve">20 % Anzahlung (Darlehen 400.000 $): </w:t>
      </w:r>
      <w:r>
        <w:t>416,67</w:t>
      </w:r>
    </w:p>
    <w:p w14:paraId="050F23BD" w14:textId="77777777" w:rsidR="001F7233" w:rsidRDefault="00000000">
      <w:r>
        <w:rPr>
          <w:b/>
        </w:rPr>
        <w:t>Versicherung</w:t>
      </w:r>
    </w:p>
    <w:p w14:paraId="30DAC5C1" w14:textId="77777777" w:rsidR="001F7233" w:rsidRDefault="00000000">
      <w:r>
        <w:rPr>
          <w:b/>
        </w:rPr>
        <w:t xml:space="preserve">20 % Anzahlung (Darlehen 400.000 $): </w:t>
      </w:r>
      <w:r>
        <w:t>250,00</w:t>
      </w:r>
    </w:p>
    <w:p w14:paraId="53E14A83" w14:textId="77777777" w:rsidR="001F7233" w:rsidRDefault="00000000">
      <w:r>
        <w:rPr>
          <w:b/>
        </w:rPr>
        <w:t>PMI (0,5 %)</w:t>
      </w:r>
    </w:p>
    <w:p w14:paraId="04F475C9" w14:textId="77777777" w:rsidR="001F7233" w:rsidRDefault="00000000">
      <w:r>
        <w:rPr>
          <w:b/>
        </w:rPr>
        <w:t xml:space="preserve">20 % Anzahlung (Darlehen 400.000 $): </w:t>
      </w:r>
      <w:r>
        <w:t>–</w:t>
      </w:r>
    </w:p>
    <w:p w14:paraId="31574C9A" w14:textId="77777777" w:rsidR="001F7233" w:rsidRDefault="00000000">
      <w:r>
        <w:rPr>
          <w:b/>
        </w:rPr>
        <w:t xml:space="preserve">10 % Anzahlung (Darlehen 450.000 $): </w:t>
      </w:r>
      <w:r>
        <w:t>187,50</w:t>
      </w:r>
    </w:p>
    <w:p w14:paraId="7D228CB4" w14:textId="77777777" w:rsidR="001F7233" w:rsidRDefault="00000000">
      <w:r>
        <w:rPr>
          <w:b/>
        </w:rPr>
        <w:t>Summe</w:t>
      </w:r>
    </w:p>
    <w:p w14:paraId="317CD0A6" w14:textId="77777777" w:rsidR="001F7233" w:rsidRDefault="00000000">
      <w:r>
        <w:rPr>
          <w:b/>
        </w:rPr>
        <w:t xml:space="preserve">20 % Anzahlung (Darlehen 400.000 $): </w:t>
      </w:r>
      <w:r>
        <w:t>3.314,46</w:t>
      </w:r>
    </w:p>
    <w:p w14:paraId="1C5D4281" w14:textId="77777777" w:rsidR="001F7233" w:rsidRDefault="00000000">
      <w:r>
        <w:rPr>
          <w:b/>
        </w:rPr>
        <w:t xml:space="preserve">10 % Anzahlung (Darlehen 450.000 $): </w:t>
      </w:r>
      <w:r>
        <w:t>3.832,93</w:t>
      </w:r>
    </w:p>
    <w:p w14:paraId="40CD0C4E" w14:textId="77777777" w:rsidR="001F7233" w:rsidRDefault="00000000">
      <w:r>
        <w:rPr>
          <w:b/>
        </w:rPr>
        <w:t>Summe mit HOA (300 $ pro Monat)</w:t>
      </w:r>
    </w:p>
    <w:p w14:paraId="155DE414" w14:textId="77777777" w:rsidR="001F7233" w:rsidRDefault="00000000">
      <w:r>
        <w:rPr>
          <w:b/>
        </w:rPr>
        <w:t xml:space="preserve">20 % Anzahlung (Darlehen 400.000 $): </w:t>
      </w:r>
      <w:r>
        <w:t>3.614,46</w:t>
      </w:r>
    </w:p>
    <w:p w14:paraId="4E03A1A4" w14:textId="77777777" w:rsidR="001F7233" w:rsidRDefault="00000000">
      <w:r>
        <w:rPr>
          <w:b/>
        </w:rPr>
        <w:t xml:space="preserve">10 % Anzahlung (Darlehen 450.000 $): </w:t>
      </w:r>
      <w:r>
        <w:t>4.132,93</w:t>
      </w:r>
    </w:p>
    <w:p w14:paraId="7C5CEA44" w14:textId="77777777" w:rsidR="001F7233" w:rsidRDefault="00000000">
      <w:r>
        <w:rPr>
          <w:b/>
        </w:rPr>
        <w:t>Summe plus Instandhaltung (1 %)</w:t>
      </w:r>
    </w:p>
    <w:p w14:paraId="13941CCE" w14:textId="77777777" w:rsidR="001F7233" w:rsidRDefault="00000000">
      <w:r>
        <w:rPr>
          <w:b/>
        </w:rPr>
        <w:t xml:space="preserve">20 % Anzahlung (Darlehen 400.000 $): </w:t>
      </w:r>
      <w:r>
        <w:t>3.731,12</w:t>
      </w:r>
    </w:p>
    <w:p w14:paraId="3421C61B" w14:textId="77777777" w:rsidR="001F7233" w:rsidRDefault="00000000">
      <w:r>
        <w:rPr>
          <w:b/>
        </w:rPr>
        <w:t xml:space="preserve">10 % Anzahlung (Darlehen 450.000 $): </w:t>
      </w:r>
      <w:r>
        <w:t>4.249,60</w:t>
      </w:r>
    </w:p>
    <w:p w14:paraId="0EB9C74A" w14:textId="77777777" w:rsidR="001F7233" w:rsidRDefault="001F7233">
      <w:pPr>
        <w:spacing w:line="180" w:lineRule="exact"/>
      </w:pPr>
    </w:p>
    <w:p w14:paraId="081F0E52" w14:textId="77777777" w:rsidR="001F7233" w:rsidRDefault="00000000">
      <w:pPr>
        <w:spacing w:after="140"/>
      </w:pPr>
      <w:r>
        <w:t>Die Bandbreite ist groß: Mit günstigen Annahmen (Grundsteuer 0,7 %, Versicherung 1.800 $, PMI 0,3 %) liegt die Summe bei 10 % Anzahlung bei 3.533 $, mit ungünstigen (1,9 %, 6.000 $, 1,0 %) bei 4.645 $. Bei 20 % Anzahlung liegt sie zwischen 3.089 $ und 3.939 $. Die Zinsen des ersten Jahres betragen 27.671 $ (Darlehen 400.000 $) bzw. 31.130 $ (450.000 $).</w:t>
      </w:r>
    </w:p>
    <w:p w14:paraId="2A750841" w14:textId="77777777" w:rsidR="001F7233" w:rsidRDefault="00000000">
      <w:pPr>
        <w:spacing w:after="140"/>
      </w:pPr>
      <w:r>
        <w:t>Was heißt das für dein Gehalt? Nach der 28-%-Regel (Wohnkosten höchstens 28 % des Bruttoeinkommens) brauchst du für 3.314 $ rund 142.000 $ Jahreseinkommen, für 3.833 $ rund 164.000 $. Kreditgeber rechnen großzügiger: Bei 45 % Schuldenquote und ohne weitere Schulden genügen 88.000 $ bzw. 102.000 $. Was der Kreditgeber genehmigt, ist nicht, was du entspannt zahlst.</w:t>
      </w:r>
    </w:p>
    <w:p w14:paraId="66CA5C62" w14:textId="77777777" w:rsidR="001F7233" w:rsidRDefault="00000000">
      <w:r>
        <w:rPr>
          <w:b/>
        </w:rPr>
        <w:t xml:space="preserve">MERKE: </w:t>
      </w:r>
    </w:p>
    <w:p w14:paraId="7C471355" w14:textId="77777777" w:rsidR="001F7233" w:rsidRDefault="00000000">
      <w:r>
        <w:lastRenderedPageBreak/>
        <w:t>• Die Monatsrate ist nicht der Preis. Rechne mit der Gesamtbelastung aus Tilgung, Zins, Grundsteuer, Versicherung, PMI, HOA und Instandhaltung, und teste sie mit ungünstigen Werten.</w:t>
      </w:r>
    </w:p>
    <w:p w14:paraId="4DBDAE1F" w14:textId="77777777" w:rsidR="001F7233" w:rsidRDefault="001F7233">
      <w:pPr>
        <w:spacing w:line="220" w:lineRule="exact"/>
      </w:pPr>
    </w:p>
    <w:p w14:paraId="00CDBA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Kaufprozess in neun Schritten</w:t>
      </w:r>
    </w:p>
    <w:p w14:paraId="6F672F94" w14:textId="77777777" w:rsidR="001F7233" w:rsidRDefault="00000000">
      <w:pPr>
        <w:pStyle w:val="ListParagraph"/>
        <w:numPr>
          <w:ilvl w:val="0"/>
          <w:numId w:val="17"/>
        </w:numPr>
        <w:spacing w:after="60"/>
      </w:pPr>
      <w:r>
        <w:rPr>
          <w:b/>
          <w:bCs/>
        </w:rPr>
        <w:t>Finanzierung klären (</w:t>
      </w:r>
      <w:r>
        <w:rPr>
          <w:b/>
          <w:bCs/>
          <w:i/>
          <w:iCs/>
        </w:rPr>
        <w:t>Pre-Approval</w:t>
      </w:r>
      <w:r>
        <w:rPr>
          <w:b/>
          <w:bCs/>
        </w:rPr>
        <w:t>).</w:t>
      </w:r>
      <w:r>
        <w:t xml:space="preserve"> Der Kreditgeber prüft Einkommen, Vermögen und Kredit und stellt ein Schreiben aus, das Verkäufer erwarten. Eine </w:t>
      </w:r>
      <w:r>
        <w:rPr>
          <w:i/>
          <w:iCs/>
        </w:rPr>
        <w:t>Pre-Qualification</w:t>
      </w:r>
      <w:r>
        <w:t xml:space="preserve"> ist dagegen nur eine unverbindliche Schätzung.</w:t>
      </w:r>
    </w:p>
    <w:p w14:paraId="64993D12" w14:textId="77777777" w:rsidR="001F7233" w:rsidRDefault="00000000">
      <w:pPr>
        <w:pStyle w:val="ListParagraph"/>
        <w:numPr>
          <w:ilvl w:val="0"/>
          <w:numId w:val="2"/>
        </w:numPr>
        <w:spacing w:after="60"/>
      </w:pPr>
      <w:r>
        <w:rPr>
          <w:b/>
          <w:bCs/>
        </w:rPr>
        <w:t>Makler wählen. Seit 17. August 2024 gilt: keine Vergütungsangebote mehr in der Objektdatenbank (MLS) und ein schriftlicher Vertrag mit dem Käuferagenten (Buyer’s Agent) vor der ersten Besichtigung. Die Provision (Ø 2,42 %, Redfin, Q3 2025) ist verhandelbar; vereinbare sie schriftlich.</w:t>
      </w:r>
    </w:p>
    <w:p w14:paraId="65C8CE1A" w14:textId="77777777" w:rsidR="001F7233" w:rsidRDefault="00000000">
      <w:pPr>
        <w:pStyle w:val="ListParagraph"/>
        <w:numPr>
          <w:ilvl w:val="0"/>
          <w:numId w:val="2"/>
        </w:numPr>
        <w:spacing w:after="60"/>
      </w:pPr>
      <w:r>
        <w:rPr>
          <w:b/>
          <w:bCs/>
        </w:rPr>
        <w:t>Suchen, besichtigen, Angebot machen. Das Angebot nennt Preis, Earnest Money (Anzahlung als Ernstzeichen, meist 1–3 % des Preises, im Escrow verwahrt), Closing-Termin und Contingencies (Rücktrittsklauseln für Inspektion, Finanzierung, Gutachten). Trittst du aus einem Grund zurück, den keine Contingency abdeckt, kann der Verkäufer das Earnest Money behalten.</w:t>
      </w:r>
    </w:p>
    <w:p w14:paraId="6397B13B" w14:textId="77777777" w:rsidR="001F7233" w:rsidRDefault="00000000">
      <w:pPr>
        <w:pStyle w:val="ListParagraph"/>
        <w:numPr>
          <w:ilvl w:val="0"/>
          <w:numId w:val="2"/>
        </w:numPr>
        <w:spacing w:after="60"/>
      </w:pPr>
      <w:r>
        <w:rPr>
          <w:b/>
          <w:bCs/>
        </w:rPr>
        <w:t>Kreditantrag.</w:t>
      </w:r>
      <w:r>
        <w:t xml:space="preserve"> Loan Estimate innerhalb von drei Werktagen, dann Rate Lock (siehe oben).</w:t>
      </w:r>
    </w:p>
    <w:p w14:paraId="4D7712F4" w14:textId="77777777" w:rsidR="001F7233" w:rsidRDefault="00000000">
      <w:pPr>
        <w:pStyle w:val="ListParagraph"/>
        <w:numPr>
          <w:ilvl w:val="0"/>
          <w:numId w:val="2"/>
        </w:numPr>
        <w:spacing w:after="60"/>
      </w:pPr>
      <w:r>
        <w:rPr>
          <w:b/>
          <w:bCs/>
        </w:rPr>
        <w:t>Inspektion (</w:t>
      </w:r>
      <w:r>
        <w:rPr>
          <w:b/>
          <w:bCs/>
          <w:i/>
          <w:iCs/>
        </w:rPr>
        <w:t>Home Inspection</w:t>
      </w:r>
      <w:r>
        <w:rPr>
          <w:b/>
          <w:bCs/>
        </w:rPr>
        <w:t>).</w:t>
      </w:r>
      <w:r>
        <w:t xml:space="preserve"> Ein Sachverständiger prüft Dach, Elektrik, Heizung, Keller (300–500 $). Bei Mängeln verhandelst du Preis oder Reparatur nach oder trittst zurück.</w:t>
      </w:r>
    </w:p>
    <w:p w14:paraId="6C1EF168" w14:textId="77777777" w:rsidR="001F7233" w:rsidRDefault="00000000">
      <w:pPr>
        <w:pStyle w:val="ListParagraph"/>
        <w:numPr>
          <w:ilvl w:val="0"/>
          <w:numId w:val="2"/>
        </w:numPr>
        <w:spacing w:after="60"/>
      </w:pPr>
      <w:r>
        <w:rPr>
          <w:b/>
          <w:bCs/>
        </w:rPr>
        <w:t>Gutachten (Appraisal). Der Kreditgeber beauftragt einen unabhängigen Gutachter (500–1.000 $ und mehr). Liegt der Wert unter dem Preis, finanziert der Kreditgeber nur bis zum niedrigeren Wert. Die Lücke schließt du oder du verhandelst neu.</w:t>
      </w:r>
    </w:p>
    <w:p w14:paraId="7A2009A8" w14:textId="77777777" w:rsidR="001F7233" w:rsidRDefault="00000000">
      <w:pPr>
        <w:pStyle w:val="ListParagraph"/>
        <w:numPr>
          <w:ilvl w:val="0"/>
          <w:numId w:val="2"/>
        </w:numPr>
        <w:spacing w:after="60"/>
      </w:pPr>
      <w:r>
        <w:rPr>
          <w:b/>
          <w:bCs/>
        </w:rPr>
        <w:lastRenderedPageBreak/>
        <w:t>Underwriting und Titelprüfung. Der Kreditgeber prüft den Antrag zuletzt. Die Title Company (Titelgesellschaft) recherchiert die Eigentumshistorie: offene Pfandrechte, Steuerschulden, Ansprüche Dritter. Ein Jobwechsel oder neue Kreditlinien in dieser Phase können die Zusage gefährden, denn der Kreditgeber prüft Beschäftigung und Kredit vor dem Closing erneut.</w:t>
      </w:r>
    </w:p>
    <w:p w14:paraId="3A1F5B02" w14:textId="77777777" w:rsidR="001F7233" w:rsidRDefault="00000000">
      <w:pPr>
        <w:pStyle w:val="ListParagraph"/>
        <w:numPr>
          <w:ilvl w:val="0"/>
          <w:numId w:val="2"/>
        </w:numPr>
        <w:spacing w:after="60"/>
      </w:pPr>
      <w:r>
        <w:rPr>
          <w:b/>
          <w:bCs/>
        </w:rPr>
        <w:t>Closing Disclosure. Die endgültige Kostenaufstellung muss mindestens drei Werktage vor dem Closing vorliegen. Vergleiche sie mit dem Loan Estimate. Danach folgt der Rundgang durchs Haus (Final Walk-Through).</w:t>
      </w:r>
    </w:p>
    <w:p w14:paraId="5FF321A2" w14:textId="77777777" w:rsidR="001F7233" w:rsidRDefault="00000000">
      <w:pPr>
        <w:pStyle w:val="ListParagraph"/>
        <w:numPr>
          <w:ilvl w:val="0"/>
          <w:numId w:val="2"/>
        </w:numPr>
        <w:spacing w:after="60"/>
      </w:pPr>
      <w:r>
        <w:rPr>
          <w:b/>
          <w:bCs/>
        </w:rPr>
        <w:t>Closing.</w:t>
      </w:r>
      <w:r>
        <w:t xml:space="preserve"> Unterschrift, Überweisung des Restbetrags (</w:t>
      </w:r>
      <w:r>
        <w:rPr>
          <w:i/>
          <w:iCs/>
        </w:rPr>
        <w:t>Cash to Close</w:t>
      </w:r>
      <w:r>
        <w:t>), Schlüsselübergabe, Eintragung der Eigentumsübertragung im Register des Landkreises. Vom Angebot bis zum Closing vergehen grob 30–60 Tage (Richtwert, passend zu den üblichen Rate-Lock-Fristen).</w:t>
      </w:r>
    </w:p>
    <w:p w14:paraId="0D5E2FC0" w14:textId="77777777" w:rsidR="001F7233" w:rsidRDefault="001F7233">
      <w:pPr>
        <w:spacing w:line="120" w:lineRule="exact"/>
      </w:pPr>
    </w:p>
    <w:p w14:paraId="715AA1CD" w14:textId="77777777" w:rsidR="001F7233" w:rsidRDefault="00000000">
      <w:r>
        <w:rPr>
          <w:b/>
        </w:rPr>
        <w:t xml:space="preserve">ACHTUNG: </w:t>
      </w:r>
    </w:p>
    <w:p w14:paraId="3CFE397F" w14:textId="77777777" w:rsidR="001F7233" w:rsidRDefault="00000000">
      <w:r>
        <w:t>• Überweisungsbetrug lauert kurz vor dem Closing: Kriminelle mailen gefälschte neue Kontodaten im Namen der Title Company. Bestätige jede Überweisungsanweisung telefonisch unter einer Nummer, die du selbst herausgesucht hast, nicht unter der aus der E-Mail. Bei Beträgen von mehreren Zehntausend Dollar ist das keine Übervorsicht.</w:t>
      </w:r>
    </w:p>
    <w:p w14:paraId="7FF09912" w14:textId="77777777" w:rsidR="001F7233" w:rsidRDefault="001F7233">
      <w:pPr>
        <w:spacing w:line="220" w:lineRule="exact"/>
      </w:pPr>
    </w:p>
    <w:p w14:paraId="4C2D42DF" w14:textId="77777777" w:rsidR="001F7233" w:rsidRDefault="00000000">
      <w:r>
        <w:rPr>
          <w:b/>
        </w:rPr>
        <w:t xml:space="preserve">ACHTUNG: </w:t>
      </w:r>
    </w:p>
    <w:p w14:paraId="7F6B3E3F" w14:textId="77777777" w:rsidR="001F7233" w:rsidRDefault="00000000">
      <w:r>
        <w:t>• Bieterwettbewerb und As-Is-Verkäufe (Verkauf „wie besehen“, ohne Reparaturen) sind die typischen Fallen. In gefragten Märkten konkurrierst du mit Barzahlern (27 % der Käufe im August 2026). Wer Inspektion oder Gutachten-Vorbehalt streicht, um zu gewinnen, trägt die Mängel und eine mögliche Lücke selbst. Offenlegungspflichten des Verkäufers regelt jeder Bundesstaat selbst. Lass ein As-Is-Haus trotzdem inspizieren, und lege vor dem Bieten ein Höchstgebot fest, das deine Monatsrechnung noch trägt.</w:t>
      </w:r>
    </w:p>
    <w:p w14:paraId="504003E7" w14:textId="77777777" w:rsidR="001F7233" w:rsidRDefault="001F7233">
      <w:pPr>
        <w:spacing w:line="220" w:lineRule="exact"/>
      </w:pPr>
    </w:p>
    <w:p w14:paraId="42E289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Abschlusskosten und laufende Kosten</w:t>
      </w:r>
    </w:p>
    <w:p w14:paraId="07B103FB" w14:textId="77777777" w:rsidR="001F7233" w:rsidRDefault="00000000">
      <w:pPr>
        <w:spacing w:after="140"/>
      </w:pPr>
      <w:r>
        <w:t>Die Abschlusskosten (</w:t>
      </w:r>
      <w:r>
        <w:rPr>
          <w:i/>
          <w:iCs/>
        </w:rPr>
        <w:t>Closing Costs</w:t>
      </w:r>
      <w:r>
        <w:t>) betragen für Käufer 2–5 % des Kaufpreises, bei 500.000 $ also 10.000–25.000 $. Typische Posten:</w:t>
      </w:r>
    </w:p>
    <w:p w14:paraId="2CF26D81" w14:textId="77777777" w:rsidR="001F7233" w:rsidRDefault="00000000">
      <w:r>
        <w:rPr>
          <w:b/>
        </w:rPr>
        <w:t>Gutachten (Appraisal)</w:t>
      </w:r>
    </w:p>
    <w:p w14:paraId="6B5FC5FA" w14:textId="77777777" w:rsidR="001F7233" w:rsidRDefault="00000000">
      <w:r>
        <w:rPr>
          <w:b/>
        </w:rPr>
        <w:t xml:space="preserve">Spanne: </w:t>
      </w:r>
      <w:r>
        <w:t>500–1.000 $ und mehr</w:t>
      </w:r>
    </w:p>
    <w:p w14:paraId="543AF909" w14:textId="77777777" w:rsidR="001F7233" w:rsidRDefault="00000000">
      <w:r>
        <w:rPr>
          <w:b/>
        </w:rPr>
        <w:t>Titelversicherung des Kreditgebers</w:t>
      </w:r>
    </w:p>
    <w:p w14:paraId="7570B9CA" w14:textId="77777777" w:rsidR="001F7233" w:rsidRDefault="00000000">
      <w:r>
        <w:rPr>
          <w:b/>
        </w:rPr>
        <w:t xml:space="preserve">Spanne: </w:t>
      </w:r>
      <w:r>
        <w:t>300–1.500 $ und mehr</w:t>
      </w:r>
    </w:p>
    <w:p w14:paraId="00946D54" w14:textId="77777777" w:rsidR="001F7233" w:rsidRDefault="00000000">
      <w:r>
        <w:rPr>
          <w:b/>
        </w:rPr>
        <w:t>Titelrecherche (Title Search)</w:t>
      </w:r>
    </w:p>
    <w:p w14:paraId="5932D534" w14:textId="77777777" w:rsidR="001F7233" w:rsidRDefault="00000000">
      <w:r>
        <w:rPr>
          <w:b/>
        </w:rPr>
        <w:t xml:space="preserve">Spanne: </w:t>
      </w:r>
      <w:r>
        <w:t>300–2.500 $ und mehr</w:t>
      </w:r>
    </w:p>
    <w:p w14:paraId="0E2A13BF" w14:textId="77777777" w:rsidR="001F7233" w:rsidRDefault="00000000">
      <w:r>
        <w:rPr>
          <w:b/>
        </w:rPr>
        <w:t>Inspektion</w:t>
      </w:r>
    </w:p>
    <w:p w14:paraId="7F443BE2" w14:textId="77777777" w:rsidR="001F7233" w:rsidRDefault="00000000">
      <w:r>
        <w:rPr>
          <w:b/>
        </w:rPr>
        <w:t xml:space="preserve">Spanne: </w:t>
      </w:r>
      <w:r>
        <w:t>300–500 $</w:t>
      </w:r>
    </w:p>
    <w:p w14:paraId="77BA4176" w14:textId="77777777" w:rsidR="001F7233" w:rsidRDefault="00000000">
      <w:r>
        <w:rPr>
          <w:b/>
        </w:rPr>
        <w:t>Kreditgebühren</w:t>
      </w:r>
    </w:p>
    <w:p w14:paraId="3F6E4F84" w14:textId="77777777" w:rsidR="001F7233" w:rsidRDefault="00000000">
      <w:r>
        <w:rPr>
          <w:b/>
        </w:rPr>
        <w:t xml:space="preserve">Spanne: </w:t>
      </w:r>
      <w:r>
        <w:t>Origination 0–1 % des Darlehens; Bearbeitung 300–900 $; Underwriting 300–750 $</w:t>
      </w:r>
    </w:p>
    <w:p w14:paraId="05ED5A57" w14:textId="77777777" w:rsidR="001F7233" w:rsidRDefault="00000000">
      <w:r>
        <w:rPr>
          <w:b/>
        </w:rPr>
        <w:t>Escrow-Gebühr</w:t>
      </w:r>
    </w:p>
    <w:p w14:paraId="7DAF77D8" w14:textId="77777777" w:rsidR="001F7233" w:rsidRDefault="00000000">
      <w:r>
        <w:rPr>
          <w:b/>
        </w:rPr>
        <w:t xml:space="preserve">Spanne: </w:t>
      </w:r>
      <w:r>
        <w:t>350–1.000 $ und mehr</w:t>
      </w:r>
    </w:p>
    <w:p w14:paraId="4F959B2B" w14:textId="77777777" w:rsidR="001F7233" w:rsidRDefault="00000000">
      <w:r>
        <w:rPr>
          <w:b/>
        </w:rPr>
        <w:t>Eintragung (Recording)</w:t>
      </w:r>
    </w:p>
    <w:p w14:paraId="396EAAA5" w14:textId="77777777" w:rsidR="001F7233" w:rsidRDefault="00000000">
      <w:r>
        <w:rPr>
          <w:b/>
        </w:rPr>
        <w:t xml:space="preserve">Spanne: </w:t>
      </w:r>
      <w:r>
        <w:t>20–250 $</w:t>
      </w:r>
    </w:p>
    <w:p w14:paraId="6595569A" w14:textId="77777777" w:rsidR="001F7233" w:rsidRDefault="00000000">
      <w:r>
        <w:rPr>
          <w:b/>
        </w:rPr>
        <w:t>Vorauszahlungen (Prepaids)</w:t>
      </w:r>
    </w:p>
    <w:p w14:paraId="2D2849E8" w14:textId="77777777" w:rsidR="001F7233" w:rsidRDefault="00000000">
      <w:r>
        <w:rPr>
          <w:b/>
        </w:rPr>
        <w:t xml:space="preserve">Spanne: </w:t>
      </w:r>
      <w:r>
        <w:t>1.000–4.500 $ und mehr (Steuern, Versicherung, Zinsen)</w:t>
      </w:r>
    </w:p>
    <w:p w14:paraId="7DA81BB3" w14:textId="77777777" w:rsidR="001F7233" w:rsidRDefault="001F7233">
      <w:pPr>
        <w:spacing w:line="180" w:lineRule="exact"/>
      </w:pPr>
    </w:p>
    <w:p w14:paraId="353B9ABD" w14:textId="77777777" w:rsidR="001F7233" w:rsidRDefault="00000000">
      <w:pPr>
        <w:spacing w:after="140"/>
      </w:pPr>
      <w:r>
        <w:rPr>
          <w:i/>
          <w:iCs/>
        </w:rPr>
        <w:t>Bargeld bei 500.000 $ Kaufpreis: 20 % Anzahlung plus Abschlusskosten sind 110.000–125.000 $, bei 10 % Anzahlung 60.000–75.000 $. Die Eigentümer-Titelversicherung (Owner’s Title Policy), die dich gegen verborgene Rechtsmängel schützt, kostet einmalig etwa 0,5–1 % des Preises. Wer sie zahlt, ist je nach Bundesstaat und Region verschieden: In Texas etwa trägt sie meist der Verkäufer.</w:t>
      </w:r>
    </w:p>
    <w:p w14:paraId="4AAC101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Grundsteuer</w:t>
      </w:r>
    </w:p>
    <w:p w14:paraId="45F2FF01" w14:textId="77777777" w:rsidR="001F7233" w:rsidRDefault="00000000">
      <w:pPr>
        <w:spacing w:after="140"/>
      </w:pPr>
      <w:r>
        <w:rPr>
          <w:i/>
          <w:iCs/>
        </w:rPr>
        <w:t xml:space="preserve">Die Property Tax (Grundsteuer) richtet sich nach dem Wert und dem Satz von Landkreis und Gemeinde. Im Durchschnitt beträgt der effektive Satz rund 0,9 % des Hauswerts pro Jahr (ACS 2024). Die </w:t>
      </w:r>
      <w:r>
        <w:rPr>
          <w:i/>
          <w:iCs/>
        </w:rPr>
        <w:lastRenderedPageBreak/>
        <w:t>Quellen weichen um bis zu 0,1 Prozentpunkte ab. Die Werte teilen die Median-Steuer durch den Median-Hauswert. Neukäufer zahlen oft mehr, weil neu bewertet wird.</w:t>
      </w:r>
    </w:p>
    <w:p w14:paraId="162D945F" w14:textId="77777777" w:rsidR="001F7233" w:rsidRDefault="00000000">
      <w:r>
        <w:rPr>
          <w:b/>
        </w:rPr>
        <w:t>New Jersey</w:t>
      </w:r>
    </w:p>
    <w:p w14:paraId="6DA1AD2B" w14:textId="77777777" w:rsidR="001F7233" w:rsidRDefault="00000000">
      <w:r>
        <w:rPr>
          <w:b/>
        </w:rPr>
        <w:t xml:space="preserve">Effektiver Satz: </w:t>
      </w:r>
      <w:r>
        <w:t>≈ 1,9 %</w:t>
      </w:r>
    </w:p>
    <w:p w14:paraId="6E7D2E59" w14:textId="77777777" w:rsidR="001F7233" w:rsidRDefault="00000000">
      <w:r>
        <w:rPr>
          <w:b/>
        </w:rPr>
        <w:t xml:space="preserve">Bei 500.000 $ Wert: </w:t>
      </w:r>
      <w:r>
        <w:t>≈ 9.500 $</w:t>
      </w:r>
    </w:p>
    <w:p w14:paraId="5368038B" w14:textId="77777777" w:rsidR="001F7233" w:rsidRDefault="00000000">
      <w:r>
        <w:rPr>
          <w:b/>
        </w:rPr>
        <w:t>Illinois</w:t>
      </w:r>
    </w:p>
    <w:p w14:paraId="585CC509" w14:textId="77777777" w:rsidR="001F7233" w:rsidRDefault="00000000">
      <w:r>
        <w:rPr>
          <w:b/>
        </w:rPr>
        <w:t xml:space="preserve">Effektiver Satz: </w:t>
      </w:r>
      <w:r>
        <w:t>≈ 1,9 %</w:t>
      </w:r>
    </w:p>
    <w:p w14:paraId="79FFC66E" w14:textId="77777777" w:rsidR="001F7233" w:rsidRDefault="00000000">
      <w:r>
        <w:rPr>
          <w:b/>
        </w:rPr>
        <w:t xml:space="preserve">Bei 500.000 $ Wert: </w:t>
      </w:r>
      <w:r>
        <w:t>≈ 9.500 $</w:t>
      </w:r>
    </w:p>
    <w:p w14:paraId="646C53D5" w14:textId="77777777" w:rsidR="001F7233" w:rsidRDefault="00000000">
      <w:r>
        <w:rPr>
          <w:b/>
        </w:rPr>
        <w:t>Texas</w:t>
      </w:r>
    </w:p>
    <w:p w14:paraId="2AD9058C" w14:textId="77777777" w:rsidR="001F7233" w:rsidRDefault="00000000">
      <w:r>
        <w:rPr>
          <w:b/>
        </w:rPr>
        <w:t xml:space="preserve">Effektiver Satz: </w:t>
      </w:r>
      <w:r>
        <w:t>≈ 1,4–1,5 %</w:t>
      </w:r>
    </w:p>
    <w:p w14:paraId="62B6864D" w14:textId="77777777" w:rsidR="001F7233" w:rsidRDefault="00000000">
      <w:r>
        <w:rPr>
          <w:b/>
        </w:rPr>
        <w:t xml:space="preserve">Bei 500.000 $ Wert: </w:t>
      </w:r>
      <w:r>
        <w:t>≈ 7.000–7.500 $</w:t>
      </w:r>
    </w:p>
    <w:p w14:paraId="0F4B2BE4" w14:textId="77777777" w:rsidR="001F7233" w:rsidRDefault="00000000">
      <w:r>
        <w:rPr>
          <w:b/>
        </w:rPr>
        <w:t>New York</w:t>
      </w:r>
    </w:p>
    <w:p w14:paraId="51DF7D3A" w14:textId="77777777" w:rsidR="001F7233" w:rsidRDefault="00000000">
      <w:r>
        <w:rPr>
          <w:b/>
        </w:rPr>
        <w:t xml:space="preserve">Effektiver Satz: </w:t>
      </w:r>
      <w:r>
        <w:t>≈ 1,3–1,4 %</w:t>
      </w:r>
    </w:p>
    <w:p w14:paraId="05D40B24" w14:textId="77777777" w:rsidR="001F7233" w:rsidRDefault="00000000">
      <w:r>
        <w:rPr>
          <w:b/>
        </w:rPr>
        <w:t xml:space="preserve">Bei 500.000 $ Wert: </w:t>
      </w:r>
      <w:r>
        <w:t>≈ 6.500–7.000 $</w:t>
      </w:r>
    </w:p>
    <w:p w14:paraId="32BC1B3A" w14:textId="77777777" w:rsidR="001F7233" w:rsidRDefault="00000000">
      <w:r>
        <w:rPr>
          <w:b/>
        </w:rPr>
        <w:t>Florida</w:t>
      </w:r>
    </w:p>
    <w:p w14:paraId="756D4DEB" w14:textId="77777777" w:rsidR="001F7233" w:rsidRDefault="00000000">
      <w:r>
        <w:rPr>
          <w:b/>
        </w:rPr>
        <w:t xml:space="preserve">Effektiver Satz: </w:t>
      </w:r>
      <w:r>
        <w:t>≈ 0,8 %</w:t>
      </w:r>
    </w:p>
    <w:p w14:paraId="7D532601" w14:textId="77777777" w:rsidR="001F7233" w:rsidRDefault="00000000">
      <w:r>
        <w:rPr>
          <w:b/>
        </w:rPr>
        <w:t xml:space="preserve">Bei 500.000 $ Wert: </w:t>
      </w:r>
      <w:r>
        <w:t>≈ 4.000 $</w:t>
      </w:r>
    </w:p>
    <w:p w14:paraId="79E5FB75" w14:textId="77777777" w:rsidR="001F7233" w:rsidRDefault="00000000">
      <w:r>
        <w:rPr>
          <w:b/>
        </w:rPr>
        <w:t>Kalifornien</w:t>
      </w:r>
    </w:p>
    <w:p w14:paraId="06ECA487" w14:textId="77777777" w:rsidR="001F7233" w:rsidRDefault="00000000">
      <w:r>
        <w:rPr>
          <w:b/>
        </w:rPr>
        <w:t xml:space="preserve">Effektiver Satz: </w:t>
      </w:r>
      <w:r>
        <w:t>≈ 0,7–0,8 %</w:t>
      </w:r>
    </w:p>
    <w:p w14:paraId="3F708D9C" w14:textId="77777777" w:rsidR="001F7233" w:rsidRDefault="00000000">
      <w:r>
        <w:rPr>
          <w:b/>
        </w:rPr>
        <w:t xml:space="preserve">Bei 500.000 $ Wert: </w:t>
      </w:r>
      <w:r>
        <w:t>≈ 3.500–4.000 $</w:t>
      </w:r>
    </w:p>
    <w:p w14:paraId="5BF566D9" w14:textId="77777777" w:rsidR="001F7233" w:rsidRDefault="00000000">
      <w:r>
        <w:rPr>
          <w:b/>
        </w:rPr>
        <w:t>Hawaii</w:t>
      </w:r>
    </w:p>
    <w:p w14:paraId="7077701D" w14:textId="77777777" w:rsidR="001F7233" w:rsidRDefault="00000000">
      <w:r>
        <w:rPr>
          <w:b/>
        </w:rPr>
        <w:t xml:space="preserve">Effektiver Satz: </w:t>
      </w:r>
      <w:r>
        <w:t>≈ 0,3 %</w:t>
      </w:r>
    </w:p>
    <w:p w14:paraId="31150E35" w14:textId="77777777" w:rsidR="001F7233" w:rsidRDefault="00000000">
      <w:r>
        <w:rPr>
          <w:b/>
        </w:rPr>
        <w:t xml:space="preserve">Bei 500.000 $ Wert: </w:t>
      </w:r>
      <w:r>
        <w:t>≈ 1.500 $</w:t>
      </w:r>
    </w:p>
    <w:p w14:paraId="0FCEE2E5" w14:textId="77777777" w:rsidR="001F7233" w:rsidRDefault="001F7233">
      <w:pPr>
        <w:spacing w:line="180" w:lineRule="exact"/>
      </w:pPr>
    </w:p>
    <w:p w14:paraId="0EE3244A" w14:textId="77777777" w:rsidR="001F7233" w:rsidRDefault="00000000">
      <w:pPr>
        <w:spacing w:after="140"/>
      </w:pPr>
      <w:r>
        <w:t>Texas hat keine Einkommensteuer, dafür eine hohe Grundsteuer (Kapitel </w:t>
      </w:r>
      <w:hyperlink w:anchor="k12">
        <w:r w:rsidR="001F7233">
          <w:t>12</w:t>
        </w:r>
      </w:hyperlink>
      <w:r>
        <w:t xml:space="preserve"> und </w:t>
      </w:r>
      <w:hyperlink w:anchor="k28">
        <w:r w:rsidR="001F7233">
          <w:t>28</w:t>
        </w:r>
      </w:hyperlink>
      <w:r>
        <w:t xml:space="preserve">). In Kalifornien gilt </w:t>
      </w:r>
      <w:r>
        <w:rPr>
          <w:i/>
          <w:iCs/>
        </w:rPr>
        <w:t>Proposition 13</w:t>
      </w:r>
      <w:r>
        <w:t>: Beim Kauf entspricht der Steuerwert dem Kaufpreis, der Basissatz beträgt 1 % (plus örtliche Zuschläge), und der Steuerwert darf danach höchstens um 2 % pro Jahr steigen. Wer neu kauft, wird zum aktuellen Preis bewertet und zahlt deshalb oft mehr als der langjährige Nachbar.</w:t>
      </w:r>
    </w:p>
    <w:p w14:paraId="3AF3EE1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Hausversicherung</w:t>
      </w:r>
    </w:p>
    <w:p w14:paraId="3B01E5F0" w14:textId="77777777" w:rsidR="001F7233" w:rsidRDefault="00000000">
      <w:pPr>
        <w:spacing w:after="140"/>
      </w:pPr>
      <w:r>
        <w:rPr>
          <w:i/>
          <w:iCs/>
        </w:rPr>
        <w:t>Die Homeowners Insurance kostet im Durchschnitt etwa 2.150–2.870 $ pro Jahr, je nach Deckung und Quelle, und stieg zuletzt um 6–7 % jährlich (ValuePenguin, 06/2026). Die Spreizung nach Staaten ist enorm. Bei 300.000 $ Deckung nennt Insurify (08/2026) für Florida 6.432 $, Louisiana 5.004 $, Texas 4.644 $ und Kalifornien 2.040 $. NerdWallet (05/2026, 400.000 $ Deckung) nennt Oklahoma mit 7.255 $ und Hawaii mit 900 $. Rund das Achtfache für dieselbe Deckungssumme, nur an einem anderen Ort. Die Quellen widersprechen einander im Detail (für Florida 3.382–6.432 $), weil Deckung, Selbstbehalt und Methodik verschieden sind. Nimm sie als Größenordnung.</w:t>
      </w:r>
    </w:p>
    <w:p w14:paraId="52DEEC26" w14:textId="77777777" w:rsidR="001F7233" w:rsidRDefault="00000000">
      <w:pPr>
        <w:spacing w:after="140"/>
      </w:pPr>
      <w:r>
        <w:t xml:space="preserve">In Kalifornien und Florida zeigt sich die Krise am Versicherungsmarkt. Der staatliche Notversicherer </w:t>
      </w:r>
      <w:r>
        <w:rPr>
          <w:i/>
          <w:iCs/>
        </w:rPr>
        <w:t>FAIR Plan</w:t>
      </w:r>
      <w:r>
        <w:t xml:space="preserve"> in Kalifornien wuchs von 124.000 Policen (2019) auf 663.000 (03/2026) und erhöhte 2026 die Tarife um 29 %. Floridas staatlicher Versicherer Citizens sank auf unter 800.000 Policen (06/2025), nach einer Spitze von 1,3–1,4 Millionen.</w:t>
      </w:r>
    </w:p>
    <w:p w14:paraId="4D163DFA" w14:textId="77777777" w:rsidR="001F7233" w:rsidRDefault="00000000">
      <w:r>
        <w:rPr>
          <w:b/>
        </w:rPr>
        <w:t xml:space="preserve">ACHTUNG: </w:t>
      </w:r>
    </w:p>
    <w:p w14:paraId="6954874B" w14:textId="77777777" w:rsidR="001F7233" w:rsidRDefault="00000000">
      <w:r>
        <w:t>• Die Standardpolice deckt weder Flut noch Erdbeben. Liegt das Haus in einer ausgewiesenen Hochrisiko-Flutzone (Flood Zone), verlangt der Kreditgeber meist auch eine Flutversicherung. Hol vor dem Angebot ein Versicherungsangebot ein und prüfe die Flutkarte der Bundesbehörde FEMA. In Kalifornien und Florida ist manchmal schon der Abschluss einer Police das Problem.</w:t>
      </w:r>
    </w:p>
    <w:p w14:paraId="6AD74287" w14:textId="77777777" w:rsidR="001F7233" w:rsidRDefault="001F7233">
      <w:pPr>
        <w:spacing w:line="220" w:lineRule="exact"/>
      </w:pPr>
    </w:p>
    <w:p w14:paraId="5F201FAA" w14:textId="77777777" w:rsidR="001F7233" w:rsidRDefault="00000000">
      <w:pPr>
        <w:pStyle w:val="Heading4"/>
        <w:keepNext/>
        <w:spacing w:line="341" w:lineRule="auto"/>
        <w:jc w:val="center"/>
      </w:pPr>
      <w:bookmarkStart w:id="40" w:name="idx_HOA___strata___body_corporat"/>
      <w:r>
        <w:rPr>
          <w:rFonts w:ascii="Amazon Ember" w:eastAsia="Amazon Ember" w:hAnsi="Amazon Ember" w:cs="Amazon Ember"/>
          <w:color w:val="0000FF"/>
          <w:sz w:val="36"/>
          <w:szCs w:val="36"/>
        </w:rPr>
        <w:t>HOA und Instandhaltung</w:t>
      </w:r>
      <w:bookmarkEnd w:id="40"/>
    </w:p>
    <w:p w14:paraId="6E6BA8E0" w14:textId="77777777" w:rsidR="001F7233" w:rsidRDefault="00000000">
      <w:pPr>
        <w:spacing w:after="140"/>
      </w:pPr>
      <w:r>
        <w:t xml:space="preserve">Eine </w:t>
      </w:r>
      <w:r>
        <w:rPr>
          <w:i/>
          <w:iCs/>
        </w:rPr>
        <w:t>HOA</w:t>
      </w:r>
      <w:r>
        <w:t xml:space="preserve"> (</w:t>
      </w:r>
      <w:r>
        <w:rPr>
          <w:i/>
          <w:iCs/>
        </w:rPr>
        <w:t>Homeowners Association</w:t>
      </w:r>
      <w:r>
        <w:t>, Eigentümergemeinschaft) erhebt Gebühren, die in typischen Siedlungen bei wenigen Hundert bis 2.500 $ pro Jahr liegen (etwa 17–208 $ im Monat, Bankrate). Sonderumlagen sind möglich. Bei Eigentumswohnungen (</w:t>
      </w:r>
      <w:r>
        <w:rPr>
          <w:i/>
          <w:iCs/>
        </w:rPr>
        <w:t>Condos</w:t>
      </w:r>
      <w:r>
        <w:t xml:space="preserve">) </w:t>
      </w:r>
      <w:r>
        <w:lastRenderedPageBreak/>
        <w:t>können die Gebühren darüber liegen; genaue Spannen wurden nicht ermittelt. Lies vor dem Kauf die HOA-Unterlagen: Regeln zu Fassade, Zaun, Vermietung, die Rücklagen und anstehende Sonderumlagen. Die Instandhaltung (Faustregel 1–2 % des Werts pro Jahr) kommt hinzu.</w:t>
      </w:r>
    </w:p>
    <w:p w14:paraId="333A9D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Steuervorteile</w:t>
      </w:r>
    </w:p>
    <w:p w14:paraId="6AC0AD79" w14:textId="77777777" w:rsidR="001F7233" w:rsidRDefault="00000000">
      <w:pPr>
        <w:spacing w:after="140"/>
      </w:pPr>
      <w:r>
        <w:rPr>
          <w:i/>
          <w:iCs/>
        </w:rPr>
        <w:t>Kaufen bringt in den USA Abzugsmöglichkeiten, die du nur nutzt, wenn du die Einzelposten in der Steuererklärung angibst (Itemizing) statt den Standardabzug zu nehmen. Der Standardabzug 2026 beträgt 16.100 $ (Einzelperson) bzw. 32.200 $ (Ehepaar). Was du außerdem abziehen kannst:</w:t>
      </w:r>
    </w:p>
    <w:p w14:paraId="7CCBE5CD" w14:textId="77777777" w:rsidR="001F7233" w:rsidRDefault="00000000">
      <w:pPr>
        <w:pStyle w:val="ListParagraph"/>
        <w:numPr>
          <w:ilvl w:val="0"/>
          <w:numId w:val="1"/>
        </w:numPr>
        <w:spacing w:after="60"/>
      </w:pPr>
      <w:r>
        <w:rPr>
          <w:b/>
          <w:bCs/>
        </w:rPr>
        <w:t>Hypothekenzinsen</w:t>
      </w:r>
      <w:r>
        <w:t xml:space="preserve"> für Schulden nach dem 15. Dezember 2017 bis 750.000 $ (375.000 $ bei getrennter Veranlagung von Ehepaaren); Points sind abziehbar oder abschreibbar.</w:t>
      </w:r>
    </w:p>
    <w:p w14:paraId="353BEA6D" w14:textId="77777777" w:rsidR="001F7233" w:rsidRDefault="00000000">
      <w:pPr>
        <w:pStyle w:val="ListParagraph"/>
        <w:numPr>
          <w:ilvl w:val="0"/>
          <w:numId w:val="1"/>
        </w:numPr>
        <w:spacing w:after="60"/>
      </w:pPr>
      <w:r>
        <w:rPr>
          <w:b/>
          <w:bCs/>
        </w:rPr>
        <w:t>Grundsteuer und Landessteuern (</w:t>
      </w:r>
      <w:r>
        <w:rPr>
          <w:b/>
          <w:bCs/>
          <w:i/>
          <w:iCs/>
        </w:rPr>
        <w:t>SALT</w:t>
      </w:r>
      <w:r>
        <w:rPr>
          <w:b/>
          <w:bCs/>
        </w:rPr>
        <w:t>, State and Local Taxes):</w:t>
      </w:r>
      <w:r>
        <w:t xml:space="preserve"> Der Deckel liegt für 2025 bei 40.000 $ und für 2026 bei 40.400 $. Er schmilzt bei hohem Einkommen ab (2026: ab 505.000 $ MAGI, 2025: ab 500.000 $) und fällt nicht unter 10.000 $. Er gilt bis 2029; ab 2030 sieht das Gesetz wieder 10.000 $ vor.</w:t>
      </w:r>
    </w:p>
    <w:p w14:paraId="569D224D" w14:textId="77777777" w:rsidR="001F7233" w:rsidRDefault="00000000">
      <w:pPr>
        <w:pStyle w:val="ListParagraph"/>
        <w:numPr>
          <w:ilvl w:val="0"/>
          <w:numId w:val="1"/>
        </w:numPr>
        <w:spacing w:after="60"/>
      </w:pPr>
      <w:r>
        <w:rPr>
          <w:b/>
          <w:bCs/>
        </w:rPr>
        <w:t>PMI-Beiträge: Diese Beiträge gelten ab 2026 wieder als abziehbare Hypothekenzinsen (One Big Beautiful Bill Act von 2025). Der Abzug schmilzt bei höherem Einkommen ab. Nach den vorliegenden Auswertungen beginnt das bei 100.000 $ (Stand 09/2026, nicht in einer IRS-Publikation für 2026 geprüft).</w:t>
      </w:r>
    </w:p>
    <w:p w14:paraId="6539C17B" w14:textId="77777777" w:rsidR="001F7233" w:rsidRDefault="001F7233">
      <w:pPr>
        <w:spacing w:line="120" w:lineRule="exact"/>
      </w:pPr>
    </w:p>
    <w:p w14:paraId="73C07FE5" w14:textId="77777777" w:rsidR="001F7233" w:rsidRDefault="00000000">
      <w:pPr>
        <w:spacing w:after="140"/>
      </w:pPr>
      <w:r>
        <w:t xml:space="preserve">Verbreiteter Irrtum: In den USA setzt man Hypothekenzinsen einfach von der Steuer ab, das spart im Jahr locker ein paar Tausend Dollar. Tatsächlich zählt steuerlich nur der Betrag über dem Standardabzug. Ein Ehepaar mit 27.700 $ Zinsen (Darlehen 400.000 $, erstes Jahr), 5.000 $ Grundsteuer und 7.000 $ </w:t>
      </w:r>
      <w:r>
        <w:lastRenderedPageBreak/>
        <w:t>Landeseinkommensteuer kommt auf 39.700 $, das sind 7.500 $ über dem Standardabzug. Bei einem Grenzsteuersatz von 22 % (Beispielannahme) sind das rund 1.650 $ pro Jahr. Zinsen plus Grundsteuer allein liegen mit 32.700 $ kaum über dem Standardabzug. Der Steuervorteil ist also häufig kleiner, als die Broschüren suggerieren.</w:t>
      </w:r>
    </w:p>
    <w:p w14:paraId="3AF769D4" w14:textId="77777777" w:rsidR="001F7233" w:rsidRDefault="00000000">
      <w:pPr>
        <w:spacing w:after="140"/>
      </w:pPr>
      <w:r>
        <w:rPr>
          <w:i/>
          <w:iCs/>
        </w:rPr>
        <w:t>Beim Verkauf eines selbstgenutzten Hauses bleiben 250.000 $ Gewinn steuerfrei (Ehepaar 500.000 $), wenn du es in den vergangenen fünf Jahren mindestens 24 Monate besessen und bewohnt hast (IRS Topic 701). Wer als Nichtansässiger (Foreign Person) verkauft, etwa nach der Rückkehr nach Deutschland, muss mit einem Einbehalt nach FIRPTA rechnen. Der Käufer behält meist 15 % des Erlöses für das Finanzamt ein, bei Nutzung durch den Käufer als Wohnsitz gestaffelt weniger. Das ist eine Vorauszahlung, keine Endabrechnung.</w:t>
      </w:r>
    </w:p>
    <w:p w14:paraId="40A3CAC0" w14:textId="77777777" w:rsidR="001F7233" w:rsidRDefault="00000000">
      <w:r>
        <w:t>• Das ist keine Rechts-, Steuer- oder Finanzberatung. Ob du Zinsen und Steuern abziehen kannst, hängt von deiner steuerlichen Ansässigkeit (</w:t>
      </w:r>
      <w:hyperlink w:anchor="k28">
        <w:r w:rsidR="001F7233">
          <w:rPr>
            <w:color w:val="0563C1"/>
            <w:u w:val="single"/>
          </w:rPr>
          <w:t>Kapitel 28</w:t>
        </w:r>
      </w:hyperlink>
      <w:r>
        <w:t>) und deiner Gesamtsituation ab. Lass dich vor dem Kauf von einem CPA (Certified Public Accountant, in den USA zugelassener Steuer- und Finanzexperte) beraten, der auch die deutsche Seite kennt.</w:t>
      </w:r>
    </w:p>
    <w:p w14:paraId="66A5EE55" w14:textId="77777777" w:rsidR="001F7233" w:rsidRDefault="001F7233">
      <w:pPr>
        <w:spacing w:line="220" w:lineRule="exact"/>
      </w:pPr>
    </w:p>
    <w:p w14:paraId="06B510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Kauf</w:t>
      </w:r>
    </w:p>
    <w:p w14:paraId="6B50F988" w14:textId="77777777" w:rsidR="001F7233" w:rsidRDefault="00000000">
      <w:r>
        <w:rPr>
          <w:b/>
        </w:rPr>
        <w:t>Vertrag</w:t>
      </w:r>
    </w:p>
    <w:p w14:paraId="1C81B771" w14:textId="77777777" w:rsidR="001F7233" w:rsidRDefault="00000000">
      <w:r>
        <w:rPr>
          <w:b/>
        </w:rPr>
        <w:t xml:space="preserve">Deutschland: </w:t>
      </w:r>
      <w:r>
        <w:t>Notar beurkundet den Kaufvertrag; Notar und Grundbuch ca. 1,5–2 %</w:t>
      </w:r>
    </w:p>
    <w:p w14:paraId="37672638" w14:textId="77777777" w:rsidR="001F7233" w:rsidRDefault="00000000">
      <w:r>
        <w:rPr>
          <w:b/>
        </w:rPr>
        <w:t>USA: Standardvertrag über die Makler; Closing bei Title Company, Escrow oder (z. B. in New York) Anwalt</w:t>
      </w:r>
    </w:p>
    <w:p w14:paraId="0B3206B7" w14:textId="77777777" w:rsidR="001F7233" w:rsidRDefault="00000000">
      <w:r>
        <w:rPr>
          <w:b/>
        </w:rPr>
        <w:t>Eigentum</w:t>
      </w:r>
    </w:p>
    <w:p w14:paraId="19386231" w14:textId="77777777" w:rsidR="001F7233" w:rsidRDefault="00000000">
      <w:r>
        <w:rPr>
          <w:b/>
        </w:rPr>
        <w:t xml:space="preserve">Deutschland: </w:t>
      </w:r>
      <w:r>
        <w:t>Grundbuch mit öffentlichem Glauben</w:t>
      </w:r>
    </w:p>
    <w:p w14:paraId="231B9EC3" w14:textId="77777777" w:rsidR="001F7233" w:rsidRDefault="00000000">
      <w:r>
        <w:rPr>
          <w:b/>
        </w:rPr>
        <w:t xml:space="preserve">USA: </w:t>
      </w:r>
      <w:r>
        <w:t>Register des Landkreises; Title Search und Title Insurance gegen versteckte Ansprüche</w:t>
      </w:r>
    </w:p>
    <w:p w14:paraId="75A651B7" w14:textId="77777777" w:rsidR="001F7233" w:rsidRDefault="00000000">
      <w:r>
        <w:rPr>
          <w:b/>
        </w:rPr>
        <w:t>Steuer beim Kauf</w:t>
      </w:r>
    </w:p>
    <w:p w14:paraId="0899C023" w14:textId="77777777" w:rsidR="001F7233" w:rsidRDefault="00000000">
      <w:r>
        <w:rPr>
          <w:b/>
        </w:rPr>
        <w:lastRenderedPageBreak/>
        <w:t xml:space="preserve">Deutschland: </w:t>
      </w:r>
      <w:r>
        <w:t>Grunderwerbsteuer 3,5 % (Bayern) bis 6,5 % (u. a. NRW, Brandenburg)</w:t>
      </w:r>
    </w:p>
    <w:p w14:paraId="0D6CAC80" w14:textId="77777777" w:rsidR="001F7233" w:rsidRDefault="00000000">
      <w:r>
        <w:rPr>
          <w:b/>
        </w:rPr>
        <w:t xml:space="preserve">USA: </w:t>
      </w:r>
      <w:r>
        <w:t>Keine bundesweite; einzelne Staaten und Städte erheben Übertragungssteuern</w:t>
      </w:r>
    </w:p>
    <w:p w14:paraId="1D225D4E" w14:textId="77777777" w:rsidR="001F7233" w:rsidRDefault="00000000">
      <w:r>
        <w:rPr>
          <w:b/>
        </w:rPr>
        <w:t>Makler</w:t>
      </w:r>
    </w:p>
    <w:p w14:paraId="4A6232A8" w14:textId="77777777" w:rsidR="001F7233" w:rsidRDefault="00000000">
      <w:r>
        <w:rPr>
          <w:b/>
        </w:rPr>
        <w:t xml:space="preserve">Deutschland: </w:t>
      </w:r>
      <w:r>
        <w:t>Beim Kauf von Wohnung oder Haus hälftig (§ 656c BGB); Gesamtprovision üblich 5,95–7,14 %</w:t>
      </w:r>
    </w:p>
    <w:p w14:paraId="343E2F26" w14:textId="77777777" w:rsidR="001F7233" w:rsidRDefault="00000000">
      <w:r>
        <w:rPr>
          <w:b/>
        </w:rPr>
        <w:t xml:space="preserve">USA: </w:t>
      </w:r>
      <w:r>
        <w:t>Käuferagent Ø 2,42 %; Höhe und Zahler verhandelbar</w:t>
      </w:r>
    </w:p>
    <w:p w14:paraId="50A38FA8" w14:textId="77777777" w:rsidR="001F7233" w:rsidRDefault="00000000">
      <w:r>
        <w:rPr>
          <w:b/>
        </w:rPr>
        <w:t>Nebenkosten Käufer</w:t>
      </w:r>
    </w:p>
    <w:p w14:paraId="2DCB0B7B" w14:textId="77777777" w:rsidR="001F7233" w:rsidRDefault="00000000">
      <w:r>
        <w:rPr>
          <w:b/>
        </w:rPr>
        <w:t xml:space="preserve">Deutschland: </w:t>
      </w:r>
      <w:r>
        <w:t>Grob 5 % (Bayern, ohne Makler) bis etwa 12 % (6,5 %-Länder, mit Makler)</w:t>
      </w:r>
    </w:p>
    <w:p w14:paraId="6184334A" w14:textId="77777777" w:rsidR="001F7233" w:rsidRDefault="00000000">
      <w:r>
        <w:rPr>
          <w:b/>
        </w:rPr>
        <w:t xml:space="preserve">USA: </w:t>
      </w:r>
      <w:r>
        <w:t>Closing Costs 2–5 %</w:t>
      </w:r>
    </w:p>
    <w:p w14:paraId="27B09445" w14:textId="77777777" w:rsidR="001F7233" w:rsidRDefault="00000000">
      <w:r>
        <w:rPr>
          <w:b/>
        </w:rPr>
        <w:t>Laufende Kosten</w:t>
      </w:r>
    </w:p>
    <w:p w14:paraId="3C34F49B" w14:textId="77777777" w:rsidR="001F7233" w:rsidRDefault="00000000">
      <w:r>
        <w:rPr>
          <w:b/>
        </w:rPr>
        <w:t xml:space="preserve">Deutschland: </w:t>
      </w:r>
      <w:r>
        <w:t>Grundsteuer, Gebäudeversicherung, Instandhaltung; bei Wohnungen Hausgeld</w:t>
      </w:r>
    </w:p>
    <w:p w14:paraId="5698BA78" w14:textId="77777777" w:rsidR="001F7233" w:rsidRDefault="00000000">
      <w:r>
        <w:rPr>
          <w:b/>
        </w:rPr>
        <w:t xml:space="preserve">USA: </w:t>
      </w:r>
      <w:r>
        <w:t>Property Tax (Ø 0,9 %), Homeowners Insurance, HOA, Instandhaltung</w:t>
      </w:r>
    </w:p>
    <w:p w14:paraId="3C367778" w14:textId="77777777" w:rsidR="001F7233" w:rsidRDefault="00000000">
      <w:r>
        <w:rPr>
          <w:b/>
        </w:rPr>
        <w:t>Kredit</w:t>
      </w:r>
    </w:p>
    <w:p w14:paraId="10920353" w14:textId="77777777" w:rsidR="001F7233" w:rsidRDefault="00000000">
      <w:r>
        <w:rPr>
          <w:b/>
        </w:rPr>
        <w:t xml:space="preserve">Deutschland: </w:t>
      </w:r>
      <w:r>
        <w:t>Zinsbindung meist 10–15 Jahre, dann Anschlussfinanzierung</w:t>
      </w:r>
    </w:p>
    <w:p w14:paraId="4C963AA1" w14:textId="77777777" w:rsidR="001F7233" w:rsidRDefault="00000000">
      <w:r>
        <w:rPr>
          <w:b/>
        </w:rPr>
        <w:t xml:space="preserve">USA: </w:t>
      </w:r>
      <w:r>
        <w:t>30 Jahre fest üblich; Umschuldung möglich</w:t>
      </w:r>
    </w:p>
    <w:p w14:paraId="3A540429" w14:textId="77777777" w:rsidR="001F7233" w:rsidRDefault="001F7233">
      <w:pPr>
        <w:spacing w:line="180" w:lineRule="exact"/>
      </w:pPr>
    </w:p>
    <w:p w14:paraId="44307249" w14:textId="77777777" w:rsidR="001F7233" w:rsidRDefault="00000000">
      <w:pPr>
        <w:spacing w:after="140"/>
      </w:pPr>
      <w:r>
        <w:t>Die deutschen Summen sind eigene Rechnungen aus Grunderwerbsteuer, Notar und Makleranteil; sie hängen an Bundesland und Objekt. Der größte Unterschied liegt beim Eigentumsnachweis: In Deutschland garantiert das Grundbuch den Eigentumsstand, in den USA prüft ein privates Unternehmen die Historie und versichert das Restrisiko. Beides funktioniert, nur fallen die Kosten anderswo an.</w:t>
      </w:r>
    </w:p>
    <w:p w14:paraId="119D28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Immobilie in Deutschland behalten oder verkaufen</w:t>
      </w:r>
    </w:p>
    <w:p w14:paraId="5530F323" w14:textId="77777777" w:rsidR="001F7233" w:rsidRDefault="00000000">
      <w:pPr>
        <w:spacing w:after="140"/>
      </w:pPr>
      <w:r>
        <w:t>Wer eine Wohnung oder ein Haus in Deutschland besitzt, steht vor der Frage, ob er verkauft, vermietet oder leer lässt (Kapitel </w:t>
      </w:r>
      <w:hyperlink w:anchor="k17">
        <w:r w:rsidR="001F7233">
          <w:t>17</w:t>
        </w:r>
      </w:hyperlink>
      <w:r>
        <w:t>, bei Rückkehr Kapitel </w:t>
      </w:r>
      <w:hyperlink w:anchor="k42">
        <w:r w:rsidR="001F7233">
          <w:t>42</w:t>
        </w:r>
      </w:hyperlink>
      <w:r>
        <w:t>). Drei Punkte gehören in die Rechnung:</w:t>
      </w:r>
    </w:p>
    <w:p w14:paraId="51EC780E" w14:textId="77777777" w:rsidR="001F7233" w:rsidRDefault="00000000">
      <w:pPr>
        <w:pStyle w:val="ListParagraph"/>
        <w:numPr>
          <w:ilvl w:val="0"/>
          <w:numId w:val="1"/>
        </w:numPr>
        <w:spacing w:after="60"/>
      </w:pPr>
      <w:r>
        <w:rPr>
          <w:b/>
          <w:bCs/>
        </w:rPr>
        <w:t>Steuer beim Verkauf. Nach § 23 EStG ist ein Gewinn steuerpflichtig, wenn du innerhalb von zehn Jahren nach dem Kauf verkaufst. Steuerfrei bleibt der Verkauf, wenn du die Immobilie zwischen Kauf und Verkauf nur selbst bewohnt hast oder sie im Verkaufsjahr und in den zwei Jahren davor selbst nutzt; die Freigrenze beträgt 1.000 €. Wer mehr als zwei Jahre vor dem Verkauf ausgezogen ist und die Immobilie vermietet oder leerstehen lässt, verliert diese Ausnahme wohl (Folgerung. Kläre das mit deinem Steuerberater vor dem Wegzug).</w:t>
      </w:r>
    </w:p>
    <w:p w14:paraId="77C691F7" w14:textId="77777777" w:rsidR="001F7233" w:rsidRDefault="00000000">
      <w:pPr>
        <w:pStyle w:val="ListParagraph"/>
        <w:numPr>
          <w:ilvl w:val="0"/>
          <w:numId w:val="1"/>
        </w:numPr>
        <w:spacing w:after="60"/>
      </w:pPr>
      <w:r>
        <w:rPr>
          <w:b/>
          <w:bCs/>
        </w:rPr>
        <w:t>Vermieten.</w:t>
      </w:r>
      <w:r>
        <w:t xml:space="preserve"> Die Einkünfte sind in Deutschland steuerpflichtig und als US-Steuerpflichtiger in der Regel auch in den USA zu erklären; Doppelbesteuerung wird über Anrechnung vermieden (Kapitel </w:t>
      </w:r>
      <w:hyperlink w:anchor="k17">
        <w:r w:rsidR="001F7233">
          <w:t>17</w:t>
        </w:r>
      </w:hyperlink>
      <w:r>
        <w:t xml:space="preserve"> und </w:t>
      </w:r>
      <w:hyperlink w:anchor="k28">
        <w:r w:rsidR="001F7233">
          <w:t>28</w:t>
        </w:r>
      </w:hyperlink>
      <w:r>
        <w:t>). Rechne mit Verwaltung, Mietrecht und Kredit aus der Ferne.</w:t>
      </w:r>
    </w:p>
    <w:p w14:paraId="17DAAB9E" w14:textId="77777777" w:rsidR="001F7233" w:rsidRDefault="00000000">
      <w:pPr>
        <w:pStyle w:val="ListParagraph"/>
        <w:numPr>
          <w:ilvl w:val="0"/>
          <w:numId w:val="1"/>
        </w:numPr>
        <w:spacing w:after="60"/>
      </w:pPr>
      <w:r>
        <w:rPr>
          <w:b/>
          <w:bCs/>
        </w:rPr>
        <w:t>Kreditwürdigkeit. Eine laufende deutsche Kreditrate zählt bei US-Kreditgebern meist zu deinen Schulden und senkt den finanzierbaren Kaufpreis in den USA.</w:t>
      </w:r>
    </w:p>
    <w:p w14:paraId="3AF67BAE" w14:textId="77777777" w:rsidR="001F7233" w:rsidRDefault="001F7233">
      <w:pPr>
        <w:spacing w:line="120" w:lineRule="exact"/>
      </w:pPr>
    </w:p>
    <w:p w14:paraId="1CF38D4B" w14:textId="77777777" w:rsidR="001F7233" w:rsidRDefault="00000000">
      <w:pPr>
        <w:spacing w:after="140"/>
      </w:pPr>
      <w:r>
        <w:t>Dazu kommt das Währungsrisiko: Wer in Dollar verdient, aber eine Euro-Immobilie hält, trägt beide Seiten. Ein Verkauf vor dem Wegzug schafft Klarheit und Eigenkapital, die Immobilie behalten hält die Rückkehr offen. Beide Wege sind vertretbar; entscheide sie mit Zahlen.</w:t>
      </w:r>
    </w:p>
    <w:p w14:paraId="468029DF" w14:textId="77777777" w:rsidR="001F7233" w:rsidRDefault="00000000">
      <w:pPr>
        <w:pStyle w:val="Heading3"/>
      </w:pPr>
      <w:r>
        <w:t>Termiten: erst regionales Risiko, dann Inspektion</w:t>
      </w:r>
    </w:p>
    <w:p w14:paraId="3DD32F9F" w14:textId="77777777" w:rsidR="001F7233" w:rsidRDefault="00000000">
      <w:r>
        <w:lastRenderedPageBreak/>
        <w:t>In den USA hängt das Risiko stark von Klima, Art und Region ab. Im warmen Süden und Südosten ist es besonders kaufrelevant, aber eine Landeskarte ersetzt keine Ortsprüfung. Ein allgemeiner Home Inspection Report kann Termitenbefall oder aktive Holzschädlinge auslassen. Lass vor Kauf in Risikogebieten eine eigene WDO/termite inspection durch einen zugelassenen Pest-Profi machen und frage nach Vorbefall, Behandlung, Garantie und Wartungsvertrag. Achte auf Schlammröhren, hohle oder wellige Hölzer, Flügel und Holz mit Bodenkontakt. Als Mieter: Fotos machen und dem Vermieter melden. Nicht selbst die sichtbare Spur weg sprühen, bevor die Quelle geklärt ist.</w:t>
      </w:r>
    </w:p>
    <w:p w14:paraId="69D6B7E8" w14:textId="77777777" w:rsidR="001F7233" w:rsidRDefault="00000000">
      <w:pPr>
        <w:pStyle w:val="ListParagraph"/>
      </w:pPr>
      <w:r>
        <w:t xml:space="preserve">Quellen: </w:t>
      </w:r>
      <w:hyperlink r:id="rId225">
        <w:r w:rsidR="001F7233">
          <w:rPr>
            <w:rStyle w:val="Hyperlink"/>
          </w:rPr>
          <w:t>University of Georgia Extension: Termite control</w:t>
        </w:r>
      </w:hyperlink>
      <w:r>
        <w:t xml:space="preserve"> | </w:t>
      </w:r>
      <w:hyperlink r:id="rId226">
        <w:r w:rsidR="001F7233">
          <w:rPr>
            <w:rStyle w:val="Hyperlink"/>
          </w:rPr>
          <w:t>Penn State Extension: Eastern subterranean termites</w:t>
        </w:r>
      </w:hyperlink>
    </w:p>
    <w:p w14:paraId="6D5A34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Kaufen in den USA und Hypotheken-Know-how</w:t>
      </w:r>
    </w:p>
    <w:p w14:paraId="38A17C79" w14:textId="77777777" w:rsidR="001F7233" w:rsidRDefault="00000000">
      <w:r>
        <w:rPr>
          <w:b/>
        </w:rPr>
        <w:t>Plus: Fester Zins über 30 Jahre, während Mieten steigen können</w:t>
      </w:r>
    </w:p>
    <w:p w14:paraId="2630F72A" w14:textId="77777777" w:rsidR="001F7233" w:rsidRDefault="00000000">
      <w:r>
        <w:rPr>
          <w:b/>
        </w:rPr>
        <w:t xml:space="preserve">Minus: </w:t>
      </w:r>
      <w:r>
        <w:t>Kauf- und Verkaufskosten von zusammen rund 10 %</w:t>
      </w:r>
    </w:p>
    <w:p w14:paraId="3F86CB7E" w14:textId="77777777" w:rsidR="001F7233" w:rsidRDefault="00000000">
      <w:r>
        <w:rPr>
          <w:b/>
        </w:rPr>
        <w:t>Plus: Tilgung baut Eigenkapital auf, Wertzuwachs möglich</w:t>
      </w:r>
    </w:p>
    <w:p w14:paraId="31397452" w14:textId="77777777" w:rsidR="001F7233" w:rsidRDefault="00000000">
      <w:r>
        <w:rPr>
          <w:b/>
        </w:rPr>
        <w:t xml:space="preserve">Minus: </w:t>
      </w:r>
      <w:r>
        <w:t>Visum- und Jobrisiko: Verkauf unter Zeitdruck</w:t>
      </w:r>
    </w:p>
    <w:p w14:paraId="04303593" w14:textId="77777777" w:rsidR="001F7233" w:rsidRDefault="00000000">
      <w:r>
        <w:rPr>
          <w:b/>
        </w:rPr>
        <w:t>Plus: Zinsen und Grundsteuer abziehbar (bei Itemizing)</w:t>
      </w:r>
    </w:p>
    <w:p w14:paraId="4883FC54" w14:textId="77777777" w:rsidR="001F7233" w:rsidRDefault="00000000">
      <w:r>
        <w:rPr>
          <w:b/>
        </w:rPr>
        <w:t xml:space="preserve">Minus: </w:t>
      </w:r>
      <w:r>
        <w:t>Bargeldbedarf 60.000–125.000 $ bei 500.000 $ Preis</w:t>
      </w:r>
    </w:p>
    <w:p w14:paraId="0A73F7A3" w14:textId="77777777" w:rsidR="001F7233" w:rsidRDefault="00000000">
      <w:r>
        <w:rPr>
          <w:b/>
        </w:rPr>
        <w:t>Plus: Bis 250.000 $ (Ehepaar 500.000 $) Gewinn steuerfrei bei Selbstnutzung</w:t>
      </w:r>
    </w:p>
    <w:p w14:paraId="1DEFE8E1" w14:textId="77777777" w:rsidR="001F7233" w:rsidRDefault="00000000">
      <w:r>
        <w:rPr>
          <w:b/>
        </w:rPr>
        <w:t xml:space="preserve">Minus: </w:t>
      </w:r>
      <w:r>
        <w:t>Zusatzkosten: Grundsteuer, Versicherung, HOA, Instandhaltung</w:t>
      </w:r>
    </w:p>
    <w:p w14:paraId="17C5D037" w14:textId="77777777" w:rsidR="001F7233" w:rsidRDefault="00000000">
      <w:r>
        <w:rPr>
          <w:b/>
        </w:rPr>
        <w:t>Plus: Freiheit bei Umbau, Haustieren, Gestaltung</w:t>
      </w:r>
    </w:p>
    <w:p w14:paraId="1AD1849B" w14:textId="77777777" w:rsidR="001F7233" w:rsidRDefault="00000000">
      <w:r>
        <w:rPr>
          <w:b/>
        </w:rPr>
        <w:t xml:space="preserve">Minus: </w:t>
      </w:r>
      <w:r>
        <w:t>Kreditzugang eng: FHA weg, Overlays, Non-QM mit 20–50 % Anzahlung</w:t>
      </w:r>
    </w:p>
    <w:p w14:paraId="72D8F1BE" w14:textId="77777777" w:rsidR="001F7233" w:rsidRDefault="00000000">
      <w:r>
        <w:rPr>
          <w:b/>
        </w:rPr>
        <w:t>Plus: Stabilität für Kinder: gleiche Schule und Nachbarschaft über Jahre</w:t>
      </w:r>
    </w:p>
    <w:p w14:paraId="07BEF226" w14:textId="77777777" w:rsidR="001F7233" w:rsidRDefault="00000000">
      <w:r>
        <w:rPr>
          <w:b/>
        </w:rPr>
        <w:t xml:space="preserve">Minus: </w:t>
      </w:r>
      <w:r>
        <w:t>Zinsniveau hoch (6,95 %, höchster Stand seit Januar 2025)</w:t>
      </w:r>
    </w:p>
    <w:p w14:paraId="435C537A" w14:textId="77777777" w:rsidR="001F7233" w:rsidRDefault="001F7233">
      <w:pPr>
        <w:spacing w:line="180" w:lineRule="exact"/>
      </w:pPr>
    </w:p>
    <w:p w14:paraId="47FB47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DF61E49" w14:textId="77777777" w:rsidR="001F7233" w:rsidRDefault="00000000">
      <w:pPr>
        <w:spacing w:after="140"/>
      </w:pPr>
      <w:r>
        <w:t>Nutze die ersten zwölf Monate für die Vorarbeit: SSN beantragen (Kapitel </w:t>
      </w:r>
      <w:hyperlink w:anchor="k24">
        <w:r w:rsidR="001F7233">
          <w:t>24</w:t>
        </w:r>
      </w:hyperlink>
      <w:r>
        <w:t>), Konto und Kreditkarte für die Kredithistorie (Kapitel </w:t>
      </w:r>
      <w:hyperlink w:anchor="k25">
        <w:r w:rsidR="001F7233">
          <w:t>25</w:t>
        </w:r>
      </w:hyperlink>
      <w:r>
        <w:t>), Anzahlung und Reserve ansparen. Zahle die Miete pünktlich, sie zählt bei einer nichttraditionellen Kredithistorie. Sprich mit zwei bis drei Kreditgebern, bevor du Häuser besichtigst, dann erst mit einem Makler. Der Steuerteil (Kapitel </w:t>
      </w:r>
      <w:hyperlink w:anchor="k28">
        <w:r w:rsidR="001F7233">
          <w:t>28</w:t>
        </w:r>
      </w:hyperlink>
      <w:r>
        <w:t>) gehört vor die Unterschrift, nicht danach.</w:t>
      </w:r>
    </w:p>
    <w:p w14:paraId="35F4935D" w14:textId="77777777" w:rsidR="001F7233" w:rsidRDefault="00000000">
      <w:r>
        <w:t>• SSN beantragen und US-Kredithistorie aufbauen (</w:t>
      </w:r>
      <w:hyperlink w:anchor="k24">
        <w:r w:rsidR="001F7233">
          <w:rPr>
            <w:color w:val="0563C1"/>
            <w:u w:val="single"/>
          </w:rPr>
          <w:t>Kapitel 24</w:t>
        </w:r>
      </w:hyperlink>
      <w:r>
        <w:t xml:space="preserve"> und 25).</w:t>
      </w:r>
    </w:p>
    <w:p w14:paraId="02C61D26" w14:textId="77777777" w:rsidR="001F7233" w:rsidRDefault="00000000">
      <w:r>
        <w:t>• Anzahlung, 2–5 % Abschlusskosten und eine Reserve von mehreren Monatsraten ansparen.</w:t>
      </w:r>
    </w:p>
    <w:p w14:paraId="0558DD6D" w14:textId="77777777" w:rsidR="001F7233" w:rsidRDefault="00000000">
      <w:r>
        <w:t>• Zwei bis drei Kreditgeber nach Overlays fragen: Visum-Restlaufzeit, Mindest-Score, Reserven, Anzahlung.</w:t>
      </w:r>
    </w:p>
    <w:p w14:paraId="3D334EEE" w14:textId="77777777" w:rsidR="001F7233" w:rsidRDefault="00000000">
      <w:r>
        <w:t>• Mindestens drei Loan Estimates vergleichen (Zins, Points, Gesamtkosten, Rate-Lock-Dauer).</w:t>
      </w:r>
    </w:p>
    <w:p w14:paraId="7467D0FF" w14:textId="77777777" w:rsidR="001F7233" w:rsidRDefault="00000000">
      <w:r>
        <w:t>• Pre-Approval einholen, bevor du besichtigst.</w:t>
      </w:r>
    </w:p>
    <w:p w14:paraId="4DC9C1AB" w14:textId="77777777" w:rsidR="001F7233" w:rsidRDefault="00000000">
      <w:r>
        <w:t>• Vor dem Angebot: Versicherungsangebot, Flutzone, Grundsteuer der Gemeinde, HOA-Gebühren und -Regeln prüfen.</w:t>
      </w:r>
    </w:p>
    <w:p w14:paraId="5017A0DA" w14:textId="77777777" w:rsidR="001F7233" w:rsidRDefault="00000000">
      <w:r>
        <w:t>• Inspektion und Gutachten einplanen; Contingencies nur mit Bedacht streichen.</w:t>
      </w:r>
    </w:p>
    <w:p w14:paraId="35829BF8" w14:textId="77777777" w:rsidR="001F7233" w:rsidRDefault="00000000">
      <w:r>
        <w:t>• Vor dem Closing die Überweisungsdaten telefonisch bei der Title Company bestätigen.</w:t>
      </w:r>
    </w:p>
    <w:p w14:paraId="6EA64B96" w14:textId="77777777" w:rsidR="001F7233" w:rsidRDefault="00000000">
      <w:r>
        <w:t>• Nach dem Kauf: PMI-Löschung im Kalender notieren, Grundsteuerbescheid prüfen, Abzüge mit einem CPA klären.</w:t>
      </w:r>
    </w:p>
    <w:p w14:paraId="7CAEB92B" w14:textId="77777777" w:rsidR="001F7233" w:rsidRDefault="00000000">
      <w:r>
        <w:t>• Deutsche Immobilie: Verkauf oder Vermietung vor dem Wegzug mit dem Steuerberater durchrechnen.</w:t>
      </w:r>
    </w:p>
    <w:p w14:paraId="5602943D" w14:textId="77777777" w:rsidR="001F7233" w:rsidRDefault="001F7233">
      <w:pPr>
        <w:spacing w:line="220" w:lineRule="exact"/>
      </w:pPr>
    </w:p>
    <w:p w14:paraId="3BFDDE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54C9A88" w14:textId="77777777" w:rsidR="001F7233" w:rsidRDefault="00000000">
      <w:pPr>
        <w:pStyle w:val="ListParagraph"/>
        <w:numPr>
          <w:ilvl w:val="0"/>
          <w:numId w:val="1"/>
        </w:numPr>
        <w:spacing w:after="60"/>
      </w:pPr>
      <w:r>
        <w:t>CFPB — Kaufen, Kredite, Loan Estimate, Rate Lock, PMI (</w:t>
      </w:r>
      <w:hyperlink r:id="rId227">
        <w:r w:rsidR="001F7233">
          <w:rPr>
            <w:color w:val="0563C1"/>
            <w:u w:val="single"/>
          </w:rPr>
          <w:t>consumerfinance.gov/owning-a-home</w:t>
        </w:r>
      </w:hyperlink>
      <w:r>
        <w:t>)</w:t>
      </w:r>
    </w:p>
    <w:p w14:paraId="36D10D54" w14:textId="77777777" w:rsidR="001F7233" w:rsidRDefault="00000000">
      <w:pPr>
        <w:pStyle w:val="ListParagraph"/>
        <w:numPr>
          <w:ilvl w:val="0"/>
          <w:numId w:val="1"/>
        </w:numPr>
        <w:spacing w:after="60"/>
      </w:pPr>
      <w:r>
        <w:lastRenderedPageBreak/>
        <w:t>Fannie Mae — Selling Guide zu Nicht-US-Bürgern und Kredithistorie (</w:t>
      </w:r>
      <w:hyperlink r:id="rId228">
        <w:r w:rsidR="001F7233">
          <w:rPr>
            <w:color w:val="0563C1"/>
            <w:u w:val="single"/>
          </w:rPr>
          <w:t>selling-guide.fanniemae.com</w:t>
        </w:r>
      </w:hyperlink>
      <w:r>
        <w:t>)</w:t>
      </w:r>
    </w:p>
    <w:p w14:paraId="0CF912A8" w14:textId="77777777" w:rsidR="001F7233" w:rsidRDefault="00000000">
      <w:pPr>
        <w:pStyle w:val="ListParagraph"/>
        <w:numPr>
          <w:ilvl w:val="0"/>
          <w:numId w:val="1"/>
        </w:numPr>
        <w:spacing w:after="60"/>
      </w:pPr>
      <w:r>
        <w:t>HUD — FHA-Regel für Nicht-Daueraufenthaltsberechtigte, Mortgagee Letter 2025-09 (</w:t>
      </w:r>
      <w:hyperlink r:id="rId229">
        <w:r w:rsidR="001F7233">
          <w:rPr>
            <w:color w:val="0563C1"/>
            <w:u w:val="single"/>
          </w:rPr>
          <w:t>hud.gov/sites/default/files/OCHCO/documents/2025-09hsgml.pdf</w:t>
        </w:r>
      </w:hyperlink>
      <w:r>
        <w:t>)</w:t>
      </w:r>
    </w:p>
    <w:p w14:paraId="4A4D60EA" w14:textId="77777777" w:rsidR="001F7233" w:rsidRDefault="00000000">
      <w:pPr>
        <w:pStyle w:val="ListParagraph"/>
        <w:numPr>
          <w:ilvl w:val="0"/>
          <w:numId w:val="1"/>
        </w:numPr>
        <w:spacing w:after="60"/>
      </w:pPr>
      <w:r>
        <w:t>Freddie Mac — wöchentliche Zinsumfrage (</w:t>
      </w:r>
      <w:hyperlink r:id="rId230">
        <w:r w:rsidR="001F7233">
          <w:rPr>
            <w:color w:val="0563C1"/>
            <w:u w:val="single"/>
          </w:rPr>
          <w:t>freddiemac.com/pmms</w:t>
        </w:r>
      </w:hyperlink>
      <w:r>
        <w:t>)</w:t>
      </w:r>
    </w:p>
    <w:p w14:paraId="158BDF74" w14:textId="77777777" w:rsidR="001F7233" w:rsidRDefault="00000000">
      <w:pPr>
        <w:pStyle w:val="ListParagraph"/>
        <w:numPr>
          <w:ilvl w:val="0"/>
          <w:numId w:val="1"/>
        </w:numPr>
        <w:spacing w:after="60"/>
      </w:pPr>
      <w:r>
        <w:t>FHFA — Conforming Loan Limits (</w:t>
      </w:r>
      <w:hyperlink r:id="rId231">
        <w:r w:rsidR="001F7233">
          <w:rPr>
            <w:color w:val="0563C1"/>
            <w:u w:val="single"/>
          </w:rPr>
          <w:t>fhfa.gov</w:t>
        </w:r>
      </w:hyperlink>
      <w:r>
        <w:t>)</w:t>
      </w:r>
    </w:p>
    <w:p w14:paraId="320834F1" w14:textId="77777777" w:rsidR="001F7233" w:rsidRDefault="00000000">
      <w:pPr>
        <w:pStyle w:val="ListParagraph"/>
        <w:numPr>
          <w:ilvl w:val="0"/>
          <w:numId w:val="1"/>
        </w:numPr>
        <w:spacing w:after="60"/>
      </w:pPr>
      <w:r>
        <w:t>IRS — Hypothekenzinsen und Hausverkauf (</w:t>
      </w:r>
      <w:hyperlink r:id="rId232">
        <w:r w:rsidR="001F7233">
          <w:rPr>
            <w:color w:val="0563C1"/>
            <w:u w:val="single"/>
          </w:rPr>
          <w:t>irs.gov/publications/p936</w:t>
        </w:r>
      </w:hyperlink>
      <w:r>
        <w:t xml:space="preserve"> und </w:t>
      </w:r>
      <w:hyperlink r:id="rId233">
        <w:r w:rsidR="001F7233">
          <w:rPr>
            <w:color w:val="0563C1"/>
            <w:u w:val="single"/>
          </w:rPr>
          <w:t>irs.gov/taxtopics/tc701</w:t>
        </w:r>
      </w:hyperlink>
      <w:r>
        <w:t>)</w:t>
      </w:r>
    </w:p>
    <w:p w14:paraId="7FE3C62E" w14:textId="77777777" w:rsidR="001F7233" w:rsidRDefault="00000000">
      <w:pPr>
        <w:pStyle w:val="ListParagraph"/>
        <w:numPr>
          <w:ilvl w:val="0"/>
          <w:numId w:val="1"/>
        </w:numPr>
        <w:spacing w:after="60"/>
      </w:pPr>
      <w:r>
        <w:t>FEMA — Flutkarten (</w:t>
      </w:r>
      <w:hyperlink r:id="rId234">
        <w:r w:rsidR="001F7233">
          <w:rPr>
            <w:color w:val="0563C1"/>
            <w:u w:val="single"/>
          </w:rPr>
          <w:t>fema.gov/flood-maps</w:t>
        </w:r>
      </w:hyperlink>
      <w:r>
        <w:t>)</w:t>
      </w:r>
    </w:p>
    <w:p w14:paraId="6036E199" w14:textId="77777777" w:rsidR="001F7233" w:rsidRDefault="00000000">
      <w:pPr>
        <w:pStyle w:val="ListParagraph"/>
        <w:numPr>
          <w:ilvl w:val="0"/>
          <w:numId w:val="1"/>
        </w:numPr>
        <w:spacing w:after="60"/>
      </w:pPr>
      <w:r>
        <w:t>Gesetze im Internet — Spekulationsfrist bei Immobilien, § 23 EStG (</w:t>
      </w:r>
      <w:hyperlink r:id="rId235">
        <w:r w:rsidR="001F7233">
          <w:rPr>
            <w:color w:val="0563C1"/>
            <w:u w:val="single"/>
          </w:rPr>
          <w:t>gesetze-im-internet.de/estg/__23.html</w:t>
        </w:r>
      </w:hyperlink>
      <w:r>
        <w:t>)</w:t>
      </w:r>
    </w:p>
    <w:p w14:paraId="34799368" w14:textId="77777777" w:rsidR="001F7233" w:rsidRDefault="001F7233">
      <w:pPr>
        <w:spacing w:line="120" w:lineRule="exact"/>
      </w:pPr>
    </w:p>
    <w:p w14:paraId="3718DB0B" w14:textId="77777777" w:rsidR="001F7233" w:rsidRDefault="00000000">
      <w:r>
        <w:t>• September 2026 (Zinsen: 17. September 2026). Diese Angaben ändern sich schnell: Zinsen wöchentlich, Overlays der Kreditgeber ohne Vorankündigung, die FHA-Regel für Visa-Inhaber durch HUD oder Gerichte, die Conforming Loan Limit jährlich (2026: 832.750 $), Versicherungsprämien und Provisionen laufend, Steuerregeln durch den Gesetzgeber (SALT-Deckel 40.400 $ für 2026, ab 2030 vorgesehen 10.000 $). Hol dir vor jeder Entscheidung aktuelle Loan Estimates und eine steuerliche Beratung ein.</w:t>
      </w:r>
    </w:p>
    <w:p w14:paraId="4F97FBCD" w14:textId="77777777" w:rsidR="001F7233" w:rsidRDefault="001F7233">
      <w:pPr>
        <w:spacing w:line="220" w:lineRule="exact"/>
      </w:pPr>
    </w:p>
    <w:p w14:paraId="14A3DA44" w14:textId="77777777" w:rsidR="001F7233" w:rsidRDefault="00000000">
      <w:r>
        <w:br w:type="page"/>
      </w:r>
    </w:p>
    <w:p w14:paraId="6CF920AB" w14:textId="77777777" w:rsidR="001F7233" w:rsidRDefault="00000000">
      <w:pPr>
        <w:pStyle w:val="Heading1"/>
        <w:keepNext/>
        <w:spacing w:line="341" w:lineRule="auto"/>
        <w:jc w:val="center"/>
      </w:pPr>
      <w:bookmarkStart w:id="41" w:name="rev73h2009"/>
      <w:r>
        <w:rPr>
          <w:rFonts w:ascii="Amazon Ember" w:eastAsia="Amazon Ember" w:hAnsi="Amazon Ember" w:cs="Amazon Ember"/>
          <w:color w:val="0000FF"/>
        </w:rPr>
        <w:lastRenderedPageBreak/>
        <w:t>TEIL IV — Vorbereitung in Deutschland</w:t>
      </w:r>
      <w:bookmarkEnd w:id="41"/>
    </w:p>
    <w:p w14:paraId="2C672247" w14:textId="77777777" w:rsidR="001F7233" w:rsidRDefault="00000000">
      <w:pPr>
        <w:spacing w:after="160" w:line="300" w:lineRule="auto"/>
        <w:ind w:left="400" w:right="400"/>
        <w:jc w:val="center"/>
      </w:pPr>
      <w:r>
        <w:rPr>
          <w:i/>
          <w:iCs/>
          <w:sz w:val="24"/>
          <w:szCs w:val="24"/>
        </w:rPr>
        <w:t>Was du erledigst, solange du noch einen deutschen Briefkasten hast: Behörden, Verträge, Steuern, Rente, Krankenversicherung und Dokumente.</w:t>
      </w:r>
    </w:p>
    <w:p w14:paraId="0B9AD5D6" w14:textId="77777777" w:rsidR="001F7233" w:rsidRDefault="001F7233"/>
    <w:p w14:paraId="4E0A36A0" w14:textId="77777777" w:rsidR="001F7233" w:rsidRDefault="00000000">
      <w:pPr>
        <w:pStyle w:val="Heading3"/>
      </w:pPr>
      <w:r>
        <w:t>Strom, Wasser und Gas: laufende Kosten senken</w:t>
      </w:r>
    </w:p>
    <w:p w14:paraId="78DE87B1" w14:textId="77777777" w:rsidR="001F7233" w:rsidRDefault="00000000">
      <w:r>
        <w:t xml:space="preserve">Utility bills depend on the address, building and season. Before signing, ask which services are included in rent, who sets up each account, whether the home uses natural gas, propane or electricity, and whether the bill has a fixed customer charge, delivery charge or time-of-use rate. Compare the total bill for your expected use, not just the advertised cents per kilowatt-hour. Photograph the meter at move-in where appropriate. Low-cost steps: use LEDs, wash full loads in cold water, use dishwasher eco mode, shorten hot showers, set heating and cooling moderately, close blinds against summer sun, and keep HVAC filters clean. Check for running toilets and dripping taps; report leaks promptly. In a rental, get permission before changing fixtures, thermostat settings, insulation or appliances, and never block required ventilation. For an owned home, check local water restrictions and utility rebates before upgrading equipment. </w:t>
      </w:r>
      <w:hyperlink r:id="rId236">
        <w:r w:rsidR="001F7233">
          <w:rPr>
            <w:color w:val="0563C1"/>
            <w:u w:val="single"/>
          </w:rPr>
          <w:t>ENERGY STAR: heating and cooling</w:t>
        </w:r>
      </w:hyperlink>
      <w:r>
        <w:t xml:space="preserve"> </w:t>
      </w:r>
      <w:hyperlink r:id="rId237">
        <w:r w:rsidR="001F7233">
          <w:rPr>
            <w:color w:val="0563C1"/>
            <w:u w:val="single"/>
          </w:rPr>
          <w:t>EPA WaterSense: home maintenance and leak checks</w:t>
        </w:r>
      </w:hyperlink>
    </w:p>
    <w:p w14:paraId="0C087CE7" w14:textId="77777777" w:rsidR="001F7233" w:rsidRDefault="00000000">
      <w:pPr>
        <w:pStyle w:val="Heading3"/>
      </w:pPr>
      <w:r>
        <w:t>Helikopter, Flugrouten und wiederkehrender Lärm</w:t>
      </w:r>
    </w:p>
    <w:p w14:paraId="3CAC571A" w14:textId="77777777" w:rsidR="001F7233" w:rsidRDefault="00000000">
      <w:r>
        <w:t xml:space="preserve">Ein Hubschrauber über dem Haus kann ein einzelner Flug oder regelmäßiger Rettungs-, Polizei-, Tourismus-, Trainings- oder </w:t>
      </w:r>
      <w:r>
        <w:lastRenderedPageBreak/>
        <w:t>Arbeitsverkehr sein. Häufigkeit und Lärm hängen von der Adresse ab. Besuche vor Miete oder Kauf zu verschiedenen Uhrzeiten und prüfe Flughäfen, Helipads, Kliniken, Flugrouten und Veranstaltungsorte in der Nähe. Frag Nachbarn nach wiederkehrendem Flug-, Straßen-, Bahn-, Baustellen- und Nachtlärm. Karten zeigen nicht jede Geräuschquelle; Routen können sich ändern. Beschwerden richtest du an die passende örtliche Stelle.</w:t>
      </w:r>
    </w:p>
    <w:p w14:paraId="3A96483A" w14:textId="77777777" w:rsidR="001F7233" w:rsidRDefault="00000000">
      <w:pPr>
        <w:pStyle w:val="Heading3"/>
      </w:pPr>
      <w:r>
        <w:t>Hobbys mit Nachweis: Flugzeug, Funk, Boot, Drohne, Tauchen und Hovercraft</w:t>
      </w:r>
    </w:p>
    <w:p w14:paraId="325DB35C" w14:textId="77777777" w:rsidR="001F7233" w:rsidRDefault="00000000">
      <w:r>
        <w:t xml:space="preserve">Du brauchst für diese Hobbys jeweils unterschiedliche Nachweise. Für eine Cessna brauchst du eine FAA-Pilotenlizenz mit passender Kategorie/Klasse, aktuelle medizinische Berechtigung oder zulässige Alternative und die für Flugzeug und Flugart nötige Berechtigung; das Flugzeug selbst muss registriert und lufttüchtig sein. Amateurfunk verlangt eine FCC-Lizenz. Für Motorboote richten sich Ausbildung, Mindestalter und Lizenzpflicht nach dem Bundesstaat; auch ein Segelboot kann unter lokale Vorgaben fallen, besonders mit Motor. Freizeit-Drohnen erfordern den FAA-TRUST-Test; ab 250 g grundsätzlich Registrierung, außerdem gelten Remote-ID- und Luftraumregeln. Für Gerätetauchen ist üblicherweise ein anerkanntes Ausbildungszertifikat statt einer staatlichen „Tauchlizenz“ nötig; Tauchbasen können zusätzlich ärztliche Selbstauskunft und aktuelle Erfahrung verlangen. Deutsche Scheine gelten nicht automatisch für jede lokale Tätigkeit: vor Kursbuchung Umschreibung und Anerkennung prüfen. </w:t>
      </w:r>
      <w:hyperlink r:id="rId238">
        <w:r w:rsidR="001F7233">
          <w:rPr>
            <w:color w:val="0563C1"/>
            <w:u w:val="single"/>
          </w:rPr>
          <w:t>FAA: pilot licensing and certification</w:t>
        </w:r>
      </w:hyperlink>
      <w:r>
        <w:t xml:space="preserve"> </w:t>
      </w:r>
      <w:hyperlink r:id="rId239">
        <w:r w:rsidR="001F7233">
          <w:rPr>
            <w:color w:val="0563C1"/>
            <w:u w:val="single"/>
          </w:rPr>
          <w:t>FCC: amateur radio licensing</w:t>
        </w:r>
      </w:hyperlink>
      <w:r>
        <w:t xml:space="preserve"> </w:t>
      </w:r>
      <w:hyperlink r:id="rId240">
        <w:r w:rsidR="001F7233">
          <w:rPr>
            <w:color w:val="0563C1"/>
            <w:u w:val="single"/>
          </w:rPr>
          <w:t>USCG: state boating laws</w:t>
        </w:r>
      </w:hyperlink>
      <w:r>
        <w:t xml:space="preserve"> </w:t>
      </w:r>
      <w:hyperlink r:id="rId241">
        <w:r w:rsidR="001F7233">
          <w:rPr>
            <w:color w:val="0563C1"/>
            <w:u w:val="single"/>
          </w:rPr>
          <w:t>FAA: TRUST and recreational drone rules</w:t>
        </w:r>
      </w:hyperlink>
      <w:r>
        <w:t xml:space="preserve"> </w:t>
      </w:r>
      <w:hyperlink r:id="rId242">
        <w:r w:rsidR="001F7233">
          <w:rPr>
            <w:color w:val="0563C1"/>
            <w:u w:val="single"/>
          </w:rPr>
          <w:t>PADI: Open Water Diver certification</w:t>
        </w:r>
      </w:hyperlink>
    </w:p>
    <w:p w14:paraId="4FB6A58A" w14:textId="77777777" w:rsidR="001F7233" w:rsidRDefault="00000000">
      <w:r>
        <w:t xml:space="preserve">Hovercraft: Private Nutzung auf Wasser, Land oder beidem kann je nach Bundesstaat und Gewässer unterschiedlich eingeordnet werden. Vor dem Kauf mit der passenden State-Boating-Behörde und falls nötig der US Coast Guard klären, welche Registrierung, </w:t>
      </w:r>
      <w:r>
        <w:lastRenderedPageBreak/>
        <w:t>Sicherheitsregeln und Betriebsgebiete gelten. Es ist kein ATV mit Propeller.</w:t>
      </w:r>
      <w:r>
        <w:br w:type="page"/>
      </w:r>
    </w:p>
    <w:p w14:paraId="2CF98629" w14:textId="77777777" w:rsidR="001F7233" w:rsidRDefault="00000000">
      <w:pPr>
        <w:pStyle w:val="Heading2"/>
        <w:keepNext/>
        <w:spacing w:line="341" w:lineRule="auto"/>
        <w:jc w:val="center"/>
      </w:pPr>
      <w:bookmarkStart w:id="42" w:name="k15"/>
      <w:r>
        <w:rPr>
          <w:rFonts w:ascii="Amazon Ember" w:eastAsia="Amazon Ember" w:hAnsi="Amazon Ember" w:cs="Amazon Ember"/>
          <w:color w:val="0000FF"/>
          <w:sz w:val="36"/>
          <w:szCs w:val="36"/>
        </w:rPr>
        <w:lastRenderedPageBreak/>
        <w:t>Kapitel 15: Der Masterplan: Zeitleiste vom Entschluss bis zum Abflug</w:t>
      </w:r>
      <w:bookmarkEnd w:id="42"/>
    </w:p>
    <w:p w14:paraId="7B9CA35D" w14:textId="77777777" w:rsidR="001F7233" w:rsidRDefault="00000000">
      <w:r>
        <w:rPr>
          <w:b/>
        </w:rPr>
        <w:t xml:space="preserve">KURZ GESAGT: </w:t>
      </w:r>
    </w:p>
    <w:p w14:paraId="43342A22" w14:textId="77777777" w:rsidR="001F7233" w:rsidRDefault="00000000">
      <w:r>
        <w:t>• Rechne rückwärts vom Abflugtermin, nicht vorwärts vom Entschluss: Der Abflugtag ist der Fixpunkt, alle Fristen laufen auf ihn zu.</w:t>
      </w:r>
    </w:p>
    <w:p w14:paraId="4341443A" w14:textId="77777777" w:rsidR="001F7233" w:rsidRDefault="00000000">
      <w:r>
        <w:t>• Der kritische Pfad heißt Visum vor Wohnungskündigung vor Verschiffung: Jeder Schritt braucht den vorherigen als sichere Grundlage.</w:t>
      </w:r>
    </w:p>
    <w:p w14:paraId="39E331CC" w14:textId="77777777" w:rsidR="001F7233" w:rsidRDefault="00000000">
      <w:r>
        <w:t>• Andere Wege wie L-1 oder E-2 sind planbarer und oft kürzer, weil die März-Lotterie entfällt.</w:t>
      </w:r>
    </w:p>
    <w:p w14:paraId="5BFA38F2" w14:textId="77777777" w:rsidR="001F7233" w:rsidRDefault="00000000">
      <w:r>
        <w:t>• Ein Schuljahreswechsel mitten im Herbst ist beim Lotterieweg fast unvermeidlich.</w:t>
      </w:r>
    </w:p>
    <w:p w14:paraId="296793F3" w14:textId="77777777" w:rsidR="001F7233" w:rsidRDefault="00000000">
      <w:r>
        <w:t>• Nutze die Wartezeit vor der Genehmigung für alles, was keinen Visumsstatus braucht: Dokumente, Finanzen, Bewerbungen.</w:t>
      </w:r>
    </w:p>
    <w:p w14:paraId="05A3AAAC" w14:textId="77777777" w:rsidR="001F7233" w:rsidRDefault="001F7233">
      <w:pPr>
        <w:spacing w:line="220" w:lineRule="exact"/>
      </w:pPr>
    </w:p>
    <w:p w14:paraId="72D730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Zeitleiste: T–18 bis T–0</w:t>
      </w:r>
    </w:p>
    <w:p w14:paraId="44669216" w14:textId="77777777" w:rsidR="001F7233" w:rsidRDefault="00000000">
      <w:r>
        <w:rPr>
          <w:b/>
        </w:rPr>
        <w:t>T–18 bis T–9</w:t>
      </w:r>
    </w:p>
    <w:p w14:paraId="2DFF220C" w14:textId="77777777" w:rsidR="001F7233" w:rsidRDefault="00000000">
      <w:r>
        <w:rPr>
          <w:b/>
        </w:rPr>
        <w:t xml:space="preserve">Meilenstein: </w:t>
      </w:r>
      <w:r>
        <w:t>Entschluss fassen, Weg wählen, Englisch und Finanzen vorbereiten, Bewerbungen</w:t>
      </w:r>
    </w:p>
    <w:p w14:paraId="2FC9E7D9" w14:textId="77777777" w:rsidR="001F7233" w:rsidRDefault="00000000">
      <w:r>
        <w:rPr>
          <w:b/>
        </w:rPr>
        <w:t xml:space="preserve">Kapitel: </w:t>
      </w:r>
      <w:r>
        <w:t>1–9</w:t>
      </w:r>
    </w:p>
    <w:p w14:paraId="6FD0403A" w14:textId="77777777" w:rsidR="001F7233" w:rsidRDefault="00000000">
      <w:r>
        <w:rPr>
          <w:b/>
        </w:rPr>
        <w:t>T–8</w:t>
      </w:r>
    </w:p>
    <w:p w14:paraId="233CED74" w14:textId="77777777" w:rsidR="001F7233" w:rsidRDefault="00000000">
      <w:r>
        <w:rPr>
          <w:b/>
        </w:rPr>
        <w:t xml:space="preserve">Meilenstein: </w:t>
      </w:r>
      <w:r>
        <w:t>Jobangebot, schriftliche Sponsoring-Zusage, Lohn-Level</w:t>
      </w:r>
    </w:p>
    <w:p w14:paraId="736E42B2" w14:textId="77777777" w:rsidR="001F7233" w:rsidRDefault="00000000">
      <w:r>
        <w:rPr>
          <w:b/>
        </w:rPr>
        <w:t xml:space="preserve">Kapitel: </w:t>
      </w:r>
      <w:r>
        <w:t>5, 11</w:t>
      </w:r>
    </w:p>
    <w:p w14:paraId="68019269" w14:textId="77777777" w:rsidR="001F7233" w:rsidRDefault="00000000">
      <w:r>
        <w:rPr>
          <w:b/>
        </w:rPr>
        <w:t>T–8 bis T–6</w:t>
      </w:r>
    </w:p>
    <w:p w14:paraId="1F5AA7C7" w14:textId="77777777" w:rsidR="001F7233" w:rsidRDefault="00000000">
      <w:r>
        <w:rPr>
          <w:b/>
        </w:rPr>
        <w:t xml:space="preserve">Meilenstein: </w:t>
      </w:r>
      <w:r>
        <w:t>Zeugnisbewertung beauftragen, Pässe prüfen, Übersetzungen anstoßen</w:t>
      </w:r>
    </w:p>
    <w:p w14:paraId="73E34AC4" w14:textId="77777777" w:rsidR="001F7233" w:rsidRDefault="00000000">
      <w:r>
        <w:rPr>
          <w:b/>
        </w:rPr>
        <w:t xml:space="preserve">Kapitel: </w:t>
      </w:r>
      <w:r>
        <w:t>19</w:t>
      </w:r>
    </w:p>
    <w:p w14:paraId="71B83A5C" w14:textId="77777777" w:rsidR="001F7233" w:rsidRDefault="00000000">
      <w:r>
        <w:rPr>
          <w:b/>
        </w:rPr>
        <w:t>T–6</w:t>
      </w:r>
    </w:p>
    <w:p w14:paraId="43A3D0AF" w14:textId="77777777" w:rsidR="001F7233" w:rsidRDefault="00000000">
      <w:r>
        <w:rPr>
          <w:b/>
        </w:rPr>
        <w:lastRenderedPageBreak/>
        <w:t xml:space="preserve">Meilenstein: </w:t>
      </w:r>
      <w:r>
        <w:t>H-1B-Lotterie-Registrierung</w:t>
      </w:r>
    </w:p>
    <w:p w14:paraId="7E89ADC0" w14:textId="77777777" w:rsidR="001F7233" w:rsidRDefault="00000000">
      <w:r>
        <w:rPr>
          <w:b/>
        </w:rPr>
        <w:t xml:space="preserve">Kapitel: </w:t>
      </w:r>
      <w:r>
        <w:t>5, 11</w:t>
      </w:r>
    </w:p>
    <w:p w14:paraId="02DB9956" w14:textId="77777777" w:rsidR="001F7233" w:rsidRDefault="00000000">
      <w:r>
        <w:rPr>
          <w:b/>
        </w:rPr>
        <w:t>T–5</w:t>
      </w:r>
    </w:p>
    <w:p w14:paraId="3D963203" w14:textId="77777777" w:rsidR="001F7233" w:rsidRDefault="00000000">
      <w:r>
        <w:rPr>
          <w:b/>
        </w:rPr>
        <w:t xml:space="preserve">Meilenstein: </w:t>
      </w:r>
      <w:r>
        <w:t>Auswahlergebnis</w:t>
      </w:r>
    </w:p>
    <w:p w14:paraId="460978A8" w14:textId="77777777" w:rsidR="001F7233" w:rsidRDefault="00000000">
      <w:r>
        <w:rPr>
          <w:b/>
        </w:rPr>
        <w:t xml:space="preserve">Kapitel: </w:t>
      </w:r>
      <w:r>
        <w:t>11</w:t>
      </w:r>
    </w:p>
    <w:p w14:paraId="74668E29" w14:textId="77777777" w:rsidR="001F7233" w:rsidRDefault="00000000">
      <w:r>
        <w:rPr>
          <w:b/>
        </w:rPr>
        <w:t>T–5 bis T–3</w:t>
      </w:r>
    </w:p>
    <w:p w14:paraId="1D689F87" w14:textId="77777777" w:rsidR="001F7233" w:rsidRDefault="00000000">
      <w:r>
        <w:rPr>
          <w:b/>
        </w:rPr>
        <w:t xml:space="preserve">Meilenstein: </w:t>
      </w:r>
      <w:r>
        <w:t>LCA, Petition, USCIS-Entscheidung, ggf. Nachforderung</w:t>
      </w:r>
    </w:p>
    <w:p w14:paraId="51BCAF6C" w14:textId="77777777" w:rsidR="001F7233" w:rsidRDefault="00000000">
      <w:r>
        <w:rPr>
          <w:b/>
        </w:rPr>
        <w:t xml:space="preserve">Kapitel: </w:t>
      </w:r>
      <w:r>
        <w:t>11</w:t>
      </w:r>
    </w:p>
    <w:p w14:paraId="4EA2909C" w14:textId="77777777" w:rsidR="001F7233" w:rsidRDefault="00000000">
      <w:r>
        <w:rPr>
          <w:b/>
        </w:rPr>
        <w:t>T–4 bis T–3</w:t>
      </w:r>
    </w:p>
    <w:p w14:paraId="4D928A5C" w14:textId="77777777" w:rsidR="001F7233" w:rsidRDefault="00000000">
      <w:r>
        <w:rPr>
          <w:b/>
        </w:rPr>
        <w:t xml:space="preserve">Meilenstein: </w:t>
      </w:r>
      <w:r>
        <w:t>Krankenkasse und Anwartschaft, Depot und PFIC, Rentenversicherung klären</w:t>
      </w:r>
    </w:p>
    <w:p w14:paraId="09D2D586" w14:textId="77777777" w:rsidR="001F7233" w:rsidRDefault="00000000">
      <w:r>
        <w:rPr>
          <w:b/>
        </w:rPr>
        <w:t xml:space="preserve">Kapitel: </w:t>
      </w:r>
      <w:r>
        <w:t>17, 18</w:t>
      </w:r>
    </w:p>
    <w:p w14:paraId="785630F2" w14:textId="77777777" w:rsidR="001F7233" w:rsidRDefault="00000000">
      <w:r>
        <w:rPr>
          <w:b/>
        </w:rPr>
        <w:t>T–3</w:t>
      </w:r>
    </w:p>
    <w:p w14:paraId="1DA0A7C1" w14:textId="77777777" w:rsidR="001F7233" w:rsidRDefault="00000000">
      <w:r>
        <w:rPr>
          <w:b/>
        </w:rPr>
        <w:t xml:space="preserve">Meilenstein: </w:t>
      </w:r>
      <w:r>
        <w:t>Wohnung kündigen, sobald Genehmigung und Interviewtermin feststehen</w:t>
      </w:r>
    </w:p>
    <w:p w14:paraId="37506A0F" w14:textId="77777777" w:rsidR="001F7233" w:rsidRDefault="00000000">
      <w:r>
        <w:rPr>
          <w:b/>
        </w:rPr>
        <w:t xml:space="preserve">Kapitel: </w:t>
      </w:r>
      <w:r>
        <w:t>16</w:t>
      </w:r>
    </w:p>
    <w:p w14:paraId="23019E36" w14:textId="77777777" w:rsidR="001F7233" w:rsidRDefault="00000000">
      <w:r>
        <w:rPr>
          <w:b/>
        </w:rPr>
        <w:t>T–3 bis T–1</w:t>
      </w:r>
    </w:p>
    <w:p w14:paraId="101F5284" w14:textId="77777777" w:rsidR="001F7233" w:rsidRDefault="00000000">
      <w:r>
        <w:rPr>
          <w:b/>
        </w:rPr>
        <w:t xml:space="preserve">Meilenstein: </w:t>
      </w:r>
      <w:r>
        <w:t>DS-160, Konsulargebühr, Interviewtermin, Interview</w:t>
      </w:r>
    </w:p>
    <w:p w14:paraId="1CAD3DB7" w14:textId="77777777" w:rsidR="001F7233" w:rsidRDefault="00000000">
      <w:r>
        <w:rPr>
          <w:b/>
        </w:rPr>
        <w:t xml:space="preserve">Kapitel: </w:t>
      </w:r>
      <w:r>
        <w:t>11</w:t>
      </w:r>
    </w:p>
    <w:p w14:paraId="3D254BF4" w14:textId="77777777" w:rsidR="001F7233" w:rsidRDefault="00000000">
      <w:r>
        <w:rPr>
          <w:b/>
        </w:rPr>
        <w:t>T–1</w:t>
      </w:r>
    </w:p>
    <w:p w14:paraId="5ADFAB80" w14:textId="77777777" w:rsidR="001F7233" w:rsidRDefault="00000000">
      <w:r>
        <w:rPr>
          <w:b/>
        </w:rPr>
        <w:t xml:space="preserve">Meilenstein: </w:t>
      </w:r>
      <w:r>
        <w:t>Visum im Pass, Arbeitsvertrag kündigen, Spedition verbindlich buchen</w:t>
      </w:r>
    </w:p>
    <w:p w14:paraId="51C341DD" w14:textId="77777777" w:rsidR="001F7233" w:rsidRDefault="00000000">
      <w:r>
        <w:rPr>
          <w:b/>
        </w:rPr>
        <w:t xml:space="preserve">Kapitel: </w:t>
      </w:r>
      <w:r>
        <w:t>16, 20</w:t>
      </w:r>
    </w:p>
    <w:p w14:paraId="4AC2987F" w14:textId="77777777" w:rsidR="001F7233" w:rsidRDefault="00000000">
      <w:r>
        <w:rPr>
          <w:b/>
        </w:rPr>
        <w:t>T–1 bis T–0</w:t>
      </w:r>
    </w:p>
    <w:p w14:paraId="2661187B" w14:textId="77777777" w:rsidR="001F7233" w:rsidRDefault="00000000">
      <w:r>
        <w:rPr>
          <w:b/>
        </w:rPr>
        <w:t xml:space="preserve">Meilenstein: </w:t>
      </w:r>
      <w:r>
        <w:t>Impfungen, Vorsorgevollmacht, Abmeldung, Verladung, Wohnungsübergabe</w:t>
      </w:r>
    </w:p>
    <w:p w14:paraId="75F4E013" w14:textId="77777777" w:rsidR="001F7233" w:rsidRDefault="00000000">
      <w:r>
        <w:rPr>
          <w:b/>
        </w:rPr>
        <w:t xml:space="preserve">Kapitel: </w:t>
      </w:r>
      <w:r>
        <w:t>16, 18, 19, 20</w:t>
      </w:r>
    </w:p>
    <w:p w14:paraId="4E453E59" w14:textId="77777777" w:rsidR="001F7233" w:rsidRDefault="00000000">
      <w:r>
        <w:rPr>
          <w:b/>
        </w:rPr>
        <w:t>T–0</w:t>
      </w:r>
    </w:p>
    <w:p w14:paraId="5175C980" w14:textId="77777777" w:rsidR="001F7233" w:rsidRDefault="00000000">
      <w:r>
        <w:rPr>
          <w:b/>
        </w:rPr>
        <w:t xml:space="preserve">Meilenstein: </w:t>
      </w:r>
      <w:r>
        <w:t>Abflug und Einreise</w:t>
      </w:r>
    </w:p>
    <w:p w14:paraId="2EC0264B" w14:textId="77777777" w:rsidR="001F7233" w:rsidRDefault="00000000">
      <w:r>
        <w:rPr>
          <w:b/>
        </w:rPr>
        <w:t xml:space="preserve">Kapitel: </w:t>
      </w:r>
      <w:r>
        <w:t>23</w:t>
      </w:r>
    </w:p>
    <w:p w14:paraId="1C89C937" w14:textId="77777777" w:rsidR="001F7233" w:rsidRDefault="00000000">
      <w:r>
        <w:rPr>
          <w:b/>
        </w:rPr>
        <w:t>danach</w:t>
      </w:r>
    </w:p>
    <w:p w14:paraId="6CF8FEC5" w14:textId="77777777" w:rsidR="001F7233" w:rsidRDefault="00000000">
      <w:r>
        <w:rPr>
          <w:b/>
        </w:rPr>
        <w:t xml:space="preserve">Meilenstein: </w:t>
      </w:r>
      <w:r>
        <w:t>Arbeitsbeginn</w:t>
      </w:r>
    </w:p>
    <w:p w14:paraId="2752C9D3" w14:textId="77777777" w:rsidR="001F7233" w:rsidRDefault="00000000">
      <w:r>
        <w:rPr>
          <w:b/>
        </w:rPr>
        <w:t xml:space="preserve">Kapitel: </w:t>
      </w:r>
      <w:r>
        <w:t>23–25</w:t>
      </w:r>
    </w:p>
    <w:p w14:paraId="2E1559AD" w14:textId="77777777" w:rsidR="001F7233" w:rsidRDefault="001F7233">
      <w:pPr>
        <w:spacing w:line="180" w:lineRule="exact"/>
      </w:pPr>
    </w:p>
    <w:p w14:paraId="041E1A44" w14:textId="77777777" w:rsidR="001F7233" w:rsidRDefault="00000000">
      <w:r>
        <w:rPr>
          <w:b/>
        </w:rPr>
        <w:t xml:space="preserve">MERKE: </w:t>
      </w:r>
    </w:p>
    <w:p w14:paraId="11E26312" w14:textId="77777777" w:rsidR="001F7233" w:rsidRDefault="001F7233">
      <w:pPr>
        <w:spacing w:line="220" w:lineRule="exact"/>
      </w:pPr>
    </w:p>
    <w:p w14:paraId="34FF5E24" w14:textId="77777777" w:rsidR="001F7233" w:rsidRDefault="00000000">
      <w:pPr>
        <w:spacing w:after="140"/>
      </w:pPr>
      <w:r>
        <w:t>Kommt das Jobangebot erst nach der März-Registrierung, verschiebt sich die ganze Kette um ein Jahr: Die Registrierung folgt erst im nächsten März, der Arbeitsbeginn frühestens am 1. Oktober des übernächsten Jahres (Kapitel </w:t>
      </w:r>
      <w:hyperlink w:anchor="k11">
        <w:r w:rsidR="001F7233">
          <w:t>11</w:t>
        </w:r>
      </w:hyperlink>
      <w:r>
        <w:t>). Frage deshalb bei jedem Angebot ausdrücklich, ob und wann der Arbeitgeber registriert, und halte in der Zwischenzeit ein Ausweichmodell offen, etwa eine befristete Tätigkeit in Deutschland oder einen anderen Visumsweg (Kapitel </w:t>
      </w:r>
      <w:hyperlink w:anchor="k4">
        <w:r w:rsidR="001F7233">
          <w:t>4</w:t>
        </w:r>
      </w:hyperlink>
      <w:r>
        <w:t>).</w:t>
      </w:r>
    </w:p>
    <w:p w14:paraId="43CB522F" w14:textId="77777777" w:rsidR="001F7233" w:rsidRDefault="001F7233">
      <w:pPr>
        <w:spacing w:line="220" w:lineRule="exact"/>
      </w:pPr>
    </w:p>
    <w:p w14:paraId="6A1CBD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kritische Pfad: Visum, Wohnung, Verschiffung</w:t>
      </w:r>
    </w:p>
    <w:p w14:paraId="6B99DFB8" w14:textId="77777777" w:rsidR="001F7233" w:rsidRDefault="00000000">
      <w:pPr>
        <w:spacing w:after="140"/>
      </w:pPr>
      <w:r>
        <w:t>Drei Schritte hängen in fester Reihenfolge zusammen, und jeder frühere sichert den nächsten ab. Erst wenn die Petition genehmigt ist und ein Interviewtermin feststeht, hast du eine belastbare Grundlage, um die Wohnung zu kündigen (Kapitel 16). Erst wenn die Wohnung gekündigt und der Übergabetermin bekannt ist, kannst du realistisch planen, wann die Spedition verladen soll (Kapitel 20) und erst mit dem Visum im Pass bucht die Spedition verbindlich, kündigst du den Arbeitsvertrag und buchst Flüge. Wer diese Reihenfolge umdreht, etwa weil eine günstige Spedition nur zu einem bestimmten Termin frei ist, riskiert eine Buchung ins Leere, falls sich das Visum verzögert.</w:t>
      </w:r>
    </w:p>
    <w:p w14:paraId="09287981" w14:textId="77777777" w:rsidR="001F7233" w:rsidRDefault="00000000">
      <w:pPr>
        <w:spacing w:after="140"/>
      </w:pPr>
      <w:r>
        <w:t>Der Grund für diese Reihenfolge ist finanziell, nicht bürokratisch: Eine Kaution von mehreren Tausend Euro, eine dreimonatige Kündigungsfrist und eine Speditionsrechnung im vierstelligen Bereich lassen sich kaum rückgängig machen, sobald sie einmal laufen. Das Visum ist dagegen der einzige Schritt in der Kette, den weder du noch dein Arbeitgeber beschleunigen kannst. Alles andere richtet sich danach, nicht umgekehrt.</w:t>
      </w:r>
    </w:p>
    <w:p w14:paraId="70C9ED74" w14:textId="77777777" w:rsidR="001F7233" w:rsidRDefault="00000000">
      <w:r>
        <w:rPr>
          <w:b/>
        </w:rPr>
        <w:t xml:space="preserve">ACHTUNG: </w:t>
      </w:r>
    </w:p>
    <w:p w14:paraId="0DA75FB3" w14:textId="77777777" w:rsidR="001F7233" w:rsidRDefault="001F7233">
      <w:pPr>
        <w:spacing w:line="220" w:lineRule="exact"/>
      </w:pPr>
    </w:p>
    <w:p w14:paraId="690F0082" w14:textId="77777777" w:rsidR="001F7233" w:rsidRDefault="00000000">
      <w:r>
        <w:rPr>
          <w:b/>
        </w:rPr>
        <w:lastRenderedPageBreak/>
        <w:t xml:space="preserve">ACHTUNG: </w:t>
      </w:r>
    </w:p>
    <w:p w14:paraId="7F937B0D" w14:textId="77777777" w:rsidR="001F7233" w:rsidRDefault="00000000">
      <w:r>
        <w:t>• Die Spedition empfiehlt eine Buchung sechs bis acht Wochen vor der Verladung (</w:t>
      </w:r>
      <w:hyperlink w:anchor="k20">
        <w:r w:rsidR="001F7233">
          <w:rPr>
            <w:color w:val="0563C1"/>
            <w:u w:val="single"/>
          </w:rPr>
          <w:t>Kapitel 20</w:t>
        </w:r>
      </w:hyperlink>
      <w:r>
        <w:t>). Beim komprimierten Lotterieweg bleiben zwischen Visum im Pass und Abflug oft nur vier bis sechs Wochen. Buche trotzdem sofort verbindlich, sobald das Visum feststeht, und rechne von vornherein damit, dass der Container erst Wochen nach dir ankommt.</w:t>
      </w:r>
    </w:p>
    <w:p w14:paraId="57E49D47" w14:textId="77777777" w:rsidR="001F7233" w:rsidRDefault="001F7233">
      <w:pPr>
        <w:spacing w:line="220" w:lineRule="exact"/>
      </w:pPr>
    </w:p>
    <w:p w14:paraId="78729A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Doppelmiete vermeiden</w:t>
      </w:r>
    </w:p>
    <w:p w14:paraId="5FABE39B" w14:textId="77777777" w:rsidR="001F7233" w:rsidRDefault="00000000">
      <w:r>
        <w:rPr>
          <w:b/>
        </w:rPr>
        <w:t xml:space="preserve">SPARTIPP: </w:t>
      </w:r>
    </w:p>
    <w:p w14:paraId="60478A8C" w14:textId="77777777" w:rsidR="001F7233" w:rsidRDefault="00000000">
      <w:r>
        <w:t>• Nutze die Wartezeit zwischen Registrierung und Petition-Entscheidung für alles, was keinen Visumsstatus braucht: Zeugnisbewertung, Übersetzungen, Angebote von Speditionen einholen, Kontakt zum künftigen Schuldistrikt aufnehmen. Das verkürzt die eigentliche Endphase spürbar (</w:t>
      </w:r>
      <w:hyperlink w:anchor="k19">
        <w:r w:rsidR="001F7233">
          <w:rPr>
            <w:color w:val="0563C1"/>
            <w:u w:val="single"/>
          </w:rPr>
          <w:t>Kapitel 19</w:t>
        </w:r>
      </w:hyperlink>
      <w:r>
        <w:t>, 20, 36).</w:t>
      </w:r>
    </w:p>
    <w:p w14:paraId="339B0383" w14:textId="77777777" w:rsidR="001F7233" w:rsidRDefault="001F7233">
      <w:pPr>
        <w:spacing w:line="220" w:lineRule="exact"/>
      </w:pPr>
    </w:p>
    <w:p w14:paraId="5CE28C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macht was: Arbeitgeber, Anwalt, du</w:t>
      </w:r>
    </w:p>
    <w:p w14:paraId="7A3821B8" w14:textId="77777777" w:rsidR="001F7233" w:rsidRDefault="00000000">
      <w:pPr>
        <w:spacing w:after="140"/>
      </w:pPr>
      <w:r>
        <w:t>Die Zuständigkeiten ändern sich über die Zeitleiste hinweg kaum, deshalb lohnt sich hier ein Überblick zum Nachschlagen. Verbreiteter Irrtum: Viele stellen sich die Einwanderungskanzlei als ihren persönlichen Anwalt vor. Tatsächlich arbeitet sie für deinen Arbeitgeber, nicht für dich (Kapitel </w:t>
      </w:r>
      <w:hyperlink w:anchor="k11">
        <w:r w:rsidR="001F7233">
          <w:t>11</w:t>
        </w:r>
      </w:hyperlink>
      <w:r>
        <w:t>); ein eigener Anwalt ist optional und meist nur bei Sonderfällen wie einer Vorgeschichte oder einer Selbständigkeit nötig. Für fast alles, was in Deutschland zu erledigen ist, bist du ohnehin zuständig: Weder Kanzlei noch Arbeitgeber kündigen deine Wohnung, beurkunden deine Vollmacht oder klären deine Rentenversicherung.</w:t>
      </w:r>
    </w:p>
    <w:p w14:paraId="567277C5" w14:textId="77777777" w:rsidR="001F7233" w:rsidRDefault="00000000">
      <w:r>
        <w:rPr>
          <w:b/>
        </w:rPr>
        <w:t>Sponsoring-Zusage, Lohn-Level</w:t>
      </w:r>
    </w:p>
    <w:p w14:paraId="00699803" w14:textId="77777777" w:rsidR="001F7233" w:rsidRDefault="00000000">
      <w:r>
        <w:rPr>
          <w:b/>
        </w:rPr>
        <w:lastRenderedPageBreak/>
        <w:t xml:space="preserve">Arbeitgeber/Kanzlei: </w:t>
      </w:r>
      <w:r>
        <w:t>entscheidet, meldet</w:t>
      </w:r>
    </w:p>
    <w:p w14:paraId="6DF95D97" w14:textId="77777777" w:rsidR="001F7233" w:rsidRDefault="00000000">
      <w:r>
        <w:rPr>
          <w:b/>
        </w:rPr>
        <w:t xml:space="preserve">Eigener Anwalt: </w:t>
      </w:r>
      <w:r>
        <w:t>prüft auf Wunsch</w:t>
      </w:r>
    </w:p>
    <w:p w14:paraId="12885409" w14:textId="77777777" w:rsidR="001F7233" w:rsidRDefault="00000000">
      <w:r>
        <w:rPr>
          <w:b/>
        </w:rPr>
        <w:t xml:space="preserve">Du: </w:t>
      </w:r>
      <w:r>
        <w:t>Zeugnisse und Lebenslauf liefern</w:t>
      </w:r>
    </w:p>
    <w:p w14:paraId="130C879B" w14:textId="77777777" w:rsidR="001F7233" w:rsidRDefault="00000000">
      <w:r>
        <w:rPr>
          <w:b/>
        </w:rPr>
        <w:t>Registrierung, LCA, Petition</w:t>
      </w:r>
    </w:p>
    <w:p w14:paraId="62BB10D6" w14:textId="77777777" w:rsidR="001F7233" w:rsidRDefault="00000000">
      <w:r>
        <w:rPr>
          <w:b/>
        </w:rPr>
        <w:t xml:space="preserve">Arbeitgeber/Kanzlei: </w:t>
      </w:r>
      <w:r>
        <w:t>reicht ein, zahlt Gebühren</w:t>
      </w:r>
    </w:p>
    <w:p w14:paraId="3D81BF2E" w14:textId="77777777" w:rsidR="001F7233" w:rsidRDefault="00000000">
      <w:r>
        <w:rPr>
          <w:b/>
        </w:rPr>
        <w:t xml:space="preserve">Eigener Anwalt: </w:t>
      </w:r>
      <w:r>
        <w:t>Zweitmeinung möglich</w:t>
      </w:r>
    </w:p>
    <w:p w14:paraId="35900E98" w14:textId="77777777" w:rsidR="001F7233" w:rsidRDefault="00000000">
      <w:r>
        <w:rPr>
          <w:b/>
        </w:rPr>
        <w:t xml:space="preserve">Du: </w:t>
      </w:r>
      <w:r>
        <w:t>Angaben prüfen, zügig antworten</w:t>
      </w:r>
    </w:p>
    <w:p w14:paraId="728CB09C" w14:textId="77777777" w:rsidR="001F7233" w:rsidRDefault="00000000">
      <w:r>
        <w:rPr>
          <w:b/>
        </w:rPr>
        <w:t>Nachforderung (RFE)</w:t>
      </w:r>
    </w:p>
    <w:p w14:paraId="1A60573F" w14:textId="77777777" w:rsidR="001F7233" w:rsidRDefault="00000000">
      <w:r>
        <w:rPr>
          <w:b/>
        </w:rPr>
        <w:t xml:space="preserve">Arbeitgeber/Kanzlei: </w:t>
      </w:r>
      <w:r>
        <w:t>beauftragt Kanzlei, zahlt</w:t>
      </w:r>
    </w:p>
    <w:p w14:paraId="7CFFC80D" w14:textId="77777777" w:rsidR="001F7233" w:rsidRDefault="00000000">
      <w:r>
        <w:rPr>
          <w:b/>
        </w:rPr>
        <w:t xml:space="preserve">Eigener Anwalt: </w:t>
      </w:r>
      <w:r>
        <w:t>unterstützt, falls beauftragt</w:t>
      </w:r>
    </w:p>
    <w:p w14:paraId="7BAA9574" w14:textId="77777777" w:rsidR="001F7233" w:rsidRDefault="00000000">
      <w:r>
        <w:rPr>
          <w:b/>
        </w:rPr>
        <w:t xml:space="preserve">Du: </w:t>
      </w:r>
      <w:r>
        <w:t>Unterlagen binnen Tagen liefern</w:t>
      </w:r>
    </w:p>
    <w:p w14:paraId="5A34715C" w14:textId="77777777" w:rsidR="001F7233" w:rsidRDefault="00000000">
      <w:r>
        <w:rPr>
          <w:b/>
        </w:rPr>
        <w:t>DS-160, Interviewtermin</w:t>
      </w:r>
    </w:p>
    <w:p w14:paraId="28EDB7C1" w14:textId="77777777" w:rsidR="001F7233" w:rsidRDefault="00000000">
      <w:r>
        <w:rPr>
          <w:b/>
        </w:rPr>
        <w:t xml:space="preserve">Arbeitgeber/Kanzlei: </w:t>
      </w:r>
      <w:r>
        <w:t>erklärt Ablauf, erstattet oft</w:t>
      </w:r>
    </w:p>
    <w:p w14:paraId="42AF3F14" w14:textId="77777777" w:rsidR="001F7233" w:rsidRDefault="00000000">
      <w:r>
        <w:rPr>
          <w:b/>
        </w:rPr>
        <w:t xml:space="preserve">Eigener Anwalt: </w:t>
      </w:r>
      <w:r>
        <w:t>–</w:t>
      </w:r>
    </w:p>
    <w:p w14:paraId="5813C58B" w14:textId="77777777" w:rsidR="001F7233" w:rsidRDefault="00000000">
      <w:r>
        <w:rPr>
          <w:b/>
        </w:rPr>
        <w:t xml:space="preserve">Du: </w:t>
      </w:r>
      <w:r>
        <w:t>ausfüllen, zahlen, erscheinen</w:t>
      </w:r>
    </w:p>
    <w:p w14:paraId="098E5930" w14:textId="77777777" w:rsidR="001F7233" w:rsidRDefault="00000000">
      <w:r>
        <w:rPr>
          <w:b/>
        </w:rPr>
        <w:t>Wohnung, Arbeitsvertrag kündigen</w:t>
      </w:r>
    </w:p>
    <w:p w14:paraId="35004B4C" w14:textId="77777777" w:rsidR="001F7233" w:rsidRDefault="00000000">
      <w:r>
        <w:rPr>
          <w:b/>
        </w:rPr>
        <w:t xml:space="preserve">Arbeitgeber/Kanzlei: </w:t>
      </w:r>
      <w:r>
        <w:t>verhandelt Aufhebungsvertrag</w:t>
      </w:r>
    </w:p>
    <w:p w14:paraId="675579AD" w14:textId="77777777" w:rsidR="001F7233" w:rsidRDefault="00000000">
      <w:r>
        <w:rPr>
          <w:b/>
        </w:rPr>
        <w:t xml:space="preserve">Eigener Anwalt: </w:t>
      </w:r>
      <w:r>
        <w:t>–</w:t>
      </w:r>
    </w:p>
    <w:p w14:paraId="5529BE3C" w14:textId="77777777" w:rsidR="001F7233" w:rsidRDefault="00000000">
      <w:r>
        <w:rPr>
          <w:b/>
        </w:rPr>
        <w:t xml:space="preserve">Du: </w:t>
      </w:r>
      <w:r>
        <w:t>kündigt schriftlich, sobald sicher</w:t>
      </w:r>
    </w:p>
    <w:p w14:paraId="3D73DC36" w14:textId="77777777" w:rsidR="001F7233" w:rsidRDefault="00000000">
      <w:r>
        <w:rPr>
          <w:b/>
        </w:rPr>
        <w:t>Umzug, Spedition</w:t>
      </w:r>
    </w:p>
    <w:p w14:paraId="20D3EA59" w14:textId="77777777" w:rsidR="001F7233" w:rsidRDefault="00000000">
      <w:r>
        <w:rPr>
          <w:b/>
        </w:rPr>
        <w:t xml:space="preserve">Arbeitgeber/Kanzlei: </w:t>
      </w:r>
      <w:r>
        <w:t>zahlt oft Pauschale</w:t>
      </w:r>
    </w:p>
    <w:p w14:paraId="7CD20CEE" w14:textId="77777777" w:rsidR="001F7233" w:rsidRDefault="00000000">
      <w:r>
        <w:rPr>
          <w:b/>
        </w:rPr>
        <w:t xml:space="preserve">Eigener Anwalt: </w:t>
      </w:r>
      <w:r>
        <w:t>–</w:t>
      </w:r>
    </w:p>
    <w:p w14:paraId="2146F3EF" w14:textId="77777777" w:rsidR="001F7233" w:rsidRDefault="00000000">
      <w:r>
        <w:rPr>
          <w:b/>
        </w:rPr>
        <w:t xml:space="preserve">Du: </w:t>
      </w:r>
      <w:r>
        <w:t>Angebote einholen, buchen, packen</w:t>
      </w:r>
    </w:p>
    <w:p w14:paraId="3A08D9D6" w14:textId="77777777" w:rsidR="001F7233" w:rsidRDefault="00000000">
      <w:r>
        <w:rPr>
          <w:b/>
        </w:rPr>
        <w:t>Dokumente, Apostillen, Vollmachten</w:t>
      </w:r>
    </w:p>
    <w:p w14:paraId="0099C18F" w14:textId="77777777" w:rsidR="001F7233" w:rsidRDefault="00000000">
      <w:r>
        <w:rPr>
          <w:b/>
        </w:rPr>
        <w:t xml:space="preserve">Arbeitgeber/Kanzlei: </w:t>
      </w:r>
      <w:r>
        <w:t>–</w:t>
      </w:r>
    </w:p>
    <w:p w14:paraId="25A3441F" w14:textId="77777777" w:rsidR="001F7233" w:rsidRDefault="00000000">
      <w:r>
        <w:rPr>
          <w:b/>
        </w:rPr>
        <w:t xml:space="preserve">Eigener Anwalt: </w:t>
      </w:r>
      <w:r>
        <w:t>beschafft, lässt beurkunden, übersetzen</w:t>
      </w:r>
    </w:p>
    <w:p w14:paraId="03792372" w14:textId="77777777" w:rsidR="001F7233" w:rsidRDefault="00000000">
      <w:r>
        <w:rPr>
          <w:b/>
        </w:rPr>
        <w:t>Krankenversicherung, Rente, Depot</w:t>
      </w:r>
    </w:p>
    <w:p w14:paraId="595184A6" w14:textId="77777777" w:rsidR="001F7233" w:rsidRDefault="00000000">
      <w:r>
        <w:rPr>
          <w:b/>
        </w:rPr>
        <w:t xml:space="preserve">Arbeitgeber/Kanzlei: </w:t>
      </w:r>
      <w:r>
        <w:t>–</w:t>
      </w:r>
    </w:p>
    <w:p w14:paraId="275AA74A" w14:textId="77777777" w:rsidR="001F7233" w:rsidRDefault="00000000">
      <w:r>
        <w:rPr>
          <w:b/>
        </w:rPr>
        <w:t xml:space="preserve">Eigener Anwalt: </w:t>
      </w:r>
      <w:r>
        <w:t>klärt mit Kasse, DRV, Steuerberater</w:t>
      </w:r>
    </w:p>
    <w:p w14:paraId="5BD08EE8" w14:textId="77777777" w:rsidR="001F7233" w:rsidRDefault="001F7233">
      <w:pPr>
        <w:spacing w:line="180" w:lineRule="exact"/>
      </w:pPr>
    </w:p>
    <w:p w14:paraId="6B074FFE" w14:textId="77777777" w:rsidR="001F7233" w:rsidRDefault="00000000">
      <w:r>
        <w:rPr>
          <w:b/>
        </w:rPr>
        <w:t xml:space="preserve">ACHTUNG: </w:t>
      </w:r>
    </w:p>
    <w:p w14:paraId="1294AAD4" w14:textId="77777777" w:rsidR="001F7233" w:rsidRDefault="00000000">
      <w:r>
        <w:t>• Ein 221(g)-Vermerk beim Interview oder eine Nachforderung mit nur 30 Tagen Frist (</w:t>
      </w:r>
      <w:hyperlink w:anchor="k11">
        <w:r w:rsidR="001F7233">
          <w:rPr>
            <w:color w:val="0563C1"/>
            <w:u w:val="single"/>
          </w:rPr>
          <w:t>Kapitel 11</w:t>
        </w:r>
      </w:hyperlink>
      <w:r>
        <w:t xml:space="preserve">) verschiebt den ganzen Plan um Wochen. Lege deshalb schon bei der Wohnungskündigung und der </w:t>
      </w:r>
      <w:r>
        <w:lastRenderedPageBreak/>
        <w:t>Buchung der Spedition einen Puffer von zwei bis vier Wochen ein, statt exakt auf den Abflugtermin hin zu planen.</w:t>
      </w:r>
    </w:p>
    <w:p w14:paraId="6C6A3BB0" w14:textId="77777777" w:rsidR="001F7233" w:rsidRDefault="001F7233">
      <w:pPr>
        <w:spacing w:line="220" w:lineRule="exact"/>
      </w:pPr>
    </w:p>
    <w:p w14:paraId="4280C3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Andere Wege: schneller oder anders getaktet</w:t>
      </w:r>
    </w:p>
    <w:p w14:paraId="60D41E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Schuljahreswechsel mitdenken</w:t>
      </w:r>
    </w:p>
    <w:p w14:paraId="4497930C" w14:textId="77777777" w:rsidR="001F7233" w:rsidRDefault="00000000">
      <w:pPr>
        <w:spacing w:after="140"/>
      </w:pPr>
      <w:r>
        <w:t>Das amerikanische Schuljahr beginnt je nach Bundesstaat und Schuldistrikt meist Mitte oder Ende August, selten später als Anfang September (Kapitel </w:t>
      </w:r>
      <w:hyperlink w:anchor="k36">
        <w:r w:rsidR="001F7233">
          <w:t>36</w:t>
        </w:r>
      </w:hyperlink>
      <w:r>
        <w:t>). Der H-1B-Start am 1. Oktober kollidiert damit fast zwangsläufig: Kinder, die erst Ende September einreisen, verpassen die ersten Wochen des neuen Schuljahrs. Sie betreten das Klassenzimmer, wenn die Mitschüler längst wissen, wo ihr Spind ist und wer neben wem sitzt – kein Beinbruch, aber ein Detail, das sich einplanen lässt. Das lässt sich beim Lotterieweg kaum vermeiden, weil das Startdatum feststeht. Melde die Kinder trotzdem so früh wie möglich beim künftigen Schuldistrikt an, frag nach Einstufungstests und Material für die verpassten Wochen, und nutze die letzten Wochen in Deutschland für Sprachvorbereitung statt für Improvisation im letzten Moment. Wer über L-1 oder E-2 zieht und das Startdatum selbst wählen kann, sollte die Einreise bewusst auf den Beginn des Schuljahrs legen.</w:t>
      </w:r>
    </w:p>
    <w:p w14:paraId="05F10B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Abschied nehmen und lose Enden schließen</w:t>
      </w:r>
    </w:p>
    <w:p w14:paraId="0B497291" w14:textId="77777777" w:rsidR="001F7233" w:rsidRDefault="00000000">
      <w:pPr>
        <w:spacing w:after="140"/>
      </w:pPr>
      <w:r>
        <w:t xml:space="preserve">Der Masterplan ist eine Liste von Fristen, aber die letzten Wochen sind auch die letzten Wochen mit Menschen, Wohnung und Stadt, die du lange nicht wiedersiehst. Plane bewusst Zeit für Abschiedsbesuche bei Familie, Freunden und wichtigen </w:t>
      </w:r>
      <w:r>
        <w:lastRenderedPageBreak/>
        <w:t>Arztterminen ein, statt sie zwischen Kündigungen und Packkartons verschwinden zu lassen. Heimweh und Abschiedsschmerz sind normal und kein Zeichen einer falschen Entscheidung (Kapitel </w:t>
      </w:r>
      <w:hyperlink w:anchor="k33">
        <w:r w:rsidR="001F7233">
          <w:t>33</w:t>
        </w:r>
      </w:hyperlink>
      <w:r>
        <w:t>). Parallel dazu läuft ein praktischer Nachlass in Deutschland: Möbel und Hausrat, die nicht mit dem Container reisen, verkaufst, verschenkst oder spendest du (Kapitel </w:t>
      </w:r>
      <w:hyperlink w:anchor="k21">
        <w:r w:rsidR="001F7233">
          <w:t>21</w:t>
        </w:r>
      </w:hyperlink>
      <w:r>
        <w:t>). Vorsorgevollmacht, Patientenverfügung und Betreuungsverfügung stehen beim Notar (Kapitel </w:t>
      </w:r>
      <w:hyperlink w:anchor="k16">
        <w:r w:rsidR="001F7233">
          <w:t>16</w:t>
        </w:r>
      </w:hyperlink>
      <w:r>
        <w:t>). Wer Immobilien, Unternehmensanteile oder ein Testament zu regeln hat, klärt das mit Steuerberater und Notar, bevor der Wohnsitz wechselt (Kapitel </w:t>
      </w:r>
      <w:hyperlink w:anchor="k17">
        <w:r w:rsidR="001F7233">
          <w:t>17</w:t>
        </w:r>
      </w:hyperlink>
      <w:r>
        <w:t xml:space="preserve">, </w:t>
      </w:r>
      <w:hyperlink w:anchor="k39">
        <w:r w:rsidR="001F7233">
          <w:t>39</w:t>
        </w:r>
      </w:hyperlink>
      <w:r>
        <w:t>). Wer die letzten Wochen ausschließlich mit Kartons und Behördengängen füllt, hat am Ende weder Zeit noch Kraft für einen geordneten Abschied; plane deshalb bewusst freie Abende für Familie und Freunde ein. Ein sauberer Abschied ist am Ende auch ein pragmatischer: Was du jetzt klärst, muss dir später nicht aus der Ferne nachlaufen.</w:t>
      </w:r>
    </w:p>
    <w:p w14:paraId="1BBCCFC3" w14:textId="77777777" w:rsidR="001F7233" w:rsidRDefault="00000000">
      <w:pPr>
        <w:pStyle w:val="Heading3"/>
      </w:pPr>
      <w:r>
        <w:t>Angehörige, Nachbarn und Familiengrab</w:t>
      </w:r>
    </w:p>
    <w:p w14:paraId="357B3053" w14:textId="77777777" w:rsidR="001F7233" w:rsidRDefault="00000000">
      <w:r>
        <w:t>Plane die Versorgung älterer Angehöriger in Deutschland, bevor aus einer Sorge ein Notfall wird. Verlass dich nicht stillschweigend auf Geschwister, Freunde oder Nachbarn: Bitte eine Person nur um Aufgaben, denen sie ausdrücklich zugestimmt hat und kläre Umfang, Erreichbarkeit und Ersatz, falls sie ausfällt. Für regelmäßige Besuche, Einkäufe oder Pflege braucht es einen realistischen Plan mit Angehörigen, Hausarzt, Pflegestützpunkt und ambulanten Diensten. Vollmachten und wichtige Kontaktdaten sollten auffindbar und rechtlich passend geregelt sein. Ein Nachbar kann ein wertvoller Kontakt sein, ist aber kein Ersatz für vereinbarte Versorgung.</w:t>
      </w:r>
    </w:p>
    <w:p w14:paraId="51F9BABD" w14:textId="77777777" w:rsidR="001F7233" w:rsidRDefault="00000000">
      <w:r>
        <w:t xml:space="preserve">Beim Familiengrab zuerst Friedhofsverwaltung oder Träger fragen: Ruhefrist, Nutzungsrecht, Gebühren, zulässige Pflege und Verlängerung stehen in der örtlichen Satzung und im Grabvertrag. Danach kann ein Familienmitglied die Pflege übernehmen oder ein örtlicher Friedhofsgärtner oder eine Dauergrabpflege-Stelle einen klar befristeten Auftrag erhalten. Vereinbart schriftlich, was getan wird, wie lange es läuft und was es kostet. Ein gelegentlicher Besuch </w:t>
      </w:r>
      <w:r>
        <w:lastRenderedPageBreak/>
        <w:t>durch Freunde ist schön. Regelmäßige Grabpflege sollte nicht auf einer unausgesprochenen Erwartung beruhen.</w:t>
      </w:r>
    </w:p>
    <w:p w14:paraId="747DD5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Masterplan: Zeitleiste vom Entschluss bis zum Abflug</w:t>
      </w:r>
    </w:p>
    <w:p w14:paraId="1A7A3E36" w14:textId="77777777" w:rsidR="001F7233" w:rsidRDefault="00000000">
      <w:r>
        <w:rPr>
          <w:b/>
        </w:rPr>
        <w:t>Plus: Wer rückwärts vom Abflug plant, erkennt Engpässe Monate im Voraus</w:t>
      </w:r>
    </w:p>
    <w:p w14:paraId="5EB16FAA" w14:textId="77777777" w:rsidR="001F7233" w:rsidRDefault="00000000">
      <w:r>
        <w:rPr>
          <w:b/>
        </w:rPr>
        <w:t xml:space="preserve">Minus: </w:t>
      </w:r>
      <w:r>
        <w:t>Der Lotterieweg lässt sich kaum beschleunigen, selbst mit perfektem Plan</w:t>
      </w:r>
    </w:p>
    <w:p w14:paraId="5815A2A0" w14:textId="77777777" w:rsidR="001F7233" w:rsidRDefault="00000000">
      <w:r>
        <w:rPr>
          <w:b/>
        </w:rPr>
        <w:t>Plus: Dokumente und Bewertungen lassen sich schon vor der Genehmigung vorbereiten</w:t>
      </w:r>
    </w:p>
    <w:p w14:paraId="510CB41C" w14:textId="77777777" w:rsidR="001F7233" w:rsidRDefault="00000000">
      <w:r>
        <w:rPr>
          <w:b/>
        </w:rPr>
        <w:t xml:space="preserve">Minus: </w:t>
      </w:r>
      <w:r>
        <w:t>Wer zu früh kündigt, trägt ein Restrisiko, falls sich das Visum verzögert</w:t>
      </w:r>
    </w:p>
    <w:p w14:paraId="6F6663CC" w14:textId="77777777" w:rsidR="001F7233" w:rsidRDefault="00000000">
      <w:r>
        <w:rPr>
          <w:b/>
        </w:rPr>
        <w:t>Plus: Ein fester Fahrplan macht Doppelmiete und Leerstand seltener</w:t>
      </w:r>
    </w:p>
    <w:p w14:paraId="460F69D7" w14:textId="77777777" w:rsidR="001F7233" w:rsidRDefault="00000000">
      <w:r>
        <w:rPr>
          <w:b/>
        </w:rPr>
        <w:t xml:space="preserve">Minus: </w:t>
      </w:r>
      <w:r>
        <w:t>Ein 221(g)-Vermerk oder eine Nachforderung verschiebt den ganzen Plan um Wochen</w:t>
      </w:r>
    </w:p>
    <w:p w14:paraId="585C4A20" w14:textId="77777777" w:rsidR="001F7233" w:rsidRDefault="00000000">
      <w:r>
        <w:rPr>
          <w:b/>
        </w:rPr>
        <w:t>Plus: Klare Zuständigkeiten zwischen Arbeitgeber, Anwalt und dir vermeiden doppelte Arbeit</w:t>
      </w:r>
    </w:p>
    <w:p w14:paraId="6794927A" w14:textId="77777777" w:rsidR="001F7233" w:rsidRDefault="00000000">
      <w:r>
        <w:rPr>
          <w:b/>
        </w:rPr>
        <w:t xml:space="preserve">Minus: </w:t>
      </w:r>
      <w:r>
        <w:t>Zu viele Abhängigkeiten in einer Woche erhöhen den Stress spürbar</w:t>
      </w:r>
    </w:p>
    <w:p w14:paraId="49C43EE4" w14:textId="77777777" w:rsidR="001F7233" w:rsidRDefault="00000000">
      <w:r>
        <w:rPr>
          <w:b/>
        </w:rPr>
        <w:t>Plus: Ein realistischer Puffer federt Verzögerungen ab</w:t>
      </w:r>
    </w:p>
    <w:p w14:paraId="08AD923D" w14:textId="77777777" w:rsidR="001F7233" w:rsidRDefault="00000000">
      <w:r>
        <w:rPr>
          <w:b/>
        </w:rPr>
        <w:t xml:space="preserve">Minus: </w:t>
      </w:r>
      <w:r>
        <w:t>Ein zu großer Puffer verlängert die Zeit der Unsicherheit unnötig</w:t>
      </w:r>
    </w:p>
    <w:p w14:paraId="05CFE6BC" w14:textId="77777777" w:rsidR="001F7233" w:rsidRDefault="001F7233">
      <w:pPr>
        <w:spacing w:line="180" w:lineRule="exact"/>
      </w:pPr>
    </w:p>
    <w:p w14:paraId="13D373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1F32D6C" w14:textId="77777777" w:rsidR="001F7233" w:rsidRDefault="00000000">
      <w:pPr>
        <w:spacing w:after="140"/>
      </w:pPr>
      <w:r>
        <w:t>Die einzelnen Fristen stehen ausführlich in Kapitel </w:t>
      </w:r>
      <w:hyperlink w:anchor="k11">
        <w:r w:rsidR="001F7233">
          <w:t>11</w:t>
        </w:r>
      </w:hyperlink>
      <w:r>
        <w:t xml:space="preserve"> und </w:t>
      </w:r>
      <w:hyperlink w:anchor="k16">
        <w:r w:rsidR="001F7233">
          <w:t>16</w:t>
        </w:r>
      </w:hyperlink>
      <w:r>
        <w:t xml:space="preserve"> bis </w:t>
      </w:r>
      <w:hyperlink w:anchor="k20">
        <w:r w:rsidR="001F7233">
          <w:t>20</w:t>
        </w:r>
      </w:hyperlink>
      <w:r>
        <w:t>; hier geht es nur noch darum, sie in die richtige Reihenfolge zu bringen.</w:t>
      </w:r>
    </w:p>
    <w:p w14:paraId="59224992" w14:textId="77777777" w:rsidR="001F7233" w:rsidRDefault="00000000">
      <w:pPr>
        <w:pStyle w:val="ListParagraph"/>
        <w:numPr>
          <w:ilvl w:val="0"/>
          <w:numId w:val="18"/>
        </w:numPr>
        <w:spacing w:after="60"/>
      </w:pPr>
      <w:r>
        <w:lastRenderedPageBreak/>
        <w:t>Trage den Abflugtermin oder das wahrscheinlichste Zeitfenster als Fixpunkt ein und rechne die Fristen aus Kapitel </w:t>
      </w:r>
      <w:hyperlink w:anchor="k16">
        <w:r w:rsidR="001F7233">
          <w:t>16</w:t>
        </w:r>
      </w:hyperlink>
      <w:r>
        <w:t xml:space="preserve"> bis </w:t>
      </w:r>
      <w:hyperlink w:anchor="k20">
        <w:r w:rsidR="001F7233">
          <w:t>20</w:t>
        </w:r>
      </w:hyperlink>
      <w:r>
        <w:t xml:space="preserve"> rückwärts.</w:t>
      </w:r>
    </w:p>
    <w:p w14:paraId="136D4EDE" w14:textId="77777777" w:rsidR="001F7233" w:rsidRDefault="00000000">
      <w:pPr>
        <w:pStyle w:val="ListParagraph"/>
        <w:numPr>
          <w:ilvl w:val="0"/>
          <w:numId w:val="2"/>
        </w:numPr>
        <w:spacing w:after="60"/>
      </w:pPr>
      <w:r>
        <w:t>Kläre mit Arbeitgeber und Kanzlei, wann Registrierung, Petition und Interviewtermin realistisch liegen, und plane deinen Puffer entsprechend.</w:t>
      </w:r>
    </w:p>
    <w:p w14:paraId="6377528B" w14:textId="77777777" w:rsidR="001F7233" w:rsidRDefault="00000000">
      <w:pPr>
        <w:pStyle w:val="ListParagraph"/>
        <w:numPr>
          <w:ilvl w:val="0"/>
          <w:numId w:val="2"/>
        </w:numPr>
        <w:spacing w:after="60"/>
      </w:pPr>
      <w:r>
        <w:t>Trage die drei kritischen Schritte, Visum, Wohnungskündigung und Verschiffung, als feste Reihenfolge in deinen Kalender ein, nicht als lose Liste.</w:t>
      </w:r>
    </w:p>
    <w:p w14:paraId="73A68BAA" w14:textId="77777777" w:rsidR="001F7233" w:rsidRDefault="001F7233">
      <w:pPr>
        <w:spacing w:line="120" w:lineRule="exact"/>
      </w:pPr>
    </w:p>
    <w:p w14:paraId="5748EB8C" w14:textId="77777777" w:rsidR="001F7233" w:rsidRDefault="00000000">
      <w:r>
        <w:t>• Abflugtermin oder realistisches Zeitfenster festgelegt und als Fixpunkt im Kalender markiert</w:t>
      </w:r>
    </w:p>
    <w:p w14:paraId="23813E31" w14:textId="77777777" w:rsidR="001F7233" w:rsidRDefault="00000000">
      <w:r>
        <w:t xml:space="preserve">• Zeitleiste T–18 bis T–0 mit den Fristen aus </w:t>
      </w:r>
      <w:hyperlink w:anchor="k11">
        <w:r w:rsidR="001F7233">
          <w:rPr>
            <w:color w:val="0563C1"/>
            <w:u w:val="single"/>
          </w:rPr>
          <w:t>Kapitel 11</w:t>
        </w:r>
      </w:hyperlink>
      <w:r>
        <w:t>, 16, 17, 18, 19 und 20 abgeglichen</w:t>
      </w:r>
    </w:p>
    <w:p w14:paraId="303B9998" w14:textId="77777777" w:rsidR="001F7233" w:rsidRDefault="00000000">
      <w:r>
        <w:t>• Zeugnisbewertung vor der März-Registrierung beauftragt</w:t>
      </w:r>
    </w:p>
    <w:p w14:paraId="7980341B" w14:textId="77777777" w:rsidR="001F7233" w:rsidRDefault="00000000">
      <w:r>
        <w:t>• Wohnung erst gekündigt, sobald Genehmigung und Interviewtermin feststehen; Kündigungsfrist rückwärts gerechnet</w:t>
      </w:r>
    </w:p>
    <w:p w14:paraId="465BF27C" w14:textId="77777777" w:rsidR="001F7233" w:rsidRDefault="00000000">
      <w:r>
        <w:t>• Arbeitsvertrag gekündigt oder Aufhebungsvertrag verhandelt, erst nach gesichertem Visum</w:t>
      </w:r>
    </w:p>
    <w:p w14:paraId="5072507E" w14:textId="77777777" w:rsidR="001F7233" w:rsidRDefault="00000000">
      <w:r>
        <w:t>• Spedition mit mehreren Festpreisangeboten verglichen und verbindlich gebucht, sobald das Visum im Pass ist</w:t>
      </w:r>
    </w:p>
    <w:p w14:paraId="4C86DC9F" w14:textId="77777777" w:rsidR="001F7233" w:rsidRDefault="00000000">
      <w:r>
        <w:t>• Krankenversicherung, Anwartschaft und Rentenversicherung rechtzeitig vor dem Abflug angestoßen</w:t>
      </w:r>
    </w:p>
    <w:p w14:paraId="6CCA9A59" w14:textId="77777777" w:rsidR="001F7233" w:rsidRDefault="00000000">
      <w:r>
        <w:t>• Schuldistrikt informiert und Schuljahreswechsel eingeplant, falls Kinder mitziehen</w:t>
      </w:r>
    </w:p>
    <w:p w14:paraId="33903953" w14:textId="77777777" w:rsidR="001F7233" w:rsidRDefault="00000000">
      <w:r>
        <w:t>• Abschiedsbesuche und der Nachlass nicht mitgenommener Gegenstände eingeplant</w:t>
      </w:r>
    </w:p>
    <w:p w14:paraId="3EF3FBB2" w14:textId="77777777" w:rsidR="001F7233" w:rsidRDefault="00000000">
      <w:r>
        <w:t>• Puffer für Verzögerungen wie 221(g) oder Nachforderungen im Zeitplan berücksichtigt</w:t>
      </w:r>
    </w:p>
    <w:p w14:paraId="310BADA3" w14:textId="77777777" w:rsidR="001F7233" w:rsidRDefault="001F7233">
      <w:pPr>
        <w:spacing w:line="220" w:lineRule="exact"/>
      </w:pPr>
    </w:p>
    <w:p w14:paraId="281115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263DDA4" w14:textId="77777777" w:rsidR="001F7233" w:rsidRDefault="00000000">
      <w:pPr>
        <w:pStyle w:val="ListParagraph"/>
        <w:numPr>
          <w:ilvl w:val="0"/>
          <w:numId w:val="1"/>
        </w:numPr>
        <w:spacing w:after="60"/>
      </w:pPr>
      <w:r>
        <w:t xml:space="preserve">USCIS — Bearbeitungszeiten: </w:t>
      </w:r>
      <w:hyperlink r:id="rId243">
        <w:r w:rsidR="001F7233">
          <w:rPr>
            <w:color w:val="0563C1"/>
            <w:u w:val="single"/>
          </w:rPr>
          <w:t>USCIS: Bearbeitungszeiten</w:t>
        </w:r>
      </w:hyperlink>
    </w:p>
    <w:p w14:paraId="3C3AA9D4" w14:textId="77777777" w:rsidR="001F7233" w:rsidRDefault="00000000">
      <w:pPr>
        <w:pStyle w:val="ListParagraph"/>
        <w:numPr>
          <w:ilvl w:val="0"/>
          <w:numId w:val="1"/>
        </w:numPr>
        <w:spacing w:after="60"/>
      </w:pPr>
      <w:r>
        <w:lastRenderedPageBreak/>
        <w:t xml:space="preserve">USCIS — H-1B-Registrierung und Fristen: </w:t>
      </w:r>
      <w:hyperlink r:id="rId244">
        <w:r w:rsidR="001F7233">
          <w:rPr>
            <w:color w:val="0563C1"/>
            <w:u w:val="single"/>
          </w:rPr>
          <w:t>uscis.gov/working-in-the-united-states/h-1b-specialty-occupations</w:t>
        </w:r>
      </w:hyperlink>
    </w:p>
    <w:p w14:paraId="31920E45" w14:textId="77777777" w:rsidR="001F7233" w:rsidRDefault="00000000">
      <w:pPr>
        <w:pStyle w:val="ListParagraph"/>
        <w:numPr>
          <w:ilvl w:val="0"/>
          <w:numId w:val="1"/>
        </w:numPr>
        <w:spacing w:after="60"/>
      </w:pPr>
      <w:r>
        <w:t xml:space="preserve">US-Außenministerium — Terminwartezeiten der Konsulate: </w:t>
      </w:r>
      <w:hyperlink r:id="rId245">
        <w:r w:rsidR="001F7233">
          <w:rPr>
            <w:color w:val="0563C1"/>
            <w:u w:val="single"/>
          </w:rPr>
          <w:t>travel.state.gov</w:t>
        </w:r>
      </w:hyperlink>
    </w:p>
    <w:p w14:paraId="4B3A4841" w14:textId="77777777" w:rsidR="001F7233" w:rsidRDefault="00000000">
      <w:pPr>
        <w:pStyle w:val="ListParagraph"/>
        <w:numPr>
          <w:ilvl w:val="0"/>
          <w:numId w:val="1"/>
        </w:numPr>
        <w:spacing w:after="60"/>
      </w:pPr>
      <w:r>
        <w:t xml:space="preserve">Gesetze im Internet — BGB § 573c, Kündigungsfrist Wohnraum: </w:t>
      </w:r>
      <w:hyperlink r:id="rId246">
        <w:r w:rsidR="001F7233">
          <w:rPr>
            <w:color w:val="0563C1"/>
            <w:u w:val="single"/>
          </w:rPr>
          <w:t>gesetze-im-internet.de</w:t>
        </w:r>
      </w:hyperlink>
    </w:p>
    <w:p w14:paraId="15F2C1A1" w14:textId="77777777" w:rsidR="001F7233" w:rsidRDefault="00000000">
      <w:pPr>
        <w:pStyle w:val="ListParagraph"/>
        <w:numPr>
          <w:ilvl w:val="0"/>
          <w:numId w:val="1"/>
        </w:numPr>
        <w:spacing w:after="60"/>
      </w:pPr>
      <w:r>
        <w:t xml:space="preserve">Deutsche Rentenversicherung — Beratung vor dem Umzug: </w:t>
      </w:r>
      <w:hyperlink r:id="rId247">
        <w:r w:rsidR="001F7233">
          <w:rPr>
            <w:color w:val="0563C1"/>
            <w:u w:val="single"/>
          </w:rPr>
          <w:t>deutsche-rentenversicherung.de</w:t>
        </w:r>
      </w:hyperlink>
    </w:p>
    <w:p w14:paraId="1CFAF311" w14:textId="77777777" w:rsidR="001F7233" w:rsidRDefault="001F7233">
      <w:pPr>
        <w:spacing w:line="120" w:lineRule="exact"/>
      </w:pPr>
    </w:p>
    <w:p w14:paraId="624B81C8" w14:textId="77777777" w:rsidR="001F7233" w:rsidRDefault="00000000">
      <w:pPr>
        <w:spacing w:line="220" w:lineRule="exact"/>
      </w:pPr>
      <w:r>
        <w:br w:type="page"/>
      </w:r>
    </w:p>
    <w:p w14:paraId="05BEAEC0" w14:textId="77777777" w:rsidR="001F7233" w:rsidRDefault="00000000">
      <w:pPr>
        <w:pStyle w:val="Heading2"/>
        <w:keepNext/>
        <w:spacing w:line="341" w:lineRule="auto"/>
        <w:jc w:val="center"/>
      </w:pPr>
      <w:bookmarkStart w:id="43" w:name="k16"/>
      <w:r>
        <w:rPr>
          <w:rFonts w:ascii="Amazon Ember" w:eastAsia="Amazon Ember" w:hAnsi="Amazon Ember" w:cs="Amazon Ember"/>
          <w:color w:val="0000FF"/>
          <w:sz w:val="36"/>
          <w:szCs w:val="36"/>
        </w:rPr>
        <w:lastRenderedPageBreak/>
        <w:t>Kapitel 16: Behörden, Verträge, Versicherungen abwickeln</w:t>
      </w:r>
      <w:bookmarkEnd w:id="43"/>
    </w:p>
    <w:p w14:paraId="7F42AE19" w14:textId="77777777" w:rsidR="001F7233" w:rsidRDefault="00000000">
      <w:pPr>
        <w:spacing w:after="140"/>
      </w:pPr>
      <w:r>
        <w:t xml:space="preserve">Sechs Wochen nach dem Umzug landet im Briefkasten deiner alten Wohnung eine Mahnung des Beitragsservice: Rundfunkbeitrag für eine Wohnung, in der du längst nicht mehr lebst. Am selben Tag bucht die Krankenkasse den nächsten Monatsbeitrag ab. Deutschland lässt dich nicht automatisch los. Die länderunabhängige Liste steht im Kapitel </w:t>
      </w:r>
      <w:hyperlink w:anchor="t0003">
        <w:r w:rsidR="001F7233">
          <w:rPr>
            <w:color w:val="0563C1"/>
            <w:u w:val="single"/>
          </w:rPr>
          <w:t>Deutschland vor dem Abflug</w:t>
        </w:r>
      </w:hyperlink>
      <w:r>
        <w:t>. Dieses Kapitel vertieft die USA: Verträge, Fristen und was du bewusst behältst.</w:t>
      </w:r>
    </w:p>
    <w:p w14:paraId="3C1DF7AF" w14:textId="77777777" w:rsidR="001F7233" w:rsidRDefault="00000000">
      <w:r>
        <w:rPr>
          <w:b/>
        </w:rPr>
        <w:t xml:space="preserve">KURZ GESAGT: </w:t>
      </w:r>
    </w:p>
    <w:p w14:paraId="64B3BF20" w14:textId="77777777" w:rsidR="001F7233" w:rsidRDefault="00000000">
      <w:r>
        <w:t>• Kein Vertrag endet mit dem Flug: Miete, Handy, Versicherungen, Rundfunkbeitrag und eine freiwillige Krankenversicherung laufen weiter, bis du kündigst oder abmeldest.</w:t>
      </w:r>
    </w:p>
    <w:p w14:paraId="5EB82490" w14:textId="77777777" w:rsidR="001F7233" w:rsidRDefault="00000000">
      <w:r>
        <w:t>• Abmelden musst du dich innerhalb von zwei Wochen nach dem Auszug, frühestens eine Woche vorher. Ein Versäumnis kostet bis zu 1.000 € Bußgeld.</w:t>
      </w:r>
    </w:p>
    <w:p w14:paraId="595F7E67" w14:textId="77777777" w:rsidR="001F7233" w:rsidRDefault="00000000">
      <w:r>
        <w:t>• Die längsten Fristen haben meist Wohnung (drei Monate) und Arbeitsvertrag (gesetzlich vier Wochen, vertraglich oft mehr). Kündige dort aber erst, wenn dein Visum sicher ist.</w:t>
      </w:r>
    </w:p>
    <w:p w14:paraId="3F812A4E" w14:textId="77777777" w:rsidR="001F7233" w:rsidRDefault="00000000">
      <w:r>
        <w:t>• Behalte ein deutsches Girokonto, eine Postadresse bei einer Vertrauensperson und deine Steuer-ID. Vollmachten lässt du vor dem Abflug beim Notar beurkunden.</w:t>
      </w:r>
    </w:p>
    <w:p w14:paraId="5940D9F6" w14:textId="77777777" w:rsidR="001F7233" w:rsidRDefault="00000000">
      <w:r>
        <w:t>• Melde Kindergeld und Elterngeld der passenden Stelle. Kindergeld kann unter bestimmten Voraussetzungen trotz Wegzug weiterlaufen; lass die Familienkasse deinen konkreten Fall prüfen.</w:t>
      </w:r>
    </w:p>
    <w:p w14:paraId="27F6943A" w14:textId="77777777" w:rsidR="001F7233" w:rsidRDefault="001F7233">
      <w:pPr>
        <w:spacing w:line="220" w:lineRule="exact"/>
      </w:pPr>
    </w:p>
    <w:p w14:paraId="39A131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die Vertragsliste, dann die Reihenfolge</w:t>
      </w:r>
    </w:p>
    <w:p w14:paraId="77E505C9" w14:textId="77777777" w:rsidR="001F7233" w:rsidRDefault="00000000">
      <w:pPr>
        <w:spacing w:after="140"/>
      </w:pPr>
      <w:r>
        <w:t>Öffne die Kontoauszüge der letzten zwölf Monate. Sie lesen sich wie ein Tagebuch deines Alltags, nur in Abbuchungen statt Sätzen. Jede wiederkehrende Abbuchung ist ein Vertrag: Miete, Strom, Handy, Fitnessstudio, Verein, Streaming, Zeitung, Versicherungen. Lege eine Tabelle an mit Vertrag, Kündigungsfrist, spätestem Kündigungstermin (vom Abflug rückwärts gerechnet) und Bestätigung. Das kostet einen Abend und erspart dir Restposten, die sonst Monate später als Abbuchung oder Mahnung auftauchen.</w:t>
      </w:r>
    </w:p>
    <w:p w14:paraId="281BE655" w14:textId="77777777" w:rsidR="001F7233" w:rsidRDefault="00000000">
      <w:pPr>
        <w:spacing w:after="140"/>
      </w:pPr>
      <w:r>
        <w:t>Die Reihenfolge folgt den Fristen: Was am längsten läuft, kündigst du zuerst. Das kollidiert mit der Unsicherheit beim Visum; wie du das entschärfst und Doppelmiete vermeidest, zeigt der Zeitplan in Kapitel </w:t>
      </w:r>
      <w:hyperlink w:anchor="k15">
        <w:r w:rsidR="001F7233">
          <w:t>15</w:t>
        </w:r>
      </w:hyperlink>
      <w:r>
        <w:t>. Altersvorsorge (Riester, Rürup, Bausparen, Lebensversicherung) gehört nicht in die Kündigungswelle, denn ein Wegzug löst dort eigene Folgen aus (Kapitel </w:t>
      </w:r>
      <w:hyperlink w:anchor="k17">
        <w:r w:rsidR="001F7233">
          <w:t>17</w:t>
        </w:r>
      </w:hyperlink>
      <w:r>
        <w:t>).</w:t>
      </w:r>
    </w:p>
    <w:p w14:paraId="51601D86" w14:textId="77777777" w:rsidR="001F7233" w:rsidRDefault="00000000">
      <w:r>
        <w:rPr>
          <w:b/>
        </w:rPr>
        <w:t xml:space="preserve">ACHTUNG: </w:t>
      </w:r>
    </w:p>
    <w:p w14:paraId="6F5984EE" w14:textId="77777777" w:rsidR="001F7233" w:rsidRDefault="00000000">
      <w:r>
        <w:t>• Kündige weder Wohnung noch Arbeitsvertrag auf Verdacht. Vor der Genehmigung kann alles scheitern, und auch danach ist das Visum erst mit dem Stempel im Pass sicher, weil sich Termine verschieben können. Wer früher kündigt, um Doppelmiete zu sparen, trägt ein Restrisiko und stimmt sich vorher mit Arbeitgeber und Anwalt ab (</w:t>
      </w:r>
      <w:hyperlink w:anchor="k11">
        <w:r w:rsidR="001F7233">
          <w:rPr>
            <w:color w:val="0563C1"/>
            <w:u w:val="single"/>
          </w:rPr>
          <w:t>Kapitel 11</w:t>
        </w:r>
      </w:hyperlink>
      <w:r>
        <w:t>).</w:t>
      </w:r>
    </w:p>
    <w:p w14:paraId="584D83D6" w14:textId="77777777" w:rsidR="001F7233" w:rsidRDefault="001F7233">
      <w:pPr>
        <w:spacing w:line="220" w:lineRule="exact"/>
      </w:pPr>
    </w:p>
    <w:p w14:paraId="30C79FCE" w14:textId="77777777" w:rsidR="001F7233" w:rsidRDefault="00000000">
      <w:r>
        <w:rPr>
          <w:b/>
        </w:rPr>
        <w:t xml:space="preserve">MERKE: </w:t>
      </w:r>
    </w:p>
    <w:p w14:paraId="754A6D5C" w14:textId="77777777" w:rsidR="001F7233" w:rsidRDefault="00000000">
      <w:r>
        <w:t>• Rechne jede Frist vom Abflugtermin rückwärts und lass dir jede Kündigung schriftlich bestätigen. Ohne Bestätigung kannst du im Streitfall weder Zugang noch Zeitpunkt beweisen.</w:t>
      </w:r>
    </w:p>
    <w:p w14:paraId="43526639" w14:textId="77777777" w:rsidR="001F7233" w:rsidRDefault="001F7233">
      <w:pPr>
        <w:spacing w:line="220" w:lineRule="exact"/>
      </w:pPr>
    </w:p>
    <w:p w14:paraId="4B285F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Kündigungsfristen im Überblick</w:t>
      </w:r>
    </w:p>
    <w:p w14:paraId="66EAD71F" w14:textId="77777777" w:rsidR="001F7233" w:rsidRDefault="00000000">
      <w:pPr>
        <w:spacing w:after="140"/>
      </w:pPr>
      <w:r>
        <w:t>Die Tabelle nennt die gesetzliche Regel (Datenstand September 2026; geprüft im Oktober 2026); dein Vertrag kann abweichen.</w:t>
      </w:r>
    </w:p>
    <w:p w14:paraId="5A4B9C59" w14:textId="77777777" w:rsidR="001F7233" w:rsidRDefault="00000000">
      <w:r>
        <w:rPr>
          <w:b/>
        </w:rPr>
        <w:t>Mietwohnung</w:t>
      </w:r>
    </w:p>
    <w:p w14:paraId="21B9E53D" w14:textId="77777777" w:rsidR="001F7233" w:rsidRDefault="00000000">
      <w:r>
        <w:rPr>
          <w:b/>
        </w:rPr>
        <w:t xml:space="preserve">Frist (Rechtsgrundlage): </w:t>
      </w:r>
      <w:r>
        <w:t>drei Monate; Zugang bis zum dritten Werktag des Monats (§ 573c BGB)</w:t>
      </w:r>
    </w:p>
    <w:p w14:paraId="739C2601" w14:textId="77777777" w:rsidR="001F7233" w:rsidRDefault="00000000">
      <w:r>
        <w:rPr>
          <w:b/>
        </w:rPr>
        <w:t xml:space="preserve">Bei Auslandsumzug: </w:t>
      </w:r>
      <w:r>
        <w:t>kein Sonderkündigungsrecht</w:t>
      </w:r>
    </w:p>
    <w:p w14:paraId="486AF431" w14:textId="77777777" w:rsidR="001F7233" w:rsidRDefault="00000000">
      <w:r>
        <w:rPr>
          <w:b/>
        </w:rPr>
        <w:t>Arbeitsvertrag</w:t>
      </w:r>
    </w:p>
    <w:p w14:paraId="4A26D125" w14:textId="77777777" w:rsidR="001F7233" w:rsidRDefault="00000000">
      <w:r>
        <w:rPr>
          <w:b/>
        </w:rPr>
        <w:t xml:space="preserve">Frist (Rechtsgrundlage): </w:t>
      </w:r>
      <w:r>
        <w:t>vier Wochen zum 15. oder Monatsende, in der Probezeit zwei Wochen; nur schriftlich (§§ 622, 623 BGB)</w:t>
      </w:r>
    </w:p>
    <w:p w14:paraId="4E324E02" w14:textId="77777777" w:rsidR="001F7233" w:rsidRDefault="00000000">
      <w:r>
        <w:rPr>
          <w:b/>
        </w:rPr>
        <w:t xml:space="preserve">Bei Auslandsumzug: </w:t>
      </w:r>
      <w:r>
        <w:t>Aufhebungsvertrag verhandeln</w:t>
      </w:r>
    </w:p>
    <w:p w14:paraId="7AE78D32" w14:textId="77777777" w:rsidR="001F7233" w:rsidRDefault="00000000">
      <w:r>
        <w:rPr>
          <w:b/>
        </w:rPr>
        <w:t>Handy und Internet</w:t>
      </w:r>
    </w:p>
    <w:p w14:paraId="2020BBA4" w14:textId="77777777" w:rsidR="001F7233" w:rsidRDefault="00000000">
      <w:r>
        <w:rPr>
          <w:b/>
        </w:rPr>
        <w:t xml:space="preserve">Frist (Rechtsgrundlage): </w:t>
      </w:r>
      <w:r>
        <w:t>Erstlaufzeit höchstens 24 Monate, danach ein Monat (§ 56 TKG)</w:t>
      </w:r>
    </w:p>
    <w:p w14:paraId="22CB3B73" w14:textId="77777777" w:rsidR="001F7233" w:rsidRDefault="00000000">
      <w:r>
        <w:rPr>
          <w:b/>
        </w:rPr>
        <w:t>Bei Auslandsumzug: Sonderkündigung mit einem Monat, wenn der Anbieter am neuen Wohnort nicht leistet (§ 60 TKG). Anwendung auf die USA unklar.</w:t>
      </w:r>
    </w:p>
    <w:p w14:paraId="69B47F72" w14:textId="77777777" w:rsidR="001F7233" w:rsidRDefault="00000000">
      <w:r>
        <w:rPr>
          <w:b/>
        </w:rPr>
        <w:t>Strom und Gas, Grundversorgung</w:t>
      </w:r>
    </w:p>
    <w:p w14:paraId="4C8A1BFE" w14:textId="77777777" w:rsidR="001F7233" w:rsidRDefault="00000000">
      <w:r>
        <w:rPr>
          <w:b/>
        </w:rPr>
        <w:t xml:space="preserve">Frist (Rechtsgrundlage): </w:t>
      </w:r>
      <w:r>
        <w:t>zwei Wochen (§ 20 StromGVV)</w:t>
      </w:r>
    </w:p>
    <w:p w14:paraId="6960C878" w14:textId="77777777" w:rsidR="001F7233" w:rsidRDefault="00000000">
      <w:r>
        <w:rPr>
          <w:b/>
        </w:rPr>
        <w:t xml:space="preserve">Bei Auslandsumzug: </w:t>
      </w:r>
      <w:r>
        <w:t>keine Besonderheit</w:t>
      </w:r>
    </w:p>
    <w:p w14:paraId="40F7A4B2" w14:textId="77777777" w:rsidR="001F7233" w:rsidRDefault="00000000">
      <w:r>
        <w:rPr>
          <w:b/>
        </w:rPr>
        <w:t>Strom und Gas, Sondervertrag</w:t>
      </w:r>
    </w:p>
    <w:p w14:paraId="7776193A" w14:textId="77777777" w:rsidR="001F7233" w:rsidRDefault="00000000">
      <w:r>
        <w:rPr>
          <w:b/>
        </w:rPr>
        <w:t xml:space="preserve">Frist (Rechtsgrundlage): </w:t>
      </w:r>
      <w:r>
        <w:t>sechs Wochen bei Wohnsitzwechsel (§ 41b EnWG)</w:t>
      </w:r>
    </w:p>
    <w:p w14:paraId="08B2BABD" w14:textId="77777777" w:rsidR="001F7233" w:rsidRDefault="00000000">
      <w:r>
        <w:rPr>
          <w:b/>
        </w:rPr>
        <w:t xml:space="preserve">Bei Auslandsumzug: </w:t>
      </w:r>
      <w:r>
        <w:t>Anwendung auf die USA unklar</w:t>
      </w:r>
    </w:p>
    <w:p w14:paraId="4BB29118" w14:textId="77777777" w:rsidR="001F7233" w:rsidRDefault="00000000">
      <w:r>
        <w:rPr>
          <w:b/>
        </w:rPr>
        <w:t>Rundfunkbeitrag</w:t>
      </w:r>
    </w:p>
    <w:p w14:paraId="1C75148C" w14:textId="77777777" w:rsidR="001F7233" w:rsidRDefault="00000000">
      <w:r>
        <w:rPr>
          <w:b/>
        </w:rPr>
        <w:t xml:space="preserve">Frist (Rechtsgrundlage): </w:t>
      </w:r>
      <w:r>
        <w:t>keine Kündigung, sondern Abmeldung der Wohnung</w:t>
      </w:r>
    </w:p>
    <w:p w14:paraId="52A1F5A2" w14:textId="77777777" w:rsidR="001F7233" w:rsidRDefault="00000000">
      <w:r>
        <w:rPr>
          <w:b/>
        </w:rPr>
        <w:t xml:space="preserve">Bei Auslandsumzug: </w:t>
      </w:r>
      <w:r>
        <w:t>Nachweis beifügen</w:t>
      </w:r>
    </w:p>
    <w:p w14:paraId="2A59193A" w14:textId="77777777" w:rsidR="001F7233" w:rsidRDefault="00000000">
      <w:r>
        <w:rPr>
          <w:b/>
        </w:rPr>
        <w:t>Hausrat, Haftpflicht, Rechtsschutz</w:t>
      </w:r>
    </w:p>
    <w:p w14:paraId="37298396" w14:textId="77777777" w:rsidR="001F7233" w:rsidRDefault="00000000">
      <w:r>
        <w:rPr>
          <w:b/>
        </w:rPr>
        <w:t xml:space="preserve">Frist (Rechtsgrundlage): </w:t>
      </w:r>
      <w:r>
        <w:t>nach Vertragsbedingungen; Wegfall des Risikos sofort melden (§ 80 VVG)</w:t>
      </w:r>
    </w:p>
    <w:p w14:paraId="4EA9F033" w14:textId="77777777" w:rsidR="001F7233" w:rsidRDefault="00000000">
      <w:r>
        <w:rPr>
          <w:b/>
        </w:rPr>
        <w:t xml:space="preserve">Bei Auslandsumzug: </w:t>
      </w:r>
      <w:r>
        <w:t>Frist im Vertrag prüfen</w:t>
      </w:r>
    </w:p>
    <w:p w14:paraId="6870C524" w14:textId="77777777" w:rsidR="001F7233" w:rsidRDefault="00000000">
      <w:r>
        <w:rPr>
          <w:b/>
        </w:rPr>
        <w:t>Nachsendeauftrag</w:t>
      </w:r>
    </w:p>
    <w:p w14:paraId="4947F681" w14:textId="77777777" w:rsidR="001F7233" w:rsidRDefault="00000000">
      <w:r>
        <w:rPr>
          <w:b/>
        </w:rPr>
        <w:lastRenderedPageBreak/>
        <w:t xml:space="preserve">Frist (Rechtsgrundlage): </w:t>
      </w:r>
      <w:r>
        <w:t>sechs Monate Laufzeit, fünf Werktage Vorlauf</w:t>
      </w:r>
    </w:p>
    <w:p w14:paraId="68C89970" w14:textId="77777777" w:rsidR="001F7233" w:rsidRDefault="00000000">
      <w:r>
        <w:rPr>
          <w:b/>
        </w:rPr>
        <w:t xml:space="preserve">Bei Auslandsumzug: </w:t>
      </w:r>
      <w:r>
        <w:t>Ausland eingeschränkt</w:t>
      </w:r>
    </w:p>
    <w:p w14:paraId="72B35113" w14:textId="77777777" w:rsidR="001F7233" w:rsidRDefault="00000000">
      <w:r>
        <w:rPr>
          <w:b/>
        </w:rPr>
        <w:t>Freiwillige gesetzliche Krankenversicherung</w:t>
      </w:r>
    </w:p>
    <w:p w14:paraId="643A3B9D" w14:textId="77777777" w:rsidR="001F7233" w:rsidRDefault="00000000">
      <w:r>
        <w:rPr>
          <w:b/>
        </w:rPr>
        <w:t xml:space="preserve">Frist (Rechtsgrundlage): </w:t>
      </w:r>
      <w:r>
        <w:t>endet nicht automatisch mit dem Wegzug (§ 191 SGB V)</w:t>
      </w:r>
    </w:p>
    <w:p w14:paraId="290DDDAA" w14:textId="77777777" w:rsidR="001F7233" w:rsidRDefault="00000000">
      <w:r>
        <w:rPr>
          <w:b/>
        </w:rPr>
        <w:t xml:space="preserve">Bei Auslandsumzug: </w:t>
      </w:r>
      <w:r>
        <w:t xml:space="preserve">Kündigung oder Anwartschaft: </w:t>
      </w:r>
      <w:hyperlink w:anchor="k18">
        <w:r w:rsidR="001F7233">
          <w:rPr>
            <w:rStyle w:val="Hyperlink"/>
          </w:rPr>
          <w:t>Kapitel 18</w:t>
        </w:r>
      </w:hyperlink>
    </w:p>
    <w:p w14:paraId="13FD7E41" w14:textId="77777777" w:rsidR="001F7233" w:rsidRDefault="001F7233">
      <w:pPr>
        <w:spacing w:line="180" w:lineRule="exact"/>
      </w:pPr>
    </w:p>
    <w:p w14:paraId="7EE13FA1" w14:textId="77777777" w:rsidR="001F7233" w:rsidRDefault="00000000">
      <w:r>
        <w:t>• Das ist keine Rechtsberatung. Miet-, Arbeits- und Versicherungsverträge können von der gesetzlichen Regel abweichen. Bei Streit helfen Mieterverein, Fachanwalt für Arbeitsrecht oder Verbraucherzentrale.</w:t>
      </w:r>
    </w:p>
    <w:p w14:paraId="2252F049" w14:textId="77777777" w:rsidR="001F7233" w:rsidRDefault="001F7233">
      <w:pPr>
        <w:spacing w:line="220" w:lineRule="exact"/>
      </w:pPr>
    </w:p>
    <w:p w14:paraId="62D8F0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 Frist, Bescheinigung, Wohnsitz behalten?</w:t>
      </w:r>
    </w:p>
    <w:p w14:paraId="378DFE2A" w14:textId="77777777" w:rsidR="001F7233" w:rsidRDefault="00000000">
      <w:pPr>
        <w:spacing w:after="140"/>
      </w:pPr>
      <w:r>
        <w:t>Wer auszieht und keine neue Wohnung im Inland bezieht, muss sich innerhalb von zwei Wochen nach dem Auszug bei der Meldebehörde abmelden (§ 17 Abs. 2 Bundesmeldegesetz, BMG). Früher als eine Woche vor dem Auszug geht es nicht. Das Melderegister wird zum Auszugsdatum fortgeschrieben. Wer die Frist versäumt, begeht eine Ordnungswidrigkeit mit bis zu 1.000 € Bußgeld. Termin, Online-Formular und Vollmacht für einen Vertreter regelt deine Kommune. Schau auf die Website des Bürgeramts.</w:t>
      </w:r>
    </w:p>
    <w:p w14:paraId="5D5C718A" w14:textId="77777777" w:rsidR="001F7233" w:rsidRDefault="00000000">
      <w:pPr>
        <w:spacing w:after="140"/>
      </w:pPr>
      <w:r>
        <w:t>Lass dir eine Abmeldebescheinigung ausstellen und kopiere sie mehrfach. Das Gesetz nennt sie nicht ausdrücklich, doch Meldebehörden stellen sie in der Praxis aus, und Beitragsservice, Krankenkasse oder Finanzamt verlangen sie häufig. Dein Personalausweis bleibt nach dem Wegzug gültig (§ 28 PAuswG), gilt aber nicht für die Einreise in die USA; den Reisepass klärt Kapitel </w:t>
      </w:r>
      <w:hyperlink w:anchor="k19">
        <w:r w:rsidR="001F7233">
          <w:t>19</w:t>
        </w:r>
      </w:hyperlink>
      <w:r>
        <w:t>.</w:t>
      </w:r>
    </w:p>
    <w:p w14:paraId="3E7CA4A2" w14:textId="77777777" w:rsidR="001F7233" w:rsidRDefault="00000000">
      <w:pPr>
        <w:spacing w:after="140"/>
      </w:pPr>
      <w:r>
        <w:rPr>
          <w:b/>
          <w:bCs/>
        </w:rPr>
        <w:t>Wohnsitz behalten?</w:t>
      </w:r>
      <w:r>
        <w:t xml:space="preserve"> Solange du eine Wohnung im Inland bezogen hältst, entfällt nach dem Gesetzeswortlaut die Abmeldepflicht; sie </w:t>
      </w:r>
      <w:r>
        <w:lastRenderedPageBreak/>
        <w:t>zählt dann als Haupt- oder Nebenwohnung (§ 21 BMG). Der Preis: Eine behaltene Wohnung kann Folgen für Steuerpflicht, Krankenkasse und Kindergeld haben (Kapitel </w:t>
      </w:r>
      <w:hyperlink w:anchor="k17">
        <w:r w:rsidR="001F7233">
          <w:t>17</w:t>
        </w:r>
      </w:hyperlink>
      <w:r>
        <w:t xml:space="preserve"> und </w:t>
      </w:r>
      <w:hyperlink w:anchor="k18">
        <w:r w:rsidR="001F7233">
          <w:t>18</w:t>
        </w:r>
      </w:hyperlink>
      <w:r>
        <w:t>). Entscheide das vor dem Umzug, nicht danach.</w:t>
      </w:r>
    </w:p>
    <w:p w14:paraId="4EC4AB19" w14:textId="77777777" w:rsidR="001F7233" w:rsidRDefault="00000000">
      <w:r>
        <w:rPr>
          <w:b/>
        </w:rPr>
        <w:t xml:space="preserve">ACHTUNG: </w:t>
      </w:r>
    </w:p>
    <w:p w14:paraId="69E4CC86" w14:textId="77777777" w:rsidR="001F7233" w:rsidRDefault="00000000">
      <w:r>
        <w:t>• Bleibe nicht „pro forma“ bei Eltern oder Freunden gemeldet, wenn du dort nicht wohnst. Wer eine Scheinadresse bereitstellt, riskiert bis zu 50.000 € Bußgeld (§ 19 Abs. 6, § 54 BMG), und für dich kann die Anmeldung als Wohnsitz gewertet werden, mit steuerlichen Folgen.</w:t>
      </w:r>
    </w:p>
    <w:p w14:paraId="098726D8" w14:textId="77777777" w:rsidR="001F7233" w:rsidRDefault="001F7233">
      <w:pPr>
        <w:spacing w:line="220" w:lineRule="exact"/>
      </w:pPr>
    </w:p>
    <w:p w14:paraId="20E9F11B" w14:textId="77777777" w:rsidR="001F7233" w:rsidRDefault="00000000">
      <w:pPr>
        <w:spacing w:after="140"/>
      </w:pPr>
      <w:r>
        <w:rPr>
          <w:b/>
          <w:bCs/>
        </w:rPr>
        <w:t>Für Männer bis 45: Nach § 3 Abs. 2 Wehrpflichtgesetz brauchen Männer ab 17 Jahren meist die Genehmigung des Karrierecenters der Bundeswehr für Auslandsaufenthalte von mehr als drei Monaten. Die Wehrpflicht endet mit Ablauf des Jahres, in dem sie 45 werden. Das Verteidigungsministerium hat am 10. April 2026 verfügt, dass solche Anträge nicht gestellt werden müssen, solange der Wehrdienst freiwillig bleibt. Prüfe kurz vor dem Abflug, ob die Ausnahme noch gilt.</w:t>
      </w:r>
    </w:p>
    <w:p w14:paraId="49D35A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Wohnung: Kündigung, Kaution, Übergabe</w:t>
      </w:r>
    </w:p>
    <w:p w14:paraId="4C55C4D8" w14:textId="77777777" w:rsidR="001F7233" w:rsidRDefault="00000000">
      <w:pPr>
        <w:spacing w:after="140"/>
      </w:pPr>
      <w:r>
        <w:t>Als Mieter kündigst du mit drei Monaten Frist: Die Kündigung muss spätestens am dritten Werktag eines Monats beim Vermieter eingehen, dann endet der Vertrag zum Ablauf des übernächsten Monats (§ 573c BGB). Zugang bis zum dritten Werktag im Juni beendet ihn also am 31. August; ein Tag später bedeutet 30. September, eine volle zusätzliche Monatsmiete. Abweichende Klauseln zulasten des Mieters sind unwirksam. Prüfe aber, ob dein Vertrag befristet ist oder die Kündigung zeitweise ausschließt.</w:t>
      </w:r>
    </w:p>
    <w:p w14:paraId="116D69C3" w14:textId="77777777" w:rsidR="001F7233" w:rsidRDefault="00000000">
      <w:r>
        <w:rPr>
          <w:b/>
        </w:rPr>
        <w:t xml:space="preserve">ACHTUNG: </w:t>
      </w:r>
    </w:p>
    <w:p w14:paraId="2D7F28C5" w14:textId="77777777" w:rsidR="001F7233" w:rsidRDefault="00000000">
      <w:r>
        <w:lastRenderedPageBreak/>
        <w:t>• Wichtig ist der Zugang, nicht das Absenden. Die Kündigung braucht Schriftform mit eigenhändiger Unterschrift aller Mieter; eine E-Mail genügt nicht. Lass sie per Einwurf-Einschreiben oder durch einen Boten zustellen, der den Einwurf bezeugen kann. Ob ein Samstag als Werktag zählt, wird meist bejaht, ist aber nicht immer geklärt. Peile deshalb den ersten Werktag des Monats als Zugangstermin an.</w:t>
      </w:r>
    </w:p>
    <w:p w14:paraId="024BD99F" w14:textId="77777777" w:rsidR="001F7233" w:rsidRDefault="001F7233">
      <w:pPr>
        <w:spacing w:line="220" w:lineRule="exact"/>
      </w:pPr>
    </w:p>
    <w:p w14:paraId="32E86A40" w14:textId="77777777" w:rsidR="001F7233" w:rsidRDefault="00000000">
      <w:pPr>
        <w:spacing w:after="140"/>
      </w:pPr>
      <w:r>
        <w:t>Die Kaution darf höchstens drei Monatskaltmieten betragen (§ 551 BGB). Zurück bekommst du sie nach einer angemessenen Prüffrist, in der Rechtsprechung meist drei bis sechs Monate, und nach der Nebenkostenabrechnung. Nenne dem Vermieter schriftlich ein deutsches Konto für die Rückzahlung. Bei der Übergabe hältst du in einem Protokoll Zustand, Zählerstände und Schlüsselzahl fest, machst Fotos und lässt beide Seiten unterschreiben. Welche Schönheitsreparaturen fällig sind, steht im Vertrag; frage im Zweifel den Mieterverein. Kannst du den Termin nicht selbst wahrnehmen, bevollmächtige eine Person schriftlich. Eine kurze englische Referenz des Vermieters hilft bei der Wohnungssuche in den USA (Kapitel </w:t>
      </w:r>
      <w:hyperlink w:anchor="k13">
        <w:r w:rsidR="001F7233">
          <w:t>13</w:t>
        </w:r>
      </w:hyperlink>
      <w:r>
        <w:t>).</w:t>
      </w:r>
    </w:p>
    <w:p w14:paraId="1940E9A7" w14:textId="77777777" w:rsidR="001F7233" w:rsidRDefault="00000000">
      <w:r>
        <w:rPr>
          <w:b/>
        </w:rPr>
        <w:t xml:space="preserve">SPARTIPP: </w:t>
      </w:r>
    </w:p>
    <w:p w14:paraId="6A507253" w14:textId="77777777" w:rsidR="001F7233" w:rsidRDefault="00000000">
      <w:r>
        <w:t>• Bringe einen zuverlässigen Nachmieter mit und bitte um einen schriftlichen Aufhebungsvertrag zum Übergabetag. Einen Anspruch darauf hast du nicht, doch viele Vermieter gehen darauf ein, wenn ihnen Leerstand erspart bleibt. Jeder Monat Doppelmiete kostet dich eine volle Monatsmiete.</w:t>
      </w:r>
    </w:p>
    <w:p w14:paraId="2B3EBF02" w14:textId="77777777" w:rsidR="001F7233" w:rsidRDefault="001F7233">
      <w:pPr>
        <w:spacing w:line="220" w:lineRule="exact"/>
      </w:pPr>
    </w:p>
    <w:p w14:paraId="213275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Arbeitsvertrag</w:t>
      </w:r>
    </w:p>
    <w:p w14:paraId="27E3333C" w14:textId="77777777" w:rsidR="001F7233" w:rsidRDefault="00000000">
      <w:pPr>
        <w:spacing w:after="140"/>
      </w:pPr>
      <w:r>
        <w:t xml:space="preserve">Als Arbeitnehmer kündigst du gesetzlich mit vier Wochen zum 15. oder zum Monatsende, in der Probezeit (höchstens sechs Monate) mit zwei Wochen (§ 622 BGB). Verträge und Tarifverträge dürfen längere Fristen vorsehen, für dich aber keine längeren als für den Arbeitgeber. Kündigung und Aufhebungsvertrag gelten nur </w:t>
      </w:r>
      <w:r>
        <w:lastRenderedPageBreak/>
        <w:t>schriftlich mit eigenhändiger Unterschrift; eine E-Mail ist unwirksam (§ 623 BGB).</w:t>
      </w:r>
    </w:p>
    <w:p w14:paraId="52313D5E" w14:textId="77777777" w:rsidR="001F7233" w:rsidRDefault="00000000">
      <w:pPr>
        <w:spacing w:after="140"/>
      </w:pPr>
      <w:r>
        <w:t>Liegt das Vertragsende hinter dem Abflugtermin, hilft ein Aufhebungsvertrag: Er erlaubt ein früheres Ende, braucht aber die Zustimmung des Arbeitgebers. Verhandle ihn mit Blick auf den Visumstermin. Bitte außerdem um ein qualifiziertes Arbeitszeugnis, wenn möglich auch auf Englisch; US-Arbeitgeber fragen später nach Referenzen. Resturlaub und betriebliche Altersvorsorge klärst du mit der Personalabteilung (Kapitel </w:t>
      </w:r>
      <w:hyperlink w:anchor="k17">
        <w:r w:rsidR="001F7233">
          <w:t>17</w:t>
        </w:r>
      </w:hyperlink>
      <w:r>
        <w:t>). Wirst du innerhalb deines Konzerns versetzt (etwa mit L-1, Kapitel </w:t>
      </w:r>
      <w:hyperlink w:anchor="k9">
        <w:r w:rsidR="001F7233">
          <w:t>9</w:t>
        </w:r>
      </w:hyperlink>
      <w:r>
        <w:t>), muss der deutsche Vertrag nicht enden; das verändert aber Sozialversicherung und Steuer (Kapitel </w:t>
      </w:r>
      <w:hyperlink w:anchor="k17">
        <w:r w:rsidR="001F7233">
          <w:t>17</w:t>
        </w:r>
      </w:hyperlink>
      <w:r>
        <w:t xml:space="preserve"> und </w:t>
      </w:r>
      <w:hyperlink w:anchor="k18">
        <w:r w:rsidR="001F7233">
          <w:t>18</w:t>
        </w:r>
      </w:hyperlink>
      <w:r>
        <w:t>).</w:t>
      </w:r>
    </w:p>
    <w:p w14:paraId="460C1E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Internet, Energie, Rundfunkbeitrag und Kirche</w:t>
      </w:r>
    </w:p>
    <w:p w14:paraId="59F38A66" w14:textId="77777777" w:rsidR="001F7233" w:rsidRDefault="00000000">
      <w:pPr>
        <w:spacing w:after="140"/>
      </w:pPr>
      <w:r>
        <w:rPr>
          <w:b/>
          <w:bCs/>
        </w:rPr>
        <w:t>Handy und Internet: Nach der Mindestlaufzeit kannst du mit einem Monat kündigen. Steckst du noch in der Laufzeit, hilft § 60 TKG: Der Anbieter muss die Leistung am neuen Wohnort erbringen, soweit er sie dort anbietet, sonst darfst du mit einem Monat kündigen. Der Wortlaut nennt kein Inland; ob Anbieter ihn auf einen Umzug in die USA anwenden, ist nicht belegt. Schreibe früh, füge Abmeldebescheinigung und Nachweis der neuen Stelle bei und rechne mit Kulanz statt Anspruch. Restraten für Geräte bleiben fällig.</w:t>
      </w:r>
    </w:p>
    <w:p w14:paraId="6F1152C1" w14:textId="77777777" w:rsidR="001F7233" w:rsidRDefault="00000000">
      <w:pPr>
        <w:spacing w:after="140"/>
      </w:pPr>
      <w:r>
        <w:rPr>
          <w:b/>
          <w:bCs/>
        </w:rPr>
        <w:t>Strom und Gas: Lies am Auszugstag die Zähler ab, fotografiere sie und melde die Stände dem Versorger. Ob der Sonderkündigungsgrund bei Wohnsitzwechsel für einen Umzug ins Ausland gilt, ist wie beim Handy offen.</w:t>
      </w:r>
    </w:p>
    <w:p w14:paraId="06A09EF1" w14:textId="77777777" w:rsidR="001F7233" w:rsidRDefault="00000000">
      <w:pPr>
        <w:spacing w:after="140"/>
      </w:pPr>
      <w:r>
        <w:t>Rundfunkbeitrag: 18,36 € im Monat je Wohnung (Stand 20. September 2026), rund 220 € im Jahr. Er endet nicht durch Kündigung, sondern durch Abmeldung der Wohnung im Online-</w:t>
      </w:r>
      <w:r>
        <w:lastRenderedPageBreak/>
        <w:t xml:space="preserve">Formular „Abmelden“ auf </w:t>
      </w:r>
      <w:hyperlink r:id="rId248">
        <w:r w:rsidR="001F7233">
          <w:rPr>
            <w:color w:val="0563C1"/>
            <w:u w:val="single"/>
          </w:rPr>
          <w:t>rundfunkbeitrag.de</w:t>
        </w:r>
      </w:hyperlink>
      <w:r>
        <w:t>. Du brauchst die neunstellige Beitragsnummer und kannst Nachweise als Datei anhängen. Welche Nachweise verlangt werden und wie weit rückwirkend abgemeldet wird, nennt die Seite nicht. Melde dich deshalb sofort nach dem Auszug ab.</w:t>
      </w:r>
    </w:p>
    <w:p w14:paraId="5AFE3B85" w14:textId="77777777" w:rsidR="001F7233" w:rsidRDefault="00000000">
      <w:pPr>
        <w:spacing w:after="140"/>
      </w:pPr>
      <w:r>
        <w:rPr>
          <w:b/>
          <w:bCs/>
        </w:rPr>
        <w:t>Kirche: Die Kirchensteuerpflicht knüpft nach den Landeskirchensteuergesetzen an Wohnsitz oder gewöhnlichen Aufenthalt im Inland und endet deshalb meist mit dem Wegzug. Die Mitgliedschaft bleibt bestehen, die Pflicht lebt bei Rückkehr wieder auf. Der Austritt wird je nach Bundesland beim Amtsgericht, Standesamt oder Bürgeramt erklärt und kostet zwischen nichts und rund 75 €, häufig 30 €. Ob das aus dem Ausland geht, ist nicht einheitlich geklärt. Wer austreten will, erledigt es vor dem Abflug. Bedenke, dass die Mitgliedschaft bei kirchlicher Trauung, Patenschaft oder Beerdigung eine Rolle spielt.</w:t>
      </w:r>
    </w:p>
    <w:p w14:paraId="663E51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w:t>
      </w:r>
    </w:p>
    <w:p w14:paraId="7FC7BDCE" w14:textId="77777777" w:rsidR="001F7233" w:rsidRDefault="00000000">
      <w:pPr>
        <w:spacing w:after="140"/>
      </w:pPr>
      <w:r>
        <w:t xml:space="preserve">Die meisten deutschen Sachversicherungen sind an deinen Wohnsitz gebunden. Fällt das versicherte Interesse weg, etwa weil die Wohnung geräumt ist, steht dem Versicherer die Prämie bis zu dem Zeitpunkt zu, zu dem er davon erfährt (§ 80 Abs. 2 VVG). Melde den Wegfall also sofort schriftlich und lass dir das Ende bestätigen. Die Einzelheiten regeln die </w:t>
      </w:r>
      <w:r>
        <w:rPr>
          <w:i/>
          <w:iCs/>
        </w:rPr>
        <w:t>Allgemeinen Versicherungsbedingungen</w:t>
      </w:r>
      <w:r>
        <w:t xml:space="preserve"> (AVB) jedes Vertrags; die Übersicht ist Praxiswissen, keine Regel.</w:t>
      </w:r>
    </w:p>
    <w:p w14:paraId="2CC992E8" w14:textId="77777777" w:rsidR="001F7233" w:rsidRDefault="00000000">
      <w:r>
        <w:rPr>
          <w:b/>
        </w:rPr>
        <w:t>Privathaftpflicht</w:t>
      </w:r>
    </w:p>
    <w:p w14:paraId="4C15868D" w14:textId="77777777" w:rsidR="001F7233" w:rsidRDefault="00000000">
      <w:r>
        <w:rPr>
          <w:b/>
        </w:rPr>
        <w:t xml:space="preserve">Meist sinnvoll: </w:t>
      </w:r>
      <w:r>
        <w:t>zum Übergabetag kündigen</w:t>
      </w:r>
    </w:p>
    <w:p w14:paraId="70D7B8DE" w14:textId="77777777" w:rsidR="001F7233" w:rsidRDefault="00000000">
      <w:r>
        <w:rPr>
          <w:b/>
        </w:rPr>
        <w:t xml:space="preserve">Das prüfst du: </w:t>
      </w:r>
      <w:r>
        <w:t>Auslandsschutz ist meist zeitlich begrenzt; in den USA neu abschließen (</w:t>
      </w:r>
      <w:hyperlink w:anchor="k25">
        <w:r w:rsidR="001F7233">
          <w:rPr>
            <w:rStyle w:val="Hyperlink"/>
          </w:rPr>
          <w:t>Kapitel 25</w:t>
        </w:r>
      </w:hyperlink>
      <w:r>
        <w:t>)</w:t>
      </w:r>
    </w:p>
    <w:p w14:paraId="1EDC2133" w14:textId="77777777" w:rsidR="001F7233" w:rsidRDefault="00000000">
      <w:r>
        <w:rPr>
          <w:b/>
        </w:rPr>
        <w:t>Hausrat</w:t>
      </w:r>
    </w:p>
    <w:p w14:paraId="7DF26170" w14:textId="77777777" w:rsidR="001F7233" w:rsidRDefault="00000000">
      <w:r>
        <w:rPr>
          <w:b/>
        </w:rPr>
        <w:t xml:space="preserve">Meist sinnvoll: </w:t>
      </w:r>
      <w:r>
        <w:t>kündigen, sobald die Wohnung geräumt ist</w:t>
      </w:r>
    </w:p>
    <w:p w14:paraId="56910391" w14:textId="77777777" w:rsidR="001F7233" w:rsidRDefault="00000000">
      <w:r>
        <w:rPr>
          <w:b/>
        </w:rPr>
        <w:t xml:space="preserve">Das prüfst du: </w:t>
      </w:r>
      <w:r>
        <w:t>Umzugsgut auf dem Transport gesondert versichern (</w:t>
      </w:r>
      <w:hyperlink w:anchor="k20">
        <w:r w:rsidR="001F7233">
          <w:rPr>
            <w:rStyle w:val="Hyperlink"/>
          </w:rPr>
          <w:t>Kapitel 20</w:t>
        </w:r>
      </w:hyperlink>
      <w:r>
        <w:t>)</w:t>
      </w:r>
    </w:p>
    <w:p w14:paraId="1442B183" w14:textId="77777777" w:rsidR="001F7233" w:rsidRDefault="00000000">
      <w:r>
        <w:rPr>
          <w:b/>
        </w:rPr>
        <w:lastRenderedPageBreak/>
        <w:t>Rechtsschutz</w:t>
      </w:r>
    </w:p>
    <w:p w14:paraId="5DA0AE47" w14:textId="77777777" w:rsidR="001F7233" w:rsidRDefault="00000000">
      <w:r>
        <w:rPr>
          <w:b/>
        </w:rPr>
        <w:t xml:space="preserve">Meist sinnvoll: </w:t>
      </w:r>
      <w:r>
        <w:t>meist kündigen</w:t>
      </w:r>
    </w:p>
    <w:p w14:paraId="784AC2C4" w14:textId="77777777" w:rsidR="001F7233" w:rsidRDefault="00000000">
      <w:r>
        <w:rPr>
          <w:b/>
        </w:rPr>
        <w:t xml:space="preserve">Das prüfst du: </w:t>
      </w:r>
      <w:r>
        <w:t>an deutschen Wohnsitz gebunden; laufende Fälle vorher klären</w:t>
      </w:r>
    </w:p>
    <w:p w14:paraId="671EC566" w14:textId="77777777" w:rsidR="001F7233" w:rsidRDefault="00000000">
      <w:r>
        <w:rPr>
          <w:b/>
        </w:rPr>
        <w:t>Berufsunfähigkeit</w:t>
      </w:r>
    </w:p>
    <w:p w14:paraId="2287BEFC" w14:textId="77777777" w:rsidR="001F7233" w:rsidRDefault="00000000">
      <w:r>
        <w:rPr>
          <w:b/>
        </w:rPr>
        <w:t xml:space="preserve">Meist sinnvoll: </w:t>
      </w:r>
      <w:r>
        <w:t>Fortführen prüfen</w:t>
      </w:r>
    </w:p>
    <w:p w14:paraId="4CB696B9" w14:textId="77777777" w:rsidR="001F7233" w:rsidRDefault="00000000">
      <w:r>
        <w:rPr>
          <w:b/>
        </w:rPr>
        <w:t xml:space="preserve">Das prüfst du: </w:t>
      </w:r>
      <w:r>
        <w:t>Wohnsitz-, Auslands- und Meldeklauseln; Leistungsfall im Ausland</w:t>
      </w:r>
    </w:p>
    <w:p w14:paraId="13C1147F" w14:textId="77777777" w:rsidR="001F7233" w:rsidRDefault="00000000">
      <w:r>
        <w:rPr>
          <w:b/>
        </w:rPr>
        <w:t>Risikoleben, Lebensversicherung</w:t>
      </w:r>
    </w:p>
    <w:p w14:paraId="713C0514" w14:textId="77777777" w:rsidR="001F7233" w:rsidRDefault="00000000">
      <w:r>
        <w:rPr>
          <w:b/>
        </w:rPr>
        <w:t xml:space="preserve">Meist sinnvoll: </w:t>
      </w:r>
      <w:r>
        <w:t>Fortführen prüfen</w:t>
      </w:r>
    </w:p>
    <w:p w14:paraId="269BD245" w14:textId="77777777" w:rsidR="001F7233" w:rsidRDefault="00000000">
      <w:r>
        <w:rPr>
          <w:b/>
        </w:rPr>
        <w:t xml:space="preserve">Das prüfst du: </w:t>
      </w:r>
      <w:r>
        <w:t>Adressmeldepflicht; ein Neuabschluss später ist teurer, weil du dann älter bist</w:t>
      </w:r>
    </w:p>
    <w:p w14:paraId="42DE5A3D" w14:textId="77777777" w:rsidR="001F7233" w:rsidRDefault="00000000">
      <w:r>
        <w:rPr>
          <w:b/>
        </w:rPr>
        <w:t>Kfz</w:t>
      </w:r>
    </w:p>
    <w:p w14:paraId="6738A056" w14:textId="77777777" w:rsidR="001F7233" w:rsidRDefault="00000000">
      <w:r>
        <w:rPr>
          <w:b/>
        </w:rPr>
        <w:t xml:space="preserve">Meist sinnvoll: </w:t>
      </w:r>
      <w:r>
        <w:t>mit Verkauf oder Abmeldung beenden</w:t>
      </w:r>
    </w:p>
    <w:p w14:paraId="026BFCB4" w14:textId="77777777" w:rsidR="001F7233" w:rsidRDefault="00000000">
      <w:r>
        <w:rPr>
          <w:b/>
        </w:rPr>
        <w:t xml:space="preserve">Das prüfst du: </w:t>
      </w:r>
      <w:r>
        <w:t>Schadenfreiheitsbescheinigung auf Englisch anfordern</w:t>
      </w:r>
    </w:p>
    <w:p w14:paraId="03CA49BB" w14:textId="77777777" w:rsidR="001F7233" w:rsidRDefault="001F7233">
      <w:pPr>
        <w:spacing w:line="180" w:lineRule="exact"/>
      </w:pPr>
    </w:p>
    <w:p w14:paraId="027B313A" w14:textId="77777777" w:rsidR="001F7233" w:rsidRDefault="00000000">
      <w:pPr>
        <w:spacing w:after="140"/>
      </w:pPr>
      <w:r>
        <w:t>Die Schadenfreiheitsbescheinigung (SF-Klasse und Schadenverlauf) stellt der Versicherer auf Anfrage aus. Ob ein US-Versicherer sie anerkennt, ist uneinheitlich; die deutsche SF-Klasse zählt in den USA meist nicht (Kapitel </w:t>
      </w:r>
      <w:hyperlink w:anchor="k27">
        <w:r w:rsidR="001F7233">
          <w:t>27</w:t>
        </w:r>
      </w:hyperlink>
      <w:r>
        <w:t>). Kranken-, Pflege- und Auslandsreisekrankenversicherung sind ein Sonderfall (Kapitel </w:t>
      </w:r>
      <w:hyperlink w:anchor="k18">
        <w:r w:rsidR="001F7233">
          <w:t>18</w:t>
        </w:r>
      </w:hyperlink>
      <w:r>
        <w:t>).</w:t>
      </w:r>
    </w:p>
    <w:p w14:paraId="4B1C4192" w14:textId="77777777" w:rsidR="001F7233" w:rsidRDefault="00000000">
      <w:r>
        <w:rPr>
          <w:b/>
        </w:rPr>
        <w:t xml:space="preserve">ACHTUNG: </w:t>
      </w:r>
    </w:p>
    <w:p w14:paraId="160C61E0" w14:textId="77777777" w:rsidR="001F7233" w:rsidRDefault="00000000">
      <w:r>
        <w:t>• Kündige Haftpflicht und Hausrat nicht vor der Wohnungsübergabe. Schäden an der Mietsache, die erst bei der Übergabe auffallen, sind in vielen Tarifen über die Privathaftpflicht gedeckt; prüfe deinen Tarif. Beende beide Verträge zum Übergabetag, nicht drei Wochen davor.</w:t>
      </w:r>
    </w:p>
    <w:p w14:paraId="74139E2C" w14:textId="77777777" w:rsidR="001F7233" w:rsidRDefault="001F7233">
      <w:pPr>
        <w:spacing w:line="220" w:lineRule="exact"/>
      </w:pPr>
    </w:p>
    <w:p w14:paraId="2FA7E8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Bankkonten und Kreditkarten</w:t>
      </w:r>
    </w:p>
    <w:p w14:paraId="57A1CDB5" w14:textId="77777777" w:rsidR="001F7233" w:rsidRDefault="00000000">
      <w:pPr>
        <w:spacing w:after="140"/>
      </w:pPr>
      <w:r>
        <w:t xml:space="preserve">Behalte dein deutsches Girokonto. Deutsche Konsulate identifizieren seit den Änderungen am Geldwäschegesetz niemanden mehr für Kontoeröffnungen, Kredite über 15.000 € oder Kreditkarten; ein </w:t>
      </w:r>
      <w:r>
        <w:lastRenderedPageBreak/>
        <w:t>neues Konto aus den USA zu eröffnen, ist deshalb schwer. Du brauchst das Konto für die Kautionsrückzahlung, Erstattungen, mögliche Rentenzahlungen und als Rückfallebene in den ersten Wochen. Melde der Bank den Wegzug und frage schriftlich, welche Leistungen du weiter nutzen kannst: Manche Banken schränken Konten oder Depots bei US-Wohnsitz ein oder kündigen sie (Kapitel </w:t>
      </w:r>
      <w:hyperlink w:anchor="k17">
        <w:r w:rsidR="001F7233">
          <w:t>17</w:t>
        </w:r>
      </w:hyperlink>
      <w:r>
        <w:t>). Ein begrenzter Euro-Puffer kann laufende deutsche Abbuchungen, verspätete Erstattungen und Besuche in Deutschland erleichtern; halte dort nicht automatisch dein gesamtes Notfallvermögen. Lege die Höhe aus erwarteten Ausgaben und Rückkehrbedarf fest und prüfe Einlagenschutz, Gebühren, Karten- und Überweisungszugang für deinen neuen Wohnsitz.</w:t>
      </w:r>
    </w:p>
    <w:p w14:paraId="755D8180" w14:textId="77777777" w:rsidR="001F7233" w:rsidRDefault="00000000">
      <w:pPr>
        <w:spacing w:after="140"/>
      </w:pPr>
      <w:r>
        <w:t>Kläre außerdem, wie du Überweisungen freigibst. Hängt das Verfahren an einer SMS auf deine deutsche Nummer, funktioniert es im Ausland nur mit Roaming oder gar nicht. Stelle vor dem Abflug auf ein App-Verfahren um (pushTAN, photoTAN oder Ähnliches, je nach Bank) und teste es. Aktivierungsbriefe und Ersatzkarten kommen per Post nach Deutschland; deine Vertrauensperson muss sie erhalten können. Behalte auch eine deutsche Kreditkarte für die Anfangszeit. Deine US-Kreditwürdigkeit baust du ohnehin neu auf (Kapitel </w:t>
      </w:r>
      <w:hyperlink w:anchor="k25">
        <w:r w:rsidR="001F7233">
          <w:t>25</w:t>
        </w:r>
      </w:hyperlink>
      <w:r>
        <w:t>); die Schufa hilft dabei nicht, ihr guter Ruf endet am Gate.</w:t>
      </w:r>
    </w:p>
    <w:p w14:paraId="1F3E0928" w14:textId="77777777" w:rsidR="001F7233" w:rsidRDefault="00000000">
      <w:pPr>
        <w:spacing w:after="140"/>
      </w:pPr>
      <w:r>
        <w:rPr>
          <w:b/>
        </w:rPr>
        <w:t>PayPal-Konto beim Umzug</w:t>
      </w:r>
    </w:p>
    <w:p w14:paraId="29F20E89" w14:textId="77777777" w:rsidR="001F7233" w:rsidRDefault="00000000">
      <w:pPr>
        <w:spacing w:after="140"/>
      </w:pPr>
      <w:r>
        <w:t>PayPal-Konten sind an das Land gebunden, in dem sie eröffnet wurden. PayPal sagt, dass du die Adresse nicht einfach auf ein anderes Land umstellen kannst. Bei einem dauerhaften Umzug musst du das bisherige Konto schließen und im neuen Wohnsitzland ein neues eröffnen. Kläre offene Zahlungen, Guthaben, Abos und Rückerstattungen vorher. Ein PayPal-Guthaben oder eine Zahlung in Fremdwährung kann Umrechnungs- oder sonstige Gebühren ausloesen. Vergleiche den angezeigten Wechselkurs mit dem deiner Karte oder Bank, bevor du bestätigst. Quelle: paypal.com/ca/cshelp/article/can-i-change-the-address-on-my-paypal-account-to-another-country-help210.</w:t>
      </w:r>
    </w:p>
    <w:p w14:paraId="462470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Auto verkaufen, Post umleiten</w:t>
      </w:r>
    </w:p>
    <w:p w14:paraId="7F07D91C" w14:textId="77777777" w:rsidR="001F7233" w:rsidRDefault="00000000">
      <w:pPr>
        <w:spacing w:after="140"/>
      </w:pPr>
      <w:r>
        <w:rPr>
          <w:b/>
          <w:bCs/>
        </w:rPr>
        <w:t>Auto:</w:t>
      </w:r>
      <w:r>
        <w:t xml:space="preserve"> Verkaufe das Auto in Deutschland, so spät, wie dein Alltag es erlaubt; eine Mitnahme ist aufwendig und selten sinnvoll (Kapitel </w:t>
      </w:r>
      <w:hyperlink w:anchor="k20">
        <w:r w:rsidR="001F7233">
          <w:t>20</w:t>
        </w:r>
      </w:hyperlink>
      <w:r>
        <w:t xml:space="preserve"> und </w:t>
      </w:r>
      <w:hyperlink w:anchor="k27">
        <w:r w:rsidR="001F7233">
          <w:t>27</w:t>
        </w:r>
      </w:hyperlink>
      <w:r>
        <w:t>). Halte den Kaufvertrag schriftlich fest (Datum, Kilometerstand, Preis) und übergib Schlüssel und Papiere erst nach Zahlungseingang. Melde den Verkauf der Zulassungsstelle und dem Kfz-Versicherer, damit Steuer und Beiträge enden.</w:t>
      </w:r>
    </w:p>
    <w:p w14:paraId="6B20FE4E" w14:textId="77777777" w:rsidR="001F7233" w:rsidRDefault="00000000">
      <w:pPr>
        <w:spacing w:after="140"/>
      </w:pPr>
      <w:r>
        <w:rPr>
          <w:b/>
          <w:bCs/>
        </w:rPr>
        <w:t>Post: Der Nachsendeauftrag der Deutschen Post läuft sechs Monate und kostet im Inland 31,90 € online oder 34,90 € in der Poststation, bei fünf Werktagen Vorlauf. Ins Ausland ausgeschlossen sind unter anderem Einschreiben, Dialogpost, Warensendungen sowie DHL-Pakete, Kleinpakete und Päckchen. Preis und Laufzeit für Auslandsziele erfragst du bei der Post. Ändere deshalb deine Adresse bei allen Absendern, stelle auf elektronische Post um, wo es geht und nutze eine Postadresse bei einer Vertrauensperson. Behördenfristen laufen auch, wenn du den Bescheid erst spät liest.</w:t>
      </w:r>
    </w:p>
    <w:p w14:paraId="6BC8EF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Vollmachten und Vorsorge</w:t>
      </w:r>
    </w:p>
    <w:p w14:paraId="1692EA4C" w14:textId="77777777" w:rsidR="001F7233" w:rsidRDefault="00000000">
      <w:pPr>
        <w:spacing w:after="140"/>
      </w:pPr>
      <w:r>
        <w:t>Die deutschen Konsulate in den USA beurkunden keine Generalvollmachten, Gesundheitsvollmachten, Patientenverfügungen und Testamente (laut germany.info, Seitenstand 2023). Sie beglaubigen nur Unterschriften, für rund 60–85 €. Die Dokumente entstehen deshalb vor dem Abflug beim Notar:</w:t>
      </w:r>
    </w:p>
    <w:p w14:paraId="1D332BAB" w14:textId="77777777" w:rsidR="001F7233" w:rsidRDefault="00000000">
      <w:pPr>
        <w:pStyle w:val="ListParagraph"/>
        <w:numPr>
          <w:ilvl w:val="0"/>
          <w:numId w:val="1"/>
        </w:numPr>
        <w:spacing w:after="60"/>
      </w:pPr>
      <w:r>
        <w:rPr>
          <w:b/>
          <w:bCs/>
        </w:rPr>
        <w:t>Vorsorgevollmacht</w:t>
      </w:r>
      <w:r>
        <w:t xml:space="preserve"> für Finanzen, Verträge und Behörden. Manche Banken verlangen ihr eigenes Formular; frage nach, ob die notarielle Vollmacht genügt.</w:t>
      </w:r>
    </w:p>
    <w:p w14:paraId="4F1F1297" w14:textId="77777777" w:rsidR="001F7233" w:rsidRDefault="00000000">
      <w:pPr>
        <w:pStyle w:val="ListParagraph"/>
        <w:numPr>
          <w:ilvl w:val="0"/>
          <w:numId w:val="1"/>
        </w:numPr>
        <w:spacing w:after="60"/>
      </w:pPr>
      <w:r>
        <w:rPr>
          <w:b/>
          <w:bCs/>
        </w:rPr>
        <w:t>Patientenverfügung</w:t>
      </w:r>
      <w:r>
        <w:t xml:space="preserve"> und Gesundheitsvollmacht. Die Patientenverfügung braucht Schriftform und ist jederzeit formlos widerrufbar (§ 1827 BGB).</w:t>
      </w:r>
    </w:p>
    <w:p w14:paraId="76191207" w14:textId="77777777" w:rsidR="001F7233" w:rsidRDefault="00000000">
      <w:pPr>
        <w:pStyle w:val="ListParagraph"/>
        <w:numPr>
          <w:ilvl w:val="0"/>
          <w:numId w:val="1"/>
        </w:numPr>
        <w:spacing w:after="60"/>
      </w:pPr>
      <w:r>
        <w:rPr>
          <w:b/>
          <w:bCs/>
        </w:rPr>
        <w:lastRenderedPageBreak/>
        <w:t>Betreuungsverfügung</w:t>
      </w:r>
      <w:r>
        <w:t xml:space="preserve"> für den Fall, dass ein Gericht eine Betreuung anordnen muss.</w:t>
      </w:r>
    </w:p>
    <w:p w14:paraId="3AD59B51" w14:textId="77777777" w:rsidR="001F7233" w:rsidRDefault="001F7233">
      <w:pPr>
        <w:spacing w:line="120" w:lineRule="exact"/>
      </w:pPr>
    </w:p>
    <w:p w14:paraId="2FB4472C" w14:textId="77777777" w:rsidR="001F7233" w:rsidRDefault="00000000">
      <w:pPr>
        <w:spacing w:after="140"/>
      </w:pPr>
      <w:r>
        <w:t xml:space="preserve">Lass die Dokumente im Zentralen Vorsorgeregister der Bundesnotarkammer eintragen (vorsorgeregister.de; die Gebühr fällt einmalig an). Wähle eine erreichbare Person in Deutschland, die dein volles Vertrauen hat, benenne eine Ersatzperson und zeige beiden, wo die Unterlagen liegen. Ärzte und Banken in den USA erkennen deutsche Vollmachten nicht zwingend an. Die Gegenstücke heißen </w:t>
      </w:r>
      <w:r>
        <w:rPr>
          <w:i/>
          <w:iCs/>
        </w:rPr>
        <w:t>Durable Power of Attorney</w:t>
      </w:r>
      <w:r>
        <w:t xml:space="preserve"> (Vollmacht, die auch bei Geschäftsunfähigkeit gilt) und </w:t>
      </w:r>
      <w:r>
        <w:rPr>
          <w:i/>
          <w:iCs/>
        </w:rPr>
        <w:t>Health Care Proxy</w:t>
      </w:r>
      <w:r>
        <w:t xml:space="preserve"> oder </w:t>
      </w:r>
      <w:r>
        <w:rPr>
          <w:i/>
          <w:iCs/>
        </w:rPr>
        <w:t>Advance Directive</w:t>
      </w:r>
      <w:r>
        <w:t xml:space="preserve"> (Gesundheitsvollmacht und Patientenverfügung); Form und Regeln bestimmt jeder Bundesstaat. Errichte sie nach der Ankunft zusätzlich (Kapitel </w:t>
      </w:r>
      <w:hyperlink w:anchor="k39">
        <w:r w:rsidR="001F7233">
          <w:t>39</w:t>
        </w:r>
      </w:hyperlink>
      <w:r>
        <w:t>).</w:t>
      </w:r>
    </w:p>
    <w:p w14:paraId="321B272C" w14:textId="77777777" w:rsidR="001F7233" w:rsidRDefault="00000000">
      <w:r>
        <w:rPr>
          <w:b/>
        </w:rPr>
        <w:t xml:space="preserve">ACHTUNG: </w:t>
      </w:r>
    </w:p>
    <w:p w14:paraId="56BA81B3" w14:textId="77777777" w:rsidR="001F7233" w:rsidRDefault="00000000">
      <w:r>
        <w:t>• Warte nicht bis zur Ankunft. Aus den USA kannst du beim Konsulat nur Unterschriften beglaubigen lassen, keine Vorsorgedokumente beurkunden. Die Notarkosten richten sich meist nach dem Vermögen; hole vorab ein Angebot ein.</w:t>
      </w:r>
    </w:p>
    <w:p w14:paraId="4C0E8B24" w14:textId="77777777" w:rsidR="001F7233" w:rsidRDefault="001F7233">
      <w:pPr>
        <w:spacing w:line="220" w:lineRule="exact"/>
      </w:pPr>
    </w:p>
    <w:p w14:paraId="64FCB9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Elefand und Wahlrecht: Kontakt nach Deutschland</w:t>
      </w:r>
    </w:p>
    <w:p w14:paraId="4E56BA52" w14:textId="77777777" w:rsidR="001F7233" w:rsidRDefault="00000000">
      <w:pPr>
        <w:spacing w:after="140"/>
      </w:pPr>
      <w:r>
        <w:t xml:space="preserve">Trage dich nach der Ankunft in die Krisenvorsorgeliste der Auslandsvertretungen ein, kurz Elefand. Sie ist freiwillig (seit November 2008) und gehört zu den Dingen, die man einträgt und dann hoffentlich nie braucht. Bei Naturkatastrophen oder Unruhen können Botschaft und Generalkonsulate dich damit gezielt informieren. Auslandsdeutsche wählen nur nach Antrag: Du beantragst bei der Gemeinde deines letzten Wohnorts die Eintragung ins Wählerverzeichnis, vor jeder Wahl neu und spätestens bis zum 21. Tag vor dem Wahltag. Bedingung ist unter anderem, dass du nach dem 14. Geburtstag mindestens drei Monate </w:t>
      </w:r>
      <w:r>
        <w:lastRenderedPageBreak/>
        <w:t>ununterbrochen in Deutschland gewohnt hast und das nicht länger als 25 Jahre zurückliegt.</w:t>
      </w:r>
    </w:p>
    <w:p w14:paraId="7036B0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Kindergeld, Elterngeld, Kita, Schule</w:t>
      </w:r>
    </w:p>
    <w:p w14:paraId="7D197C36" w14:textId="77777777" w:rsidR="001F7233" w:rsidRDefault="00000000">
      <w:pPr>
        <w:spacing w:after="140"/>
      </w:pPr>
      <w:r>
        <w:t>Kindergeld: Wohnsitz oder gewöhnlicher Aufenthalt in Deutschland ist ein wichtiger Anknüpfungspunkt, aber kein abschließender Test für jeden Fall. Deutsche Staatsangehörige mit Auslandswohnsitz können unter bestimmten Voraussetzungen weiter anspruchsberechtigt sein, etwa wenn sie in Deutschland unbeschränkt steuerpflichtig sind oder als beschränkt Steuerpflichtige sozialversicherungspflichtig beschäftigt sind. Ziehst du mit den Kindern in die USA, melde den Wegzug der Familienkasse und lass deinen konkreten Anspruch prüfen. Zu Unrecht gezahlte Beträge können zurückgefordert werden (Kapitel 16–17; Bundesagentur für Arbeit, Kindergeld im Ausland).</w:t>
      </w:r>
    </w:p>
    <w:p w14:paraId="55BF10F0" w14:textId="77777777" w:rsidR="001F7233" w:rsidRDefault="00000000">
      <w:pPr>
        <w:spacing w:after="140"/>
      </w:pPr>
      <w:r>
        <w:rPr>
          <w:b/>
          <w:bCs/>
        </w:rPr>
        <w:t>Elterngeld: Voraussetzung ist ein Wohnsitz oder gewöhnlicher Aufenthalt in Deutschland (§ 1 BEEG). Ausnahmen gelten für vorübergehend Entsandte; wer dauerhaft mit einem US-Arbeitgeber auswandert, fällt meist nicht darunter. Bist du im laufenden Bezug oder erwartest ein Baby, sprich vor dem Umzug mit der Elterngeldstelle.</w:t>
      </w:r>
    </w:p>
    <w:p w14:paraId="1DF9A1A1" w14:textId="77777777" w:rsidR="001F7233" w:rsidRDefault="00000000">
      <w:pPr>
        <w:spacing w:after="140"/>
      </w:pPr>
      <w:r>
        <w:rPr>
          <w:b/>
          <w:bCs/>
        </w:rPr>
        <w:t>Kita und Schule:</w:t>
      </w:r>
      <w:r>
        <w:t xml:space="preserve"> Kündigungsfristen für Betreuungsverträge und das Abmeldeverfahren der Schule sind Träger- oder Ländersache; lies den Vertrag und frage die Schule nach einer Abmeldebescheinigung. Nimm Zeugnisse im Original, beglaubigte Kopien und eine englische Übersetzung mit (Kapitel </w:t>
      </w:r>
      <w:hyperlink w:anchor="k19">
        <w:r w:rsidR="001F7233">
          <w:t>19</w:t>
        </w:r>
      </w:hyperlink>
      <w:r>
        <w:t xml:space="preserve"> und </w:t>
      </w:r>
      <w:hyperlink w:anchor="k36">
        <w:r w:rsidR="001F7233">
          <w:t>36</w:t>
        </w:r>
      </w:hyperlink>
      <w:r>
        <w:t>).</w:t>
      </w:r>
    </w:p>
    <w:p w14:paraId="0CBA5A2F" w14:textId="77777777" w:rsidR="001F7233" w:rsidRDefault="00000000">
      <w:pPr>
        <w:spacing w:after="140"/>
      </w:pPr>
      <w:r>
        <w:rPr>
          <w:b/>
          <w:bCs/>
        </w:rPr>
        <w:t xml:space="preserve">Sorgerecht: Haben getrennt lebende Eltern das gemeinsame Sorgerecht, ist ein Umzug ins Ausland meist nur mit Zustimmung des anderen Elternteils oder einer </w:t>
      </w:r>
      <w:r>
        <w:rPr>
          <w:b/>
          <w:bCs/>
        </w:rPr>
        <w:lastRenderedPageBreak/>
        <w:t>familiengerichtlichen Entscheidung möglich. Lass dich vorher familienrechtlich beraten.</w:t>
      </w:r>
    </w:p>
    <w:p w14:paraId="642275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in Deutschland unbedingt behalten solltest</w:t>
      </w:r>
    </w:p>
    <w:p w14:paraId="19025A5D" w14:textId="77777777" w:rsidR="001F7233" w:rsidRDefault="00000000">
      <w:pPr>
        <w:spacing w:after="140"/>
      </w:pPr>
      <w:r>
        <w:t>Ein sauberer Schnitt klingt aufgeräumt, kostet aber den Rückweg. Diese Dinge behältst du:</w:t>
      </w:r>
    </w:p>
    <w:p w14:paraId="0A51515E" w14:textId="77777777" w:rsidR="001F7233" w:rsidRDefault="00000000">
      <w:pPr>
        <w:pStyle w:val="ListParagraph"/>
        <w:numPr>
          <w:ilvl w:val="0"/>
          <w:numId w:val="1"/>
        </w:numPr>
        <w:spacing w:after="60"/>
      </w:pPr>
      <w:r>
        <w:rPr>
          <w:b/>
          <w:bCs/>
        </w:rPr>
        <w:t>Ein deutsches Girokonto</w:t>
      </w:r>
      <w:r>
        <w:t xml:space="preserve"> samt Kreditkarte, als Ziel für Rückzahlungen und Rückfallebene.</w:t>
      </w:r>
    </w:p>
    <w:p w14:paraId="6CAB43BC" w14:textId="77777777" w:rsidR="001F7233" w:rsidRDefault="00000000">
      <w:pPr>
        <w:pStyle w:val="ListParagraph"/>
        <w:numPr>
          <w:ilvl w:val="0"/>
          <w:numId w:val="1"/>
        </w:numPr>
        <w:spacing w:after="60"/>
      </w:pPr>
      <w:r>
        <w:rPr>
          <w:b/>
          <w:bCs/>
        </w:rPr>
        <w:t>Eine Postadresse und eine Vertrauensperson.</w:t>
      </w:r>
      <w:r>
        <w:t xml:space="preserve"> Bescheide, Aktivierungsbriefe und Einschreiben kommen weiter nach Deutschland. Behörden können außerdem verlangen, dass du für Post einen Empfangs- oder Zustellungsbevollmächtigten im Inland benennst; das ist oft dieselbe Person oder deine Steuerberatung (Kapitel </w:t>
      </w:r>
      <w:hyperlink w:anchor="k17">
        <w:r w:rsidR="001F7233">
          <w:t>17</w:t>
        </w:r>
      </w:hyperlink>
      <w:r>
        <w:t>).</w:t>
      </w:r>
    </w:p>
    <w:p w14:paraId="0152732B" w14:textId="77777777" w:rsidR="001F7233" w:rsidRDefault="00000000">
      <w:pPr>
        <w:pStyle w:val="ListParagraph"/>
        <w:numPr>
          <w:ilvl w:val="0"/>
          <w:numId w:val="1"/>
        </w:numPr>
        <w:spacing w:after="60"/>
      </w:pPr>
      <w:r>
        <w:rPr>
          <w:b/>
          <w:bCs/>
        </w:rPr>
        <w:t>Deine Steuer-ID und deine Rentenversicherungsnummer.</w:t>
      </w:r>
      <w:r>
        <w:t xml:space="preserve"> Notiere beide und lege sie sicher ab.</w:t>
      </w:r>
    </w:p>
    <w:p w14:paraId="5318F370" w14:textId="77777777" w:rsidR="001F7233" w:rsidRDefault="00000000">
      <w:pPr>
        <w:pStyle w:val="ListParagraph"/>
        <w:numPr>
          <w:ilvl w:val="0"/>
          <w:numId w:val="1"/>
        </w:numPr>
        <w:spacing w:after="60"/>
      </w:pPr>
      <w:r>
        <w:rPr>
          <w:b/>
          <w:bCs/>
        </w:rPr>
        <w:t>Den Rückweg in die Krankenversicherung.</w:t>
      </w:r>
      <w:r>
        <w:t xml:space="preserve"> Prüfe, ob eine Anwartschaft in der gesetzlichen oder privaten Krankenversicherung ihn offenhält (Kapitel </w:t>
      </w:r>
      <w:hyperlink w:anchor="k18">
        <w:r w:rsidR="001F7233">
          <w:t>18</w:t>
        </w:r>
      </w:hyperlink>
      <w:r>
        <w:t xml:space="preserve"> und </w:t>
      </w:r>
      <w:hyperlink w:anchor="k42">
        <w:r w:rsidR="001F7233">
          <w:t>42</w:t>
        </w:r>
      </w:hyperlink>
      <w:r>
        <w:t>).</w:t>
      </w:r>
    </w:p>
    <w:p w14:paraId="7F400014" w14:textId="77777777" w:rsidR="001F7233" w:rsidRDefault="00000000">
      <w:pPr>
        <w:pStyle w:val="ListParagraph"/>
        <w:numPr>
          <w:ilvl w:val="0"/>
          <w:numId w:val="1"/>
        </w:numPr>
        <w:spacing w:after="60"/>
      </w:pPr>
      <w:r>
        <w:rPr>
          <w:b/>
          <w:bCs/>
        </w:rPr>
        <w:t>Eine deutsche Telefonnummer oder E-Mail-Adresse</w:t>
      </w:r>
      <w:r>
        <w:t xml:space="preserve"> als Verifizierungskanal für Bank und Portale. Ein günstiger Prepaid- oder Monatstarif genügt; prüfe, ob der Anbieter ungenutzte Karten abschaltet.</w:t>
      </w:r>
    </w:p>
    <w:p w14:paraId="554FF640" w14:textId="77777777" w:rsidR="001F7233" w:rsidRDefault="00000000">
      <w:pPr>
        <w:pStyle w:val="ListParagraph"/>
        <w:numPr>
          <w:ilvl w:val="0"/>
          <w:numId w:val="1"/>
        </w:numPr>
        <w:spacing w:after="60"/>
      </w:pPr>
      <w:r>
        <w:rPr>
          <w:b/>
          <w:bCs/>
        </w:rPr>
        <w:t>Nachweise:</w:t>
      </w:r>
      <w:r>
        <w:t xml:space="preserve"> Renteninformation, Versicherungsverläufe, Schadenfreiheitsbescheinigung, Urkunden und Zeugnisse (Kapitel </w:t>
      </w:r>
      <w:hyperlink w:anchor="k19">
        <w:r w:rsidR="001F7233">
          <w:t>19</w:t>
        </w:r>
      </w:hyperlink>
      <w:r>
        <w:t>).</w:t>
      </w:r>
    </w:p>
    <w:p w14:paraId="77A6E02B" w14:textId="77777777" w:rsidR="001F7233" w:rsidRDefault="00000000">
      <w:pPr>
        <w:pStyle w:val="ListParagraph"/>
        <w:numPr>
          <w:ilvl w:val="0"/>
          <w:numId w:val="1"/>
        </w:numPr>
        <w:spacing w:after="60"/>
      </w:pPr>
      <w:r>
        <w:rPr>
          <w:b/>
          <w:bCs/>
        </w:rPr>
        <w:t>Deine deutsche Staatsangehörigkeit.</w:t>
      </w:r>
      <w:r>
        <w:t xml:space="preserve"> Sie bleibt beim Umzug unberührt, und die spätere US-Einbürgerung kostet sie seit dem 27. Juni 2024 nicht mehr (Kapitel </w:t>
      </w:r>
      <w:hyperlink w:anchor="k41">
        <w:r w:rsidR="001F7233">
          <w:t>41</w:t>
        </w:r>
      </w:hyperlink>
      <w:r>
        <w:t>).</w:t>
      </w:r>
    </w:p>
    <w:p w14:paraId="57F2D98A" w14:textId="77777777" w:rsidR="001F7233" w:rsidRDefault="001F7233">
      <w:pPr>
        <w:spacing w:line="120" w:lineRule="exact"/>
      </w:pPr>
    </w:p>
    <w:p w14:paraId="1A907028" w14:textId="77777777" w:rsidR="001F7233" w:rsidRDefault="001F7233">
      <w:pPr>
        <w:spacing w:line="220" w:lineRule="exact"/>
      </w:pPr>
    </w:p>
    <w:p w14:paraId="322B6D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Behörden, Verträge, Versicherungen abwickeln</w:t>
      </w:r>
    </w:p>
    <w:p w14:paraId="47024563" w14:textId="77777777" w:rsidR="001F7233" w:rsidRDefault="00000000">
      <w:r>
        <w:rPr>
          <w:b/>
        </w:rPr>
        <w:t>Plus: Ein deutsches Konto nimmt Kaution, Erstattungen und Rente auf und erleichtert den Rückweg</w:t>
      </w:r>
    </w:p>
    <w:p w14:paraId="3D2CC85F" w14:textId="77777777" w:rsidR="001F7233" w:rsidRDefault="00000000">
      <w:r>
        <w:rPr>
          <w:b/>
        </w:rPr>
        <w:t xml:space="preserve">Minus: </w:t>
      </w:r>
      <w:r>
        <w:t>Manche Banken schränken Konten bei US-Wohnsitz ein oder verlangen zusätzliche Erklärungen</w:t>
      </w:r>
    </w:p>
    <w:p w14:paraId="7A0FC371" w14:textId="77777777" w:rsidR="001F7233" w:rsidRDefault="00000000">
      <w:r>
        <w:rPr>
          <w:b/>
        </w:rPr>
        <w:t>Plus: Eine Anwartschaft hält die Rückkehr in die Krankenversicherung offen (</w:t>
      </w:r>
      <w:hyperlink w:anchor="k18">
        <w:r w:rsidR="001F7233">
          <w:rPr>
            <w:rStyle w:val="Hyperlink"/>
            <w:b/>
          </w:rPr>
          <w:t>Kapitel 18</w:t>
        </w:r>
      </w:hyperlink>
      <w:r>
        <w:rPr>
          <w:b/>
        </w:rPr>
        <w:t>)</w:t>
      </w:r>
    </w:p>
    <w:p w14:paraId="49C9CB93" w14:textId="77777777" w:rsidR="001F7233" w:rsidRDefault="00000000">
      <w:r>
        <w:rPr>
          <w:b/>
        </w:rPr>
        <w:t xml:space="preserve">Minus: </w:t>
      </w:r>
      <w:r>
        <w:t>Kostet Beitrag, ohne dass du Leistungen erhältst</w:t>
      </w:r>
    </w:p>
    <w:p w14:paraId="5D939440" w14:textId="77777777" w:rsidR="001F7233" w:rsidRDefault="00000000">
      <w:r>
        <w:rPr>
          <w:b/>
        </w:rPr>
        <w:t>Plus: Fortgeführte Berufsunfähigkeits- und Risikolebensversicherung behalten die einmal geprüfte Gesundheitseinstufung</w:t>
      </w:r>
    </w:p>
    <w:p w14:paraId="01AB50E4" w14:textId="77777777" w:rsidR="001F7233" w:rsidRDefault="00000000">
      <w:r>
        <w:rPr>
          <w:b/>
        </w:rPr>
        <w:t xml:space="preserve">Minus: </w:t>
      </w:r>
      <w:r>
        <w:t>Wohnsitz- und Auslandsklauseln können im Leistungsfall Ärger machen; der Beitrag läuft weiter</w:t>
      </w:r>
    </w:p>
    <w:p w14:paraId="244AF50D" w14:textId="77777777" w:rsidR="001F7233" w:rsidRDefault="00000000">
      <w:r>
        <w:rPr>
          <w:b/>
        </w:rPr>
        <w:t>Plus: Eine bevollmächtigte Vertrauensperson fängt Post und Fristen ab</w:t>
      </w:r>
    </w:p>
    <w:p w14:paraId="6AA7AC5E" w14:textId="77777777" w:rsidR="001F7233" w:rsidRDefault="00000000">
      <w:r>
        <w:rPr>
          <w:b/>
        </w:rPr>
        <w:t xml:space="preserve">Minus: </w:t>
      </w:r>
      <w:r>
        <w:t>Setzt dein volles Vertrauen voraus; Notar und Vorsorgeregister kosten Geld</w:t>
      </w:r>
    </w:p>
    <w:p w14:paraId="3D8C8F47" w14:textId="77777777" w:rsidR="001F7233" w:rsidRDefault="00000000">
      <w:r>
        <w:rPr>
          <w:b/>
        </w:rPr>
        <w:t>Plus: Eine behaltene Wohnung ist ein sicherer Hafen bei Rückkehr</w:t>
      </w:r>
    </w:p>
    <w:p w14:paraId="54617DAB" w14:textId="77777777" w:rsidR="001F7233" w:rsidRDefault="00000000">
      <w:r>
        <w:rPr>
          <w:b/>
        </w:rPr>
        <w:t xml:space="preserve">Minus: </w:t>
      </w:r>
      <w:r>
        <w:t>Kann Steuer- und Meldepflichten auslösen und kostet laufend Miete</w:t>
      </w:r>
    </w:p>
    <w:p w14:paraId="3B1EF205" w14:textId="77777777" w:rsidR="001F7233" w:rsidRDefault="00000000">
      <w:r>
        <w:rPr>
          <w:b/>
        </w:rPr>
        <w:t>Plus: Ein sauberer Schnitt bedeutet wenig Verwaltung und keine laufenden Kosten</w:t>
      </w:r>
    </w:p>
    <w:p w14:paraId="2D378F0C" w14:textId="77777777" w:rsidR="001F7233" w:rsidRDefault="00000000">
      <w:r>
        <w:rPr>
          <w:b/>
        </w:rPr>
        <w:t xml:space="preserve">Minus: </w:t>
      </w:r>
      <w:r>
        <w:t>Bei Rückkehr fehlen Konto, Versicherungshistorie und Wohnung (</w:t>
      </w:r>
      <w:hyperlink w:anchor="k42">
        <w:r w:rsidR="001F7233">
          <w:rPr>
            <w:rStyle w:val="Hyperlink"/>
          </w:rPr>
          <w:t>Kapitel 42</w:t>
        </w:r>
      </w:hyperlink>
      <w:r>
        <w:t>)</w:t>
      </w:r>
    </w:p>
    <w:p w14:paraId="4777820C" w14:textId="77777777" w:rsidR="001F7233" w:rsidRDefault="001F7233">
      <w:pPr>
        <w:spacing w:line="180" w:lineRule="exact"/>
      </w:pPr>
    </w:p>
    <w:p w14:paraId="4EC4D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FE5ACB3" w14:textId="77777777" w:rsidR="001F7233" w:rsidRDefault="00000000">
      <w:pPr>
        <w:pStyle w:val="ListParagraph"/>
        <w:numPr>
          <w:ilvl w:val="0"/>
          <w:numId w:val="19"/>
        </w:numPr>
        <w:spacing w:after="60"/>
      </w:pPr>
      <w:r>
        <w:t>Erstelle heute die Vertragsliste und rechne die Kündigungstermine rückwärts vom Abflug.</w:t>
      </w:r>
    </w:p>
    <w:p w14:paraId="591F42F1" w14:textId="77777777" w:rsidR="001F7233" w:rsidRDefault="00000000">
      <w:pPr>
        <w:pStyle w:val="ListParagraph"/>
        <w:numPr>
          <w:ilvl w:val="0"/>
          <w:numId w:val="2"/>
        </w:numPr>
        <w:spacing w:after="60"/>
      </w:pPr>
      <w:r>
        <w:t>Buche früh Notar (Vollmachten) und Bürgeramt (Abmeldung).</w:t>
      </w:r>
    </w:p>
    <w:p w14:paraId="1F57F164" w14:textId="77777777" w:rsidR="001F7233" w:rsidRDefault="00000000">
      <w:pPr>
        <w:pStyle w:val="ListParagraph"/>
        <w:numPr>
          <w:ilvl w:val="0"/>
          <w:numId w:val="2"/>
        </w:numPr>
        <w:spacing w:after="60"/>
      </w:pPr>
      <w:r>
        <w:t>Kündige Wohnung und Arbeitsvertrag, sobald das Visum sicher ist, den Rest nach Frist.</w:t>
      </w:r>
    </w:p>
    <w:p w14:paraId="0BD45B01" w14:textId="77777777" w:rsidR="001F7233" w:rsidRDefault="001F7233">
      <w:pPr>
        <w:spacing w:line="120" w:lineRule="exact"/>
      </w:pPr>
    </w:p>
    <w:p w14:paraId="6CB3E863" w14:textId="77777777" w:rsidR="001F7233" w:rsidRDefault="00000000">
      <w:r>
        <w:t>• Vertragsliste aus zwölf Monaten Kontoauszügen erstellt, Kündigungstermine vom Abflug rückwärts berechnet</w:t>
      </w:r>
    </w:p>
    <w:p w14:paraId="4CE7128E" w14:textId="77777777" w:rsidR="001F7233" w:rsidRDefault="00000000">
      <w:r>
        <w:t>• Visum genehmigt und Termine mit Arbeitgeber und Anwalt abgestimmt, bevor Wohnung und Arbeitsvertrag gekündigt werden</w:t>
      </w:r>
    </w:p>
    <w:p w14:paraId="57BF9D56" w14:textId="77777777" w:rsidR="001F7233" w:rsidRDefault="00000000">
      <w:r>
        <w:t>• Mietvertrag schriftlich gekündigt (Zugang bis zum dritten Werktag), Übergabetermin und Kautionskonto mitgeteilt</w:t>
      </w:r>
    </w:p>
    <w:p w14:paraId="6D03DE95" w14:textId="77777777" w:rsidR="001F7233" w:rsidRDefault="00000000">
      <w:r>
        <w:t>• Arbeitsvertrag mit Unterschrift gekündigt oder Aufhebungsvertrag geschlossen, Arbeitszeugnis angefordert</w:t>
      </w:r>
    </w:p>
    <w:p w14:paraId="487EDB03" w14:textId="77777777" w:rsidR="001F7233" w:rsidRDefault="00000000">
      <w:r>
        <w:t>• Abmeldung frühestens eine Woche vor dem Auszug erledigt, Abmeldebescheinigung mehrfach kopiert</w:t>
      </w:r>
    </w:p>
    <w:p w14:paraId="45A4D6AF" w14:textId="77777777" w:rsidR="001F7233" w:rsidRDefault="00000000">
      <w:r>
        <w:t>• Rundfunkbeitrag, Handy, Internet, Strom und Gas beendet oder abgemeldet, Bestätigungen abgelegt</w:t>
      </w:r>
    </w:p>
    <w:p w14:paraId="5FCCD42F" w14:textId="77777777" w:rsidR="001F7233" w:rsidRDefault="00000000">
      <w:r>
        <w:t>• Haftpflicht, Hausrat und Rechtsschutz zum Übergabetag gekündigt, Berufsunfähigkeits- und Risikolebensversicherung geprüft</w:t>
      </w:r>
    </w:p>
    <w:p w14:paraId="4FF4FC65" w14:textId="77777777" w:rsidR="001F7233" w:rsidRDefault="00000000">
      <w:r>
        <w:t>• Schadenfreiheitsbescheinigung auf Englisch angefordert, Auto verkauft, Zulassungsstelle informiert</w:t>
      </w:r>
    </w:p>
    <w:p w14:paraId="0483890F" w14:textId="77777777" w:rsidR="001F7233" w:rsidRDefault="00000000">
      <w:r>
        <w:t>• Bank über Wegzug informiert, App-Verfahren für Überweisungen eingerichtet, Konto und Kreditkarte behalten</w:t>
      </w:r>
    </w:p>
    <w:p w14:paraId="452DBA2C" w14:textId="77777777" w:rsidR="001F7233" w:rsidRDefault="00000000">
      <w:r>
        <w:t>• Vorsorgevollmacht, Patientenverfügung und Betreuungsverfügung beim Notar beurkundet und registriert</w:t>
      </w:r>
    </w:p>
    <w:p w14:paraId="064C0CE5" w14:textId="77777777" w:rsidR="001F7233" w:rsidRDefault="00000000">
      <w:r>
        <w:t>• Familienkasse, Elterngeldstelle, Kita und Schule informiert, Zeugniskopien besorgt</w:t>
      </w:r>
    </w:p>
    <w:p w14:paraId="2E9757AD" w14:textId="77777777" w:rsidR="001F7233" w:rsidRDefault="00000000">
      <w:r>
        <w:t>• Nachsendeauftrag und Adressänderungen erledigt, Elefand-Eintrag nach der Ankunft eingeplant</w:t>
      </w:r>
    </w:p>
    <w:p w14:paraId="7F0B614F" w14:textId="77777777" w:rsidR="001F7233" w:rsidRDefault="001F7233">
      <w:pPr>
        <w:spacing w:line="220" w:lineRule="exact"/>
      </w:pPr>
    </w:p>
    <w:p w14:paraId="72A10F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27D31EAF" w14:textId="77777777" w:rsidR="001F7233" w:rsidRDefault="00000000">
      <w:pPr>
        <w:pStyle w:val="ListParagraph"/>
        <w:numPr>
          <w:ilvl w:val="0"/>
          <w:numId w:val="1"/>
        </w:numPr>
        <w:spacing w:after="60"/>
      </w:pPr>
      <w:r>
        <w:t xml:space="preserve">Bundesmeldegesetz, BGB, Telekommunikationsgesetz, Versicherungsvertragsgesetz, Wehrpflichtgesetz (Wortlaut) — </w:t>
      </w:r>
      <w:hyperlink r:id="rId249">
        <w:r w:rsidR="001F7233">
          <w:rPr>
            <w:color w:val="0563C1"/>
            <w:u w:val="single"/>
          </w:rPr>
          <w:t>gesetze-im-internet.de</w:t>
        </w:r>
      </w:hyperlink>
    </w:p>
    <w:p w14:paraId="694CF2F8" w14:textId="77777777" w:rsidR="001F7233" w:rsidRDefault="00000000">
      <w:pPr>
        <w:pStyle w:val="ListParagraph"/>
        <w:numPr>
          <w:ilvl w:val="0"/>
          <w:numId w:val="1"/>
        </w:numPr>
        <w:spacing w:after="60"/>
      </w:pPr>
      <w:r>
        <w:t xml:space="preserve">Rundfunkbeitrag, Abmeldung einer Wohnung — </w:t>
      </w:r>
      <w:hyperlink r:id="rId250">
        <w:r w:rsidR="001F7233">
          <w:rPr>
            <w:color w:val="0563C1"/>
            <w:u w:val="single"/>
          </w:rPr>
          <w:t>rundfunkbeitrag.de</w:t>
        </w:r>
      </w:hyperlink>
    </w:p>
    <w:p w14:paraId="4811F44D" w14:textId="77777777" w:rsidR="001F7233" w:rsidRDefault="00000000">
      <w:pPr>
        <w:pStyle w:val="ListParagraph"/>
        <w:numPr>
          <w:ilvl w:val="0"/>
          <w:numId w:val="1"/>
        </w:numPr>
        <w:spacing w:after="60"/>
      </w:pPr>
      <w:r>
        <w:t xml:space="preserve">Nachsendeservice der Deutschen Post — </w:t>
      </w:r>
      <w:hyperlink r:id="rId251">
        <w:r w:rsidR="001F7233">
          <w:rPr>
            <w:color w:val="0563C1"/>
            <w:u w:val="single"/>
          </w:rPr>
          <w:t>deutschepost.de/de/n/nachsendeservice.html</w:t>
        </w:r>
      </w:hyperlink>
    </w:p>
    <w:p w14:paraId="73D61080" w14:textId="77777777" w:rsidR="001F7233" w:rsidRDefault="00000000">
      <w:pPr>
        <w:pStyle w:val="ListParagraph"/>
        <w:numPr>
          <w:ilvl w:val="0"/>
          <w:numId w:val="1"/>
        </w:numPr>
        <w:spacing w:after="60"/>
      </w:pPr>
      <w:r>
        <w:t xml:space="preserve">Deutsche Vertretungen in den USA: Beglaubigungen, Pässe, Wahlen — </w:t>
      </w:r>
      <w:hyperlink r:id="rId252">
        <w:r w:rsidR="001F7233">
          <w:rPr>
            <w:color w:val="0563C1"/>
            <w:u w:val="single"/>
          </w:rPr>
          <w:t>germany.info/us-en/service</w:t>
        </w:r>
      </w:hyperlink>
    </w:p>
    <w:p w14:paraId="7643F93B" w14:textId="77777777" w:rsidR="001F7233" w:rsidRDefault="00000000">
      <w:pPr>
        <w:pStyle w:val="ListParagraph"/>
        <w:numPr>
          <w:ilvl w:val="0"/>
          <w:numId w:val="1"/>
        </w:numPr>
        <w:spacing w:after="60"/>
      </w:pPr>
      <w:r>
        <w:t xml:space="preserve">Auswärtiges Amt: Reise- und Sicherheitshinweise USA, Krisenvorsorgeliste — </w:t>
      </w:r>
      <w:hyperlink r:id="rId253">
        <w:r w:rsidR="001F7233">
          <w:rPr>
            <w:color w:val="0563C1"/>
            <w:u w:val="single"/>
          </w:rPr>
          <w:t>auswaertiges-amt.de</w:t>
        </w:r>
      </w:hyperlink>
    </w:p>
    <w:p w14:paraId="28BD3AA8" w14:textId="77777777" w:rsidR="001F7233" w:rsidRDefault="00000000">
      <w:pPr>
        <w:pStyle w:val="ListParagraph"/>
        <w:numPr>
          <w:ilvl w:val="0"/>
          <w:numId w:val="1"/>
        </w:numPr>
        <w:spacing w:after="60"/>
      </w:pPr>
      <w:r>
        <w:t xml:space="preserve">Zentrales Vorsorgeregister der Bundesnotarkammer — </w:t>
      </w:r>
      <w:hyperlink r:id="rId254">
        <w:r w:rsidR="001F7233">
          <w:rPr>
            <w:color w:val="0563C1"/>
            <w:u w:val="single"/>
          </w:rPr>
          <w:t>vorsorgeregister.de</w:t>
        </w:r>
      </w:hyperlink>
    </w:p>
    <w:p w14:paraId="7E7FF9FF" w14:textId="77777777" w:rsidR="001F7233" w:rsidRDefault="00000000">
      <w:pPr>
        <w:pStyle w:val="ListParagraph"/>
        <w:numPr>
          <w:ilvl w:val="0"/>
          <w:numId w:val="1"/>
        </w:numPr>
        <w:spacing w:after="60"/>
      </w:pPr>
      <w:r>
        <w:t xml:space="preserve">Kindergeld (Familienkasse) und Elterngeld — </w:t>
      </w:r>
      <w:hyperlink r:id="rId255">
        <w:r w:rsidR="001F7233">
          <w:rPr>
            <w:color w:val="0563C1"/>
            <w:u w:val="single"/>
          </w:rPr>
          <w:t>arbeitsagentur.de</w:t>
        </w:r>
      </w:hyperlink>
      <w:r>
        <w:t xml:space="preserve"> und </w:t>
      </w:r>
      <w:hyperlink r:id="rId256">
        <w:r w:rsidR="001F7233">
          <w:rPr>
            <w:color w:val="0563C1"/>
            <w:u w:val="single"/>
          </w:rPr>
          <w:t>familienportal.de</w:t>
        </w:r>
      </w:hyperlink>
    </w:p>
    <w:p w14:paraId="0EA6A9F8" w14:textId="77777777" w:rsidR="001F7233" w:rsidRDefault="00000000">
      <w:pPr>
        <w:pStyle w:val="ListParagraph"/>
        <w:numPr>
          <w:ilvl w:val="0"/>
          <w:numId w:val="1"/>
        </w:numPr>
        <w:spacing w:after="60"/>
      </w:pPr>
      <w:r>
        <w:t xml:space="preserve">Wehrdienst und Auslandsaufenthalt — </w:t>
      </w:r>
      <w:hyperlink r:id="rId257">
        <w:r w:rsidR="001F7233">
          <w:rPr>
            <w:color w:val="0563C1"/>
            <w:u w:val="single"/>
          </w:rPr>
          <w:t>bmvg.de</w:t>
        </w:r>
      </w:hyperlink>
    </w:p>
    <w:p w14:paraId="2AD34C29" w14:textId="77777777" w:rsidR="001F7233" w:rsidRDefault="001F7233">
      <w:pPr>
        <w:spacing w:line="120" w:lineRule="exact"/>
      </w:pPr>
    </w:p>
    <w:p w14:paraId="071D9C29" w14:textId="77777777" w:rsidR="001F7233" w:rsidRDefault="00000000">
      <w:r>
        <w:t>• Quellen- und Datenstand: September 2026; Redaktionsschluss: Oktober 2026. Diese Angaben ändern sich schnell: der Rundfunkbeitrag (18,36 € im Monat. Ob er ab 2027 steigt, ist offen), Preise der Deutschen Post, Konsulatsgebühren und die Genehmigungsregel für Männer bis 45, deren Ausnahme nur gilt, solange der Wehrdienst freiwillig bleibt. Das Bundesmeldegesetz wurde 2026 mehrfach geändert. Prüfe Fristen, Preise und Bedingungen vor jeder Kündigung bei der jeweiligen Stelle.</w:t>
      </w:r>
    </w:p>
    <w:p w14:paraId="15FC8D84" w14:textId="77777777" w:rsidR="001F7233" w:rsidRDefault="00000000">
      <w:pPr>
        <w:spacing w:line="220" w:lineRule="exact"/>
      </w:pPr>
      <w:r>
        <w:br w:type="page"/>
      </w:r>
    </w:p>
    <w:p w14:paraId="14CDB269" w14:textId="77777777" w:rsidR="001F7233" w:rsidRDefault="00000000">
      <w:pPr>
        <w:pStyle w:val="Heading2"/>
        <w:keepNext/>
        <w:spacing w:line="341" w:lineRule="auto"/>
        <w:jc w:val="center"/>
      </w:pPr>
      <w:bookmarkStart w:id="44" w:name="k17"/>
      <w:r>
        <w:rPr>
          <w:rFonts w:ascii="Amazon Ember" w:eastAsia="Amazon Ember" w:hAnsi="Amazon Ember" w:cs="Amazon Ember"/>
          <w:color w:val="0000FF"/>
          <w:sz w:val="36"/>
          <w:szCs w:val="36"/>
        </w:rPr>
        <w:lastRenderedPageBreak/>
        <w:t>Kapitel 17: Steuern, Rente und Geld: die deutsche Seite</w:t>
      </w:r>
      <w:bookmarkEnd w:id="44"/>
    </w:p>
    <w:p w14:paraId="32421520" w14:textId="77777777" w:rsidR="001F7233" w:rsidRDefault="00000000">
      <w:pPr>
        <w:spacing w:after="140"/>
      </w:pPr>
      <w:r>
        <w:t xml:space="preserve">Drei Monate vor dem Abflug flattert oft ein Brief ins Haus, mit dem niemand gerechnet hat: Die Depotbank kündigt das Wertpapierdepot, weil bald ein Wohnsitz in den USA im System steht. Gleichzeitig läuft die gesetzliche Rente ganz normal weiter, während ein ETF-Sparplan, der in Deutschland völlig unauffällig war, in den USA zu einer teuren Steuerfalle werden kann. Wer Depot, Rente und Bankkonto erst am Flughafen klärt, zahlt drauf, an Zeit und Nerven. Die gemeinsamen deutschen Schritte stehen in </w:t>
      </w:r>
      <w:hyperlink w:anchor="t0003">
        <w:r w:rsidR="001F7233">
          <w:rPr>
            <w:color w:val="0563C1"/>
            <w:u w:val="single"/>
          </w:rPr>
          <w:t>Deutschland vor dem Abflug</w:t>
        </w:r>
      </w:hyperlink>
      <w:r>
        <w:t>. Dieses Kapitel ist der USA-Zusatz.</w:t>
      </w:r>
    </w:p>
    <w:p w14:paraId="2C314232" w14:textId="77777777" w:rsidR="001F7233" w:rsidRDefault="00000000">
      <w:r>
        <w:rPr>
          <w:b/>
        </w:rPr>
        <w:t xml:space="preserve">KURZ GESAGT: </w:t>
      </w:r>
    </w:p>
    <w:p w14:paraId="78C53C45" w14:textId="77777777" w:rsidR="001F7233" w:rsidRDefault="00000000">
      <w:r>
        <w:t>• Mit dem Wegzug wirst du in Deutschland meist beschränkt steuerpflichtig. Außer du behältst eine nutzbare Wohnung (Zweitwohnsitz-Falle).</w:t>
      </w:r>
    </w:p>
    <w:p w14:paraId="41A6278A" w14:textId="77777777" w:rsidR="001F7233" w:rsidRDefault="00000000">
      <w:r>
        <w:t>• Besitzt du GmbH-Anteile oder eine Beteiligung ab 1 %: Prüfe die Wegzugsteuer nach § 6 AStG rechtzeitig.</w:t>
      </w:r>
    </w:p>
    <w:p w14:paraId="1E47B85E" w14:textId="77777777" w:rsidR="001F7233" w:rsidRDefault="00000000">
      <w:r>
        <w:t>• Deutsche Fonds und ETFs werden für die US-Steuer zur PFIC. Kläre das vor dem US-Zuzug, nicht danach.</w:t>
      </w:r>
    </w:p>
    <w:p w14:paraId="4078C2D1" w14:textId="77777777" w:rsidR="001F7233" w:rsidRDefault="00000000">
      <w:r>
        <w:t>• Die deutsche gesetzliche Rente läuft weiter und wird für US-Ansässige nur in den USA besteuert.</w:t>
      </w:r>
    </w:p>
    <w:p w14:paraId="73D6AF81" w14:textId="77777777" w:rsidR="001F7233" w:rsidRDefault="00000000">
      <w:r>
        <w:t>• Riester, Depot und Bankkonto brauchen vor dem Abflug eine bewusste Entscheidung.</w:t>
      </w:r>
    </w:p>
    <w:p w14:paraId="0E17D111" w14:textId="77777777" w:rsidR="001F7233" w:rsidRDefault="00000000">
      <w:r>
        <w:t>• Für Überweisungen und Bargeld gelten Meldegrenzen, die du kennen solltest.</w:t>
      </w:r>
    </w:p>
    <w:p w14:paraId="42BC2D8D" w14:textId="77777777" w:rsidR="001F7233" w:rsidRDefault="001F7233">
      <w:pPr>
        <w:spacing w:line="220" w:lineRule="exact"/>
      </w:pPr>
    </w:p>
    <w:p w14:paraId="482C52CA" w14:textId="77777777" w:rsidR="001F7233" w:rsidRDefault="00000000">
      <w:r>
        <w:t>• Dieses Kapitel erklärt Regeln und Zusammenhänge, ersetzt aber keine individuelle Steuer- oder Rechtsberatung: Steuerrecht, Sozialversicherungsrecht und das Doppelbesteuerungsabkommen hängen stark von deiner persönlichen Situation ab. Sprich vor dem Wegzug mit einem Steuerberater (siehe Abschnitt „Einen Steuerberater finden, der beide Länder kennt“).</w:t>
      </w:r>
    </w:p>
    <w:p w14:paraId="6770DDAE" w14:textId="77777777" w:rsidR="001F7233" w:rsidRDefault="001F7233">
      <w:pPr>
        <w:spacing w:line="220" w:lineRule="exact"/>
      </w:pPr>
    </w:p>
    <w:p w14:paraId="6FF555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Vom unbeschränkten zum beschränkten Steuerpflichtigen</w:t>
      </w:r>
    </w:p>
    <w:p w14:paraId="31D60C78" w14:textId="77777777" w:rsidR="001F7233" w:rsidRDefault="00000000">
      <w:pPr>
        <w:spacing w:after="140"/>
      </w:pPr>
      <w:r>
        <w:t>Solange du in Deutschland wohnst, bist du unbeschränkt steuerpflichtig: Das Finanzamt besteuert dein Welteinkommen, dafür stehen dir Grundfreibetrag, Sonderausgaben und Kinderfreibeträge zu. Mit dem Wegzug ändert sich das – wenn, du gibst den deutschen Wohnsitz wirklich auf.</w:t>
      </w:r>
    </w:p>
    <w:p w14:paraId="7BA9128F" w14:textId="77777777" w:rsidR="001F7233" w:rsidRDefault="00000000">
      <w:pPr>
        <w:spacing w:after="140"/>
      </w:pPr>
      <w:r>
        <w:t>Wichtig ist § 8 der Abgabenordnung (AO): Ein Wohnsitz ist jede Wohnung, die du „beibehalten und benutzen wirst“. Nicht nur die Hauptwohnung, sondern jede jederzeit zugängliche Wohnung, auch ein Zimmer bei den Eltern oder eine unvermietete Zweitwohnung. Nur eine vollständig und dauerhaft vermietete Wohnung ohne eigenes Nutzungsrecht beendet den Wohnsitz. Verbreiteter Irrtum: Viele halten die Abmeldung beim Einwohnermeldeamt (Deutschland vor dem Abflug) für den entscheidenden Schritt. Tatsächlich ist sie nur ein Indiz. Die Entscheidung trifft das Finanzamt anhand der tatsächlichen Wohnverhältnisse, nicht anhand des Meldezettels.</w:t>
      </w:r>
    </w:p>
    <w:p w14:paraId="2039F648" w14:textId="77777777" w:rsidR="001F7233" w:rsidRDefault="00000000">
      <w:r>
        <w:rPr>
          <w:b/>
        </w:rPr>
        <w:t xml:space="preserve">ACHTUNG: </w:t>
      </w:r>
    </w:p>
    <w:p w14:paraId="6AA9E538" w14:textId="77777777" w:rsidR="001F7233" w:rsidRDefault="00000000">
      <w:r>
        <w:t>• Wer eine Wohnung in Deutschland „für alle Fälle“ behält, bleibt unbeschränkt steuerpflichtig. Mit dem gesamten Welteinkommen, nicht nur den deutschen Einkünften. Die Zweitwohnsitz-Falle trifft vor allem Familien mit Rückkehroption. Wer der unbeschränkten Steuerpflicht wirklich entkommen will, muss die Wohnung verkaufen oder vollständig vermieten.</w:t>
      </w:r>
    </w:p>
    <w:p w14:paraId="12CB96F9" w14:textId="77777777" w:rsidR="001F7233" w:rsidRDefault="001F7233">
      <w:pPr>
        <w:spacing w:line="220" w:lineRule="exact"/>
      </w:pPr>
    </w:p>
    <w:p w14:paraId="276B8B13" w14:textId="77777777" w:rsidR="001F7233" w:rsidRDefault="00000000">
      <w:pPr>
        <w:spacing w:after="140"/>
      </w:pPr>
      <w:r>
        <w:t xml:space="preserve">Entstehen dadurch zwei Wohnsitze – einer in Deutschland, einer in den USA –, entscheidet das Doppelbesteuerungsabkommen (DBA), wo du steuerlich ansässig bist. Artikel 4 Absatz 2 gibt eine feste Prüfreihenfolge vor: zuerst die ständige Wohnstätte, dann der Mittelpunkt der Lebensinteressen, dann der gewöhnliche Aufenthalt, </w:t>
      </w:r>
      <w:r>
        <w:lastRenderedPageBreak/>
        <w:t>dann die Staatsangehörigkeit, notfalls ein Verständigungsverfahren zwischen beiden Finanzverwaltungen. Bei Familien, die mit Job und Kindern in die USA ziehen, liegt dieser Mittelpunkt fast immer dort.</w:t>
      </w:r>
    </w:p>
    <w:p w14:paraId="63C32FB7" w14:textId="77777777" w:rsidR="001F7233" w:rsidRDefault="00000000">
      <w:pPr>
        <w:spacing w:after="140"/>
      </w:pPr>
      <w:r>
        <w:t>Als beschränkt Steuerpflichtiger zahlst du in Deutschland grundsätzlich nur auf Einkünfte aus deutschen Quellen Steuern, etwa auf Mieteinnahmen, bestimmte Kapitalerträge oder Arbeitslohn für in Deutschland geleistete Arbeit. Der Tarif wird berechnet, als gälte der Grundfreibetrag nicht; Sonderausgaben und Kinderfreibeträge entfallen. Ein Antrag auf Behandlung als unbeschränkt steuerpflichtig (§ 1 Abs. 3 EStG) kann helfen, wenn mindestens 90 % deiner Einkünfte der deutschen Einkommensteuer unterliegen oder deine ausländischen Einkünfte den Grundfreibetrag nicht übersteigen. Bei einem üblichen US-Gehalt ist das praktisch nie der Fall. Wer weiterhin deutsche Einkünfte hat (Miete, Depot, § 6 AStG), sollte einen Zustellungsbevollmächtigten in Deutschland benennen (§ 123 AO), damit Post vom Finanzamt zuverlässig zugestellt werden kann.</w:t>
      </w:r>
    </w:p>
    <w:p w14:paraId="520A7B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Wegzugsteuer nach § 6 AStG: nur bei echten Unternehmensanteilen</w:t>
      </w:r>
    </w:p>
    <w:p w14:paraId="7724B601" w14:textId="77777777" w:rsidR="001F7233" w:rsidRDefault="00000000">
      <w:pPr>
        <w:spacing w:after="140"/>
      </w:pPr>
      <w:r>
        <w:t>Wer an einer Kapitalgesellschaft – GmbH, AG oder Start-up. Mit mindestens 1 % beteiligt ist und mindestens 7 der letzten 12 Jahre in Deutschland unbeschränkt steuerpflichtig war, löst mit dem Wegzug die Wegzugsteuer aus. Das regelt § 6 Außensteuergesetz (AStG). Das Finanzamt behandelt die Anteile so, als wären sie am Wegzugstag zum vollen Marktwert verkauft worden. Auch wenn nichts verkauft wurde.</w:t>
      </w:r>
    </w:p>
    <w:p w14:paraId="56672ED6" w14:textId="77777777" w:rsidR="001F7233" w:rsidRDefault="00000000">
      <w:pPr>
        <w:spacing w:after="140"/>
      </w:pPr>
      <w:r>
        <w:rPr>
          <w:i/>
          <w:iCs/>
        </w:rPr>
        <w:t xml:space="preserve">Auf Antrag wird die Steuer in 7 gleichen Jahresraten gestundet, meist gegen Sicherheitsleistung und zinslos. Die erste Rate ist einen Monat nach dem Steuerbescheid fällig, die weiteren jeweils zum 31. Juli. Kehrst du innerhalb von 7 Jahren nach Deutschland zurück (auf Antrag verlängerbar um bis zu 5 weitere Jahre), ohne die Anteile verkauft, übertragen oder hohe Ausschüttungen entnommen zu haben, entfällt die Steuer rückwirkend. Bis dahin musst du jährlich bis zum </w:t>
      </w:r>
      <w:r>
        <w:rPr>
          <w:i/>
          <w:iCs/>
        </w:rPr>
        <w:lastRenderedPageBreak/>
        <w:t>31. Juli deine aktuelle Anschrift melden. Auf US-Seite erlaubt Artikel 13 Absatz 6 des DBA ein Step-up-Wahlrecht: Die USA können den Wert am Wegzugstag als neue Anschaffungskosten ansetzen. Damit derselbe Wertzuwachs nicht doppelt besteuert wird.</w:t>
      </w:r>
    </w:p>
    <w:p w14:paraId="4F7CA5ED" w14:textId="77777777" w:rsidR="001F7233" w:rsidRDefault="00000000">
      <w:r>
        <w:rPr>
          <w:b/>
        </w:rPr>
        <w:t xml:space="preserve">MERKE: </w:t>
      </w:r>
    </w:p>
    <w:p w14:paraId="7BF65B4C" w14:textId="77777777" w:rsidR="001F7233" w:rsidRDefault="00000000">
      <w:r>
        <w:t>• § 6 AStG betrifft nur echte Unternehmensbeteiligungen ab 1 %, nicht dein Aktien- oder ETF-Depot. Für Wertpapierdepots ist die PFIC-Regel das relevante Thema (siehe unten).</w:t>
      </w:r>
    </w:p>
    <w:p w14:paraId="35196986" w14:textId="77777777" w:rsidR="001F7233" w:rsidRDefault="001F7233">
      <w:pPr>
        <w:spacing w:line="220" w:lineRule="exact"/>
      </w:pPr>
    </w:p>
    <w:p w14:paraId="2AF1F7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Immobilien in Deutschland: vermieten oder verkaufen</w:t>
      </w:r>
    </w:p>
    <w:p w14:paraId="1FAAD79E" w14:textId="77777777" w:rsidR="001F7233" w:rsidRDefault="00000000">
      <w:pPr>
        <w:spacing w:after="140"/>
      </w:pPr>
      <w:r>
        <w:t>Wer eine Immobilie in Deutschland behält und vermietet, bleibt beschränkt steuerpflichtig. Die Mieteinkünfte müssen auch aus den USA weiter in einer deutschen Steuererklärung stehen. Beim Verkauf greift die Zehnjahresfrist des § 23 EStG: Verkaufst du innerhalb von 10 Jahren nach dem Kauf, ist der Gewinn steuerpflichtig, außer du hast im Verkaufsjahr und den beiden Vorjahren selbst darin gewohnt. Nach dem Wegzug entfällt diese Ausnahme oft, sobald der Auszug länger als 2 Jahre zurückliegt und die Zehnjahresfrist noch läuft.</w:t>
      </w:r>
    </w:p>
    <w:p w14:paraId="781E8A68" w14:textId="77777777" w:rsidR="001F7233" w:rsidRDefault="00000000">
      <w:pPr>
        <w:spacing w:after="140"/>
      </w:pPr>
      <w:r>
        <w:t>Ein Beispiel: Wer sein Reihenhaus vor 7 Jahren für 300.000 € gekauft hat und es 3 Jahre nach dem Umzug in die USA für 380.000 € verkauft, versteuert den Gewinn von 80.000 € in Deutschland. Die Selbstnutzungsausnahme greift nicht mehr, weil der Auszug länger als 2 Jahre zurückliegt, während die Zehnjahresfrist noch läuft. In den USA zählt derselbe Gewinn zum weltweiten Einkommen, neu berechnet in US-Dollar (Kurse bei Kauf und Verkauf). Das DBA gibt Deutschland das vorrangige Besteuerungsrecht, die US-Steuer rechnet die deutsche an. Wer die Immobilie ohnehin irgendwann verkaufen will, sollte den Zeitpunkt. Möglichst noch mit greifender Selbstnutzungsausnahme – vor dem Wegzug durchrechnen lassen.</w:t>
      </w:r>
    </w:p>
    <w:p w14:paraId="46B0B8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Depot, Kapitalerträge und die Bankfrage</w:t>
      </w:r>
    </w:p>
    <w:p w14:paraId="04B46E8B" w14:textId="77777777" w:rsidR="001F7233" w:rsidRDefault="00000000">
      <w:pPr>
        <w:spacing w:after="140"/>
      </w:pPr>
      <w:r>
        <w:t>Auf Dividenden deutscher Unternehmen behält die Bank pauschal 26,375 % ein. 25 % Kapitalertragsteuer plus Solidaritätszuschlag (auch Kirchensteuer, falls zutreffend). Für beschränkt Steuerpflichtige gilt das als abgeltend, eine Steuererklärung ist meist nicht nötig. Das DBA begrenzt die deutsche Quellensteuer für US-Ansässige auf 15 %. Die Differenz forderst du mit einer US-Ansässigkeitsbescheinigung (IRS Form 6166) beim Bundeszentralamt für Steuern (BZSt) zurück. Zinsen und Kursgewinne aus frei handelbaren Wertpapieren sind für Nichtansässige nach dem DBA meist gar nicht in Deutschland steuerpflichtig.</w:t>
      </w:r>
    </w:p>
    <w:p w14:paraId="19016E51" w14:textId="77777777" w:rsidR="001F7233" w:rsidRDefault="00000000">
      <w:pPr>
        <w:spacing w:after="140"/>
      </w:pPr>
      <w:r>
        <w:rPr>
          <w:i/>
          <w:iCs/>
        </w:rPr>
        <w:t>Weniger klar ist die Bankpraxis: Deutsche Banken melden „US-Personen“ nach dem FATCA-Abkommen (Foreign Account Tax Compliance Act, das US-Gesetz zur Meldung von Auslandskonten) über das BZSt an die US-Steuerbehörde IRS und verlangen dafür eine Selbstauskunft zur Steuerresidenz. Ob einzelne Banken – etwa Direktbanken oder Neobroker – Konten und Depots von Kunden mit US-Wohnsitz einschränken oder kündigen, ist von Institut zu Institut unterschiedlich.</w:t>
      </w:r>
    </w:p>
    <w:p w14:paraId="66F1C628" w14:textId="77777777" w:rsidR="001F7233" w:rsidRDefault="00000000">
      <w:r>
        <w:rPr>
          <w:b/>
        </w:rPr>
        <w:t xml:space="preserve">ACHTUNG: </w:t>
      </w:r>
    </w:p>
    <w:p w14:paraId="644BD73A" w14:textId="77777777" w:rsidR="001F7233" w:rsidRDefault="00000000">
      <w:r>
        <w:t>• Verlass dich nicht darauf, dass Konto und Depot nach dem Umzug unverändert weiterlaufen. Frag deine Bank vor dem Wegzug schriftlich, wie sie mit Kunden umgeht, die in den USA steuerpflichtig werden. Kündigung, Einschränkung oder Weiterführung sind alle möglich.</w:t>
      </w:r>
    </w:p>
    <w:p w14:paraId="4C8CBF16" w14:textId="77777777" w:rsidR="001F7233" w:rsidRDefault="001F7233">
      <w:pPr>
        <w:spacing w:line="220" w:lineRule="exact"/>
      </w:pPr>
    </w:p>
    <w:p w14:paraId="4E8B81DD" w14:textId="77777777" w:rsidR="001F7233" w:rsidRDefault="00000000">
      <w:pPr>
        <w:spacing w:after="140"/>
      </w:pPr>
      <w:r>
        <w:t xml:space="preserve">Unabhängig davon, was die Bank tut, entsteht eine eigene Meldepflicht, sobald du in den USA steuerlich ansässig bist: Der </w:t>
      </w:r>
      <w:r>
        <w:rPr>
          <w:i/>
          <w:iCs/>
        </w:rPr>
        <w:t>Foreign Bank Account Report</w:t>
      </w:r>
      <w:r>
        <w:t xml:space="preserve"> (FBAR, die jährliche Meldung ausländischer Konten ans US-Finanzministerium) wird fällig, sobald </w:t>
      </w:r>
      <w:r>
        <w:lastRenderedPageBreak/>
        <w:t>die Summe aller ausländischen Konten zu irgendeinem Zeitpunkt im Jahr 10.000 $ übersteigt. Giro-, Spar- und Depotkonten zählen dabei zusammen. Ergänzend verlangt Formular 8938 bei in den USA lebenden Ehepaaren ab 100.000 $ Vermögen zum Jahresende (Alleinstehende ab 50.000 $) eine weitere Meldung in der Steuererklärung. Das gilt auch, wenn auf die Konten keine US-Steuer anfällt oder die Bank das Konto normal weiterführt. Mehr zu Fristen und Strafen in Kapitel </w:t>
      </w:r>
      <w:hyperlink w:anchor="k28">
        <w:r w:rsidR="001F7233">
          <w:t>28</w:t>
        </w:r>
      </w:hyperlink>
      <w:r>
        <w:t>.</w:t>
      </w:r>
    </w:p>
    <w:p w14:paraId="5901D1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PFIC-Falle: deutsche Fonds und ETFs vor dem Zuzug regeln</w:t>
      </w:r>
    </w:p>
    <w:p w14:paraId="35BEC548" w14:textId="77777777" w:rsidR="001F7233" w:rsidRDefault="00000000">
      <w:pPr>
        <w:spacing w:after="140"/>
      </w:pPr>
      <w:r>
        <w:t xml:space="preserve">Für die US-Steuer gelten fast alle im Ausland aufgelegten Investmentfonds und ETFs als </w:t>
      </w:r>
      <w:r>
        <w:rPr>
          <w:i/>
          <w:iCs/>
        </w:rPr>
        <w:t>Passive Foreign Investment Company</w:t>
      </w:r>
      <w:r>
        <w:t xml:space="preserve"> (PFIC, eine ausländische Kapitalanlage mit überwiegend passiven Erträgen). Das betrifft auch die deutschen Fondssparpläne, mit denen halb Deutschland seine Altersvorsorge bestreitet. Der Name klingt dramatischer, als der biedere Sparplan es je verdient hätte; die steuerlichen Folgen sind es leider auch. Sobald du nach US-Recht steuerlich ansässig bist (siehe Kapitel </w:t>
      </w:r>
      <w:hyperlink w:anchor="k28">
        <w:r w:rsidR="001F7233">
          <w:t>28</w:t>
        </w:r>
      </w:hyperlink>
      <w:r>
        <w:t>), greift ein Regelwerk, das spürbar härter ist als die normale Kapitalertragsbesteuerung.</w:t>
      </w:r>
    </w:p>
    <w:p w14:paraId="72A32CE6" w14:textId="77777777" w:rsidR="001F7233" w:rsidRDefault="00000000">
      <w:pPr>
        <w:spacing w:after="140"/>
      </w:pPr>
      <w:r>
        <w:rPr>
          <w:i/>
          <w:iCs/>
        </w:rPr>
        <w:t xml:space="preserve">Im Standardfall werden Ausschüttungen und Verkaufsgewinne als Excess Distribution (übermäßige Ausschüttung) gleichmäßig auf die gesamte Haltedauer verteilt. Ältere Jahre werden zum jeweils höchsten Steuersatz plus Zinsen nachbesteuert – unabhängig vom tatsächlichen Steuersatz. Für jeden Fonds und jedes Jahr wird obendrein Formular 8621 fällig (Ausnahme: Der Gesamtwert aller PFICs liegt ohne Ausschüttung oder Verkauf bei höchstens 25.000 $, bei gemeinsamer Veranlagung 50.000 $). Die theoretischen Alternativen helfen selten. Für die günstigere QEF-Wahl (laufende Besteuerung der anteiligen Fondserträge statt pauschaler Nachversteuerung) müsste die deutsche Fondsgesellschaft ein „PFIC Annual Information Statement“ liefern, was sie in der Praxis kaum tut. Die Marktbewertung (Mark-to-Market) </w:t>
      </w:r>
      <w:r>
        <w:rPr>
          <w:i/>
          <w:iCs/>
        </w:rPr>
        <w:lastRenderedPageBreak/>
        <w:t>funktioniert zudem nur für börsengehandelte Anteile, nicht für klassische Fondsanteile.</w:t>
      </w:r>
    </w:p>
    <w:p w14:paraId="78FE7A46" w14:textId="77777777" w:rsidR="001F7233" w:rsidRDefault="00000000">
      <w:r>
        <w:rPr>
          <w:b/>
        </w:rPr>
        <w:t xml:space="preserve">ACHTUNG: </w:t>
      </w:r>
    </w:p>
    <w:p w14:paraId="55A5C00C" w14:textId="77777777" w:rsidR="001F7233" w:rsidRDefault="00000000">
      <w:r>
        <w:t>• Die PFIC-Regel greift ab dem Tag, an dem du steuerlich als US-ansässig giltst. Das kann schon vor dem eigentlichen Umzug der Fall sein, wenn du dich vorher lange in den USA aufhältst. Wer Fonds und ETFs erst nach der Ankunft verkauft, hat die Falle oft schon ausgelöst.</w:t>
      </w:r>
    </w:p>
    <w:p w14:paraId="52C5667F" w14:textId="77777777" w:rsidR="001F7233" w:rsidRDefault="001F7233">
      <w:pPr>
        <w:spacing w:line="220" w:lineRule="exact"/>
      </w:pPr>
    </w:p>
    <w:p w14:paraId="79FA03AE" w14:textId="77777777" w:rsidR="001F7233" w:rsidRDefault="00000000">
      <w:pPr>
        <w:spacing w:after="140"/>
      </w:pPr>
      <w:r>
        <w:t>Praktische Konsequenz: Kläre vor dem US-Zuzug, ob du deutsche Fonds und ETFs verkaufst (Steuerfolgen vorher mit einem Steuerberater klären) oder aus anderen Gründen behältst und dafür eine grenzüberschreitende Beratung einplanst. Nach der Ankunft investierst du am unkompliziertesten in US-domizilierte ETFs. Mehr zur US-Seite in Kapitel </w:t>
      </w:r>
      <w:hyperlink w:anchor="k28">
        <w:r w:rsidR="001F7233">
          <w:t>28</w:t>
        </w:r>
      </w:hyperlink>
      <w:r>
        <w:t>, zur langfristigen Vermögensplanung in Kapitel </w:t>
      </w:r>
      <w:hyperlink w:anchor="k39">
        <w:r w:rsidR="001F7233">
          <w:t>39</w:t>
        </w:r>
      </w:hyperlink>
      <w:r>
        <w:t>.</w:t>
      </w:r>
    </w:p>
    <w:p w14:paraId="076C197C" w14:textId="77777777" w:rsidR="001F7233" w:rsidRDefault="001F7233">
      <w:pPr>
        <w:spacing w:line="220" w:lineRule="exact"/>
      </w:pPr>
    </w:p>
    <w:p w14:paraId="591A53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Riester, Rürup, bAV, Lebensversicherung, Bausparen</w:t>
      </w:r>
    </w:p>
    <w:p w14:paraId="620180AE" w14:textId="77777777" w:rsidR="001F7233" w:rsidRDefault="00000000">
      <w:pPr>
        <w:spacing w:after="140"/>
      </w:pPr>
      <w:r>
        <w:t>Ein bestehender Riester-Vertrag läuft während der Ansparphase unverändert weiter. Der Wegzug in die USA allein löst keine Rückzahlung von Zulagen oder Steuervorteilen aus. Kritisch wird es erst zu Beginn der Auszahlungsphase: Wohnst du dann außerhalb der EU/des EWR, muss der Anbieter die erhaltenen Zulagen und Steuervorteile einbehalten und an den Fiskus abführen. Wer die Rente in den USA antreten will, sollte diesen Betrag einkalkulieren. Ab dem 1. Januar 2027 werden keine neuen Riester-Verträge mehr abgeschlossen; bestehende genießen Bestandsschutz und laufen unverändert weiter.</w:t>
      </w:r>
    </w:p>
    <w:p w14:paraId="6EB27BBC" w14:textId="77777777" w:rsidR="001F7233" w:rsidRDefault="00000000">
      <w:pPr>
        <w:spacing w:after="140"/>
      </w:pPr>
      <w:r>
        <w:t xml:space="preserve">Ein Rürup-Vertrag lässt sich nicht kündigen oder beleihen; der Wegzug ändert daran nichts. Wie Auszahlungen an dich als dann </w:t>
      </w:r>
      <w:r>
        <w:lastRenderedPageBreak/>
        <w:t>beschränkt Steuerpflichtigen mit US-Wohnsitz steuerlich behandelt werden, ist noch nicht abschließend geklärt. Frag gezielt beim Steuerberater nach. Ansprüche aus der betrieblichen Altersvorsorge (bAV) bleiben bei Unverfallbarkeit erhalten und lassen sich auch ins Ausland auszahlen. Nach dem DBA wird eine solche private Rente nur im Wohnsitzstaat besteuert, also in den USA.</w:t>
      </w:r>
    </w:p>
    <w:p w14:paraId="5041C40C" w14:textId="77777777" w:rsidR="001F7233" w:rsidRDefault="00000000">
      <w:pPr>
        <w:spacing w:after="140"/>
      </w:pPr>
      <w:r>
        <w:t>Eine Lebensversicherung lässt sich oft fortführen – prüfe die Auslandsklauseln im Vertrag. Wohnungsbauprämie und Arbeitnehmersparzulage setzen dagegen unbeschränkte Steuerpflicht voraus und enden meist mit dem Wegzug. Sobald du in den USA steuerpflichtig bist, zählen Bausparvertrag und Lebensversicherung mit Rückkaufswert zu den ausländischen Konten, die du über FBAR und Formular 8938 melden musst (siehe oben) – auch ohne anfallende US-Steuer.</w:t>
      </w:r>
    </w:p>
    <w:p w14:paraId="060AD7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gesetzliche Rente: Wartezeit, Abkommen, freiwillige Beiträge</w:t>
      </w:r>
    </w:p>
    <w:p w14:paraId="6905AC56" w14:textId="77777777" w:rsidR="001F7233" w:rsidRDefault="00000000">
      <w:pPr>
        <w:spacing w:after="140"/>
      </w:pPr>
      <w:r>
        <w:t>Das Sozialversicherungsabkommen zwischen Deutschland und den USA gilt seit dem 1. Dezember 1979 und regelt nur die Rentenversicherung – nicht Kranken-, Pflege- oder Arbeitslosenversicherung. Wirst du von einem deutschen Arbeitgeber für bis zu 5 Jahre in die USA entsandt, bleibst du meist in der deutschen Rentenversicherung, nachgewiesen durch die Bescheinigung D/USA 101 deiner Krankenkasse. Für längere Entsendungen braucht es eine Ausnahmevereinbarung über die Deutsche Verbindungsstelle Krankenversicherung – Ausland (DVKA) in Bonn. Wanderst du dagegen regulär aus – ohne Entsendung, etwa mit neuem Arbeitgeber vor Ort –, endet die deutsche Rentenversicherungspflicht und du wirst nach US-Recht sozialversichert.</w:t>
      </w:r>
    </w:p>
    <w:p w14:paraId="19B1496B" w14:textId="77777777" w:rsidR="001F7233" w:rsidRDefault="00000000">
      <w:pPr>
        <w:spacing w:after="140"/>
      </w:pPr>
      <w:r>
        <w:t xml:space="preserve">Für die gesetzliche Rente gilt eine Wartezeit von 5 Jahren. Deutsche und US-amerikanische Versicherungszeiten werden dafür </w:t>
      </w:r>
      <w:r>
        <w:lastRenderedPageBreak/>
        <w:t>zusammengerechnet, auch wenn am Ende jedes Land seine Rente separat aus den eigenen Zeiten berechnet und zahlt. In den USA sind dafür meist 40 Credits nötig (etwa 10 Berufsjahre). Das Abkommen hilft, Lücken zu überbrücken.</w:t>
      </w:r>
    </w:p>
    <w:p w14:paraId="415A501C" w14:textId="77777777" w:rsidR="001F7233" w:rsidRDefault="00000000">
      <w:pPr>
        <w:spacing w:after="140"/>
      </w:pPr>
      <w:r>
        <w:t>Als Deutsche oder Deutscher kannst du freiwillige Beiträge zur Rentenversicherung jederzeit leisten, auch aus den USA. Die Zahlung für ein Jahr muss bis zum 31. März des Folgejahres eingehen. 2026 liegt der Höchstbeitrag bei rund 1.571,70 € im Monat. Freiwillige Beiträge halten die Versicherungsbiografie lückenlos, sichern den Erwerbsminderungsschutz und erhöhen die spätere Rente.</w:t>
      </w:r>
    </w:p>
    <w:p w14:paraId="40C00B87" w14:textId="77777777" w:rsidR="001F7233" w:rsidRDefault="00000000">
      <w:r>
        <w:rPr>
          <w:b/>
        </w:rPr>
        <w:t xml:space="preserve">SPARTIPP: </w:t>
      </w:r>
    </w:p>
    <w:p w14:paraId="22870D37" w14:textId="77777777" w:rsidR="001F7233" w:rsidRDefault="00000000">
      <w:r>
        <w:t>• Wer den Erwerbsminderungsschutz über freiwillige Mindestbeiträge zur Rentenversicherung aufrechterhält, kommt oft günstiger weg als mit einer neuen privaten Berufsunfähigkeitsversicherung in den USA und sichert zugleich die spätere Rente ab.</w:t>
      </w:r>
    </w:p>
    <w:p w14:paraId="3212C249" w14:textId="77777777" w:rsidR="001F7233" w:rsidRDefault="001F7233">
      <w:pPr>
        <w:spacing w:line="220" w:lineRule="exact"/>
      </w:pPr>
    </w:p>
    <w:p w14:paraId="14B4330E" w14:textId="77777777" w:rsidR="001F7233" w:rsidRDefault="00000000">
      <w:pPr>
        <w:spacing w:after="140"/>
      </w:pPr>
      <w:r>
        <w:t>Die Deutsche Rentenversicherung (DRV) empfiehlt, dich 3–4 Monate vor dem Umzug beraten zu lassen: neue Anschrift, Staatsangehörigkeit und Zahlungsverbindung melden und eine Kontenklärung (Überprüfung des Versicherungsverlaufs) beantragen, solange Unterlagen aus Deutschland leicht zu beschaffen sind. Läuft die Rente bereits, wird sie unverändert und ungekürzt weltweit ausgezahlt, solange sie ausschließlich aus deutschen Beitragszeiten stammt (aktueller Rentenwert: 42,52 € seit dem 1. Juli 2026); Bankgebühren und Wechselkurs trägt der Rentenempfänger. Jedes Jahr ist eine „Erklärung zum Weiterbezug einer Rente“ fällig, die die zuständige US-Behörde bestätigt. Die deutsche Kranken- und Pflegeversicherungspflicht von Rentnern endet mit dem Umzug in die USA; einen Zuschuss zahlt die DRV nur zu einer privaten Krankenversicherung mit Sitz in Deutschland, der EU, dem EWR oder der Schweiz – nicht zu einer US-Versicherung (siehe Kapitel </w:t>
      </w:r>
      <w:hyperlink w:anchor="k18">
        <w:r w:rsidR="001F7233">
          <w:t>18</w:t>
        </w:r>
      </w:hyperlink>
      <w:r>
        <w:t xml:space="preserve">). Verbreiteter Irrtum: Viele befürchten, diese Rente </w:t>
      </w:r>
      <w:r>
        <w:lastRenderedPageBreak/>
        <w:t>werde am Ende doppelt besteuert, einmal in Deutschland und einmal in den USA. Tatsächlich gilt:</w:t>
      </w:r>
    </w:p>
    <w:p w14:paraId="60174CF7" w14:textId="77777777" w:rsidR="001F7233" w:rsidRDefault="00000000">
      <w:r>
        <w:rPr>
          <w:b/>
        </w:rPr>
        <w:t xml:space="preserve">MERKE: </w:t>
      </w:r>
    </w:p>
    <w:p w14:paraId="78F0985D" w14:textId="77777777" w:rsidR="001F7233" w:rsidRDefault="00000000">
      <w:r>
        <w:t>• Nach Artikel 18 Absatz 5 des DBA wird die deutsche gesetzliche Rente für US-Ansässige nur in den USA besteuert, nicht in Deutschland.</w:t>
      </w:r>
    </w:p>
    <w:p w14:paraId="4112128F" w14:textId="77777777" w:rsidR="001F7233" w:rsidRDefault="001F7233">
      <w:pPr>
        <w:spacing w:line="220" w:lineRule="exact"/>
      </w:pPr>
    </w:p>
    <w:p w14:paraId="6D5ECB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mitnehmen: Überweisung, Wechselkurs, Meldepflichten</w:t>
      </w:r>
    </w:p>
    <w:p w14:paraId="68B74EA8" w14:textId="77777777" w:rsidR="001F7233" w:rsidRDefault="00000000">
      <w:pPr>
        <w:spacing w:after="140"/>
      </w:pPr>
      <w:r>
        <w:t>Überweisungen ins Ausland bis 50.000 € muss niemand melden. Außerdem meldet die Bank die Zahlung automatisch der Bundesbank (§ 67 Außenwirtschaftsverordnung). Das ist kein Hindernis, nur gut zu wissen, damit eine größere Überweisung. Etwa der Verkaufserlös der Wohnung in einer Summe – nicht überrascht. Bargeld über 10.000 € muss beim Verlassen der EU beim Zoll angemeldet werden. Bei der Einreise in die USA gilt dieselbe Grenze in Dollar über das Formular FinCEN 105 (die Bargeld-Anmeldung bei der US-Einreise).</w:t>
      </w:r>
    </w:p>
    <w:p w14:paraId="5B517B71" w14:textId="77777777" w:rsidR="001F7233" w:rsidRDefault="00000000">
      <w:pPr>
        <w:spacing w:after="140"/>
      </w:pPr>
      <w:r>
        <w:t>Zur groben Orientierung: 1 € entsprach im September 2026 etwa 1,15 $ (bitte tagesaktuell prüfen). Normale Banküberweisungen ins Ausland haben oft einen versteckt schlechten Wechselkurs auch zur Gebühr.</w:t>
      </w:r>
    </w:p>
    <w:p w14:paraId="5FF973EB" w14:textId="77777777" w:rsidR="001F7233" w:rsidRDefault="00000000">
      <w:r>
        <w:rPr>
          <w:b/>
        </w:rPr>
        <w:t xml:space="preserve">SPARTIPP: </w:t>
      </w:r>
    </w:p>
    <w:p w14:paraId="7FE0DE5A" w14:textId="77777777" w:rsidR="001F7233" w:rsidRDefault="00000000">
      <w:r>
        <w:t>• Für größere Beträge lohnt sich der Vergleich: Spezialisierte Dienste wie Wise rechnen meist zum Interbankenkurs plus transparenter Gebühr ab und sind bei größeren Summen oft spürbar günstiger als eine klassische Bank-Überweisung.</w:t>
      </w:r>
    </w:p>
    <w:p w14:paraId="70BF16AF" w14:textId="77777777" w:rsidR="001F7233" w:rsidRDefault="001F7233">
      <w:pPr>
        <w:spacing w:line="220" w:lineRule="exact"/>
      </w:pPr>
    </w:p>
    <w:p w14:paraId="6DD618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Einen Steuerberater finden, der beide Länder kennt</w:t>
      </w:r>
    </w:p>
    <w:p w14:paraId="496F555B" w14:textId="77777777" w:rsidR="001F7233" w:rsidRDefault="00000000">
      <w:pPr>
        <w:spacing w:after="140"/>
      </w:pPr>
      <w:r>
        <w:t xml:space="preserve">Auch nach dem Wegzug bleibt dein bisheriges Wohnsitzfinanzamt zuständig. Wer noch deutsche Einkünfte hat – Miete, Depot, eine laufende Wegzugsteuer nach § 6 AStG – kommt um einen deutschen Steuerberater kaum herum. Für die US-Steuererklärung brauchst du außerdem einen amerikanischen </w:t>
      </w:r>
      <w:r>
        <w:rPr>
          <w:i/>
          <w:iCs/>
        </w:rPr>
        <w:t>Certified Public Accountant</w:t>
      </w:r>
      <w:r>
        <w:t xml:space="preserve"> (CPA, den US-Wirtschaftsprüfer mit Steuerbefugnis) oder </w:t>
      </w:r>
      <w:r>
        <w:rPr>
          <w:i/>
          <w:iCs/>
        </w:rPr>
        <w:t>Enrolled Agent</w:t>
      </w:r>
      <w:r>
        <w:t xml:space="preserve"> (EA, einen von der US-Steuerbehörde zugelassenen Steuerfachmann; siehe Kapitel </w:t>
      </w:r>
      <w:hyperlink w:anchor="k28">
        <w:r w:rsidR="001F7233">
          <w:t>28</w:t>
        </w:r>
      </w:hyperlink>
      <w:r>
        <w:t>); nur wenige Kanzleien decken beide Systeme kompetent ab.</w:t>
      </w:r>
    </w:p>
    <w:p w14:paraId="4F2A68FD" w14:textId="77777777" w:rsidR="001F7233" w:rsidRDefault="00000000">
      <w:pPr>
        <w:spacing w:after="140"/>
      </w:pPr>
      <w:r>
        <w:t>Frag gezielt nach Erfahrung mit § 6 AStG, PFIC, FBAR und dem Doppelbesteuerungsabkommen Deutschland–USA und lass dir vorab einen Kostenrahmen nennen. Eine grenzüberschreitende Erklärung kostet merklich mehr als eine rein deutsche oder amerikanische. Grobe Orientierung für die US-Seite: Eine einfache Erklärung als Resident liegt bei CPA oder Enrolled Agent oft bei 300–800 $, ein erstes Jahr mit FBAR und Formular 8938 eher bei 800–2.500 $, jedes zusätzliche PFIC-Formular 8621 noch einmal bei 100–300 $. Angebote lohnen sich, gerade im ersten Jahr. Sinnvoll ist außerdem, den deutschen Steuerberater gleich als Zustellungsbevollmächtigten nach § 123 AO zu benennen. Damit Post vom Finanzamt zuverlässig ankommt.</w:t>
      </w:r>
    </w:p>
    <w:p w14:paraId="290A7F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Erbschaftsteuer nach dem Wegzug</w:t>
      </w:r>
    </w:p>
    <w:p w14:paraId="12BA4C48" w14:textId="77777777" w:rsidR="001F7233" w:rsidRDefault="00000000">
      <w:pPr>
        <w:spacing w:after="140"/>
      </w:pPr>
      <w:r>
        <w:t xml:space="preserve">Deutsche Staatsangehörige bleiben nach § 2 ErbStG bis zu 5 Jahre nach dem Wegzug unbeschränkt erbschaft- und schenkungsteuerpflichtig, solange sie keinen Wohnsitz in Deutschland mehr haben – unabhängig davon, ob sie selbst erben, vererben, schenken oder beschenkt werden. Das gilt zusätzlich zu einer möglichen US-Nachlasssteuer auf dasselbe Vermögen. Details, </w:t>
      </w:r>
      <w:r>
        <w:lastRenderedPageBreak/>
        <w:t>Freibeträge und Gestaltungsmöglichkeiten gehören in die langfristige Vorsorgeplanung; siehe Kapitel </w:t>
      </w:r>
      <w:hyperlink w:anchor="k39">
        <w:r w:rsidR="001F7233">
          <w:t>39</w:t>
        </w:r>
      </w:hyperlink>
      <w:r>
        <w:t>.</w:t>
      </w:r>
    </w:p>
    <w:p w14:paraId="100D1F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Steuern, Rente und Geld: die deutsche Seite</w:t>
      </w:r>
    </w:p>
    <w:p w14:paraId="626F0415" w14:textId="77777777" w:rsidR="001F7233" w:rsidRDefault="00000000">
      <w:r>
        <w:rPr>
          <w:b/>
        </w:rPr>
        <w:t>Plus: Die gesetzliche Rente bleibt bestehen und wird weltweit ausgezahlt</w:t>
      </w:r>
    </w:p>
    <w:p w14:paraId="57FC7916" w14:textId="77777777" w:rsidR="001F7233" w:rsidRDefault="00000000">
      <w:r>
        <w:rPr>
          <w:b/>
        </w:rPr>
        <w:t xml:space="preserve">Minus: </w:t>
      </w:r>
      <w:r>
        <w:t>Ausländische Fonds und ETFs werden in den USA zur teuren PFIC</w:t>
      </w:r>
    </w:p>
    <w:p w14:paraId="0BBE2A92" w14:textId="77777777" w:rsidR="001F7233" w:rsidRDefault="00000000">
      <w:r>
        <w:rPr>
          <w:b/>
        </w:rPr>
        <w:t>Plus: Das Doppelbesteuerungsabkommen verhindert doppelte Besteuerung derselben Rente</w:t>
      </w:r>
    </w:p>
    <w:p w14:paraId="1973D3E5" w14:textId="77777777" w:rsidR="001F7233" w:rsidRDefault="00000000">
      <w:r>
        <w:rPr>
          <w:b/>
        </w:rPr>
        <w:t xml:space="preserve">Minus: </w:t>
      </w:r>
      <w:r>
        <w:t>Depot und Bankkonto können bei US-Wohnsitz eingeschränkt oder gekündigt werden</w:t>
      </w:r>
    </w:p>
    <w:p w14:paraId="0B94BC28" w14:textId="77777777" w:rsidR="001F7233" w:rsidRDefault="00000000">
      <w:r>
        <w:rPr>
          <w:b/>
        </w:rPr>
        <w:t>Plus: Freiwillige Rentenbeiträge sichern Wartezeit und Erwerbsminderungsschutz günstig ab</w:t>
      </w:r>
    </w:p>
    <w:p w14:paraId="6402F457" w14:textId="77777777" w:rsidR="001F7233" w:rsidRDefault="00000000">
      <w:r>
        <w:rPr>
          <w:b/>
        </w:rPr>
        <w:t xml:space="preserve">Minus: </w:t>
      </w:r>
      <w:r>
        <w:t>Die Wegzugsteuer nach § 6 AStG trifft Unternehmensanteile hart, wenn auch in Raten</w:t>
      </w:r>
    </w:p>
    <w:p w14:paraId="60649514" w14:textId="77777777" w:rsidR="001F7233" w:rsidRDefault="00000000">
      <w:r>
        <w:rPr>
          <w:b/>
        </w:rPr>
        <w:t>Plus: Riester läuft während der Ansparphase unbeschränkt weiter</w:t>
      </w:r>
    </w:p>
    <w:p w14:paraId="0DB81A8D" w14:textId="77777777" w:rsidR="001F7233" w:rsidRDefault="00000000">
      <w:r>
        <w:rPr>
          <w:b/>
        </w:rPr>
        <w:t xml:space="preserve">Minus: </w:t>
      </w:r>
      <w:r>
        <w:t>Zwei Steuersysteme bedeuten doppelte Beratungskosten und doppelte Meldepflichten</w:t>
      </w:r>
    </w:p>
    <w:p w14:paraId="6ADF577B" w14:textId="77777777" w:rsidR="001F7233" w:rsidRDefault="00000000">
      <w:r>
        <w:rPr>
          <w:b/>
        </w:rPr>
        <w:t>Plus: Bausparvertrag und Lebensversicherung lassen sich oft fortführen</w:t>
      </w:r>
    </w:p>
    <w:p w14:paraId="152BF5BC" w14:textId="77777777" w:rsidR="001F7233" w:rsidRDefault="00000000">
      <w:r>
        <w:rPr>
          <w:b/>
        </w:rPr>
        <w:t xml:space="preserve">Minus: </w:t>
      </w:r>
      <w:r>
        <w:t>Die Zweitwohnsitz-Falle kann die unbeschränkte Steuerpflicht ungewollt verlängern</w:t>
      </w:r>
    </w:p>
    <w:p w14:paraId="527EDE13" w14:textId="77777777" w:rsidR="001F7233" w:rsidRDefault="001F7233">
      <w:pPr>
        <w:spacing w:line="180" w:lineRule="exact"/>
      </w:pPr>
    </w:p>
    <w:p w14:paraId="681A62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7385245" w14:textId="77777777" w:rsidR="001F7233" w:rsidRDefault="00000000">
      <w:pPr>
        <w:spacing w:after="140"/>
      </w:pPr>
      <w:r>
        <w:t xml:space="preserve">Beginne mit den zeitkritischen Punkten: Depot und Fondssparpläne auf PFIC-Risiko prüfen, bevor du steuerlich in den USA ansässig wirst und bei Unternehmensanteilen ab 1 % die Wegzugsteuer durchrechnen lassen. Kläre parallel, ob eine Wohnung in </w:t>
      </w:r>
      <w:r>
        <w:lastRenderedPageBreak/>
        <w:t>Deutschland zurückbleibt und ob das gewollt ist. Melde dich rechtzeitig bei der Deutschen Rentenversicherung für die Kontenklärung, informiere Bank und Versicherungen schriftlich über den Umzug und such dir einen Steuerberater für beide Länder. Alles Weitere – Überweisungen, Bargeld, laufende Erklärungen – lässt sich mit dieser Vorarbeit deutlich entspannter erledigen.</w:t>
      </w:r>
    </w:p>
    <w:p w14:paraId="26B9082B" w14:textId="77777777" w:rsidR="001F7233" w:rsidRDefault="00000000">
      <w:r>
        <w:t>• Prüfen, ob nach dem Wegzug eine nutzbare Wohnung in Deutschland zurückbleibt (Zweitwohnsitz-Falle)</w:t>
      </w:r>
    </w:p>
    <w:p w14:paraId="237B3111" w14:textId="77777777" w:rsidR="001F7233" w:rsidRDefault="00000000">
      <w:r>
        <w:t>• Bei Unternehmensanteilen ab 1 %: Wegzugsteuer nach § 6 AStG mit dem Steuerberater durchrechnen</w:t>
      </w:r>
    </w:p>
    <w:p w14:paraId="48160BAD" w14:textId="77777777" w:rsidR="001F7233" w:rsidRDefault="00000000">
      <w:r>
        <w:t>• Depot und Fondssparpläne auf PFIC-Risiko prüfen und vor dem Zuzug entscheiden: verkaufen oder behalten</w:t>
      </w:r>
    </w:p>
    <w:p w14:paraId="10CAD606" w14:textId="77777777" w:rsidR="001F7233" w:rsidRDefault="00000000">
      <w:r>
        <w:t>• Bank und Depotbank schriftlich über den künftigen US-Wohnsitz informieren</w:t>
      </w:r>
    </w:p>
    <w:p w14:paraId="5081666A" w14:textId="77777777" w:rsidR="001F7233" w:rsidRDefault="00000000">
      <w:r>
        <w:t>• Rentenversicherungsverlauf klären lassen (Kontenklärung) und neue Anschrift der Deutschen Rentenversicherung melden</w:t>
      </w:r>
    </w:p>
    <w:p w14:paraId="0F42E03B" w14:textId="77777777" w:rsidR="001F7233" w:rsidRDefault="00000000">
      <w:r>
        <w:t>• Prüfen, ob freiwillige Rentenbeiträge sinnvoll sind</w:t>
      </w:r>
    </w:p>
    <w:p w14:paraId="13A0E43E" w14:textId="77777777" w:rsidR="001F7233" w:rsidRDefault="00000000">
      <w:r>
        <w:t>• Riester-Vertrag auf den geplanten Zeitpunkt der Auszahlungsphase prüfen</w:t>
      </w:r>
    </w:p>
    <w:p w14:paraId="1E60E9D4" w14:textId="77777777" w:rsidR="001F7233" w:rsidRDefault="00000000">
      <w:r>
        <w:t>• Bei vermieteter Immobilie oder einer Immobilie, die noch keine zehn Jahre im Besitz ist: steuerliche Folgen von Vermietung oder Verkauf klären</w:t>
      </w:r>
    </w:p>
    <w:p w14:paraId="06F7328D" w14:textId="77777777" w:rsidR="001F7233" w:rsidRDefault="00000000">
      <w:r>
        <w:t>• Zustellungsbevollmächtigten in Deutschland benennen (§ 123 AO)</w:t>
      </w:r>
    </w:p>
    <w:p w14:paraId="545AF81B" w14:textId="77777777" w:rsidR="001F7233" w:rsidRDefault="00000000">
      <w:r>
        <w:t>• Steuerberater mit Erfahrung im deutsch-amerikanischen Steuerrecht finden</w:t>
      </w:r>
    </w:p>
    <w:p w14:paraId="40ECF615" w14:textId="77777777" w:rsidR="001F7233" w:rsidRDefault="00000000">
      <w:r>
        <w:t>• Meldegrenzen für Geldtransfers und Bargeld (50.000 € / 10.000 €) im Kopf behalten</w:t>
      </w:r>
    </w:p>
    <w:p w14:paraId="5DA94809" w14:textId="77777777" w:rsidR="001F7233" w:rsidRDefault="00000000">
      <w:r>
        <w:t xml:space="preserve">• Nach der Ankunft: US-Steuerpflichten wie FBAR, Formular 8938 und PFIC mit </w:t>
      </w:r>
      <w:hyperlink w:anchor="k28">
        <w:r w:rsidR="001F7233">
          <w:rPr>
            <w:color w:val="0563C1"/>
            <w:u w:val="single"/>
          </w:rPr>
          <w:t>Kapitel 28</w:t>
        </w:r>
      </w:hyperlink>
      <w:r>
        <w:t xml:space="preserve"> abgleichen</w:t>
      </w:r>
    </w:p>
    <w:p w14:paraId="423D7B41" w14:textId="77777777" w:rsidR="001F7233" w:rsidRDefault="001F7233">
      <w:pPr>
        <w:spacing w:line="220" w:lineRule="exact"/>
      </w:pPr>
    </w:p>
    <w:p w14:paraId="4BAE3B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62834F3" w14:textId="77777777" w:rsidR="001F7233" w:rsidRDefault="001F7233">
      <w:pPr>
        <w:pStyle w:val="ListParagraph"/>
        <w:numPr>
          <w:ilvl w:val="0"/>
          <w:numId w:val="1"/>
        </w:numPr>
        <w:spacing w:after="60"/>
      </w:pPr>
      <w:hyperlink r:id="rId258">
        <w:r>
          <w:rPr>
            <w:color w:val="0563C1"/>
            <w:u w:val="single"/>
          </w:rPr>
          <w:t>gesetze-im-internet.de</w:t>
        </w:r>
      </w:hyperlink>
      <w:r>
        <w:t xml:space="preserve"> – Einkommensteuergesetz, Außensteuergesetz, Abgabenordnung</w:t>
      </w:r>
    </w:p>
    <w:p w14:paraId="7F844A21" w14:textId="77777777" w:rsidR="001F7233" w:rsidRDefault="001F7233">
      <w:pPr>
        <w:pStyle w:val="ListParagraph"/>
        <w:numPr>
          <w:ilvl w:val="0"/>
          <w:numId w:val="1"/>
        </w:numPr>
        <w:spacing w:after="60"/>
      </w:pPr>
      <w:hyperlink r:id="rId259">
        <w:r>
          <w:rPr>
            <w:color w:val="0563C1"/>
            <w:u w:val="single"/>
          </w:rPr>
          <w:t>deutsche-rentenversicherung.de</w:t>
        </w:r>
      </w:hyperlink>
      <w:r>
        <w:t xml:space="preserve"> – Broschüre „Arbeit und Rente in Deutschland und in den USA“</w:t>
      </w:r>
    </w:p>
    <w:p w14:paraId="111CDDEF" w14:textId="77777777" w:rsidR="001F7233" w:rsidRDefault="001F7233">
      <w:pPr>
        <w:pStyle w:val="ListParagraph"/>
        <w:numPr>
          <w:ilvl w:val="0"/>
          <w:numId w:val="1"/>
        </w:numPr>
        <w:spacing w:after="60"/>
      </w:pPr>
      <w:hyperlink r:id="rId260">
        <w:r>
          <w:rPr>
            <w:color w:val="0563C1"/>
            <w:u w:val="single"/>
          </w:rPr>
          <w:t>bzst.de</w:t>
        </w:r>
      </w:hyperlink>
      <w:r>
        <w:t xml:space="preserve"> – FATCA und Erstattung der Kapitalertragsteuer</w:t>
      </w:r>
    </w:p>
    <w:p w14:paraId="1B7ADCBD" w14:textId="77777777" w:rsidR="001F7233" w:rsidRDefault="001F7233">
      <w:pPr>
        <w:pStyle w:val="ListParagraph"/>
        <w:numPr>
          <w:ilvl w:val="0"/>
          <w:numId w:val="1"/>
        </w:numPr>
        <w:spacing w:after="60"/>
      </w:pPr>
      <w:hyperlink r:id="rId261">
        <w:r>
          <w:rPr>
            <w:color w:val="0563C1"/>
            <w:u w:val="single"/>
          </w:rPr>
          <w:t>bundesfinanzministerium.de</w:t>
        </w:r>
      </w:hyperlink>
      <w:r>
        <w:t xml:space="preserve"> – FAQ zur Reform der privaten Altersvorsorge</w:t>
      </w:r>
    </w:p>
    <w:p w14:paraId="5372FA01" w14:textId="77777777" w:rsidR="001F7233" w:rsidRDefault="001F7233">
      <w:pPr>
        <w:pStyle w:val="ListParagraph"/>
        <w:numPr>
          <w:ilvl w:val="0"/>
          <w:numId w:val="1"/>
        </w:numPr>
        <w:spacing w:after="60"/>
      </w:pPr>
      <w:hyperlink r:id="rId262">
        <w:r>
          <w:rPr>
            <w:color w:val="0563C1"/>
            <w:u w:val="single"/>
          </w:rPr>
          <w:t>irs.gov/pub/irs-trty/germany.pdf</w:t>
        </w:r>
      </w:hyperlink>
      <w:r>
        <w:t xml:space="preserve"> – Doppelbesteuerungsabkommen Deutschland–USA</w:t>
      </w:r>
    </w:p>
    <w:p w14:paraId="7CEDCCCE" w14:textId="77777777" w:rsidR="001F7233" w:rsidRDefault="001F7233">
      <w:pPr>
        <w:pStyle w:val="ListParagraph"/>
        <w:numPr>
          <w:ilvl w:val="0"/>
          <w:numId w:val="1"/>
        </w:numPr>
        <w:spacing w:after="60"/>
      </w:pPr>
      <w:hyperlink r:id="rId263">
        <w:r>
          <w:rPr>
            <w:color w:val="0563C1"/>
            <w:u w:val="single"/>
          </w:rPr>
          <w:t>irs.gov/instructions/i8621</w:t>
        </w:r>
      </w:hyperlink>
      <w:r>
        <w:t xml:space="preserve"> – Formular 8621 (PFIC)</w:t>
      </w:r>
    </w:p>
    <w:p w14:paraId="49D6EFE0" w14:textId="77777777" w:rsidR="001F7233" w:rsidRDefault="001F7233">
      <w:pPr>
        <w:spacing w:line="120" w:lineRule="exact"/>
      </w:pPr>
    </w:p>
    <w:p w14:paraId="55BD33B9" w14:textId="77777777" w:rsidR="001F7233" w:rsidRDefault="00000000">
      <w:r>
        <w:t>• Quellen- und Datenstand: September 2026; Redaktionsschluss: Oktober 2026. Rentenwert, Beitragsbemessungsgrenzen, PFIC-Freigrenzen und die Riester-Reform ändern sich regelmäßig. Prüfe aktuelle Zahlen und Fristen vor jeder Entscheidung auf den offiziellen Seiten oder mit einem Steuerberater.</w:t>
      </w:r>
    </w:p>
    <w:p w14:paraId="567627C2" w14:textId="77777777" w:rsidR="001F7233" w:rsidRDefault="00000000">
      <w:pPr>
        <w:spacing w:line="220" w:lineRule="exact"/>
      </w:pPr>
      <w:r>
        <w:br w:type="page"/>
      </w:r>
    </w:p>
    <w:p w14:paraId="0DE0185E" w14:textId="77777777" w:rsidR="001F7233" w:rsidRDefault="00000000">
      <w:pPr>
        <w:pStyle w:val="Heading2"/>
        <w:keepNext/>
        <w:spacing w:line="341" w:lineRule="auto"/>
        <w:jc w:val="center"/>
      </w:pPr>
      <w:bookmarkStart w:id="45" w:name="k18"/>
      <w:r>
        <w:rPr>
          <w:rFonts w:ascii="Amazon Ember" w:eastAsia="Amazon Ember" w:hAnsi="Amazon Ember" w:cs="Amazon Ember"/>
          <w:color w:val="0000FF"/>
          <w:sz w:val="36"/>
          <w:szCs w:val="36"/>
        </w:rPr>
        <w:lastRenderedPageBreak/>
        <w:t>Kapitel 18: Krankenversicherung und Gesundheit vor dem Abflug</w:t>
      </w:r>
      <w:bookmarkEnd w:id="45"/>
    </w:p>
    <w:p w14:paraId="69138E49" w14:textId="77777777" w:rsidR="001F7233" w:rsidRDefault="00000000">
      <w:r>
        <w:rPr>
          <w:b/>
        </w:rPr>
        <w:t xml:space="preserve">KURZ GESAGT: </w:t>
      </w:r>
    </w:p>
    <w:p w14:paraId="2E4672F1" w14:textId="77777777" w:rsidR="001F7233" w:rsidRDefault="00000000">
      <w:r>
        <w:t>• Die Pflichtmitgliedschaft in der GKV endet mit dem letzten Arbeitstag. Eine freiwillige Mitgliedschaft endet nicht automatisch, sondern erst mit Kündigung und Nachweis einer anderen Absicherung.</w:t>
      </w:r>
    </w:p>
    <w:p w14:paraId="5FB45B05" w14:textId="77777777" w:rsidR="001F7233" w:rsidRDefault="00000000">
      <w:r>
        <w:t>• Eine Anwartschaft bei GKV oder PKV hält dir die Rückkehr offen, kostet aber laufend Beitrag, ohne dass du davon in den USA etwas hast.</w:t>
      </w:r>
    </w:p>
    <w:p w14:paraId="2514B5FF" w14:textId="77777777" w:rsidR="001F7233" w:rsidRDefault="00000000">
      <w:r>
        <w:t>• Zwischen deutscher Absicherung und dem Start der US-Versicherung liegt oft eine Lücke von mehreren Wochen bis Monaten, die eine Auslandskrankenversicherung überbrücken sollte.</w:t>
      </w:r>
    </w:p>
    <w:p w14:paraId="2696AFAF" w14:textId="77777777" w:rsidR="001F7233" w:rsidRDefault="00000000">
      <w:r>
        <w:t>• Erledige Zahnarzt, Augenarzt, Kinderarzt und größere Vorsorgetermine vor dem Abflug: In den USA sind Zahn- und Augenbehandlung meist separat versichert und teuer.</w:t>
      </w:r>
    </w:p>
    <w:p w14:paraId="7DDEA151" w14:textId="77777777" w:rsidR="001F7233" w:rsidRDefault="00000000">
      <w:r>
        <w:t>• Schulimpfpflichten regelt jeder Bundesstaat selbst; lass den Impfpass übersetzen und rechne mit Nachimpfungen.</w:t>
      </w:r>
    </w:p>
    <w:p w14:paraId="60DF8AF9" w14:textId="77777777" w:rsidR="001F7233" w:rsidRDefault="00000000">
      <w:r>
        <w:t>• Bist du 55 oder älter oder verdienst du über der Versicherungspflichtgrenze, denk die Rückkehr in die GKV schon jetzt mit (</w:t>
      </w:r>
      <w:hyperlink w:anchor="k42">
        <w:r w:rsidR="001F7233">
          <w:rPr>
            <w:color w:val="0563C1"/>
            <w:u w:val="single"/>
          </w:rPr>
          <w:t>Kapitel 42</w:t>
        </w:r>
      </w:hyperlink>
      <w:r>
        <w:t>).</w:t>
      </w:r>
    </w:p>
    <w:p w14:paraId="7AE357AF" w14:textId="77777777" w:rsidR="001F7233" w:rsidRDefault="001F7233">
      <w:pPr>
        <w:spacing w:line="220" w:lineRule="exact"/>
      </w:pPr>
    </w:p>
    <w:p w14:paraId="7EA7BD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mit deiner Krankenversicherung passiert, wenn du gehst</w:t>
      </w:r>
    </w:p>
    <w:p w14:paraId="04227015" w14:textId="77777777" w:rsidR="001F7233" w:rsidRDefault="00000000">
      <w:pPr>
        <w:spacing w:after="140"/>
      </w:pPr>
      <w:r>
        <w:t xml:space="preserve">Verbreiteter Irrtum: Viele glauben, die deutsche Krankenversicherung ende von selbst, sobald man das Land verlässt. Tatsächlich hängt das vom Status ab. Bei einer Anstellung endet die GKV-Pflichtmitgliedschaft mit Ablauf des Tages, an dem das Beschäftigungsverhältnis endet (§ 190 Abs. 2 SGB V). Bist du </w:t>
      </w:r>
      <w:r>
        <w:lastRenderedPageBreak/>
        <w:t>freiwillig versichert – etwa als Selbständiger, Beamter oder mit Einkommen über der Versicherungspflichtgrenze –, endet die Mitgliedschaft nicht automatisch mit dem Wegzug, sondern läuft weiter, bis du sie aktiv kündigst (§ 191 SGB V). Die Kündigung wirkt zudem erst, wenn du der Kasse eine anderweitige Absicherung nachweist (§ 175 Abs. 4 SGB V); ohne diesen Nachweis bucht die Kasse den Beitrag ungerührt weiter.</w:t>
      </w:r>
    </w:p>
    <w:p w14:paraId="383277B9" w14:textId="77777777" w:rsidR="001F7233" w:rsidRDefault="00000000">
      <w:pPr>
        <w:spacing w:after="140"/>
      </w:pPr>
      <w:r>
        <w:t>Das Tückische: Der Leistungsanspruch ruht ohnehin, sobald du dich im Ausland aufhältst (§ 16 Abs. 1 Nr. 1 SGB V). Ohne Kündigung oder Anwartschaft zahlst du also womöglich monatlich Beitrag, ohne dass die Kasse in den USA auch nur einen Arztbesuch übernimmt. Angehörige, die in Deutschland bleiben, bleiben familienversichert – vor allem, wenn ein Elternteil vorausreist.</w:t>
      </w:r>
    </w:p>
    <w:p w14:paraId="0327C07D" w14:textId="77777777" w:rsidR="001F7233" w:rsidRDefault="00000000">
      <w:r>
        <w:rPr>
          <w:b/>
        </w:rPr>
        <w:t xml:space="preserve">MERKE: </w:t>
      </w:r>
    </w:p>
    <w:p w14:paraId="27102B71" w14:textId="77777777" w:rsidR="001F7233" w:rsidRDefault="00000000">
      <w:r>
        <w:t>• Der Leistungsanspruch der GKV ruht im Ausland. Wer nicht kündigt oder in eine Anwartschaft wechselt, zahlt weiter Beitrag, ohne je eine Leistung dafür zu bekommen.</w:t>
      </w:r>
    </w:p>
    <w:p w14:paraId="325F5217" w14:textId="77777777" w:rsidR="001F7233" w:rsidRDefault="001F7233">
      <w:pPr>
        <w:spacing w:line="220" w:lineRule="exact"/>
      </w:pPr>
    </w:p>
    <w:p w14:paraId="0DDD0424" w14:textId="77777777" w:rsidR="001F7233" w:rsidRDefault="00000000">
      <w:r>
        <w:rPr>
          <w:b/>
        </w:rPr>
        <w:t xml:space="preserve">ACHTUNG: </w:t>
      </w:r>
    </w:p>
    <w:p w14:paraId="72F48D00" w14:textId="77777777" w:rsidR="001F7233" w:rsidRDefault="00000000">
      <w:r>
        <w:t>• Kündige die freiwillige Mitgliedschaft nicht auf Verdacht. Sie wirkt erst mit Nachweis einer anderen Absicherung. Kläre zuerst Anwartschaft oder Übergangsversicherung, sonst entsteht eine Lücke ganz ohne Schutz.</w:t>
      </w:r>
    </w:p>
    <w:p w14:paraId="2AD2347C" w14:textId="77777777" w:rsidR="001F7233" w:rsidRDefault="001F7233">
      <w:pPr>
        <w:spacing w:line="220" w:lineRule="exact"/>
      </w:pPr>
    </w:p>
    <w:p w14:paraId="5D3439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Anwartschaft: die Rückkehr offen halten</w:t>
      </w:r>
    </w:p>
    <w:p w14:paraId="3796CB97" w14:textId="77777777" w:rsidR="001F7233" w:rsidRDefault="00000000">
      <w:pPr>
        <w:spacing w:after="140"/>
      </w:pPr>
      <w:r>
        <w:t xml:space="preserve">Eine Anwartschaft ist kein gesetzlicher Anspruch, sondern ein Angebot deiner Krankenkasse oder deines privaten Versicherers. Du zahlst einen Beitrag dafür, dass die Rückkehr ohne neue Wartezeit offen bleibt. Bei der privaten Versicherung kommt dazu, ob die Gesundheitsprüfung entfällt. Ob deine Kasse das anbietet und was es </w:t>
      </w:r>
      <w:r>
        <w:lastRenderedPageBreak/>
        <w:t>kostet, steht nur bei ihr. Frag deine eigene Krankenkasse, bevor du kündigst.</w:t>
      </w:r>
    </w:p>
    <w:p w14:paraId="2F0D3CD8" w14:textId="77777777" w:rsidR="001F7233" w:rsidRDefault="00000000">
      <w:pPr>
        <w:spacing w:after="140"/>
      </w:pPr>
      <w:r>
        <w:t>In der privaten Krankenversicherung gibt es eine kleine und eine große Anwartschaft. Die kleine friert den Gesundheitszustand ein. Die große erhält auch das ursprüngliche Eintrittsalter und die Alterungsrückstellungen. Welchen Anteil des vollen Beitrags das kostet, nennt der Versicherer. Dieses Kapitel druckt den Anteil nicht.</w:t>
      </w:r>
    </w:p>
    <w:p w14:paraId="29E3EDE8" w14:textId="77777777" w:rsidR="001F7233" w:rsidRDefault="00000000">
      <w:r>
        <w:rPr>
          <w:b/>
        </w:rPr>
        <w:t xml:space="preserve">ACHTUNG: </w:t>
      </w:r>
    </w:p>
    <w:p w14:paraId="282AA30B" w14:textId="77777777" w:rsidR="001F7233" w:rsidRDefault="00000000">
      <w:r>
        <w:t>• Eine volle Kündigung der PKV vernichtet die Alterungsrückstellungen unwiderruflich. Nur beim Wechsel zu einem anderen deutschen Versicherer lassen sie sich teilweise mitnehmen (§ 204 VVG). Die Gesundheitsprüfung für die Anwartschaft findet jetzt statt, während du gesund und jung bist. Nicht erst bei der Rückkehr in einigen Jahren. Das ist der eigentliche Wert der Anwartschaft.</w:t>
      </w:r>
    </w:p>
    <w:p w14:paraId="06BD9499" w14:textId="77777777" w:rsidR="001F7233" w:rsidRDefault="001F7233">
      <w:pPr>
        <w:spacing w:line="220" w:lineRule="exact"/>
      </w:pPr>
    </w:p>
    <w:p w14:paraId="31FA5C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Familienversicherung endet</w:t>
      </w:r>
    </w:p>
    <w:p w14:paraId="6CBC10DD" w14:textId="77777777" w:rsidR="001F7233" w:rsidRDefault="00000000">
      <w:pPr>
        <w:spacing w:after="140"/>
      </w:pPr>
      <w:r>
        <w:t>Die beitragsfreie Familienversicherung in der GKV setzt einen Wohnsitz oder gewöhnlichen Aufenthalt im Inland voraus (§ 10 Abs. 1 SGB V). Zieht die ganze Familie in die USA, endet sie für Ehepartner und Kinder ebenfalls. In der Praxis übernimmt meist der US-Arbeitgeberplan die ganze Familie: Ehepartner mit H-4- oder L-2-Status und Kinder lassen sich dort in der Regel mitversichern, sobald die Deckung des Hauptversicherten beginnt (Kapitel </w:t>
      </w:r>
      <w:hyperlink w:anchor="k26">
        <w:r w:rsidR="001F7233">
          <w:t>26</w:t>
        </w:r>
      </w:hyperlink>
      <w:r>
        <w:t>). Bis dahin gilt dieselbe Lücke wie für die versicherte Person selbst – und dieselbe Lösung: eine Übergangsversicherung.</w:t>
      </w:r>
    </w:p>
    <w:p w14:paraId="05DFD1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Lücke überbrücken: Auslandskrankenversicherung als Übergang</w:t>
      </w:r>
    </w:p>
    <w:p w14:paraId="766635DA" w14:textId="77777777" w:rsidR="001F7233" w:rsidRDefault="00000000">
      <w:pPr>
        <w:spacing w:after="140"/>
      </w:pPr>
      <w:r>
        <w:t>Zwischen dem Ende der deutschen Absicherung und dem Start der US-Versicherung liegen oft drei bis vier Monate: Arbeitgeberpläne dürfen gesetzlich bis zu 90 Tage Wartefrist verlangen und die Deckung beginnt meist erst zum Ersten des Folgemonats. Für diese Zeit brauchst du eine eigene Lösung. Meist eine deutsche Auslandsreise- oder, bei längerer Lücke, eine Langzeit-Auslandskrankenversicherung.</w:t>
      </w:r>
    </w:p>
    <w:p w14:paraId="4A2CD0C0" w14:textId="77777777" w:rsidR="001F7233" w:rsidRDefault="00000000">
      <w:pPr>
        <w:spacing w:after="140"/>
      </w:pPr>
      <w:r>
        <w:t>Prüfe bei der Auswahl vier Punkte: Beginnt die Deckung mit der Ausreise oder erst später? Deckt sie Behandlungen in den USA ohne niedrige Kostenobergrenze – US-Behandlungen sind teuer? Sind akute Verschlimmerungen von Vorerkrankungen mitversichert, und wie steht es um Schwangerschaft und Geburt? Lässt sich das Vertragsende exakt an den Start der Firmenversicherung koppeln, damit keine doppelten Beiträge anfallen? Reine Kurzzeit-Reiseversicherungen für ein paar Wochen Urlaub sind dafür meist zu knapp geschnitten. Sie schließen Vorerkrankungen, Schwangerschaft und Vorsorge meist aus.</w:t>
      </w:r>
    </w:p>
    <w:p w14:paraId="34512699" w14:textId="77777777" w:rsidR="001F7233" w:rsidRDefault="00000000">
      <w:r>
        <w:rPr>
          <w:b/>
        </w:rPr>
        <w:t xml:space="preserve">SPARTIPP: </w:t>
      </w:r>
    </w:p>
    <w:p w14:paraId="2842950C" w14:textId="77777777" w:rsidR="001F7233" w:rsidRDefault="00000000">
      <w:r>
        <w:t>• Frag die Personalabteilung des neuen Arbeitgebers ausdrücklich, ob eine Deckung „ab Tag 1“ möglich ist oder ob sich die Wartefrist verkürzen lässt. Jeder Monat, den du so einsparst, ist ein Monat weniger Doppelbeitrag für die Übergangsversicherung.</w:t>
      </w:r>
    </w:p>
    <w:p w14:paraId="1D5CC28E" w14:textId="77777777" w:rsidR="001F7233" w:rsidRDefault="001F7233">
      <w:pPr>
        <w:spacing w:line="220" w:lineRule="exact"/>
      </w:pPr>
    </w:p>
    <w:p w14:paraId="0AA089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Vorsorge vor dem Abflug: Zähne, Augen, Kinderarzt</w:t>
      </w:r>
    </w:p>
    <w:p w14:paraId="4BBCF5B2" w14:textId="77777777" w:rsidR="001F7233" w:rsidRDefault="00000000">
      <w:pPr>
        <w:spacing w:after="140"/>
      </w:pPr>
      <w:r>
        <w:t>In den USA sind Zahn- und Augenbehandlungen für Erwachsene meist nicht Teil der Krankenversicherung, sondern eigene, oft zusätzlich zu zahlende Pläne mit Jahreshöchstleistung und Wartefristen für Zahnersatz (Kapitel </w:t>
      </w:r>
      <w:hyperlink w:anchor="k26">
        <w:r w:rsidR="001F7233">
          <w:t>26</w:t>
        </w:r>
      </w:hyperlink>
      <w:r>
        <w:t>). Größere Behandlungen – Zahnsanierung, neue Kronen, eine überfällige Wurzelbehandlung – gehören deshalb vor den Abflug, wenn ohnehin fällig; günstiger und ohne neuen Anbieter geht es kaum. Lass außerdem eine aktuelle Sehstärkenbestimmung ausstellen und frag ausdrücklich nach dem Pupillenabstand (PD); amerikanische Optiker verlangen ihn oft separat vom Rezept. Für Kontaktlinsen und wichtige Brillen lohnt sich ein Vorrat für die ersten Monate.</w:t>
      </w:r>
    </w:p>
    <w:p w14:paraId="2B2A8B07" w14:textId="77777777" w:rsidR="001F7233" w:rsidRDefault="00000000">
      <w:pPr>
        <w:spacing w:after="140"/>
      </w:pPr>
      <w:r>
        <w:t>Für Kinder gehört ein Termin beim Kinderarzt auf die Liste, auch ohne anstehende Vorsorgeuntersuchung: Er prüft den Impfstatus, füllt Lücken und stellt Nachweise aus, die du in den USA brauchst (nächster Abschnitt). Erwachsene nutzen die Gelegenheit für den Hausarzt- und, falls fällig, Facharztcheck, den sie in den ersten unversicherten US-Monaten sonst aus eigener Tasche zahlen müssten.</w:t>
      </w:r>
    </w:p>
    <w:p w14:paraId="1A244B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Impfungen und die US-Schulimpfpflicht</w:t>
      </w:r>
    </w:p>
    <w:p w14:paraId="7D6F9F04" w14:textId="77777777" w:rsidR="001F7233" w:rsidRDefault="00000000">
      <w:pPr>
        <w:spacing w:after="140"/>
      </w:pPr>
      <w:r>
        <w:t>Ob und welche Impfungen ein Kind für Schule oder Kita braucht, regelt in den USA jeder Bundesstaat selbst, teils ergänzend der Schuldistrikt (</w:t>
      </w:r>
      <w:hyperlink w:anchor="k36">
        <w:r w:rsidR="001F7233">
          <w:t>Kapitel 36</w:t>
        </w:r>
      </w:hyperlink>
      <w:r>
        <w:t xml:space="preserve">). Bundesweit verlangen alle 50 Staaten und der District of Columbia Masern-Mumps-Röteln (MMR), Diphtherie-Tetanus-Keuchhusten (DTaP/Tdap), Polio und Varizellen; 49 Staaten obendrein Hepatitis B, mit Alabama als Ausnahme. Eine Ausnahme ohne medizinischen Grund gibt es nicht mehr in Kalifornien, </w:t>
      </w:r>
      <w:r>
        <w:lastRenderedPageBreak/>
        <w:t>Connecticut, Maine, New York und West Virginia; mehrere andere Staaten haben ihre Ausnahmeregeln 2025 und 2026 eher gelockert (Datenstand September 2026; geprüft im Oktober 2026). Die genauen Vorgaben deines künftigen Bundesstaats und Schuldistrikts erfragst du am besten direkt bei der Schule.</w:t>
      </w:r>
    </w:p>
    <w:p w14:paraId="3E3462A6" w14:textId="77777777" w:rsidR="001F7233" w:rsidRDefault="00000000">
      <w:pPr>
        <w:spacing w:after="140"/>
      </w:pPr>
      <w:r>
        <w:t>Ein vollständiger deutscher Impfpass wird meist anerkannt, wenn Datum und Impfstoffname erkennbar sind. Doch die Dosierschemata der deutschen Ständigen Impfkommission (STIKO) und die US-amerikanischen weichen an einigen Stellen ab. Windpocken (Varizellen) verlangen in den USA meist zwei Dosen, eine Tdap-Auffrischung ist oft erst für die weitere Schule fällig. Rechne damit, dass der künftige Kinderarzt nachimpft, auch bei vollständig erfüllten STIKO-Empfehlungen.</w:t>
      </w:r>
    </w:p>
    <w:p w14:paraId="7AB9606E" w14:textId="77777777" w:rsidR="001F7233" w:rsidRDefault="00000000">
      <w:pPr>
        <w:spacing w:after="140"/>
      </w:pPr>
      <w:r>
        <w:t>Auf Bundesebene empfiehlt die Gesundheitsbehörde CDC einen Kinder-Impfplan, der zuletzt in Bewegung war: Eine Überarbeitung vom 5. Januar 2026 reduzierte die Zahl der routinemäßig empfohlenen Impfungen, wurde aber am 16. März 2026 gerichtlich ausgesetzt; über die Berufung war zum Datenstand September 2026 noch nicht entschieden. Die gesetzlichen Schulimpfpflichten der Bundesstaaten sind davon unabhängig und bislang unverändert.</w:t>
      </w:r>
    </w:p>
    <w:p w14:paraId="34B54BE8" w14:textId="77777777" w:rsidR="001F7233" w:rsidRDefault="001F7233">
      <w:pPr>
        <w:spacing w:line="220" w:lineRule="exact"/>
      </w:pPr>
    </w:p>
    <w:p w14:paraId="2A2DC5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Impfpass und Krankenakte auf Englisch mitbringen</w:t>
      </w:r>
    </w:p>
    <w:p w14:paraId="38F0E952" w14:textId="77777777" w:rsidR="001F7233" w:rsidRDefault="00000000">
      <w:pPr>
        <w:spacing w:after="140"/>
      </w:pPr>
      <w:r>
        <w:t xml:space="preserve">Amerikanische Ärzte können mit einem deutschen Arztbrief in den seltensten Fällen etwas anfangen, und deutsche Praxen übermitteln Akten nicht automatisch ins Ausland. Bitte deshalb rechtzeitig um eine englischsprachige Zusammenfassung: Diagnosen, Dauermedikation, Allergien, Operationen, bei Bedarf Bildgebung wie Röntgen, MRT oder CT auf CD, USB-Stick oder im Patientenportal. Für den Impfpass reicht meist eine vollständige Übersetzung mit </w:t>
      </w:r>
      <w:r>
        <w:lastRenderedPageBreak/>
        <w:t>Datum und Impfstoffname; eine Apostille verlangt dafür in aller Regel niemand (Einzelheiten in Kapitel </w:t>
      </w:r>
      <w:hyperlink w:anchor="k19">
        <w:r w:rsidR="001F7233">
          <w:t>19</w:t>
        </w:r>
      </w:hyperlink>
      <w:r>
        <w:t>).</w:t>
      </w:r>
    </w:p>
    <w:p w14:paraId="0D33B034" w14:textId="77777777" w:rsidR="001F7233" w:rsidRDefault="00000000">
      <w:r>
        <w:rPr>
          <w:b/>
        </w:rPr>
        <w:t xml:space="preserve">SPARTIPP: </w:t>
      </w:r>
    </w:p>
    <w:p w14:paraId="12FB8453" w14:textId="77777777" w:rsidR="001F7233" w:rsidRDefault="00000000">
      <w:r>
        <w:t>• Frag zuerst deine Ärzte, ob sie den Bericht direkt zweisprachig oder auf Englisch ausstellen. Das ist oft günstiger und schneller als eine nachträgliche beglaubigte Übersetzung durch ein externes Büro.</w:t>
      </w:r>
    </w:p>
    <w:p w14:paraId="561017ED" w14:textId="77777777" w:rsidR="001F7233" w:rsidRDefault="001F7233">
      <w:pPr>
        <w:spacing w:line="220" w:lineRule="exact"/>
      </w:pPr>
    </w:p>
    <w:p w14:paraId="4272CC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Medikamente: Vorrat, Wirkstoffname, Einfuhr</w:t>
      </w:r>
    </w:p>
    <w:p w14:paraId="49219ED9" w14:textId="77777777" w:rsidR="001F7233" w:rsidRDefault="00000000">
      <w:pPr>
        <w:spacing w:after="140"/>
      </w:pPr>
      <w:r>
        <w:t>Wer Dauermedikation braucht, bespricht mit dem Arzt vor dem Abflug, welchen Vorrat er verschreiben kann und lässt sich ergänzend ein englisches Rezept oder Attest mit dem Wirkstoffnamen ausstellen, nicht nur mit dem deutschen Handelsnamen. Der Grund: Amerikanische Apotheken kennen deutsche Markennamen meist nicht, wohl aber den internationalen Wirkstoffnamen. Aus Paracetamol wird dort etwa Acetaminophen, als hätten sich beide Länder stillschweigend auf unterschiedliche Wörter geeinigt.</w:t>
      </w:r>
    </w:p>
    <w:p w14:paraId="29D7BA8F" w14:textId="77777777" w:rsidR="001F7233" w:rsidRDefault="00000000">
      <w:pPr>
        <w:spacing w:after="140"/>
      </w:pPr>
      <w:r>
        <w:t>Für die Einreise gilt laut US-Grenzschutzbehörde CBP als grober Richtwert ein Vorrat für rund 90 Tage. Medikamente sollten in der Originalverpackung mit Beipackzettel mitreisen, dazu das englische Rezept oder Attest. Für als Betäubungsmittel eingestufte Wirkstoffe gilt eine deutlich engere Grenze von rund 50 Einzeldosen. Diese Angaben ändern sich und hängen vom einzelnen Wirkstoff ab. Kläre deinen konkreten Fall vor der Reise bei der US-Botschaft oder auf der CBP-Website.</w:t>
      </w:r>
    </w:p>
    <w:p w14:paraId="541CBD9D" w14:textId="77777777" w:rsidR="001F7233" w:rsidRDefault="00000000">
      <w:r>
        <w:rPr>
          <w:b/>
        </w:rPr>
        <w:t xml:space="preserve">ACHTUNG: </w:t>
      </w:r>
    </w:p>
    <w:p w14:paraId="6DA31CAE" w14:textId="77777777" w:rsidR="001F7233" w:rsidRDefault="00000000">
      <w:r>
        <w:t xml:space="preserve">• Verlass dich bei Rezepten nicht auf den deutschen Handelsnamen. Notiere für jedes Dauermedikament den Wirkstoffnamen und, falls </w:t>
      </w:r>
      <w:r>
        <w:lastRenderedPageBreak/>
        <w:t>bekannt, die US-Handelsbezeichnung. Sonst stehst du in der amerikanischen Apotheke ohne verwertbares Rezept da.</w:t>
      </w:r>
    </w:p>
    <w:p w14:paraId="25902797" w14:textId="77777777" w:rsidR="001F7233" w:rsidRDefault="001F7233">
      <w:pPr>
        <w:spacing w:line="220" w:lineRule="exact"/>
      </w:pPr>
    </w:p>
    <w:p w14:paraId="264B80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zurück in die GKV</w:t>
      </w:r>
    </w:p>
    <w:p w14:paraId="3988EFBE" w14:textId="77777777" w:rsidR="001F7233" w:rsidRDefault="00000000">
      <w:pPr>
        <w:spacing w:after="140"/>
      </w:pPr>
      <w:r>
        <w:t>Verbreiteter Irrtum: Viele gehen davon aus, nach ein paar Jahren im Ausland könne man einfach wieder in die gesetzliche Kasse eintreten. Tatsächlich kommt, wer ohne Anwartschaft ausgewandert ist, nach der Rückkehr nicht automatisch und nicht immer zu denselben Bedingungen in die gesetzliche Krankenversicherung zurück. Die sogenannte Auffangversicherung (§ 5 Abs. 1 Nr. 13 SGB V) greift nur, wenn du zuletzt gesetzlich versichert warst und keinen anderen Anspruch hast; sie gilt nicht für hauptberuflich Selbständige und nicht für Angestellte über der Versicherungspflichtgrenze (2026: 77.400 € im Jahr). Wer nach dem 55. Geburtstag versicherungspflichtig würde und in den fünf Jahren zuvor nicht gesetzlich versichert war, kann nach § 6 Abs. 3a SGB V sogar ganz versicherungsfrei werden – und damit von der Rückkehr in die GKV ausgeschlossen bleiben. Genau diese Fälle sind der Grund, eine Anwartschaft schon vor der Abreise zu prüfen. Die vollständigen Regeln zur Rückkehr, samt Fristen und Sonderfällen, behandelt Kapitel </w:t>
      </w:r>
      <w:hyperlink w:anchor="k42">
        <w:r w:rsidR="001F7233">
          <w:t>42</w:t>
        </w:r>
      </w:hyperlink>
      <w:r>
        <w:t>.</w:t>
      </w:r>
    </w:p>
    <w:p w14:paraId="55621215" w14:textId="77777777" w:rsidR="001F7233" w:rsidRDefault="00000000">
      <w:r>
        <w:t>• Das ist keine Rechts- oder Steuerberatung. Ob Kündigung, Anwartschaft oder Übergangsversicherung zu deiner Situation passen, hängt von Einkommen, Alter, Familienstand und der konkreten Kasse oder dem Versicherer ab. Kläre deinen Einzelfall mit deiner Krankenkasse oder einem unabhängigen Versicherungsberater.</w:t>
      </w:r>
    </w:p>
    <w:p w14:paraId="2E5C831A" w14:textId="77777777" w:rsidR="001F7233" w:rsidRDefault="001F7233">
      <w:pPr>
        <w:spacing w:line="220" w:lineRule="exact"/>
      </w:pPr>
    </w:p>
    <w:p w14:paraId="2E1E3D42" w14:textId="77777777" w:rsidR="001F7233" w:rsidRDefault="00000000">
      <w:pPr>
        <w:pStyle w:val="Heading3"/>
      </w:pPr>
      <w:r>
        <w:t>Behandlung im Ausland: Mexiko, Deutschland oder zuhause?</w:t>
      </w:r>
    </w:p>
    <w:p w14:paraId="5920EB63" w14:textId="77777777" w:rsidR="001F7233" w:rsidRDefault="00000000">
      <w:r>
        <w:lastRenderedPageBreak/>
        <w:t>Eine Behandlung in Mexiko kann bei einzelnen Eingriffen weniger kosten, aber der Preisvergleich endet nicht an der Klinikkasse. Vor einer Buchung brauchst du schriftliche Antworten von deiner Versicherung zu vier Punkten: Behandlung selbst, bekannte Vorerkrankung, Komplikationen nach der Rückkehr und medizinischer Rücktransport. Eine normale Reisekrankenversicherung deckt geplante Behandlung oft nicht. Eine Zusatzpolice für medizinische Reisen muss gerade diesen Eingriff und seine Nachbehandlung ausdrücklich einschließen. Prüfe Operateur, Klinikzulassung, Infektionskontrolle, unabhängige Zweitmeinung, Einzelkosten, englische/deutsche Befunde und wer dich nach der Heimkehr behandelt. Fliegen direkt nach einer Operation kann Thrombosen und andere Komplikationen begünstigen. Der Sonderpreis kann mit dir zurückkommen; die Klinik meist nicht.</w:t>
      </w:r>
    </w:p>
    <w:p w14:paraId="5EF309B5" w14:textId="77777777" w:rsidR="001F7233" w:rsidRDefault="00000000">
      <w:r>
        <w:t>Für Krebs gilt: Behandlungsplan und zeitliche Dringlichkeit zuerst mit deiner Onkologie abstimmen. Keine wirksame Therapie zugunsten unbewiesener Angebote abbrechen. Wenn du in Deutschland gesetzlich versichert bist und eine geplante Behandlung im Ausland erwägst, frage die Krankenkasse vor der Reise nach Kostenübernahme und Genehmigung. Die EHIC ist für notwendige Versorgung während eines vorübergehenden Aufenthalts gedacht, nicht für eine Reise mit Behandlungszweck. Für bestimmte geplante Behandlungen in EU/EWR kann eine vorherige S2-Genehmigung gelten. Mexiko liegt außer dieses Wegs. Hast du die deutsche Versicherung mit dem Wegzug beendet, stellt ein deutscher Pass sie nicht wieder her. Wer nach Deutschland zurückzieht, muss vor dem Umzug mit einer Krankenkasse klären, ob und wie GKV oder PKV wieder greift. Auch Medicaid, Medicare, Kanadas Provinzpläne, Australiens Medicare und Neuseelands öffentliche Versorgung knüpfen an Anspruchsregeln, nicht bloß an einen Pass.</w:t>
      </w:r>
    </w:p>
    <w:p w14:paraId="2CC84F4E" w14:textId="77777777" w:rsidR="001F7233" w:rsidRDefault="00000000">
      <w:pPr>
        <w:pStyle w:val="ListParagraph"/>
      </w:pPr>
      <w:r>
        <w:t xml:space="preserve">Quellen: CDC, Medical tourism; Bundesgesundheitsministerium, Versicherungsschutz im Ausland; EU, geplante Behandlung im Ausland. </w:t>
      </w:r>
      <w:hyperlink r:id="rId264">
        <w:r w:rsidR="001F7233">
          <w:rPr>
            <w:rStyle w:val="Hyperlink"/>
          </w:rPr>
          <w:t>CDC: Medical tourism</w:t>
        </w:r>
      </w:hyperlink>
      <w:r>
        <w:t xml:space="preserve"> | </w:t>
      </w:r>
      <w:hyperlink r:id="rId265">
        <w:r w:rsidR="001F7233">
          <w:rPr>
            <w:rStyle w:val="Hyperlink"/>
          </w:rPr>
          <w:t>BMG: Versicherungsschutz im Ausland</w:t>
        </w:r>
      </w:hyperlink>
      <w:r>
        <w:t xml:space="preserve"> | </w:t>
      </w:r>
      <w:hyperlink r:id="rId266">
        <w:r w:rsidR="001F7233">
          <w:rPr>
            <w:rStyle w:val="Hyperlink"/>
          </w:rPr>
          <w:t>EU: Geplante Behandlung im EU-Ausland</w:t>
        </w:r>
      </w:hyperlink>
    </w:p>
    <w:p w14:paraId="1B9722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Krankenversicherung und Gesundheit vor dem Abflug</w:t>
      </w:r>
    </w:p>
    <w:p w14:paraId="100227D7" w14:textId="77777777" w:rsidR="001F7233" w:rsidRDefault="00000000">
      <w:r>
        <w:rPr>
          <w:b/>
        </w:rPr>
        <w:t>Plus: Eine Anwartschaft sichert die Rückkehr ohne neue Gesundheitsprüfung</w:t>
      </w:r>
    </w:p>
    <w:p w14:paraId="3DBF11C9" w14:textId="77777777" w:rsidR="001F7233" w:rsidRDefault="00000000">
      <w:r>
        <w:rPr>
          <w:b/>
        </w:rPr>
        <w:t xml:space="preserve">Minus: </w:t>
      </w:r>
      <w:r>
        <w:t>Kostet laufend Beitrag, ohne dass du in den USA etwas davon hast</w:t>
      </w:r>
    </w:p>
    <w:p w14:paraId="661A2C13" w14:textId="77777777" w:rsidR="001F7233" w:rsidRDefault="00000000">
      <w:r>
        <w:rPr>
          <w:b/>
        </w:rPr>
        <w:t>Plus: Kündigung der freiwilligen GKV spart sofort Beitrag</w:t>
      </w:r>
    </w:p>
    <w:p w14:paraId="1519CFDD" w14:textId="77777777" w:rsidR="001F7233" w:rsidRDefault="00000000">
      <w:r>
        <w:rPr>
          <w:b/>
        </w:rPr>
        <w:t xml:space="preserve">Minus: </w:t>
      </w:r>
      <w:r>
        <w:t>Die Rückkehr kann an der Versicherungspflichtgrenze, an Selbständigkeit oder am hohen Einreisealter scheitern</w:t>
      </w:r>
    </w:p>
    <w:p w14:paraId="1A480789" w14:textId="77777777" w:rsidR="001F7233" w:rsidRDefault="00000000">
      <w:r>
        <w:rPr>
          <w:b/>
        </w:rPr>
        <w:t>Plus: Die große PKV-Anwartschaft erhält Eintrittsalter und Alterungsrückstellungen</w:t>
      </w:r>
    </w:p>
    <w:p w14:paraId="5855D9BA" w14:textId="77777777" w:rsidR="001F7233" w:rsidRDefault="00000000">
      <w:r>
        <w:rPr>
          <w:b/>
        </w:rPr>
        <w:t xml:space="preserve">Minus: </w:t>
      </w:r>
      <w:r>
        <w:t>Deutlich teurer als die kleine Variante</w:t>
      </w:r>
    </w:p>
    <w:p w14:paraId="708E8EEE" w14:textId="77777777" w:rsidR="001F7233" w:rsidRDefault="00000000">
      <w:r>
        <w:rPr>
          <w:b/>
        </w:rPr>
        <w:t>Plus: Eine Auslandskrankenversicherung schließt die Lücke bis zum US-Start</w:t>
      </w:r>
    </w:p>
    <w:p w14:paraId="280E42EA" w14:textId="77777777" w:rsidR="001F7233" w:rsidRDefault="00000000">
      <w:r>
        <w:rPr>
          <w:b/>
        </w:rPr>
        <w:t xml:space="preserve">Minus: </w:t>
      </w:r>
      <w:r>
        <w:t>Deckt oft keine Vorerkrankungen, Schwangerschaft oder reine Vorsorge</w:t>
      </w:r>
    </w:p>
    <w:p w14:paraId="4629C7A0" w14:textId="77777777" w:rsidR="001F7233" w:rsidRDefault="00000000">
      <w:r>
        <w:rPr>
          <w:b/>
        </w:rPr>
        <w:t>Plus: Vorsorge in Deutschland ist meist günstiger und schneller organisiert</w:t>
      </w:r>
    </w:p>
    <w:p w14:paraId="4BDC1CF1" w14:textId="77777777" w:rsidR="001F7233" w:rsidRDefault="00000000">
      <w:r>
        <w:rPr>
          <w:b/>
        </w:rPr>
        <w:t xml:space="preserve">Minus: </w:t>
      </w:r>
      <w:r>
        <w:t>Kostet Zeit im ohnehin engen Zeitplan vor dem Abflug</w:t>
      </w:r>
    </w:p>
    <w:p w14:paraId="564F1EE5" w14:textId="77777777" w:rsidR="001F7233" w:rsidRDefault="00000000">
      <w:r>
        <w:rPr>
          <w:b/>
        </w:rPr>
        <w:t>Plus: Ein vollständiger, übersetzter Impfpass beschleunigt die Schulanmeldung</w:t>
      </w:r>
    </w:p>
    <w:p w14:paraId="34610CC3" w14:textId="77777777" w:rsidR="001F7233" w:rsidRDefault="00000000">
      <w:r>
        <w:rPr>
          <w:b/>
        </w:rPr>
        <w:t xml:space="preserve">Minus: </w:t>
      </w:r>
      <w:r>
        <w:t>US-Schulen verlangen oft zusätzliche Dosen, die STIKO nicht vorsieht</w:t>
      </w:r>
    </w:p>
    <w:p w14:paraId="0A3358F4" w14:textId="77777777" w:rsidR="001F7233" w:rsidRDefault="001F7233">
      <w:pPr>
        <w:spacing w:line="180" w:lineRule="exact"/>
      </w:pPr>
    </w:p>
    <w:p w14:paraId="6EE840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EFAF532" w14:textId="77777777" w:rsidR="001F7233" w:rsidRDefault="00000000">
      <w:pPr>
        <w:spacing w:after="140"/>
      </w:pPr>
      <w:r>
        <w:t xml:space="preserve">Beginne vier Monate vor dem Abflug mit der Krankenkasse: Kläre, ob deine Mitgliedschaft freiwillig ist und beantrage bei Bedarf eine Anwartschaft, solange du gesund bist. Lege parallel die Vorsorgetermine für die Familie fest. Sechs bis acht Wochen vorher stehen Impfauffrischungen und die Übersetzung von Impfpass und Arztbriefen an. In den letzten zwei bis drei Wochen klärst du den </w:t>
      </w:r>
      <w:r>
        <w:lastRenderedPageBreak/>
        <w:t>Medikamentenvorrat mit deinem Arzt und besorgst die englischen Rezepte. Sobald das Startdatum der US-Versicherung feststeht, schließt du die Übergangsversicherung passgenau daran an.</w:t>
      </w:r>
    </w:p>
    <w:p w14:paraId="5C9D7A45" w14:textId="77777777" w:rsidR="001F7233" w:rsidRDefault="00000000">
      <w:r>
        <w:t>• Kläre mit deiner Krankenkasse, ob deine Mitgliedschaft freiwillig oder pflichtig ist und was der Wegzug dafür bedeutet.</w:t>
      </w:r>
    </w:p>
    <w:p w14:paraId="2068939E" w14:textId="77777777" w:rsidR="001F7233" w:rsidRDefault="00000000">
      <w:r>
        <w:t>• Beantrage bei Bedarf eine GKV- oder PKV-Anwartschaft, solange du gesund bist</w:t>
      </w:r>
    </w:p>
    <w:p w14:paraId="66F3D31D" w14:textId="77777777" w:rsidR="001F7233" w:rsidRDefault="00000000">
      <w:r>
        <w:t>• Schließe eine Auslandsreise- oder Langzeit-Auslandskrankenversicherung ab, die an den Start der US-Versicherung anschließt</w:t>
      </w:r>
    </w:p>
    <w:p w14:paraId="32F6DAA6" w14:textId="77777777" w:rsidR="001F7233" w:rsidRDefault="00000000">
      <w:r>
        <w:t>• Vereinbare Termine bei Zahnarzt, Augenarzt und Kinderarzt für die ganze Familie</w:t>
      </w:r>
    </w:p>
    <w:p w14:paraId="432EE759" w14:textId="77777777" w:rsidR="001F7233" w:rsidRDefault="00000000">
      <w:r>
        <w:t>• Lass fehlende oder in den USA zusätzlich verlangte Impfungen nachholen</w:t>
      </w:r>
    </w:p>
    <w:p w14:paraId="796E2163" w14:textId="77777777" w:rsidR="001F7233" w:rsidRDefault="00000000">
      <w:r>
        <w:t>• Lass den Impfpass mit Datum und Impfstoffnamen übersetzen</w:t>
      </w:r>
    </w:p>
    <w:p w14:paraId="1103CDED" w14:textId="77777777" w:rsidR="001F7233" w:rsidRDefault="00000000">
      <w:r>
        <w:t>• Bitte deine Ärzte um einen englischen Arztbrief sowie Bildgebung auf CD, USB-Stick oder im Patientenportal</w:t>
      </w:r>
    </w:p>
    <w:p w14:paraId="59FFB36B" w14:textId="77777777" w:rsidR="001F7233" w:rsidRDefault="00000000">
      <w:r>
        <w:t>• Kläre mit deinem Arzt einen ausreichenden Medikamentenvorrat und lass dir ein englisches Rezept mit Wirkstoffnamen ausstellen.</w:t>
      </w:r>
    </w:p>
    <w:p w14:paraId="41930429" w14:textId="77777777" w:rsidR="001F7233" w:rsidRDefault="00000000">
      <w:r>
        <w:t>• Informiere dich vor der Einreise über Einfuhrregeln für deine konkreten Medikamente bei CBP oder der US-Botschaft</w:t>
      </w:r>
    </w:p>
    <w:p w14:paraId="40136F23" w14:textId="77777777" w:rsidR="001F7233" w:rsidRDefault="00000000">
      <w:r>
        <w:t>• Prüfe bei über 55-Jährigen oder Angestellten über der Versicherungspflichtgrenze die Rückkehroption gesondert (</w:t>
      </w:r>
      <w:hyperlink w:anchor="k42">
        <w:r w:rsidR="001F7233">
          <w:rPr>
            <w:color w:val="0563C1"/>
            <w:u w:val="single"/>
          </w:rPr>
          <w:t>Kapitel 42</w:t>
        </w:r>
      </w:hyperlink>
      <w:r>
        <w:t>)</w:t>
      </w:r>
    </w:p>
    <w:p w14:paraId="449B6E2D" w14:textId="77777777" w:rsidR="001F7233" w:rsidRDefault="001F7233">
      <w:pPr>
        <w:spacing w:line="220" w:lineRule="exact"/>
      </w:pPr>
    </w:p>
    <w:p w14:paraId="19DE93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AD64F8B" w14:textId="77777777" w:rsidR="001F7233" w:rsidRDefault="001F7233">
      <w:pPr>
        <w:pStyle w:val="ListParagraph"/>
        <w:numPr>
          <w:ilvl w:val="0"/>
          <w:numId w:val="1"/>
        </w:numPr>
        <w:spacing w:after="60"/>
      </w:pPr>
      <w:hyperlink r:id="rId267">
        <w:r>
          <w:rPr>
            <w:color w:val="0563C1"/>
            <w:u w:val="single"/>
          </w:rPr>
          <w:t>gesetze-im-internet.de</w:t>
        </w:r>
      </w:hyperlink>
      <w:r>
        <w:t xml:space="preserve"> — SGB V §§ 5, 6, 9, 10, 16, 175, 190, 191; VVG § 193</w:t>
      </w:r>
    </w:p>
    <w:p w14:paraId="5AB63C78" w14:textId="77777777" w:rsidR="001F7233" w:rsidRDefault="00000000">
      <w:pPr>
        <w:pStyle w:val="ListParagraph"/>
        <w:numPr>
          <w:ilvl w:val="0"/>
          <w:numId w:val="1"/>
        </w:numPr>
        <w:spacing w:after="60"/>
      </w:pPr>
      <w:r>
        <w:t>GKV-Spitzenverband — Beitragssätze und Rechengrößen 2026 (</w:t>
      </w:r>
      <w:hyperlink r:id="rId268">
        <w:r w:rsidR="001F7233">
          <w:rPr>
            <w:color w:val="0563C1"/>
            <w:u w:val="single"/>
          </w:rPr>
          <w:t>gkv-spitzenverband.de</w:t>
        </w:r>
      </w:hyperlink>
      <w:r>
        <w:t>)</w:t>
      </w:r>
    </w:p>
    <w:p w14:paraId="1C3AB18B" w14:textId="77777777" w:rsidR="001F7233" w:rsidRDefault="00000000">
      <w:pPr>
        <w:pStyle w:val="ListParagraph"/>
        <w:numPr>
          <w:ilvl w:val="0"/>
          <w:numId w:val="1"/>
        </w:numPr>
        <w:spacing w:after="60"/>
      </w:pPr>
      <w:r>
        <w:t>Techniker Krankenkasse — Anwartschaft bei Auslandsaufenthalt (</w:t>
      </w:r>
      <w:hyperlink r:id="rId269">
        <w:r w:rsidR="001F7233">
          <w:rPr>
            <w:color w:val="0563C1"/>
            <w:u w:val="single"/>
          </w:rPr>
          <w:t>tk.de</w:t>
        </w:r>
      </w:hyperlink>
      <w:r>
        <w:t>)</w:t>
      </w:r>
    </w:p>
    <w:p w14:paraId="12B9F532" w14:textId="77777777" w:rsidR="001F7233" w:rsidRDefault="00000000">
      <w:pPr>
        <w:pStyle w:val="ListParagraph"/>
        <w:numPr>
          <w:ilvl w:val="0"/>
          <w:numId w:val="1"/>
        </w:numPr>
        <w:spacing w:after="60"/>
      </w:pPr>
      <w:r>
        <w:lastRenderedPageBreak/>
        <w:t>KFF — School Vaccine Requirements (</w:t>
      </w:r>
      <w:hyperlink r:id="rId270">
        <w:r w:rsidR="001F7233">
          <w:rPr>
            <w:color w:val="0563C1"/>
            <w:u w:val="single"/>
          </w:rPr>
          <w:t>kff.org</w:t>
        </w:r>
      </w:hyperlink>
      <w:r>
        <w:t>)</w:t>
      </w:r>
    </w:p>
    <w:p w14:paraId="03002E86" w14:textId="77777777" w:rsidR="001F7233" w:rsidRDefault="00000000">
      <w:pPr>
        <w:pStyle w:val="ListParagraph"/>
        <w:numPr>
          <w:ilvl w:val="0"/>
          <w:numId w:val="1"/>
        </w:numPr>
        <w:spacing w:after="60"/>
      </w:pPr>
      <w:r>
        <w:t>CDC — Empfohlener Impfplan für Kinder (</w:t>
      </w:r>
      <w:hyperlink r:id="rId271">
        <w:r w:rsidR="001F7233">
          <w:rPr>
            <w:color w:val="0563C1"/>
            <w:u w:val="single"/>
          </w:rPr>
          <w:t>cdc.gov/vaccines</w:t>
        </w:r>
      </w:hyperlink>
      <w:r>
        <w:t>)</w:t>
      </w:r>
    </w:p>
    <w:p w14:paraId="3905765D" w14:textId="77777777" w:rsidR="001F7233" w:rsidRDefault="00000000">
      <w:pPr>
        <w:pStyle w:val="ListParagraph"/>
        <w:numPr>
          <w:ilvl w:val="0"/>
          <w:numId w:val="1"/>
        </w:numPr>
        <w:spacing w:after="60"/>
      </w:pPr>
      <w:r>
        <w:t>U.S. Customs and Border Protection — Reisen mit Medikamenten (</w:t>
      </w:r>
      <w:hyperlink r:id="rId272">
        <w:r w:rsidR="001F7233">
          <w:rPr>
            <w:color w:val="0563C1"/>
            <w:u w:val="single"/>
          </w:rPr>
          <w:t>cbp.gov</w:t>
        </w:r>
      </w:hyperlink>
      <w:r>
        <w:t>)</w:t>
      </w:r>
    </w:p>
    <w:p w14:paraId="219AA3A8" w14:textId="77777777" w:rsidR="001F7233" w:rsidRDefault="001F7233">
      <w:pPr>
        <w:spacing w:line="120" w:lineRule="exact"/>
      </w:pPr>
    </w:p>
    <w:p w14:paraId="448534A7" w14:textId="77777777" w:rsidR="001F7233" w:rsidRDefault="00000000">
      <w:r>
        <w:t>• Quellen- und Datenstand: September 2026; Redaktionsschluss: Oktober 2026. Beitragssätze und die Anwartschaft legt deine Krankenkasse fest. Prüfe sie dort, bevor du zahlst oder kündigst. Schulimpfpflichten prüfst du beim Schuldistrikt.</w:t>
      </w:r>
    </w:p>
    <w:p w14:paraId="4541D597" w14:textId="77777777" w:rsidR="001F7233" w:rsidRDefault="00000000">
      <w:pPr>
        <w:spacing w:line="220" w:lineRule="exact"/>
      </w:pPr>
      <w:r>
        <w:br w:type="page"/>
      </w:r>
    </w:p>
    <w:p w14:paraId="09ABE36A" w14:textId="77777777" w:rsidR="001F7233" w:rsidRDefault="00000000">
      <w:pPr>
        <w:pStyle w:val="Heading2"/>
        <w:keepNext/>
        <w:spacing w:line="341" w:lineRule="auto"/>
        <w:jc w:val="center"/>
      </w:pPr>
      <w:bookmarkStart w:id="46" w:name="k19"/>
      <w:r>
        <w:rPr>
          <w:rFonts w:ascii="Amazon Ember" w:eastAsia="Amazon Ember" w:hAnsi="Amazon Ember" w:cs="Amazon Ember"/>
          <w:color w:val="0000FF"/>
          <w:sz w:val="36"/>
          <w:szCs w:val="36"/>
        </w:rPr>
        <w:lastRenderedPageBreak/>
        <w:t>Kapitel 19: Dokumente, Übersetzungen, Apostillen</w:t>
      </w:r>
      <w:bookmarkEnd w:id="46"/>
    </w:p>
    <w:p w14:paraId="22402004" w14:textId="77777777" w:rsidR="001F7233" w:rsidRDefault="00000000">
      <w:pPr>
        <w:spacing w:after="140"/>
      </w:pPr>
      <w:r>
        <w:t xml:space="preserve">Zwei Wochen vor dem Abflug schreibt die künftige Grundschule: Für die Anmeldung fehlen Geburtsurkunde, Impfnachweis und Zeugnisse, bitte auf Englisch. Die Originale liegen in einem Ordner im Umzugscontainer, irgendwo auf dem Atlantik. Papierkram wirkt unspektakulär, bis ein Dokument fehlt. Welche Apostille das Zielland für das deutsche Führungszeugnis verlangt, steht in </w:t>
      </w:r>
      <w:hyperlink w:anchor="t0003">
        <w:r w:rsidR="001F7233">
          <w:rPr>
            <w:color w:val="0563C1"/>
            <w:u w:val="single"/>
          </w:rPr>
          <w:t>Deutschland vor dem Abflug</w:t>
        </w:r>
      </w:hyperlink>
      <w:r>
        <w:t>. Dieses Kapitel ist der USA-Zusatz: welche Unterlagen die Schule, der Arbeitgeber und das Konsulat sehen wollen.</w:t>
      </w:r>
    </w:p>
    <w:p w14:paraId="11191060" w14:textId="77777777" w:rsidR="001F7233" w:rsidRDefault="00000000">
      <w:r>
        <w:rPr>
          <w:b/>
        </w:rPr>
        <w:t xml:space="preserve">KURZ GESAGT: </w:t>
      </w:r>
    </w:p>
    <w:p w14:paraId="0995DAF7" w14:textId="77777777" w:rsidR="001F7233" w:rsidRDefault="00000000">
      <w:r>
        <w:t>• Für Petition und Visum genügt meist eine vollständige englische Übersetzung mit Erklärung des Übersetzers; „vereidigt“ verlangt USCIS nicht. Eine Apostille brauchst du nur, wenn eine US-Stelle sie ausdrücklich fordert.</w:t>
      </w:r>
    </w:p>
    <w:p w14:paraId="54FDF006" w14:textId="77777777" w:rsidR="001F7233" w:rsidRDefault="00000000">
      <w:r>
        <w:t>• Apostillen stellen Landes- oder Bundesbehörden aus: meist 15–40 €, Dauer je nach Land etwa zwei bis zehn Wochen. Konsulate stellen keine aus.</w:t>
      </w:r>
    </w:p>
    <w:p w14:paraId="2CEDFC29" w14:textId="77777777" w:rsidR="001F7233" w:rsidRDefault="00000000">
      <w:r>
        <w:t>• Das Bewertungsgutachten für deinen Abschluss (WES oder ECE, ca. 110–240 $) ist für H-1B das wichtigste Papier. Es muss vor der Registrierung im März stehen.</w:t>
      </w:r>
    </w:p>
    <w:p w14:paraId="40EF6C8A" w14:textId="77777777" w:rsidR="001F7233" w:rsidRDefault="00000000">
      <w:r>
        <w:t>• Ärzte, Pflegekräfte, Lehrer, Handwerker und Ingenieure mit Prüfverantwortung brauchen eine Lizenz des Bundesstaats. Der Vorlauf reicht von Monaten bis zu Jahren.</w:t>
      </w:r>
    </w:p>
    <w:p w14:paraId="3C23B416" w14:textId="77777777" w:rsidR="001F7233" w:rsidRDefault="00000000">
      <w:r>
        <w:t>• Reisepässe müssen den ganzen Aufenthalt abdecken; Kinderreisepässe gibt es nicht mehr. Erneuere im Inland, bevor du das Visum beantragst.</w:t>
      </w:r>
    </w:p>
    <w:p w14:paraId="40C0948C" w14:textId="77777777" w:rsidR="001F7233" w:rsidRDefault="00000000">
      <w:r>
        <w:t>• Originale gehören ins Handgepäck, Scans verschlüsselt in die Cloud.</w:t>
      </w:r>
    </w:p>
    <w:p w14:paraId="370F8F8F" w14:textId="77777777" w:rsidR="001F7233" w:rsidRDefault="001F7233">
      <w:pPr>
        <w:spacing w:line="220" w:lineRule="exact"/>
      </w:pPr>
    </w:p>
    <w:p w14:paraId="6B032C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Dokumentenliste: was du wofür brauchst</w:t>
      </w:r>
    </w:p>
    <w:p w14:paraId="73CE21C1" w14:textId="77777777" w:rsidR="001F7233" w:rsidRDefault="00000000">
      <w:pPr>
        <w:spacing w:after="140"/>
      </w:pPr>
      <w:r>
        <w:t>Nicht jede Person braucht jede Unterlage – die Tabelle zeigt, was bei Fachkräften mit Familie typisch anfällt. Für H-1B und H-4 wollen USCIS und Konsulat vor allem Pass, Abschluss samt Bewertung, Berufsnachweise und bei Angehörigen Heirats- und Geburtsurkunden sehen; die Mappe für das Interview steht in Kapitel </w:t>
      </w:r>
      <w:hyperlink w:anchor="k11">
        <w:r w:rsidR="001F7233">
          <w:t>11</w:t>
        </w:r>
      </w:hyperlink>
      <w:r>
        <w:t>.</w:t>
      </w:r>
    </w:p>
    <w:p w14:paraId="45F1D66F" w14:textId="77777777" w:rsidR="001F7233" w:rsidRDefault="00000000">
      <w:r>
        <w:rPr>
          <w:b/>
        </w:rPr>
        <w:t>Reisepass, jede Person</w:t>
      </w:r>
    </w:p>
    <w:p w14:paraId="69BC3AC3" w14:textId="77777777" w:rsidR="001F7233" w:rsidRDefault="00000000">
      <w:r>
        <w:rPr>
          <w:b/>
        </w:rPr>
        <w:t xml:space="preserve">Wofür: </w:t>
      </w:r>
      <w:r>
        <w:t>Registrierung, Visum, Einreise</w:t>
      </w:r>
    </w:p>
    <w:p w14:paraId="75272DE4" w14:textId="77777777" w:rsidR="001F7233" w:rsidRDefault="00000000">
      <w:r>
        <w:rPr>
          <w:b/>
        </w:rPr>
        <w:t xml:space="preserve">Apostille/Übersetzung: </w:t>
      </w:r>
      <w:r>
        <w:t>keine</w:t>
      </w:r>
    </w:p>
    <w:p w14:paraId="7B1888F9" w14:textId="77777777" w:rsidR="001F7233" w:rsidRDefault="00000000">
      <w:r>
        <w:rPr>
          <w:b/>
        </w:rPr>
        <w:t xml:space="preserve">Dauer und Kosten: </w:t>
      </w:r>
      <w:r>
        <w:t>Inland 3–4 Wochen, Express 3 Werktage; 70 € (ab 24 Jahren), 37,50 € (darunter)</w:t>
      </w:r>
    </w:p>
    <w:p w14:paraId="774BB01D" w14:textId="77777777" w:rsidR="001F7233" w:rsidRDefault="00000000">
      <w:r>
        <w:rPr>
          <w:b/>
        </w:rPr>
        <w:t>Geburts- und Heiratsurkunde (internationale Ausfertigung)</w:t>
      </w:r>
    </w:p>
    <w:p w14:paraId="2DB04BE3" w14:textId="77777777" w:rsidR="001F7233" w:rsidRDefault="00000000">
      <w:r>
        <w:rPr>
          <w:b/>
        </w:rPr>
        <w:t xml:space="preserve">Wofür: </w:t>
      </w:r>
      <w:r>
        <w:t>H-4-Visum, Green Card, Schule</w:t>
      </w:r>
    </w:p>
    <w:p w14:paraId="5F5C06F9" w14:textId="77777777" w:rsidR="001F7233" w:rsidRDefault="00000000">
      <w:r>
        <w:rPr>
          <w:b/>
        </w:rPr>
        <w:t xml:space="preserve">Apostille/Übersetzung: </w:t>
      </w:r>
      <w:r>
        <w:t>Übersetzung auf Verlangen; Apostille nur, wenn gefordert</w:t>
      </w:r>
    </w:p>
    <w:p w14:paraId="6884718B" w14:textId="77777777" w:rsidR="001F7233" w:rsidRDefault="00000000">
      <w:r>
        <w:rPr>
          <w:b/>
        </w:rPr>
        <w:t xml:space="preserve">Dauer und Kosten: </w:t>
      </w:r>
      <w:r>
        <w:t>Standesamt, meist 10–15 € je Urkunde; Dauer erfragen</w:t>
      </w:r>
    </w:p>
    <w:p w14:paraId="3C04E1B3" w14:textId="77777777" w:rsidR="001F7233" w:rsidRDefault="00000000">
      <w:r>
        <w:rPr>
          <w:b/>
        </w:rPr>
        <w:t>Diplom und Zeugnisse</w:t>
      </w:r>
    </w:p>
    <w:p w14:paraId="225361B4" w14:textId="77777777" w:rsidR="001F7233" w:rsidRDefault="00000000">
      <w:r>
        <w:rPr>
          <w:b/>
        </w:rPr>
        <w:t xml:space="preserve">Wofür: </w:t>
      </w:r>
      <w:r>
        <w:t>Zeugnisbewertung, Lizenz</w:t>
      </w:r>
    </w:p>
    <w:p w14:paraId="73D7E96A" w14:textId="77777777" w:rsidR="001F7233" w:rsidRDefault="00000000">
      <w:r>
        <w:rPr>
          <w:b/>
        </w:rPr>
        <w:t xml:space="preserve">Apostille/Übersetzung: </w:t>
      </w:r>
      <w:r>
        <w:t>Übersetzung ja; Apostille nur auf Verlangen</w:t>
      </w:r>
    </w:p>
    <w:p w14:paraId="3D227C19" w14:textId="77777777" w:rsidR="001F7233" w:rsidRDefault="00000000">
      <w:r>
        <w:rPr>
          <w:b/>
        </w:rPr>
        <w:t xml:space="preserve">Dauer und Kosten: </w:t>
      </w:r>
      <w:r>
        <w:t>beglaubigte Kopien beim Hochschulsekretariat</w:t>
      </w:r>
    </w:p>
    <w:p w14:paraId="6EFF96D5" w14:textId="77777777" w:rsidR="001F7233" w:rsidRDefault="00000000">
      <w:r>
        <w:rPr>
          <w:b/>
        </w:rPr>
        <w:t>Zeugnisbewertung</w:t>
      </w:r>
    </w:p>
    <w:p w14:paraId="5E4A5BB8" w14:textId="77777777" w:rsidR="001F7233" w:rsidRDefault="00000000">
      <w:r>
        <w:rPr>
          <w:b/>
        </w:rPr>
        <w:t xml:space="preserve">Wofür: </w:t>
      </w:r>
      <w:r>
        <w:t>H-1B, Hochschule, Lizenz</w:t>
      </w:r>
    </w:p>
    <w:p w14:paraId="65AD82E0" w14:textId="77777777" w:rsidR="001F7233" w:rsidRDefault="00000000">
      <w:r>
        <w:rPr>
          <w:b/>
        </w:rPr>
        <w:t xml:space="preserve">Apostille/Übersetzung: </w:t>
      </w:r>
      <w:r>
        <w:t>–</w:t>
      </w:r>
    </w:p>
    <w:p w14:paraId="4C82ADD5" w14:textId="77777777" w:rsidR="001F7233" w:rsidRDefault="00000000">
      <w:r>
        <w:rPr>
          <w:b/>
        </w:rPr>
        <w:t xml:space="preserve">Dauer und Kosten: </w:t>
      </w:r>
      <w:r>
        <w:t>110–240 $, mehrere Wochen</w:t>
      </w:r>
    </w:p>
    <w:p w14:paraId="4C5391C8" w14:textId="77777777" w:rsidR="001F7233" w:rsidRDefault="00000000">
      <w:r>
        <w:rPr>
          <w:b/>
        </w:rPr>
        <w:t>Arbeitszeugnisse, Arbeitsverträge</w:t>
      </w:r>
    </w:p>
    <w:p w14:paraId="3D0C717C" w14:textId="77777777" w:rsidR="001F7233" w:rsidRDefault="00000000">
      <w:r>
        <w:rPr>
          <w:b/>
        </w:rPr>
        <w:t xml:space="preserve">Wofür: </w:t>
      </w:r>
      <w:r>
        <w:t>Berufserfahrung belegen</w:t>
      </w:r>
    </w:p>
    <w:p w14:paraId="216A74FF" w14:textId="77777777" w:rsidR="001F7233" w:rsidRDefault="00000000">
      <w:r>
        <w:rPr>
          <w:b/>
        </w:rPr>
        <w:t xml:space="preserve">Apostille/Übersetzung: </w:t>
      </w:r>
      <w:r>
        <w:t>Übersetzung ja</w:t>
      </w:r>
    </w:p>
    <w:p w14:paraId="0C17110A" w14:textId="77777777" w:rsidR="001F7233" w:rsidRDefault="00000000">
      <w:r>
        <w:rPr>
          <w:b/>
        </w:rPr>
        <w:t xml:space="preserve">Dauer und Kosten: </w:t>
      </w:r>
      <w:r>
        <w:t>beim Arbeitgeber anfordern</w:t>
      </w:r>
    </w:p>
    <w:p w14:paraId="6BF55B29" w14:textId="77777777" w:rsidR="001F7233" w:rsidRDefault="00000000">
      <w:r>
        <w:rPr>
          <w:b/>
        </w:rPr>
        <w:lastRenderedPageBreak/>
        <w:t>Führungszeugnis</w:t>
      </w:r>
    </w:p>
    <w:p w14:paraId="3EB72C61" w14:textId="77777777" w:rsidR="001F7233" w:rsidRDefault="00000000">
      <w:r>
        <w:rPr>
          <w:b/>
        </w:rPr>
        <w:t xml:space="preserve">Wofür: </w:t>
      </w:r>
      <w:r>
        <w:t>Green Card im Konsularverfahren, Lizenzen</w:t>
      </w:r>
    </w:p>
    <w:p w14:paraId="142E6214" w14:textId="77777777" w:rsidR="001F7233" w:rsidRDefault="00000000">
      <w:r>
        <w:rPr>
          <w:b/>
        </w:rPr>
        <w:t xml:space="preserve">Apostille/Übersetzung: </w:t>
      </w:r>
      <w:r>
        <w:t>Übersetzung ja; Apostille über das BfAA</w:t>
      </w:r>
    </w:p>
    <w:p w14:paraId="52754EC3" w14:textId="77777777" w:rsidR="001F7233" w:rsidRDefault="00000000">
      <w:r>
        <w:rPr>
          <w:b/>
        </w:rPr>
        <w:t xml:space="preserve">Dauer und Kosten: </w:t>
      </w:r>
      <w:r>
        <w:t>13 €, Apostille ab 22 €; Wochen</w:t>
      </w:r>
    </w:p>
    <w:p w14:paraId="795B8333" w14:textId="77777777" w:rsidR="001F7233" w:rsidRDefault="00000000">
      <w:r>
        <w:rPr>
          <w:b/>
        </w:rPr>
        <w:t>Führerschein</w:t>
      </w:r>
    </w:p>
    <w:p w14:paraId="46C53F1A" w14:textId="77777777" w:rsidR="001F7233" w:rsidRDefault="00000000">
      <w:r>
        <w:rPr>
          <w:b/>
        </w:rPr>
        <w:t xml:space="preserve">Wofür: </w:t>
      </w:r>
      <w:r>
        <w:t>Fahren, Ausweis, Versicherung</w:t>
      </w:r>
    </w:p>
    <w:p w14:paraId="1812A0CA" w14:textId="77777777" w:rsidR="001F7233" w:rsidRDefault="00000000">
      <w:r>
        <w:rPr>
          <w:b/>
        </w:rPr>
        <w:t xml:space="preserve">Apostille/Übersetzung: </w:t>
      </w:r>
      <w:r>
        <w:t>je Bundesstaat verschieden (</w:t>
      </w:r>
      <w:hyperlink w:anchor="k27">
        <w:r w:rsidR="001F7233">
          <w:rPr>
            <w:rStyle w:val="Hyperlink"/>
          </w:rPr>
          <w:t>Kapitel 27</w:t>
        </w:r>
      </w:hyperlink>
      <w:r>
        <w:t>)</w:t>
      </w:r>
    </w:p>
    <w:p w14:paraId="1DAF1EC8" w14:textId="77777777" w:rsidR="001F7233" w:rsidRDefault="00000000">
      <w:r>
        <w:rPr>
          <w:b/>
        </w:rPr>
        <w:t xml:space="preserve">Dauer und Kosten: </w:t>
      </w:r>
      <w:r>
        <w:t>Original mitnehmen</w:t>
      </w:r>
    </w:p>
    <w:p w14:paraId="623C9760" w14:textId="77777777" w:rsidR="001F7233" w:rsidRDefault="00000000">
      <w:r>
        <w:rPr>
          <w:b/>
        </w:rPr>
        <w:t>Impfpass, Schulzeugnisse der Kinder</w:t>
      </w:r>
    </w:p>
    <w:p w14:paraId="49882AF8" w14:textId="77777777" w:rsidR="001F7233" w:rsidRDefault="00000000">
      <w:r>
        <w:rPr>
          <w:b/>
        </w:rPr>
        <w:t xml:space="preserve">Wofür: </w:t>
      </w:r>
      <w:r>
        <w:t>Schule, Kita, Arzt</w:t>
      </w:r>
    </w:p>
    <w:p w14:paraId="07E557EB" w14:textId="77777777" w:rsidR="001F7233" w:rsidRDefault="00000000">
      <w:r>
        <w:rPr>
          <w:b/>
        </w:rPr>
        <w:t xml:space="preserve">Apostille/Übersetzung: </w:t>
      </w:r>
      <w:r>
        <w:t>Übersetzung; die Schule entscheidet (</w:t>
      </w:r>
      <w:hyperlink w:anchor="k18">
        <w:r w:rsidR="001F7233">
          <w:rPr>
            <w:rStyle w:val="Hyperlink"/>
          </w:rPr>
          <w:t>Kapitel 18</w:t>
        </w:r>
      </w:hyperlink>
      <w:r>
        <w:t>, 36)</w:t>
      </w:r>
    </w:p>
    <w:p w14:paraId="046A9476" w14:textId="77777777" w:rsidR="001F7233" w:rsidRDefault="00000000">
      <w:r>
        <w:rPr>
          <w:b/>
        </w:rPr>
        <w:t xml:space="preserve">Dauer und Kosten: </w:t>
      </w:r>
      <w:r>
        <w:t>Arztpraxis, Schulsekretariat</w:t>
      </w:r>
    </w:p>
    <w:p w14:paraId="07CE2E4A" w14:textId="77777777" w:rsidR="001F7233" w:rsidRDefault="00000000">
      <w:r>
        <w:rPr>
          <w:b/>
        </w:rPr>
        <w:t>Steuerbescheide, Gehaltsabrechnungen</w:t>
      </w:r>
    </w:p>
    <w:p w14:paraId="0BD281F0" w14:textId="77777777" w:rsidR="001F7233" w:rsidRDefault="00000000">
      <w:r>
        <w:rPr>
          <w:b/>
        </w:rPr>
        <w:t xml:space="preserve">Wofür: </w:t>
      </w:r>
      <w:r>
        <w:t>Mietbewerbung, Kredit</w:t>
      </w:r>
    </w:p>
    <w:p w14:paraId="25CF7861" w14:textId="77777777" w:rsidR="001F7233" w:rsidRDefault="00000000">
      <w:r>
        <w:rPr>
          <w:b/>
        </w:rPr>
        <w:t xml:space="preserve">Apostille/Übersetzung: </w:t>
      </w:r>
      <w:r>
        <w:t>Übersetzung nur auf Anfrage</w:t>
      </w:r>
    </w:p>
    <w:p w14:paraId="2349F0D0" w14:textId="77777777" w:rsidR="001F7233" w:rsidRDefault="00000000">
      <w:r>
        <w:rPr>
          <w:b/>
        </w:rPr>
        <w:t xml:space="preserve">Dauer und Kosten: </w:t>
      </w:r>
      <w:r>
        <w:t>Kopien der letzten Jahre</w:t>
      </w:r>
    </w:p>
    <w:p w14:paraId="66A831A7" w14:textId="77777777" w:rsidR="001F7233" w:rsidRDefault="00000000">
      <w:r>
        <w:rPr>
          <w:b/>
        </w:rPr>
        <w:t>SF-Klassen-Nachweis (Schadenfreiheitsbescheinigung)</w:t>
      </w:r>
    </w:p>
    <w:p w14:paraId="5D85C88E" w14:textId="77777777" w:rsidR="001F7233" w:rsidRDefault="00000000">
      <w:r>
        <w:rPr>
          <w:b/>
        </w:rPr>
        <w:t xml:space="preserve">Wofür: </w:t>
      </w:r>
      <w:r>
        <w:t>US-Autoversicherung (</w:t>
      </w:r>
      <w:hyperlink w:anchor="k25">
        <w:r w:rsidR="001F7233">
          <w:rPr>
            <w:rStyle w:val="Hyperlink"/>
          </w:rPr>
          <w:t>Kapitel 25</w:t>
        </w:r>
      </w:hyperlink>
      <w:r>
        <w:t>)</w:t>
      </w:r>
    </w:p>
    <w:p w14:paraId="706BD736" w14:textId="77777777" w:rsidR="001F7233" w:rsidRDefault="00000000">
      <w:r>
        <w:rPr>
          <w:b/>
        </w:rPr>
        <w:t xml:space="preserve">Apostille/Übersetzung: </w:t>
      </w:r>
      <w:r>
        <w:t>englische Fassung anfordern</w:t>
      </w:r>
    </w:p>
    <w:p w14:paraId="742C1478" w14:textId="77777777" w:rsidR="001F7233" w:rsidRDefault="00000000">
      <w:r>
        <w:rPr>
          <w:b/>
        </w:rPr>
        <w:t xml:space="preserve">Dauer und Kosten: </w:t>
      </w:r>
      <w:r>
        <w:t>beim Versicherer; Anerkennung uneinheitlich</w:t>
      </w:r>
    </w:p>
    <w:p w14:paraId="5A1A487D" w14:textId="77777777" w:rsidR="001F7233" w:rsidRDefault="001F7233">
      <w:pPr>
        <w:spacing w:line="180" w:lineRule="exact"/>
      </w:pPr>
    </w:p>
    <w:p w14:paraId="3D5BB7DB" w14:textId="77777777" w:rsidR="001F7233" w:rsidRDefault="00000000">
      <w:pPr>
        <w:spacing w:after="140"/>
      </w:pPr>
      <w:r>
        <w:t>Einkommensnachweise helfen später bei Miete und Kredit, denn dein deutscher Schufa-Score gilt in den USA nicht (Kapitel </w:t>
      </w:r>
      <w:hyperlink w:anchor="k13">
        <w:r w:rsidR="001F7233">
          <w:t>13</w:t>
        </w:r>
      </w:hyperlink>
      <w:r>
        <w:t xml:space="preserve">, </w:t>
      </w:r>
      <w:hyperlink w:anchor="k25">
        <w:r w:rsidR="001F7233">
          <w:t>25</w:t>
        </w:r>
      </w:hyperlink>
      <w:r>
        <w:t>).</w:t>
      </w:r>
    </w:p>
    <w:p w14:paraId="02A91B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Apostille: Echtheitsvermerk für Sonderfälle</w:t>
      </w:r>
    </w:p>
    <w:p w14:paraId="2C869BFF" w14:textId="77777777" w:rsidR="001F7233" w:rsidRDefault="00000000">
      <w:pPr>
        <w:spacing w:after="140"/>
      </w:pPr>
      <w:r>
        <w:t xml:space="preserve">Eine Apostille bestätigt die Echtheit der Unterschrift und die Befugnis des Ausstellers, nicht den Inhalt der Urkunde. Grundlage ist das Haager Übereinkommen von 1961, dem Deutschland und die USA angehören. Verbreiteter Irrtum: Viele lassen vorsorglich jede Urkunde mit Apostille versehen, weil das Wort so amtlich-endgültig klingt. Für Petition und Visum ist sie nach den veröffentlichten </w:t>
      </w:r>
      <w:r>
        <w:lastRenderedPageBreak/>
        <w:t>USCIS-Anforderungen aber meist gar nicht nötig (Datenstand September 2026, geprüft im Oktober 2026); frag die Kanzlei, bevor du bestellst. Fordern kann sie jede US-Stelle, die deutsche Urkunden prüfen will. Etwa eine Lizenzbehörde, ein Gericht oder eine Hochschule.</w:t>
      </w:r>
    </w:p>
    <w:p w14:paraId="431B5F41" w14:textId="77777777" w:rsidR="001F7233" w:rsidRDefault="00000000">
      <w:pPr>
        <w:spacing w:after="140"/>
      </w:pPr>
      <w:r>
        <w:t>Wer sie ausstellt, hängt von der Urkunde ab:</w:t>
      </w:r>
    </w:p>
    <w:p w14:paraId="0C221463" w14:textId="77777777" w:rsidR="001F7233" w:rsidRDefault="00000000">
      <w:pPr>
        <w:pStyle w:val="ListParagraph"/>
        <w:numPr>
          <w:ilvl w:val="0"/>
          <w:numId w:val="1"/>
        </w:numPr>
        <w:spacing w:after="60"/>
      </w:pPr>
      <w:r>
        <w:t>Notarielle Urkunden: die Präsidentin oder der Präsident des Landgerichts.</w:t>
      </w:r>
    </w:p>
    <w:p w14:paraId="1274D04A" w14:textId="77777777" w:rsidR="001F7233" w:rsidRDefault="00000000">
      <w:pPr>
        <w:pStyle w:val="ListParagraph"/>
        <w:numPr>
          <w:ilvl w:val="0"/>
          <w:numId w:val="1"/>
        </w:numPr>
        <w:spacing w:after="60"/>
      </w:pPr>
      <w:r>
        <w:t>Personenstandsurkunden (Geburt, Heirat): Regierungspräsidium, Bezirksregierung oder Landesministerium, je nach Bundesland.</w:t>
      </w:r>
    </w:p>
    <w:p w14:paraId="266774CF" w14:textId="77777777" w:rsidR="001F7233" w:rsidRDefault="00000000">
      <w:pPr>
        <w:pStyle w:val="ListParagraph"/>
        <w:numPr>
          <w:ilvl w:val="0"/>
          <w:numId w:val="1"/>
        </w:numPr>
        <w:spacing w:after="60"/>
      </w:pPr>
      <w:r>
        <w:t>Bundesurkunden wie das Führungszeugnis: das Bundesamt für Auswärtige Angelegenheiten (BfAA) in Brandenburg an der Havel, nach Vorbeglaubigung durch die ausstellende Bundesbehörde; 22 € je Beglaubigung seit 1. Juli 2025.</w:t>
      </w:r>
    </w:p>
    <w:p w14:paraId="69F8FF70" w14:textId="77777777" w:rsidR="001F7233" w:rsidRDefault="00000000">
      <w:pPr>
        <w:pStyle w:val="ListParagraph"/>
        <w:numPr>
          <w:ilvl w:val="0"/>
          <w:numId w:val="1"/>
        </w:numPr>
        <w:spacing w:after="60"/>
      </w:pPr>
      <w:r>
        <w:t>Deutsche Botschaften und Konsulate: stellen keine Apostillen aus.</w:t>
      </w:r>
    </w:p>
    <w:p w14:paraId="106C6E84" w14:textId="77777777" w:rsidR="001F7233" w:rsidRDefault="00000000">
      <w:pPr>
        <w:pStyle w:val="ListParagraph"/>
        <w:numPr>
          <w:ilvl w:val="0"/>
          <w:numId w:val="1"/>
        </w:numPr>
        <w:spacing w:after="60"/>
      </w:pPr>
      <w:r>
        <w:t xml:space="preserve">US-Urkunden, etwa die Geburtsurkunde eines dort geborenen Kindes: der </w:t>
      </w:r>
      <w:r>
        <w:rPr>
          <w:i/>
          <w:iCs/>
        </w:rPr>
        <w:t>Secretary of State</w:t>
      </w:r>
      <w:r>
        <w:t xml:space="preserve"> des Bundesstaats (Kapitel </w:t>
      </w:r>
      <w:hyperlink w:anchor="k41">
        <w:r w:rsidR="001F7233">
          <w:t>41</w:t>
        </w:r>
      </w:hyperlink>
      <w:r>
        <w:t xml:space="preserve">, </w:t>
      </w:r>
      <w:hyperlink w:anchor="k42">
        <w:r w:rsidR="001F7233">
          <w:t>42</w:t>
        </w:r>
      </w:hyperlink>
      <w:r>
        <w:t>).</w:t>
      </w:r>
    </w:p>
    <w:p w14:paraId="2AD876FA" w14:textId="77777777" w:rsidR="001F7233" w:rsidRDefault="001F7233">
      <w:pPr>
        <w:spacing w:line="120" w:lineRule="exact"/>
      </w:pPr>
    </w:p>
    <w:p w14:paraId="4D591110" w14:textId="77777777" w:rsidR="001F7233" w:rsidRDefault="00000000">
      <w:pPr>
        <w:spacing w:after="140"/>
      </w:pPr>
      <w:r>
        <w:t>Landesbehörden verlangen laut ihren Websites meist 15–40 € je Apostille (Berlin 19 €, Baden-Württemberg 25 €). Die Bearbeitung dauert in Berlin etwa zwei Wochen, in Mittelfranken drei bis vier Wochen samt Post, in Düsseldorf und Baden-Württemberg acht bis zehn Wochen. Das Auswärtige Amt selbst spricht von langen Wartezeiten.</w:t>
      </w:r>
    </w:p>
    <w:p w14:paraId="6CF06E26" w14:textId="77777777" w:rsidR="001F7233" w:rsidRDefault="00000000">
      <w:r>
        <w:rPr>
          <w:b/>
        </w:rPr>
        <w:t xml:space="preserve">ACHTUNG: </w:t>
      </w:r>
    </w:p>
    <w:p w14:paraId="5EBE91C0" w14:textId="77777777" w:rsidR="001F7233" w:rsidRDefault="00000000">
      <w:r>
        <w:t>• Eine Apostille gehört zu genau einer Urkunde. Brauchst du sie für mehrere Stellen, sind mehrere Ausfertigungen nötig. Bestelle sie nicht auf Verdacht, aber starte sofort, wenn eine US-Stelle sie schriftlich fordert: Bis zu zehn Wochen sind realistisch.</w:t>
      </w:r>
    </w:p>
    <w:p w14:paraId="4FEA6CF5" w14:textId="77777777" w:rsidR="001F7233" w:rsidRDefault="001F7233">
      <w:pPr>
        <w:spacing w:line="220" w:lineRule="exact"/>
      </w:pPr>
    </w:p>
    <w:p w14:paraId="6F62D6A8" w14:textId="77777777" w:rsidR="001F7233" w:rsidRDefault="00000000">
      <w:r>
        <w:rPr>
          <w:b/>
        </w:rPr>
        <w:t xml:space="preserve">SPARTIPP: </w:t>
      </w:r>
    </w:p>
    <w:p w14:paraId="3DD1DB33" w14:textId="77777777" w:rsidR="001F7233" w:rsidRDefault="00000000">
      <w:r>
        <w:lastRenderedPageBreak/>
        <w:t>• Bestelle Geburts- und Heiratsurkunden als mehrsprachige internationale Ausfertigung beim Standesamt des Geburts- oder Heiratsorts, gleich zwei- bis dreimal. Das Auswärtige Amt empfiehlt sie für die USA. Konsulate stellen sie nicht aus, und jede Nachbestellung kostet Gebühr und Zeit.</w:t>
      </w:r>
    </w:p>
    <w:p w14:paraId="36D30A38" w14:textId="77777777" w:rsidR="001F7233" w:rsidRDefault="001F7233">
      <w:pPr>
        <w:spacing w:line="220" w:lineRule="exact"/>
      </w:pPr>
    </w:p>
    <w:p w14:paraId="593BE64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Übersetzungen: was USCIS und das Konsulat verlangen</w:t>
      </w:r>
    </w:p>
    <w:p w14:paraId="69FD1245" w14:textId="77777777" w:rsidR="001F7233" w:rsidRDefault="00000000">
      <w:pPr>
        <w:spacing w:after="140"/>
      </w:pPr>
      <w:r>
        <w:rPr>
          <w:i/>
          <w:iCs/>
        </w:rPr>
        <w:t>USCIS verlangt für jede fremdsprachige Unterlage eine vollständige englische Übersetzung. Der Übersetzer bescheinigt schriftlich, dass sie vollständig und richtig ist und dass er das Englische und die Ausgangssprache beherrscht (8 CFR 103.2(b)(3)). Verbreiteter Irrtum: Viele glauben, sie bräuchten eine vereidigte oder notariell beglaubigte Übersetzung wie in Deutschland üblich. Tatsächlich ist das keine Voraussetzung. In Deutschland denkt man bei „beglaubigt“ an den Stempel eines ermächtigten Übersetzers. Für USCIS zählt allein die Bescheinigung (Certificate of Accuracy) mit Name, Anschrift, Datum und Unterschrift des Übersetzers. Ratsam ist ein unabhängiger Übersetzer oder ein Übersetzungsbüro, nicht du selbst oder Verwandte.</w:t>
      </w:r>
    </w:p>
    <w:p w14:paraId="2CB2C5EC" w14:textId="77777777" w:rsidR="001F7233" w:rsidRDefault="00000000">
      <w:pPr>
        <w:spacing w:after="140"/>
      </w:pPr>
      <w:r>
        <w:t>Beim Einwanderervisum akzeptiert das Generalkonsulat Frankfurt nach seiner Checkliste Unterlagen auf Deutsch und Englisch; für andere Sprachen verlangt es eine Übersetzung durch einen kompetenten, registrierten Übersetzer. Zum H-1B-Interview nimmst du Diplome, Zeugnisse und vorhandene Übersetzungen mit (Kapitel </w:t>
      </w:r>
      <w:hyperlink w:anchor="k11">
        <w:r w:rsidR="001F7233">
          <w:t>11</w:t>
        </w:r>
      </w:hyperlink>
      <w:r>
        <w:t>).</w:t>
      </w:r>
    </w:p>
    <w:p w14:paraId="615FB4F1" w14:textId="77777777" w:rsidR="001F7233" w:rsidRDefault="00000000">
      <w:pPr>
        <w:spacing w:after="140"/>
      </w:pPr>
      <w:r>
        <w:t>Zeugnisse sind Fachtexte. Hole von zwei Büros Angebote mit Scans ein (abgerechnet wird meist pro Seite oder Normzeile), gib die Notenskala mit an und lass gleich mehrere Ausfertigungen anfertigen.</w:t>
      </w:r>
    </w:p>
    <w:p w14:paraId="2FAD62F5" w14:textId="77777777" w:rsidR="001F7233" w:rsidRDefault="00000000">
      <w:r>
        <w:rPr>
          <w:b/>
        </w:rPr>
        <w:t xml:space="preserve">ACHTUNG: </w:t>
      </w:r>
    </w:p>
    <w:p w14:paraId="29BA2FF1" w14:textId="77777777" w:rsidR="001F7233" w:rsidRDefault="00000000">
      <w:r>
        <w:lastRenderedPageBreak/>
        <w:t>• Lass Namen exakt wie im Reisepass schreiben, mit Umlauten und dem richtigen Namen (Geburts- oder Ehename). Weichen Zeugnisse, Urkunden und Pass voneinander ab, dient die Heiratsurkunde als Brücke. Abweichungen zwischen DS-160, Petition und Belegen können Nachfragen auslösen.</w:t>
      </w:r>
    </w:p>
    <w:p w14:paraId="66CDE958" w14:textId="77777777" w:rsidR="001F7233" w:rsidRDefault="001F7233">
      <w:pPr>
        <w:spacing w:line="220" w:lineRule="exact"/>
      </w:pPr>
    </w:p>
    <w:p w14:paraId="047DC9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Polizeizeugnisse</w:t>
      </w:r>
    </w:p>
    <w:p w14:paraId="68961F9B" w14:textId="77777777" w:rsidR="001F7233" w:rsidRDefault="00000000">
      <w:pPr>
        <w:spacing w:after="140"/>
      </w:pPr>
      <w:r>
        <w:t>Für Petition und Visum brauchst du meist keins. Verlangt wird es bei der Green Card im Konsularverfahren (Kapitel </w:t>
      </w:r>
      <w:hyperlink w:anchor="k6">
        <w:r w:rsidR="001F7233">
          <w:t>6</w:t>
        </w:r>
      </w:hyperlink>
      <w:r>
        <w:t>), bei manchen Lizenzen und bei Arbeitgebern mit Hintergrundprüfung (</w:t>
      </w:r>
      <w:r>
        <w:rPr>
          <w:i/>
          <w:iCs/>
        </w:rPr>
        <w:t>Background Check</w:t>
      </w:r>
      <w:r>
        <w:t>). Beantragst du die Green Card im Inland (Form I-485), fordert USCIS Polizei- und Gerichtsakten nur bei Festnahmen, Anklagen oder Verurteilungen.</w:t>
      </w:r>
    </w:p>
    <w:p w14:paraId="62476622" w14:textId="77777777" w:rsidR="001F7233" w:rsidRDefault="00000000">
      <w:pPr>
        <w:spacing w:after="140"/>
      </w:pPr>
      <w:r>
        <w:t xml:space="preserve">In Deutschland beantragst du das Zeugnis bei der Meldebehörde oder online über </w:t>
      </w:r>
      <w:hyperlink r:id="rId273">
        <w:r w:rsidR="001F7233">
          <w:rPr>
            <w:color w:val="0563C1"/>
            <w:u w:val="single"/>
          </w:rPr>
          <w:t>fuehrungszeugnis.bund.de</w:t>
        </w:r>
      </w:hyperlink>
      <w:r>
        <w:t>; es kostet 13 €. Aus dem Ausland geht der Antrag direkt an das Bundesamt für Justiz, online oder schriftlich mit amtlich beglaubigter Unterschrift (ein US-Notar genügt). Für Auslandsanträge nennt das Amt verlängerte Bearbeitungszeiten. Das Zeugnis wird meist auf Deutsch ausgestellt: Für USCIS oder Lizenzbehörden brauchst du eine englische Übersetzung, für das Konsulat Frankfurt genügt laut Checkliste das deutsche Original. Eine Apostille setzt die Vorbeglaubigung durch das Bundesamt für Justiz voraus, dann folgt das BfAA.</w:t>
      </w:r>
    </w:p>
    <w:p w14:paraId="682604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Diplom-Bewertung: WES, ECE und die H-1B-Gleichwertigkeit</w:t>
      </w:r>
    </w:p>
    <w:p w14:paraId="158BC1D8" w14:textId="77777777" w:rsidR="001F7233" w:rsidRDefault="00000000">
      <w:pPr>
        <w:spacing w:after="140"/>
      </w:pPr>
      <w:r>
        <w:t>Für H-1B muss dein Abschluss einem US-Bachelor oder mehr entsprechen (Kapitel </w:t>
      </w:r>
      <w:hyperlink w:anchor="k5">
        <w:r w:rsidR="001F7233">
          <w:t>5</w:t>
        </w:r>
      </w:hyperlink>
      <w:r>
        <w:t>). Ein deutsches Zeugnis sagt einer US-Behörde wenig; deshalb legt die Kanzlei meist ein Bewertungsgutachten (</w:t>
      </w:r>
      <w:r>
        <w:rPr>
          <w:i/>
          <w:iCs/>
        </w:rPr>
        <w:t>Credential Evaluation</w:t>
      </w:r>
      <w:r>
        <w:t xml:space="preserve">) vor – von einem </w:t>
      </w:r>
      <w:r>
        <w:lastRenderedPageBreak/>
        <w:t>privaten Anbieter, der deinen Abschluss dem US-System zuordnet. Verbreitet sind WES und ECE, beide Mitglieder im Verband NACES, der 18 Stellen zusammenfasst. Das Gutachten ist ein Beweismittel, keine Anerkennung: USCIS entscheidet selbst und kann trotz Gutachten nachfordern (Kapitel </w:t>
      </w:r>
      <w:hyperlink w:anchor="k11">
        <w:r w:rsidR="001F7233">
          <w:t>11</w:t>
        </w:r>
      </w:hyperlink>
      <w:r>
        <w:t>).</w:t>
      </w:r>
    </w:p>
    <w:p w14:paraId="2D9847E6" w14:textId="77777777" w:rsidR="001F7233" w:rsidRDefault="00000000">
      <w:pPr>
        <w:spacing w:after="140"/>
      </w:pPr>
      <w:r>
        <w:rPr>
          <w:i/>
          <w:iCs/>
        </w:rPr>
        <w:t>Die Anbieter unterscheiden zwei Varianten. Die dokumentenbasierte Bewertung (Document-by-Document) nennt Abschluss und Gleichwertigkeit. Die Fach-für-Fach-Bewertung (Course-by-Course) listet auch Fächer, Credits und Notendurchschnitt; Hochschulen und Lizenzbehörden verlangen meist sie. Welche Variante sinnvoll ist, klärt die Kanzlei.</w:t>
      </w:r>
    </w:p>
    <w:p w14:paraId="460B0085" w14:textId="77777777" w:rsidR="001F7233" w:rsidRDefault="00000000">
      <w:r>
        <w:rPr>
          <w:b/>
        </w:rPr>
        <w:t>Dokumentenbasiert</w:t>
      </w:r>
    </w:p>
    <w:p w14:paraId="2F1FD079" w14:textId="77777777" w:rsidR="001F7233" w:rsidRDefault="00000000">
      <w:r>
        <w:rPr>
          <w:b/>
        </w:rPr>
        <w:t xml:space="preserve">WES: </w:t>
      </w:r>
      <w:r>
        <w:t>118 $ (ICAP-Paket 171 $)</w:t>
      </w:r>
    </w:p>
    <w:p w14:paraId="728D89D8" w14:textId="77777777" w:rsidR="001F7233" w:rsidRDefault="00000000">
      <w:r>
        <w:rPr>
          <w:b/>
        </w:rPr>
        <w:t xml:space="preserve">ECE: </w:t>
      </w:r>
      <w:r>
        <w:t>110 $ (mit Notendurchschnitt 135 $)</w:t>
      </w:r>
    </w:p>
    <w:p w14:paraId="3AEE2625" w14:textId="77777777" w:rsidR="001F7233" w:rsidRDefault="00000000">
      <w:r>
        <w:rPr>
          <w:b/>
        </w:rPr>
        <w:t>Fach für Fach</w:t>
      </w:r>
    </w:p>
    <w:p w14:paraId="5D3A2AE3" w14:textId="77777777" w:rsidR="001F7233" w:rsidRDefault="00000000">
      <w:r>
        <w:rPr>
          <w:b/>
        </w:rPr>
        <w:t xml:space="preserve">WES: </w:t>
      </w:r>
      <w:r>
        <w:t>186 $ (ICAP-Paket 239 $)</w:t>
      </w:r>
    </w:p>
    <w:p w14:paraId="1B8C3151" w14:textId="77777777" w:rsidR="001F7233" w:rsidRDefault="00000000">
      <w:r>
        <w:rPr>
          <w:b/>
        </w:rPr>
        <w:t xml:space="preserve">ECE: </w:t>
      </w:r>
      <w:r>
        <w:t>199 $</w:t>
      </w:r>
    </w:p>
    <w:p w14:paraId="6C4CA4A6" w14:textId="77777777" w:rsidR="001F7233" w:rsidRDefault="001F7233">
      <w:pPr>
        <w:spacing w:line="180" w:lineRule="exact"/>
      </w:pPr>
    </w:p>
    <w:p w14:paraId="5355654C" w14:textId="77777777" w:rsidR="001F7233" w:rsidRDefault="00000000">
      <w:pPr>
        <w:spacing w:after="140"/>
      </w:pPr>
      <w:r>
        <w:t>Preise laut Anbieterseiten vom 20. September 2026, zuzüglich Versand (WES ab 14 $, Kurier 19–86 $). WES hat 3 % mehr ab 1. Januar 2026 angekündigt; ob das in den Preisen steckt, ist unklar. ECE bietet einen Eilservice (5 Werktage, +90 $). Meist trägt der Arbeitgeber die Kosten (Kapitel </w:t>
      </w:r>
      <w:hyperlink w:anchor="k11">
        <w:r w:rsidR="001F7233">
          <w:t>11</w:t>
        </w:r>
      </w:hyperlink>
      <w:r>
        <w:t>).</w:t>
      </w:r>
    </w:p>
    <w:p w14:paraId="0E1BEB28" w14:textId="77777777" w:rsidR="001F7233" w:rsidRDefault="00000000">
      <w:pPr>
        <w:spacing w:after="140"/>
      </w:pPr>
      <w:r>
        <w:t>Wie ein deutscher Abschluss eingestuft wird, hängt vom Einzelfall ab. Bewertungsportale nennen als Regel: Ein dreijähriger Bachelor entspricht dem US-Bachelor, ein Diplom oder Staatsexamen mit vier bis sechs Jahren häufig einem Master; verbindlich ist nur das Gutachten. Auch ein hoch bewerteter deutscher Master öffnet nicht das Master-Kontingent der Lotterie, das US-Hochschulabschlüssen vorbehalten ist. Fehlt dir ein Bachelor (Ausbildung, Meister), können drei Jahre Berufserfahrung ein Studienjahr ersetzen; dafür sammelst du früh Arbeitszeugnisse und Verträge (Kapitel </w:t>
      </w:r>
      <w:hyperlink w:anchor="k5">
        <w:r w:rsidR="001F7233">
          <w:t>5</w:t>
        </w:r>
      </w:hyperlink>
      <w:r>
        <w:t xml:space="preserve">, </w:t>
      </w:r>
      <w:hyperlink w:anchor="k9">
        <w:r w:rsidR="001F7233">
          <w:t>9</w:t>
        </w:r>
      </w:hyperlink>
      <w:r>
        <w:t>).</w:t>
      </w:r>
    </w:p>
    <w:p w14:paraId="60190923" w14:textId="77777777" w:rsidR="001F7233" w:rsidRDefault="00000000">
      <w:r>
        <w:rPr>
          <w:b/>
        </w:rPr>
        <w:t xml:space="preserve">ACHTUNG: </w:t>
      </w:r>
    </w:p>
    <w:p w14:paraId="3B8078FA" w14:textId="77777777" w:rsidR="001F7233" w:rsidRDefault="00000000">
      <w:r>
        <w:lastRenderedPageBreak/>
        <w:t>• Bestelle das Gutachten nicht auf eigene Faust, sondern nach Rücksprache mit der Kanzlei, sonst zahlst du womöglich zweimal. Verwechsle es auch nicht mit anabin: Die Datenbank der Kultusministerkonferenz bewertet ausländische Abschlüsse für Deutschland, nicht deutsche für die USA. Plane Beschaffung der Zeugnisse, Übersetzung, Bewertung und Versand zusammen mit mehreren Wochen bis zwei Monaten ein.</w:t>
      </w:r>
    </w:p>
    <w:p w14:paraId="4AADF2ED" w14:textId="77777777" w:rsidR="001F7233" w:rsidRDefault="001F7233">
      <w:pPr>
        <w:spacing w:line="220" w:lineRule="exact"/>
      </w:pPr>
    </w:p>
    <w:p w14:paraId="0E4D3B5A" w14:textId="77777777" w:rsidR="001F7233" w:rsidRDefault="001F7233">
      <w:pPr>
        <w:spacing w:line="220" w:lineRule="exact"/>
      </w:pPr>
    </w:p>
    <w:p w14:paraId="43EAA9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Berufsanerkennung: Lizenzen sind Sache der Bundesstaaten</w:t>
      </w:r>
    </w:p>
    <w:p w14:paraId="1C78BAAF" w14:textId="77777777" w:rsidR="001F7233" w:rsidRDefault="00000000">
      <w:pPr>
        <w:spacing w:after="140"/>
      </w:pPr>
      <w:r>
        <w:t>In den USA gibt es keine zentrale Anerkennung ausländischer Abschlüsse. Kein Amt, das einmal einen Stempel setzt und die Sache ist erledigt. Wer einen reglementierten Beruf ausübt, braucht die Lizenz des Bundesstaats, in dem er arbeitet. Jeder Staat hat eigene Regeln, Prüfungen und Gebühren. Softwareentwicklung, Naturwissenschaften, Vertrieb und viele Industrieberufe sind nicht lizenzpflichtig. Ist für deine Stelle eine Lizenz nötig, muss sie laut USCIS-Praxis spätestens zur Genehmigung der H-1B-Petition vorliegen, nicht schon zur Einreichung. Lizenzberufe haben darum den längsten Vorlauf.</w:t>
      </w:r>
    </w:p>
    <w:p w14:paraId="5E9E8139" w14:textId="77777777" w:rsidR="001F7233" w:rsidRDefault="00000000">
      <w:r>
        <w:rPr>
          <w:b/>
        </w:rPr>
        <w:t>Ingenieure</w:t>
      </w:r>
    </w:p>
    <w:p w14:paraId="01D043A6" w14:textId="77777777" w:rsidR="001F7233" w:rsidRDefault="00000000">
      <w:r>
        <w:rPr>
          <w:b/>
        </w:rPr>
        <w:t>Was verlangt wird: Für viele Industriejobs keine Lizenz. Wer Pläne verantwortlich abzeichnet (Bau, Versorger, Beratung), braucht die PE-Lizenz.</w:t>
      </w:r>
    </w:p>
    <w:p w14:paraId="2DBFE5E9" w14:textId="77777777" w:rsidR="001F7233" w:rsidRDefault="00000000">
      <w:r>
        <w:rPr>
          <w:b/>
        </w:rPr>
        <w:t xml:space="preserve">Zuständig: </w:t>
      </w:r>
      <w:r>
        <w:t>Lizenzbehörde des Bundesstaats, NCEES</w:t>
      </w:r>
    </w:p>
    <w:p w14:paraId="35E3F4BD" w14:textId="77777777" w:rsidR="001F7233" w:rsidRDefault="00000000">
      <w:r>
        <w:rPr>
          <w:b/>
        </w:rPr>
        <w:t xml:space="preserve">Hinweis: </w:t>
      </w:r>
      <w:r>
        <w:t>mindestens 4 Jahre Berufserfahrung nach dem Studium</w:t>
      </w:r>
    </w:p>
    <w:p w14:paraId="0530C005" w14:textId="77777777" w:rsidR="001F7233" w:rsidRDefault="00000000">
      <w:r>
        <w:rPr>
          <w:b/>
        </w:rPr>
        <w:t>Ärzte</w:t>
      </w:r>
    </w:p>
    <w:p w14:paraId="3A432CA0" w14:textId="77777777" w:rsidR="001F7233" w:rsidRDefault="00000000">
      <w:r>
        <w:rPr>
          <w:b/>
        </w:rPr>
        <w:t>Was verlangt wird: ECFMG-Zertifizierung: USMLE Step 1 und Step 2 CK, Englischtest OET Medicine; danach Weiterbildungsstelle und Landeslizenz.</w:t>
      </w:r>
    </w:p>
    <w:p w14:paraId="3E13C16E" w14:textId="77777777" w:rsidR="001F7233" w:rsidRDefault="00000000">
      <w:r>
        <w:rPr>
          <w:b/>
        </w:rPr>
        <w:t xml:space="preserve">Zuständig: </w:t>
      </w:r>
      <w:r>
        <w:t>ECFMG, State Medical Board</w:t>
      </w:r>
    </w:p>
    <w:p w14:paraId="16F0617F" w14:textId="77777777" w:rsidR="001F7233" w:rsidRDefault="00000000">
      <w:r>
        <w:rPr>
          <w:b/>
        </w:rPr>
        <w:lastRenderedPageBreak/>
        <w:t xml:space="preserve">Hinweis: </w:t>
      </w:r>
      <w:r>
        <w:t>deutsche Approbation ersetzt keine US-Lizenz</w:t>
      </w:r>
    </w:p>
    <w:p w14:paraId="1ED8F205" w14:textId="77777777" w:rsidR="001F7233" w:rsidRDefault="00000000">
      <w:r>
        <w:rPr>
          <w:b/>
        </w:rPr>
        <w:t>Pflege und Therapie</w:t>
      </w:r>
    </w:p>
    <w:p w14:paraId="03C97C17" w14:textId="77777777" w:rsidR="001F7233" w:rsidRDefault="00000000">
      <w:r>
        <w:rPr>
          <w:b/>
        </w:rPr>
        <w:t xml:space="preserve">Was verlangt wird: </w:t>
      </w:r>
      <w:r>
        <w:t>VisaScreen für neun Gesundheitsberufe, Englischtest; Pflege zusätzlich NCLEX-RN oder TruMerit-Prüfung</w:t>
      </w:r>
    </w:p>
    <w:p w14:paraId="63AA42C3" w14:textId="77777777" w:rsidR="001F7233" w:rsidRDefault="00000000">
      <w:r>
        <w:rPr>
          <w:b/>
        </w:rPr>
        <w:t xml:space="preserve">Zuständig: </w:t>
      </w:r>
      <w:r>
        <w:t>TruMerit (früher CGFNS), Board of Nursing</w:t>
      </w:r>
    </w:p>
    <w:p w14:paraId="15D02CD3" w14:textId="77777777" w:rsidR="001F7233" w:rsidRDefault="00000000">
      <w:r>
        <w:rPr>
          <w:b/>
        </w:rPr>
        <w:t xml:space="preserve">Hinweis: </w:t>
      </w:r>
      <w:r>
        <w:t>kein NCLEX-Testzentrum in Deutschland</w:t>
      </w:r>
    </w:p>
    <w:p w14:paraId="6E546966" w14:textId="77777777" w:rsidR="001F7233" w:rsidRDefault="00000000">
      <w:r>
        <w:rPr>
          <w:b/>
        </w:rPr>
        <w:t>Lehrer</w:t>
      </w:r>
    </w:p>
    <w:p w14:paraId="375C6A96" w14:textId="77777777" w:rsidR="001F7233" w:rsidRDefault="00000000">
      <w:r>
        <w:rPr>
          <w:b/>
        </w:rPr>
        <w:t xml:space="preserve">Was verlangt wird: </w:t>
      </w:r>
      <w:r>
        <w:t>Lehrerlizenz des Bundesstaats, meist mit Zeugnisbewertung und Fachprüfungen</w:t>
      </w:r>
    </w:p>
    <w:p w14:paraId="6F71D222" w14:textId="77777777" w:rsidR="001F7233" w:rsidRDefault="00000000">
      <w:r>
        <w:rPr>
          <w:b/>
        </w:rPr>
        <w:t xml:space="preserve">Zuständig: </w:t>
      </w:r>
      <w:r>
        <w:t>Bildungsbehörde des Bundesstaats</w:t>
      </w:r>
    </w:p>
    <w:p w14:paraId="7C9753CA" w14:textId="77777777" w:rsidR="001F7233" w:rsidRDefault="00000000">
      <w:r>
        <w:rPr>
          <w:b/>
        </w:rPr>
        <w:t xml:space="preserve">Hinweis: </w:t>
      </w:r>
      <w:r>
        <w:t>Regeln unterscheiden sich stark</w:t>
      </w:r>
    </w:p>
    <w:p w14:paraId="54766CE2" w14:textId="77777777" w:rsidR="001F7233" w:rsidRDefault="00000000">
      <w:r>
        <w:rPr>
          <w:b/>
        </w:rPr>
        <w:t>Handwerk (Elektro, Sanitär, Klima)</w:t>
      </w:r>
    </w:p>
    <w:p w14:paraId="5E3C07B8" w14:textId="77777777" w:rsidR="001F7233" w:rsidRDefault="00000000">
      <w:r>
        <w:rPr>
          <w:b/>
        </w:rPr>
        <w:t xml:space="preserve">Was verlangt wird: </w:t>
      </w:r>
      <w:r>
        <w:t>Lizenz je Bundesstaat, teils je Kommune; Prüfung und Berufsjahre</w:t>
      </w:r>
    </w:p>
    <w:p w14:paraId="40011415" w14:textId="77777777" w:rsidR="001F7233" w:rsidRDefault="00000000">
      <w:r>
        <w:rPr>
          <w:b/>
        </w:rPr>
        <w:t xml:space="preserve">Zuständig: </w:t>
      </w:r>
      <w:r>
        <w:t>Lizenzstelle von Staat oder Kommune</w:t>
      </w:r>
    </w:p>
    <w:p w14:paraId="046C353C" w14:textId="77777777" w:rsidR="001F7233" w:rsidRDefault="00000000">
      <w:r>
        <w:rPr>
          <w:b/>
        </w:rPr>
        <w:t xml:space="preserve">Hinweis: </w:t>
      </w:r>
      <w:r>
        <w:t>Anrechnung deutscher Abschlüsse je Behörde verschieden</w:t>
      </w:r>
    </w:p>
    <w:p w14:paraId="4642FCD6" w14:textId="77777777" w:rsidR="001F7233" w:rsidRDefault="001F7233">
      <w:pPr>
        <w:spacing w:line="180" w:lineRule="exact"/>
      </w:pPr>
    </w:p>
    <w:p w14:paraId="12EA86DF" w14:textId="77777777" w:rsidR="001F7233" w:rsidRDefault="00000000">
      <w:pPr>
        <w:spacing w:after="140"/>
      </w:pPr>
      <w:r>
        <w:t>Zu den Kürzeln: ECFMG prüft und zertifiziert im Ausland ausgebildete Ärzte, USMLE ist die US-Ärzteprüfung, OET ein Englischtest für Medizinberufe, NCLEX-RN die Pflegeprüfung, PE die Ingenieurlizenz (</w:t>
      </w:r>
      <w:r>
        <w:rPr>
          <w:i/>
          <w:iCs/>
        </w:rPr>
        <w:t>Professional Engineer</w:t>
      </w:r>
      <w:r>
        <w:t>) – nötig, wo Ingenieure Leistungen für die Öffentlichkeit erbringen und Pläne abzeichnen. Ausländische Abschlüsse bewertet der Verband NCEES, die Anforderungen setzt jeder Bundesstaat selbst. Für Ärzte vergehen von der ECFMG-Anmeldung bis zur Landeslizenz meist Jahre: Nach den Prüfungen folgt die Bewerbung um eine Weiterbildungsstelle (</w:t>
      </w:r>
      <w:r>
        <w:rPr>
          <w:i/>
          <w:iCs/>
        </w:rPr>
        <w:t>Residency</w:t>
      </w:r>
      <w:r>
        <w:t xml:space="preserve">) über das Vergabeverfahren </w:t>
      </w:r>
      <w:r>
        <w:rPr>
          <w:i/>
          <w:iCs/>
        </w:rPr>
        <w:t>Match</w:t>
      </w:r>
      <w:r>
        <w:t>; das Visum dafür ist ein eigenes Thema (Kapitel </w:t>
      </w:r>
      <w:hyperlink w:anchor="k9">
        <w:r w:rsidR="001F7233">
          <w:t>9</w:t>
        </w:r>
      </w:hyperlink>
      <w:r>
        <w:t>). Die ECFMG veröffentlicht ihre Anforderungen jährlich neu (ecfmg.org/certification-pathways). Für Pflege nennt TruMerit die Unterlagen; die NCLEX-Prüfung legst du außerhalb Deutschlands ab, etwa in Frankreich, Spanien oder Großbritannien.</w:t>
      </w:r>
    </w:p>
    <w:p w14:paraId="4A44C66B" w14:textId="77777777" w:rsidR="001F7233" w:rsidRDefault="00000000">
      <w:r>
        <w:rPr>
          <w:b/>
        </w:rPr>
        <w:t xml:space="preserve">ACHTUNG: </w:t>
      </w:r>
    </w:p>
    <w:p w14:paraId="4B7CD38F" w14:textId="77777777" w:rsidR="001F7233" w:rsidRDefault="00000000">
      <w:r>
        <w:t xml:space="preserve">• Ein Arbeitsvisum ist keine Berufserlaubnis. Auch mit H-1B darfst du einen lizenzpflichtigen Beruf erst ausüben, wenn der Bundesstaat </w:t>
      </w:r>
      <w:r>
        <w:lastRenderedPageBreak/>
        <w:t>die Lizenz erteilt hat. Frage die Lizenzbehörde des Ziel-Bundesstaats früh nach Fahrplan, Prüfungen und Gebühren.</w:t>
      </w:r>
    </w:p>
    <w:p w14:paraId="0ECCE2E1" w14:textId="77777777" w:rsidR="001F7233" w:rsidRDefault="001F7233">
      <w:pPr>
        <w:spacing w:line="220" w:lineRule="exact"/>
      </w:pPr>
    </w:p>
    <w:p w14:paraId="652881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Reisepass: Gültigkeit, Termine und Kinderpässe</w:t>
      </w:r>
    </w:p>
    <w:p w14:paraId="5E0166DC" w14:textId="77777777" w:rsidR="001F7233" w:rsidRDefault="00000000">
      <w:pPr>
        <w:spacing w:after="140"/>
      </w:pPr>
      <w:r>
        <w:t>Nach den Reisehinweisen des Auswärtigen Amts (Stand 20. September 2026) muss das Reisedokument für den gesamten Aufenthalt einschließlich Ausreisetag gültig sein; der Personalausweis genügt dafür nicht. Ein Reisepass gilt zehn Jahre, bis zum 24. Geburtstag sechs Jahre. Prüfe die Ablaufdaten aller Familienmitglieder vor der Registrierung im März, denn der Arbeitgeber meldet deine Passdaten (Kapitel </w:t>
      </w:r>
      <w:hyperlink w:anchor="k5">
        <w:r w:rsidR="001F7233">
          <w:t>5</w:t>
        </w:r>
      </w:hyperlink>
      <w:r>
        <w:t>). Läuft ein Pass in den ersten Jahren in den USA ab, erneuere ihn vorher. Das Visum klebt im Pass; nach einem Passwechsel trägst du beide Pässe bei dir.</w:t>
      </w:r>
    </w:p>
    <w:p w14:paraId="76D3E54D" w14:textId="77777777" w:rsidR="001F7233" w:rsidRDefault="00000000">
      <w:pPr>
        <w:spacing w:after="140"/>
      </w:pPr>
      <w:r>
        <w:t>Im Inland kostet der Reisepass 70 € (ab 24 Jahren) bzw. 37,50 € (Stand 1. September 2026 laut Gebührenübersichten) und dauert drei bis vier Wochen, Express drei Werktage (+32 €). Das Passfoto muss seit 1. Mai 2025 digital übermittelt werden (ca. 6 €). Aus den USA erneuerst du den Pass nur persönlich bei Botschaft, Generalkonsulat oder in einigen Bundesstaaten bei einem Honorarkonsul: Online-Termin je Person, laut Auswärtigem Amt sechs bis acht Wochen Bearbeitung, höhere Gebühr (aktuell auf germany.info). Es gibt die Botschaft in Washington und acht Generalkonsulate, in Seattle keins; zuständig ist San Francisco.</w:t>
      </w:r>
    </w:p>
    <w:p w14:paraId="3A10C3F1" w14:textId="77777777" w:rsidR="001F7233" w:rsidRDefault="00000000">
      <w:r>
        <w:rPr>
          <w:b/>
        </w:rPr>
        <w:t xml:space="preserve">ACHTUNG: </w:t>
      </w:r>
    </w:p>
    <w:p w14:paraId="3039CFE4" w14:textId="77777777" w:rsidR="001F7233" w:rsidRDefault="00000000">
      <w:r>
        <w:t xml:space="preserve">• Kinderreisepässe gibt es seit 1. Januar 2024 nicht mehr; wer noch einen hat, kann damit nicht ohne Visum einreisen (kein ESTA). Beantrage vor dem Abflug für jedes Kind einen ePass (sechs Jahre gültig). Im Konsulat müssen beide Eltern und das Kind persönlich erscheinen. Bei gemeinsamem Sorgerecht braucht der Umzug meist </w:t>
      </w:r>
      <w:r>
        <w:lastRenderedPageBreak/>
        <w:t>auch die Zustimmung des anderen Elternteils oder eine gerichtliche Entscheidung.</w:t>
      </w:r>
    </w:p>
    <w:p w14:paraId="34E9216A" w14:textId="77777777" w:rsidR="001F7233" w:rsidRDefault="001F7233">
      <w:pPr>
        <w:spacing w:line="220" w:lineRule="exact"/>
      </w:pPr>
    </w:p>
    <w:p w14:paraId="6EB3B333" w14:textId="77777777" w:rsidR="001F7233" w:rsidRDefault="001F7233">
      <w:pPr>
        <w:spacing w:line="220" w:lineRule="exact"/>
      </w:pPr>
    </w:p>
    <w:p w14:paraId="7EEEA7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Originale, Kopien, digitale Sicherung</w:t>
      </w:r>
    </w:p>
    <w:p w14:paraId="24A0DDB8" w14:textId="77777777" w:rsidR="001F7233" w:rsidRDefault="00000000">
      <w:pPr>
        <w:spacing w:after="140"/>
      </w:pPr>
      <w:r>
        <w:t>Der Container kann Wochen nach dir eintreffen (Kapitel </w:t>
      </w:r>
      <w:hyperlink w:anchor="k20">
        <w:r w:rsidR="001F7233">
          <w:t>20</w:t>
        </w:r>
      </w:hyperlink>
      <w:r>
        <w:t>). Alles, was du in den ersten Tagen brauchst, gehört deshalb ins Handgepäck, in eine Mappe pro Person: Pässe, Genehmigungsbescheid (Original der Form I-797), Urkunden, Zeugnisse samt Übersetzungen, Bewertungsgutachten, Impfnachweise, Führerschein, Arbeitsvertrag. Was die Grenzkontrolle sehen will, steht in Kapitel </w:t>
      </w:r>
      <w:hyperlink w:anchor="k23">
        <w:r w:rsidR="001F7233">
          <w:t>23</w:t>
        </w:r>
      </w:hyperlink>
      <w:r>
        <w:t>. Kopien der wichtigsten Unterlagen packst du getrennt ins Aufgabegepäck.</w:t>
      </w:r>
    </w:p>
    <w:p w14:paraId="4A66B1C9" w14:textId="77777777" w:rsidR="001F7233" w:rsidRDefault="00000000">
      <w:pPr>
        <w:spacing w:after="140"/>
      </w:pPr>
      <w:r>
        <w:t>Scanne alles farbig und gut lesbar. Speichere die Dateien verschlüsselt, etwa in einem Passwortmanager oder Cloud-Speicher mit Zwei-Faktor-Anmeldung, und lege zusätzlich einen Datenträger bei einer Vertrauensperson in Deutschland ab. Schicke Scans von Pass und Urkunden nicht unverschlüsselt per E-Mail; Betrüger suchen gezielt nach Neuankömmlingen (Kapitel </w:t>
      </w:r>
      <w:hyperlink w:anchor="k23">
        <w:r w:rsidR="001F7233">
          <w:t>23</w:t>
        </w:r>
      </w:hyperlink>
      <w:r>
        <w:t>).</w:t>
      </w:r>
    </w:p>
    <w:p w14:paraId="60BF52F8" w14:textId="77777777" w:rsidR="001F7233" w:rsidRDefault="00000000">
      <w:pPr>
        <w:spacing w:after="140"/>
      </w:pPr>
      <w:r>
        <w:t>Für Notfälle gilt: Standesämter versenden Urkunden auch ins Ausland; Konsulate stellen keine aus. Ein Führungszeugnis lässt sich direkt beim Bundesamt für Justiz beantragen. Eine Vollmacht für die Vertrauensperson in Deutschland erleichtert das (Kapitel </w:t>
      </w:r>
      <w:hyperlink w:anchor="k16">
        <w:r w:rsidR="001F7233">
          <w:t>16</w:t>
        </w:r>
      </w:hyperlink>
      <w:r>
        <w:t>).</w:t>
      </w:r>
    </w:p>
    <w:p w14:paraId="26DEE3F7" w14:textId="77777777" w:rsidR="001F7233" w:rsidRDefault="00000000">
      <w:r>
        <w:rPr>
          <w:b/>
        </w:rPr>
        <w:t xml:space="preserve">MERKE: </w:t>
      </w:r>
    </w:p>
    <w:p w14:paraId="4FDC3579" w14:textId="77777777" w:rsidR="001F7233" w:rsidRDefault="00000000">
      <w:r>
        <w:t>• Apostille, Übersetzung und Bewertung sind drei verschiedene Dinge. Die Apostille bestätigt Echtheit, die Übersetzung schafft Verständlichkeit, die Bewertung belegt Gleichwertigkeit. Jede Stelle fordert nur das, was sie braucht. Frage nach, statt alles auf Vorrat zu machen.</w:t>
      </w:r>
    </w:p>
    <w:p w14:paraId="4DFC4C61" w14:textId="77777777" w:rsidR="001F7233" w:rsidRDefault="001F7233">
      <w:pPr>
        <w:spacing w:line="220" w:lineRule="exact"/>
      </w:pPr>
    </w:p>
    <w:p w14:paraId="630B14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und Zeitplan</w:t>
      </w:r>
    </w:p>
    <w:p w14:paraId="3B2CEE4E" w14:textId="77777777" w:rsidR="001F7233" w:rsidRDefault="00000000">
      <w:pPr>
        <w:spacing w:after="140"/>
      </w:pPr>
      <w:r>
        <w:t>Die Reihenfolge folgt dem H-1B-Weg. Bei anderen Wegen gilt derselbe Grundsatz: Pässe und Bewertung vor dem Antrag.</w:t>
      </w:r>
    </w:p>
    <w:p w14:paraId="45BEF5C3" w14:textId="77777777" w:rsidR="001F7233" w:rsidRDefault="00000000">
      <w:r>
        <w:rPr>
          <w:b/>
        </w:rPr>
        <w:t>Sobald der Entschluss steht</w:t>
      </w:r>
    </w:p>
    <w:p w14:paraId="49E701FF" w14:textId="77777777" w:rsidR="001F7233" w:rsidRDefault="00000000">
      <w:r>
        <w:rPr>
          <w:b/>
        </w:rPr>
        <w:t xml:space="preserve">Was: </w:t>
      </w:r>
      <w:r>
        <w:t>Pässe prüfen, Urkunden bestellen, Zeugnisse anfordern, Lizenzweg klären</w:t>
      </w:r>
    </w:p>
    <w:p w14:paraId="3E446A67" w14:textId="77777777" w:rsidR="001F7233" w:rsidRDefault="00000000">
      <w:r>
        <w:rPr>
          <w:b/>
        </w:rPr>
        <w:t xml:space="preserve">Vorlauf und Kosten: </w:t>
      </w:r>
      <w:r>
        <w:t>Standesamt und Hochschule: Wochen; Lizenzen: Monate bis Jahre</w:t>
      </w:r>
    </w:p>
    <w:p w14:paraId="61B2D84B" w14:textId="77777777" w:rsidR="001F7233" w:rsidRDefault="00000000">
      <w:r>
        <w:rPr>
          <w:b/>
        </w:rPr>
        <w:t>Bis Ende Februar</w:t>
      </w:r>
    </w:p>
    <w:p w14:paraId="25209E26" w14:textId="77777777" w:rsidR="001F7233" w:rsidRDefault="00000000">
      <w:r>
        <w:rPr>
          <w:b/>
        </w:rPr>
        <w:t xml:space="preserve">Was: </w:t>
      </w:r>
      <w:r>
        <w:t>Zeugnisbewertung und Übersetzungen fertig; Passdaten an die Kanzlei</w:t>
      </w:r>
    </w:p>
    <w:p w14:paraId="6F5FD6AB" w14:textId="77777777" w:rsidR="001F7233" w:rsidRDefault="00000000">
      <w:r>
        <w:rPr>
          <w:b/>
        </w:rPr>
        <w:t xml:space="preserve">Vorlauf und Kosten: </w:t>
      </w:r>
      <w:r>
        <w:t>110–240 $, meist Arbeitgeber</w:t>
      </w:r>
    </w:p>
    <w:p w14:paraId="4ABB472C" w14:textId="77777777" w:rsidR="001F7233" w:rsidRDefault="00000000">
      <w:r>
        <w:rPr>
          <w:b/>
        </w:rPr>
        <w:t>Nach der Auswahl, vor dem Konsulatstermin</w:t>
      </w:r>
    </w:p>
    <w:p w14:paraId="0DA62FF0" w14:textId="77777777" w:rsidR="001F7233" w:rsidRDefault="00000000">
      <w:r>
        <w:rPr>
          <w:b/>
        </w:rPr>
        <w:t xml:space="preserve">Was: </w:t>
      </w:r>
      <w:r>
        <w:t>Pässe erneuern, Apostillen und Führungszeugnis, soweit gefordert</w:t>
      </w:r>
    </w:p>
    <w:p w14:paraId="3B89D292" w14:textId="77777777" w:rsidR="001F7233" w:rsidRDefault="00000000">
      <w:r>
        <w:rPr>
          <w:b/>
        </w:rPr>
        <w:t xml:space="preserve">Vorlauf und Kosten: </w:t>
      </w:r>
      <w:r>
        <w:t>Pass 3–4 Wochen; Apostille 2–10 Wochen</w:t>
      </w:r>
    </w:p>
    <w:p w14:paraId="315FF059" w14:textId="77777777" w:rsidR="001F7233" w:rsidRDefault="00000000">
      <w:r>
        <w:rPr>
          <w:b/>
        </w:rPr>
        <w:t>4–6 Wochen vor Abflug</w:t>
      </w:r>
    </w:p>
    <w:p w14:paraId="489460D8" w14:textId="77777777" w:rsidR="001F7233" w:rsidRDefault="00000000">
      <w:r>
        <w:rPr>
          <w:b/>
        </w:rPr>
        <w:t xml:space="preserve">Was: </w:t>
      </w:r>
      <w:r>
        <w:t>Impfpass, Schulzeugnisse, SF-Nachweis übersetzen lassen; Scans; Ordner packen</w:t>
      </w:r>
    </w:p>
    <w:p w14:paraId="7F54287D" w14:textId="77777777" w:rsidR="001F7233" w:rsidRDefault="00000000">
      <w:r>
        <w:rPr>
          <w:b/>
        </w:rPr>
        <w:t xml:space="preserve">Vorlauf und Kosten: </w:t>
      </w:r>
      <w:r>
        <w:t>Übersetzung nach Angebot</w:t>
      </w:r>
    </w:p>
    <w:p w14:paraId="5AA2446F" w14:textId="77777777" w:rsidR="001F7233" w:rsidRDefault="00000000">
      <w:r>
        <w:rPr>
          <w:b/>
        </w:rPr>
        <w:t>Abflugtag</w:t>
      </w:r>
    </w:p>
    <w:p w14:paraId="1E284E70" w14:textId="77777777" w:rsidR="001F7233" w:rsidRDefault="00000000">
      <w:r>
        <w:rPr>
          <w:b/>
        </w:rPr>
        <w:t xml:space="preserve">Was: </w:t>
      </w:r>
      <w:r>
        <w:t>Mappe mit Originalen ins Handgepäck</w:t>
      </w:r>
    </w:p>
    <w:p w14:paraId="0B55D8AF" w14:textId="77777777" w:rsidR="001F7233" w:rsidRDefault="00000000">
      <w:r>
        <w:rPr>
          <w:b/>
        </w:rPr>
        <w:t xml:space="preserve">Vorlauf und Kosten: </w:t>
      </w:r>
      <w:r>
        <w:t>–</w:t>
      </w:r>
    </w:p>
    <w:p w14:paraId="77667BAD" w14:textId="77777777" w:rsidR="001F7233" w:rsidRDefault="001F7233">
      <w:pPr>
        <w:spacing w:line="180" w:lineRule="exact"/>
      </w:pPr>
    </w:p>
    <w:p w14:paraId="31A38E57" w14:textId="77777777" w:rsidR="001F7233" w:rsidRDefault="00000000">
      <w:pPr>
        <w:spacing w:after="140"/>
      </w:pPr>
      <w:r>
        <w:t>Für Papier, Fotos und Beschaffung kommen bei einer Familie einige hundert Euro zusammen (Beispiel oben), dazu Übersetzungen nach Angebot. Prüfungs- und Lizenzgebühren hängen von Beruf und Bundesstaat ab und stehen bei den jeweiligen Stellen. Den Gesamtfahrplan bis zum Abflug liefert Kapitel </w:t>
      </w:r>
      <w:hyperlink w:anchor="k15">
        <w:r w:rsidR="001F7233">
          <w:t>15</w:t>
        </w:r>
      </w:hyperlink>
      <w:r>
        <w:t>.</w:t>
      </w:r>
    </w:p>
    <w:p w14:paraId="6A986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Dokumente, Übersetzungen, Apostillen</w:t>
      </w:r>
    </w:p>
    <w:p w14:paraId="73DCFA16" w14:textId="77777777" w:rsidR="001F7233" w:rsidRDefault="00000000">
      <w:r>
        <w:rPr>
          <w:b/>
        </w:rPr>
        <w:t xml:space="preserve">Plus: </w:t>
      </w:r>
      <w:r>
        <w:t>Dokumente früh besorgen und vorbereiten:</w:t>
      </w:r>
    </w:p>
    <w:p w14:paraId="7F731ABF" w14:textId="77777777" w:rsidR="001F7233" w:rsidRDefault="00000000">
      <w:r>
        <w:rPr>
          <w:b/>
        </w:rPr>
        <w:t>Plus: Behördenwartezeiten von bis zu zehn Wochen fallen nicht in die heiße Phase vor dem Termin</w:t>
      </w:r>
    </w:p>
    <w:p w14:paraId="7DD5FBDB" w14:textId="77777777" w:rsidR="001F7233" w:rsidRDefault="00000000">
      <w:r>
        <w:rPr>
          <w:b/>
        </w:rPr>
        <w:t xml:space="preserve">Minus: </w:t>
      </w:r>
      <w:r>
        <w:t>Apostillen und Übersetzungen kosten Geld, auch wenn niemand sie verlangt</w:t>
      </w:r>
    </w:p>
    <w:p w14:paraId="152C051C" w14:textId="77777777" w:rsidR="001F7233" w:rsidRDefault="00000000">
      <w:r>
        <w:rPr>
          <w:b/>
        </w:rPr>
        <w:t>Plus: Ein Satz Unterlagen deckt Visum, Schule, Lizenz und Mietbewerbung ab</w:t>
      </w:r>
    </w:p>
    <w:p w14:paraId="54CCC316" w14:textId="77777777" w:rsidR="001F7233" w:rsidRDefault="00000000">
      <w:r>
        <w:rPr>
          <w:b/>
        </w:rPr>
        <w:t xml:space="preserve">Minus: </w:t>
      </w:r>
      <w:r>
        <w:t>Manche Stellen wollen neuere Ausfertigungen als die auf Vorrat besorgten</w:t>
      </w:r>
    </w:p>
    <w:p w14:paraId="4E64FA82" w14:textId="77777777" w:rsidR="001F7233" w:rsidRDefault="00000000">
      <w:r>
        <w:rPr>
          <w:b/>
        </w:rPr>
        <w:t>Plus: Mit Originalen im Handgepäck und Scans in der Cloud überstehst du auch einen verspäteten Container</w:t>
      </w:r>
    </w:p>
    <w:p w14:paraId="12EB2D10" w14:textId="77777777" w:rsidR="001F7233" w:rsidRDefault="00000000">
      <w:r>
        <w:rPr>
          <w:b/>
        </w:rPr>
        <w:t xml:space="preserve">Minus: </w:t>
      </w:r>
      <w:r>
        <w:t>Der Ordner im Handgepäck ist ein Verlustrisiko; Scans erfordern sauberen Umgang mit Zugangsdaten</w:t>
      </w:r>
    </w:p>
    <w:p w14:paraId="632C7E80" w14:textId="77777777" w:rsidR="001F7233" w:rsidRDefault="00000000">
      <w:r>
        <w:rPr>
          <w:b/>
        </w:rPr>
        <w:t>Plus: Die Kanzlei erkennt Lücken (Studienjahre, Lizenz) rechtzeitig</w:t>
      </w:r>
    </w:p>
    <w:p w14:paraId="3CFDDD7A" w14:textId="77777777" w:rsidR="001F7233" w:rsidRDefault="00000000">
      <w:r>
        <w:rPr>
          <w:b/>
        </w:rPr>
        <w:t xml:space="preserve">Minus: </w:t>
      </w:r>
      <w:r>
        <w:t>Manche Anforderungen zeigen sich erst im Verfahren, etwa durch eine Nachforderung</w:t>
      </w:r>
    </w:p>
    <w:p w14:paraId="72265727" w14:textId="77777777" w:rsidR="001F7233" w:rsidRDefault="001F7233">
      <w:pPr>
        <w:spacing w:line="180" w:lineRule="exact"/>
      </w:pPr>
    </w:p>
    <w:p w14:paraId="43EA5819" w14:textId="77777777" w:rsidR="001F7233" w:rsidRDefault="00000000">
      <w:r>
        <w:rPr>
          <w:b/>
        </w:rPr>
        <w:t>ZUM ABHAKEN</w:t>
      </w:r>
    </w:p>
    <w:p w14:paraId="10428456" w14:textId="77777777" w:rsidR="001F7233" w:rsidRDefault="00000000">
      <w:r>
        <w:t>• Ablaufdaten aller Reisepässe notieren; bei kurzer Restgültigkeit vor Registrierung und Visumantrag in Deutschland erneuern</w:t>
      </w:r>
    </w:p>
    <w:p w14:paraId="62DB9522" w14:textId="77777777" w:rsidR="001F7233" w:rsidRDefault="00000000">
      <w:r>
        <w:t>• Für jedes Kind einen ePass beantragen (der Kinderreisepass genügt nicht)</w:t>
      </w:r>
    </w:p>
    <w:p w14:paraId="1CF5148B" w14:textId="77777777" w:rsidR="001F7233" w:rsidRDefault="00000000">
      <w:r>
        <w:t>• Mit der Kanzlei klären, welche Unterlagen USCIS und Konsulat sehen wollen und ob eine Apostille gefordert wird.</w:t>
      </w:r>
    </w:p>
    <w:p w14:paraId="0121CE26" w14:textId="77777777" w:rsidR="001F7233" w:rsidRDefault="00000000">
      <w:r>
        <w:t>• Diplome, Zeugnisse und Arbeitszeugnisse beschaffen; Zeugnisbewertung vor der März-Registrierung beauftragen lassen</w:t>
      </w:r>
    </w:p>
    <w:p w14:paraId="08EE3D62" w14:textId="77777777" w:rsidR="001F7233" w:rsidRDefault="00000000">
      <w:r>
        <w:t>• Geburts- und Heiratsurkunden als internationale Ausfertigung bestellen, zwei- bis dreimal</w:t>
      </w:r>
    </w:p>
    <w:p w14:paraId="36B58736" w14:textId="77777777" w:rsidR="001F7233" w:rsidRDefault="00000000">
      <w:r>
        <w:t>• Übersetzer mit Bescheinigung beauftragen; Namen exakt wie im Pass schreiben lassen</w:t>
      </w:r>
    </w:p>
    <w:p w14:paraId="6D10E0D8" w14:textId="77777777" w:rsidR="001F7233" w:rsidRDefault="00000000">
      <w:r>
        <w:lastRenderedPageBreak/>
        <w:t>• Bei Bedarf Führungszeugnis beantragen (13 €) und Vorlauf für die Apostille einplanen</w:t>
      </w:r>
    </w:p>
    <w:p w14:paraId="3B8EA5DF" w14:textId="77777777" w:rsidR="001F7233" w:rsidRDefault="00000000">
      <w:r>
        <w:t>• Bei lizenzpflichtigem Beruf die Behörde des Ziel-Bundesstaats kontaktieren und einen Fahrplan erstellen</w:t>
      </w:r>
    </w:p>
    <w:p w14:paraId="6A7E28F6" w14:textId="77777777" w:rsidR="001F7233" w:rsidRDefault="00000000">
      <w:r>
        <w:t>• Impfpass, Schulzeugnisse, SF-Nachweis und Steuerbescheide bereitlegen</w:t>
      </w:r>
    </w:p>
    <w:p w14:paraId="04F6541D" w14:textId="77777777" w:rsidR="001F7233" w:rsidRDefault="00000000">
      <w:r>
        <w:t>• Alles scannen, verschlüsselt speichern und eine Kopie bei einer Vertrauensperson hinterlegen</w:t>
      </w:r>
    </w:p>
    <w:p w14:paraId="7905A1D7" w14:textId="77777777" w:rsidR="001F7233" w:rsidRDefault="00000000">
      <w:r>
        <w:t>• Originale in die Handgepäck-Mappe legen, nicht in den Container</w:t>
      </w:r>
    </w:p>
    <w:p w14:paraId="681EB5FB" w14:textId="77777777" w:rsidR="001F7233" w:rsidRDefault="001F7233">
      <w:pPr>
        <w:spacing w:line="220" w:lineRule="exact"/>
      </w:pPr>
    </w:p>
    <w:p w14:paraId="7D3848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336F3EA" w14:textId="77777777" w:rsidR="001F7233" w:rsidRDefault="00000000">
      <w:pPr>
        <w:pStyle w:val="ListParagraph"/>
        <w:numPr>
          <w:ilvl w:val="0"/>
          <w:numId w:val="1"/>
        </w:numPr>
        <w:spacing w:after="60"/>
      </w:pPr>
      <w:r>
        <w:t>Auswärtiges Amt und Vertretungen — Pässe, Beurkundungen, Führungszeugnis (</w:t>
      </w:r>
      <w:hyperlink r:id="rId274">
        <w:r w:rsidR="001F7233">
          <w:rPr>
            <w:color w:val="0563C1"/>
            <w:u w:val="single"/>
          </w:rPr>
          <w:t>germany.info/us-de/service</w:t>
        </w:r>
      </w:hyperlink>
      <w:r>
        <w:t>)</w:t>
      </w:r>
    </w:p>
    <w:p w14:paraId="1E38501F" w14:textId="77777777" w:rsidR="001F7233" w:rsidRDefault="00000000">
      <w:pPr>
        <w:pStyle w:val="ListParagraph"/>
        <w:numPr>
          <w:ilvl w:val="0"/>
          <w:numId w:val="1"/>
        </w:numPr>
        <w:spacing w:after="60"/>
      </w:pPr>
      <w:r>
        <w:t>Bundesamt für Auswärtige Angelegenheiten — Apostillen für Bundesbehörden (</w:t>
      </w:r>
      <w:hyperlink r:id="rId275">
        <w:r w:rsidR="001F7233">
          <w:rPr>
            <w:color w:val="0563C1"/>
            <w:u w:val="single"/>
          </w:rPr>
          <w:t>bfaa.diplo.de</w:t>
        </w:r>
      </w:hyperlink>
      <w:r>
        <w:t>)</w:t>
      </w:r>
    </w:p>
    <w:p w14:paraId="71666F54" w14:textId="77777777" w:rsidR="001F7233" w:rsidRDefault="00000000">
      <w:pPr>
        <w:pStyle w:val="ListParagraph"/>
        <w:numPr>
          <w:ilvl w:val="0"/>
          <w:numId w:val="1"/>
        </w:numPr>
        <w:spacing w:after="60"/>
      </w:pPr>
      <w:r>
        <w:t>Bundesamt für Justiz — Führungszeugnis, Antrag aus dem Ausland (</w:t>
      </w:r>
      <w:hyperlink r:id="rId276">
        <w:r w:rsidR="001F7233">
          <w:rPr>
            <w:color w:val="0563C1"/>
            <w:u w:val="single"/>
          </w:rPr>
          <w:t>bundesjustizamt.de</w:t>
        </w:r>
      </w:hyperlink>
      <w:r>
        <w:t>)</w:t>
      </w:r>
    </w:p>
    <w:p w14:paraId="01C9E0F5" w14:textId="77777777" w:rsidR="001F7233" w:rsidRDefault="00000000">
      <w:pPr>
        <w:pStyle w:val="ListParagraph"/>
        <w:numPr>
          <w:ilvl w:val="0"/>
          <w:numId w:val="1"/>
        </w:numPr>
        <w:spacing w:after="60"/>
      </w:pPr>
      <w:r>
        <w:t>USCIS — Übersetzungen und Nachweise (</w:t>
      </w:r>
      <w:hyperlink r:id="rId277">
        <w:r w:rsidR="001F7233">
          <w:rPr>
            <w:color w:val="0563C1"/>
            <w:u w:val="single"/>
          </w:rPr>
          <w:t>uscis.gov</w:t>
        </w:r>
      </w:hyperlink>
      <w:r>
        <w:t xml:space="preserve">; 8 CFR 103.2 unter </w:t>
      </w:r>
      <w:hyperlink r:id="rId278">
        <w:r w:rsidR="001F7233">
          <w:rPr>
            <w:color w:val="0563C1"/>
            <w:u w:val="single"/>
          </w:rPr>
          <w:t>law.cornell.edu/cfr/text/8/103.2</w:t>
        </w:r>
      </w:hyperlink>
      <w:r>
        <w:t>)</w:t>
      </w:r>
    </w:p>
    <w:p w14:paraId="38C7B8CC" w14:textId="77777777" w:rsidR="001F7233" w:rsidRDefault="00000000">
      <w:pPr>
        <w:pStyle w:val="ListParagraph"/>
        <w:numPr>
          <w:ilvl w:val="0"/>
          <w:numId w:val="1"/>
        </w:numPr>
        <w:spacing w:after="60"/>
      </w:pPr>
      <w:r>
        <w:t>US-Außenministerium — Civil Documents FAQs (</w:t>
      </w:r>
      <w:hyperlink r:id="rId279">
        <w:r w:rsidR="001F7233">
          <w:rPr>
            <w:color w:val="0563C1"/>
            <w:u w:val="single"/>
          </w:rPr>
          <w:t>travel.state.gov</w:t>
        </w:r>
      </w:hyperlink>
      <w:r>
        <w:t>, Suche „civil documents“)</w:t>
      </w:r>
    </w:p>
    <w:p w14:paraId="610940E1" w14:textId="77777777" w:rsidR="001F7233" w:rsidRDefault="00000000">
      <w:pPr>
        <w:pStyle w:val="ListParagraph"/>
        <w:numPr>
          <w:ilvl w:val="0"/>
          <w:numId w:val="1"/>
        </w:numPr>
        <w:spacing w:after="60"/>
      </w:pPr>
      <w:r>
        <w:t>WES und ECE — Zeugnisbewertung (</w:t>
      </w:r>
      <w:hyperlink r:id="rId280">
        <w:r w:rsidR="001F7233">
          <w:rPr>
            <w:color w:val="0563C1"/>
            <w:u w:val="single"/>
          </w:rPr>
          <w:t>wes.org/evaluations</w:t>
        </w:r>
      </w:hyperlink>
      <w:r>
        <w:t xml:space="preserve">, </w:t>
      </w:r>
      <w:hyperlink r:id="rId281">
        <w:r w:rsidR="001F7233">
          <w:rPr>
            <w:color w:val="0563C1"/>
            <w:u w:val="single"/>
          </w:rPr>
          <w:t>ece.org</w:t>
        </w:r>
      </w:hyperlink>
      <w:r>
        <w:t>); Mitglieder von NACES (</w:t>
      </w:r>
      <w:hyperlink r:id="rId282">
        <w:r w:rsidR="001F7233">
          <w:rPr>
            <w:color w:val="0563C1"/>
            <w:u w:val="single"/>
          </w:rPr>
          <w:t>naces.org/members</w:t>
        </w:r>
      </w:hyperlink>
      <w:r>
        <w:t>)</w:t>
      </w:r>
    </w:p>
    <w:p w14:paraId="3B0ACF41" w14:textId="77777777" w:rsidR="001F7233" w:rsidRDefault="00000000">
      <w:pPr>
        <w:pStyle w:val="ListParagraph"/>
        <w:numPr>
          <w:ilvl w:val="0"/>
          <w:numId w:val="1"/>
        </w:numPr>
        <w:spacing w:after="60"/>
      </w:pPr>
      <w:r>
        <w:t>NCEES, ECFMG, TruMerit — Ingenieure, Ärzte, Pflege (</w:t>
      </w:r>
      <w:hyperlink r:id="rId283">
        <w:r w:rsidR="001F7233">
          <w:rPr>
            <w:color w:val="0563C1"/>
            <w:u w:val="single"/>
          </w:rPr>
          <w:t>ncees.org/engineering/pe</w:t>
        </w:r>
      </w:hyperlink>
      <w:r>
        <w:t xml:space="preserve">, </w:t>
      </w:r>
      <w:hyperlink r:id="rId284">
        <w:r w:rsidR="001F7233">
          <w:rPr>
            <w:color w:val="0563C1"/>
            <w:u w:val="single"/>
          </w:rPr>
          <w:t>ecfmg.org/certification-pathways</w:t>
        </w:r>
      </w:hyperlink>
      <w:r>
        <w:t xml:space="preserve">, </w:t>
      </w:r>
      <w:hyperlink r:id="rId285">
        <w:r w:rsidR="001F7233">
          <w:rPr>
            <w:color w:val="0563C1"/>
            <w:u w:val="single"/>
          </w:rPr>
          <w:t>trumerit.org</w:t>
        </w:r>
      </w:hyperlink>
      <w:r>
        <w:t>)</w:t>
      </w:r>
    </w:p>
    <w:p w14:paraId="28BDD073" w14:textId="77777777" w:rsidR="001F7233" w:rsidRDefault="00000000">
      <w:pPr>
        <w:pStyle w:val="ListParagraph"/>
        <w:numPr>
          <w:ilvl w:val="0"/>
          <w:numId w:val="1"/>
        </w:numPr>
        <w:spacing w:after="60"/>
      </w:pPr>
      <w:r>
        <w:t>NCLEX — Prüfung für Pflegekräfte (</w:t>
      </w:r>
      <w:hyperlink r:id="rId286">
        <w:r w:rsidR="001F7233">
          <w:rPr>
            <w:color w:val="0563C1"/>
            <w:u w:val="single"/>
          </w:rPr>
          <w:t>nclex.com</w:t>
        </w:r>
      </w:hyperlink>
      <w:r>
        <w:t>)</w:t>
      </w:r>
    </w:p>
    <w:p w14:paraId="14F28B78" w14:textId="77777777" w:rsidR="001F7233" w:rsidRDefault="001F7233">
      <w:pPr>
        <w:spacing w:line="120" w:lineRule="exact"/>
      </w:pPr>
    </w:p>
    <w:p w14:paraId="37DD3D35" w14:textId="77777777" w:rsidR="001F7233" w:rsidRDefault="00000000">
      <w:r>
        <w:t xml:space="preserve">• Quellen- und Datenstand: September 2026; Redaktionsschluss: Oktober 2026. Diese Angaben ändern sich schnell: Gebühren von WES und ECE (WES kündigte 3 % mehr ab 1. Januar 2026 an), </w:t>
      </w:r>
      <w:r>
        <w:lastRenderedPageBreak/>
        <w:t>Gebühren des BfAA (22 € seit 1. Juli 2025) und für Pässe und Ausweise (der Personalausweis wurde im Februar 2026 teurer), Konsulatsgebühren und -wartezeiten, Bearbeitungszeiten der Landesbehörden, ECFMG-Anforderungen (die Pathways gelten je Jahr) sowie Prüfungs- und Lizenzregeln der Bundesstaaten. Prüfe vor jeder Bestellung die offizielle Seite der jeweiligen Stelle.</w:t>
      </w:r>
    </w:p>
    <w:p w14:paraId="3D81E016" w14:textId="77777777" w:rsidR="001F7233" w:rsidRDefault="001F7233">
      <w:pPr>
        <w:spacing w:line="220" w:lineRule="exact"/>
      </w:pPr>
    </w:p>
    <w:p w14:paraId="3A7E90EC" w14:textId="77777777" w:rsidR="001F7233" w:rsidRDefault="00000000">
      <w:r>
        <w:br w:type="page"/>
      </w:r>
    </w:p>
    <w:p w14:paraId="248A7AEA" w14:textId="77777777" w:rsidR="001F7233" w:rsidRDefault="00000000">
      <w:pPr>
        <w:pStyle w:val="Heading1"/>
        <w:keepNext/>
        <w:spacing w:line="341" w:lineRule="auto"/>
        <w:jc w:val="center"/>
      </w:pPr>
      <w:bookmarkStart w:id="47" w:name="rev73h2010"/>
      <w:r>
        <w:rPr>
          <w:rFonts w:ascii="Amazon Ember" w:eastAsia="Amazon Ember" w:hAnsi="Amazon Ember" w:cs="Amazon Ember"/>
          <w:color w:val="0000FF"/>
        </w:rPr>
        <w:lastRenderedPageBreak/>
        <w:t>TEIL V — Der Umzug</w:t>
      </w:r>
      <w:bookmarkEnd w:id="47"/>
    </w:p>
    <w:p w14:paraId="6F9A19ED" w14:textId="77777777" w:rsidR="001F7233" w:rsidRDefault="00000000">
      <w:pPr>
        <w:spacing w:after="160" w:line="300" w:lineRule="auto"/>
        <w:ind w:left="400" w:right="400"/>
        <w:jc w:val="center"/>
      </w:pPr>
      <w:r>
        <w:rPr>
          <w:i/>
          <w:iCs/>
          <w:sz w:val="24"/>
          <w:szCs w:val="24"/>
        </w:rPr>
        <w:t>Container, Koffer oder Neuanfang? Wie du Umzugskosten senkst, was in den Container gehört und was du drüben günstiger kaufst.</w:t>
      </w:r>
    </w:p>
    <w:p w14:paraId="05E19EC6" w14:textId="77777777" w:rsidR="001F7233" w:rsidRDefault="00000000">
      <w:r>
        <w:br w:type="page"/>
      </w:r>
    </w:p>
    <w:p w14:paraId="3B94C734" w14:textId="77777777" w:rsidR="001F7233" w:rsidRDefault="00000000">
      <w:pPr>
        <w:pStyle w:val="Heading2"/>
        <w:keepNext/>
        <w:spacing w:line="341" w:lineRule="auto"/>
        <w:jc w:val="center"/>
      </w:pPr>
      <w:bookmarkStart w:id="48" w:name="k20"/>
      <w:r>
        <w:rPr>
          <w:rFonts w:ascii="Amazon Ember" w:eastAsia="Amazon Ember" w:hAnsi="Amazon Ember" w:cs="Amazon Ember"/>
          <w:color w:val="0000FF"/>
          <w:sz w:val="36"/>
          <w:szCs w:val="36"/>
        </w:rPr>
        <w:lastRenderedPageBreak/>
        <w:t>Kapitel 20: Container, Luftfracht oder Koffer: Umzug planen und Kosten sparen</w:t>
      </w:r>
      <w:bookmarkEnd w:id="48"/>
    </w:p>
    <w:p w14:paraId="55AAF559" w14:textId="77777777" w:rsidR="001F7233" w:rsidRDefault="00000000">
      <w:pPr>
        <w:spacing w:after="140"/>
      </w:pPr>
      <w:r>
        <w:t>Der Berater der Spedition geht durch die Vier-Zimmer-Wohnung, notiert Sofa, Esstisch und Waschmaschine und stellt dann eine unbequeme Frage: Soll das wirklich alles über den Atlantik? Ein 20-Fuß-Container fasst 28–33 m³ und kostet ab Deutschland oft 4.000–7.500 €. Die deutsche Waschmaschine aber läuft an einer US-Steckdose nicht und das Sofa passt vielleicht nicht durch die Tür der neuen Wohnung. Der größte Hebel beim Umzug in die USA ist deshalb nicht die Wahl der Spedition, sondern das Volumen. Jeder Kubikmeter, der mitfährt, kostet ungefähr so viel wie eine ordentliche Waschmaschine. Nur dass die eigene Waschmaschine drüben ohnehin nicht funktioniert.</w:t>
      </w:r>
    </w:p>
    <w:p w14:paraId="1A9340E9" w14:textId="77777777" w:rsidR="001F7233" w:rsidRDefault="00000000">
      <w:r>
        <w:rPr>
          <w:b/>
        </w:rPr>
        <w:t xml:space="preserve">KURZ GESAGT: </w:t>
      </w:r>
    </w:p>
    <w:p w14:paraId="1E2DDB80" w14:textId="77777777" w:rsidR="001F7233" w:rsidRDefault="00000000">
      <w:r>
        <w:t>• Du hast fünf Wege: Koffer, Paket, Luftfracht, Sammelladung und eigener Container. Ab Deutschland kostet eine Sammelladung 2.500–6.000 €, ein 20-ft-Container 4.000–7.500 € (Anbieterspannen 2026, meist ohne Zustellung in den USA).</w:t>
      </w:r>
    </w:p>
    <w:p w14:paraId="604A8175" w14:textId="77777777" w:rsidR="001F7233" w:rsidRDefault="00000000">
      <w:r>
        <w:t>• Per Schiff dauert es von Tür zu Tür vier bis zwölf Wochen. Plane eine Übergangslösung ohne Möbel ein.</w:t>
      </w:r>
    </w:p>
    <w:p w14:paraId="25555C0B" w14:textId="77777777" w:rsidR="001F7233" w:rsidRDefault="00000000">
      <w:r>
        <w:t>• Zollfrei (Free Entry) kommt nur Gebrauchtes ins Land, das du mindestens ein Jahr genutzt hast. Dazu gehören die Zollerklärung CBP Form 3299 des US-Grenzschutzes CBP und eine englische Inventarliste. Neuware, Lebensmittel, Pflanzen und ungestempeltes Holz sind Fallen.</w:t>
      </w:r>
    </w:p>
    <w:p w14:paraId="56B8D31C" w14:textId="77777777" w:rsidR="001F7233" w:rsidRDefault="00000000">
      <w:r>
        <w:t>• Zahlt der Arbeitgeber den Umzug, ist das in den USA steuerpflichtiger Lohn. Ein Gross-up (Aufstockung, damit netto der volle Betrag ankommt) verteuert die Leistung für ihn um etwa 30–55 %: Verhandle brutto und netto getrennt.</w:t>
      </w:r>
    </w:p>
    <w:p w14:paraId="0B87AD18" w14:textId="77777777" w:rsidR="001F7233" w:rsidRDefault="00000000">
      <w:r>
        <w:lastRenderedPageBreak/>
        <w:t>• Sparen kannst du mit weniger Volumen, Nebensaison, Sammelladung statt eigenem Container, Selbstpacken und einem Festpreis bis zur Haustür.</w:t>
      </w:r>
    </w:p>
    <w:p w14:paraId="6F0835FA" w14:textId="77777777" w:rsidR="001F7233" w:rsidRDefault="001F7233">
      <w:pPr>
        <w:spacing w:line="220" w:lineRule="exact"/>
      </w:pPr>
    </w:p>
    <w:p w14:paraId="290BA3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Wege im Überblick</w:t>
      </w:r>
    </w:p>
    <w:p w14:paraId="3E9A52CA" w14:textId="77777777" w:rsidR="001F7233" w:rsidRDefault="00000000">
      <w:pPr>
        <w:spacing w:after="140"/>
      </w:pPr>
      <w:r>
        <w:t>Es gibt keinen besten Weg, nur den, der zu Haushaltsgröße, Budget und Zeitplan passt. Die Tabelle nennt Spannen ab Deutschland (Stand 2026, Portale wie Targum, Umzugsportal und DMS) – meist inklusive Einpacken und Verladen, aber ohne Zustellung in den USA und von Anbietern mit Eigeninteresse: Nimm sie als Orientierung, nicht als Angebot.</w:t>
      </w:r>
    </w:p>
    <w:p w14:paraId="4166F2BD" w14:textId="77777777" w:rsidR="001F7233" w:rsidRDefault="00000000">
      <w:r>
        <w:rPr>
          <w:b/>
        </w:rPr>
        <w:t>Koffer (Fluggepäck)</w:t>
      </w:r>
    </w:p>
    <w:p w14:paraId="257B10F5" w14:textId="77777777" w:rsidR="001F7233" w:rsidRDefault="00000000">
      <w:r>
        <w:rPr>
          <w:b/>
        </w:rPr>
        <w:t xml:space="preserve">Geeignet für: </w:t>
      </w:r>
      <w:r>
        <w:t>Kleidung, Dokumente, Technik, Unersetzliches</w:t>
      </w:r>
    </w:p>
    <w:p w14:paraId="7D4647BD" w14:textId="77777777" w:rsidR="001F7233" w:rsidRDefault="00000000">
      <w:r>
        <w:rPr>
          <w:b/>
        </w:rPr>
        <w:t xml:space="preserve">Kosten: </w:t>
      </w:r>
      <w:r>
        <w:t>Freigepäck des Tarifs, Zusatzgepäck nach Preisliste der Airline</w:t>
      </w:r>
    </w:p>
    <w:p w14:paraId="0C3B1B78" w14:textId="77777777" w:rsidR="001F7233" w:rsidRDefault="00000000">
      <w:r>
        <w:rPr>
          <w:b/>
        </w:rPr>
        <w:t xml:space="preserve">Dauer: </w:t>
      </w:r>
      <w:r>
        <w:t>fliegt mit dir</w:t>
      </w:r>
    </w:p>
    <w:p w14:paraId="52997D2B" w14:textId="77777777" w:rsidR="001F7233" w:rsidRDefault="00000000">
      <w:r>
        <w:rPr>
          <w:b/>
        </w:rPr>
        <w:t>Paket (DHL)</w:t>
      </w:r>
    </w:p>
    <w:p w14:paraId="6563CBC3" w14:textId="77777777" w:rsidR="001F7233" w:rsidRDefault="00000000">
      <w:r>
        <w:rPr>
          <w:b/>
        </w:rPr>
        <w:t xml:space="preserve">Geeignet für: </w:t>
      </w:r>
      <w:r>
        <w:t>wenige Kartons, Dringendes; bis 31,5 kg je Paket</w:t>
      </w:r>
    </w:p>
    <w:p w14:paraId="408CDC52" w14:textId="77777777" w:rsidR="001F7233" w:rsidRDefault="00000000">
      <w:r>
        <w:rPr>
          <w:b/>
        </w:rPr>
        <w:t xml:space="preserve">Kosten: </w:t>
      </w:r>
      <w:r>
        <w:t>20 kg: 142,99 €, 31,5 kg: 207,99 €</w:t>
      </w:r>
    </w:p>
    <w:p w14:paraId="76ECFF84" w14:textId="77777777" w:rsidR="001F7233" w:rsidRDefault="00000000">
      <w:r>
        <w:rPr>
          <w:b/>
        </w:rPr>
        <w:t xml:space="preserve">Dauer: </w:t>
      </w:r>
      <w:r>
        <w:t>6–12 Werktage</w:t>
      </w:r>
    </w:p>
    <w:p w14:paraId="7D1360F6" w14:textId="77777777" w:rsidR="001F7233" w:rsidRDefault="00000000">
      <w:r>
        <w:rPr>
          <w:b/>
        </w:rPr>
        <w:t>Luftfracht</w:t>
      </w:r>
    </w:p>
    <w:p w14:paraId="6B7BC0DD" w14:textId="77777777" w:rsidR="001F7233" w:rsidRDefault="00000000">
      <w:r>
        <w:rPr>
          <w:b/>
        </w:rPr>
        <w:t xml:space="preserve">Geeignet für: </w:t>
      </w:r>
      <w:r>
        <w:t>Dringendes, wenige Kubikmeter</w:t>
      </w:r>
    </w:p>
    <w:p w14:paraId="05A2D619" w14:textId="77777777" w:rsidR="001F7233" w:rsidRDefault="00000000">
      <w:r>
        <w:rPr>
          <w:b/>
        </w:rPr>
        <w:t xml:space="preserve">Kosten: </w:t>
      </w:r>
      <w:r>
        <w:t>5–12 € je kg; 2 m³ etwa 1.200–2.200 €</w:t>
      </w:r>
    </w:p>
    <w:p w14:paraId="52FC41A4" w14:textId="77777777" w:rsidR="001F7233" w:rsidRDefault="00000000">
      <w:r>
        <w:rPr>
          <w:b/>
        </w:rPr>
        <w:t xml:space="preserve">Dauer: </w:t>
      </w:r>
      <w:r>
        <w:t>schneller als See</w:t>
      </w:r>
    </w:p>
    <w:p w14:paraId="326F1223" w14:textId="77777777" w:rsidR="001F7233" w:rsidRDefault="00000000">
      <w:r>
        <w:rPr>
          <w:b/>
        </w:rPr>
        <w:t>Sammelladung (LCL) oder Liftvan</w:t>
      </w:r>
    </w:p>
    <w:p w14:paraId="6A178F38" w14:textId="77777777" w:rsidR="001F7233" w:rsidRDefault="00000000">
      <w:r>
        <w:rPr>
          <w:b/>
        </w:rPr>
        <w:t xml:space="preserve">Geeignet für: </w:t>
      </w:r>
      <w:r>
        <w:t>10–20 m³ (LCL), 4,85 m³ (Liftvan)</w:t>
      </w:r>
    </w:p>
    <w:p w14:paraId="24DE54A0" w14:textId="77777777" w:rsidR="001F7233" w:rsidRDefault="00000000">
      <w:r>
        <w:rPr>
          <w:b/>
        </w:rPr>
        <w:t xml:space="preserve">Kosten: </w:t>
      </w:r>
      <w:r>
        <w:t>LCL 2.500–6.000 €, Liftvan 2.000–3.000 €</w:t>
      </w:r>
    </w:p>
    <w:p w14:paraId="00614C94" w14:textId="77777777" w:rsidR="001F7233" w:rsidRDefault="00000000">
      <w:r>
        <w:rPr>
          <w:b/>
        </w:rPr>
        <w:t xml:space="preserve">Dauer: </w:t>
      </w:r>
      <w:r>
        <w:t>4–12 Wochen</w:t>
      </w:r>
    </w:p>
    <w:p w14:paraId="2FC38410" w14:textId="77777777" w:rsidR="001F7233" w:rsidRDefault="00000000">
      <w:r>
        <w:rPr>
          <w:b/>
        </w:rPr>
        <w:t>Container 20 ft</w:t>
      </w:r>
    </w:p>
    <w:p w14:paraId="7AAE196D" w14:textId="77777777" w:rsidR="001F7233" w:rsidRDefault="00000000">
      <w:r>
        <w:rPr>
          <w:b/>
        </w:rPr>
        <w:t xml:space="preserve">Geeignet für: </w:t>
      </w:r>
      <w:r>
        <w:t>28–33 m³, zwei bis drei Zimmer</w:t>
      </w:r>
    </w:p>
    <w:p w14:paraId="04125AFE" w14:textId="77777777" w:rsidR="001F7233" w:rsidRDefault="00000000">
      <w:r>
        <w:rPr>
          <w:b/>
        </w:rPr>
        <w:t xml:space="preserve">Kosten: </w:t>
      </w:r>
      <w:r>
        <w:t>4.000–7.500 €</w:t>
      </w:r>
    </w:p>
    <w:p w14:paraId="4F39876F" w14:textId="77777777" w:rsidR="001F7233" w:rsidRDefault="00000000">
      <w:r>
        <w:rPr>
          <w:b/>
        </w:rPr>
        <w:t xml:space="preserve">Dauer: </w:t>
      </w:r>
      <w:r>
        <w:t>4–12 Wochen</w:t>
      </w:r>
    </w:p>
    <w:p w14:paraId="6D0D79E6" w14:textId="77777777" w:rsidR="001F7233" w:rsidRDefault="00000000">
      <w:r>
        <w:rPr>
          <w:b/>
        </w:rPr>
        <w:lastRenderedPageBreak/>
        <w:t>Container 40 ft</w:t>
      </w:r>
    </w:p>
    <w:p w14:paraId="390A5ED2" w14:textId="77777777" w:rsidR="001F7233" w:rsidRDefault="00000000">
      <w:r>
        <w:rPr>
          <w:b/>
        </w:rPr>
        <w:t xml:space="preserve">Geeignet für: </w:t>
      </w:r>
      <w:r>
        <w:t>55–68 m³, vier bis sechs Zimmer</w:t>
      </w:r>
    </w:p>
    <w:p w14:paraId="5DE47847" w14:textId="77777777" w:rsidR="001F7233" w:rsidRDefault="00000000">
      <w:r>
        <w:rPr>
          <w:b/>
        </w:rPr>
        <w:t xml:space="preserve">Kosten: </w:t>
      </w:r>
      <w:r>
        <w:t>7.500–14.000 €</w:t>
      </w:r>
    </w:p>
    <w:p w14:paraId="20E71B67" w14:textId="77777777" w:rsidR="001F7233" w:rsidRDefault="00000000">
      <w:r>
        <w:rPr>
          <w:b/>
        </w:rPr>
        <w:t xml:space="preserve">Dauer: </w:t>
      </w:r>
      <w:r>
        <w:t>4–12 Wochen</w:t>
      </w:r>
    </w:p>
    <w:p w14:paraId="5D130F90" w14:textId="77777777" w:rsidR="001F7233" w:rsidRDefault="001F7233">
      <w:pPr>
        <w:spacing w:line="180" w:lineRule="exact"/>
      </w:pPr>
    </w:p>
    <w:p w14:paraId="3F48FCA7" w14:textId="77777777" w:rsidR="001F7233" w:rsidRDefault="00000000">
      <w:pPr>
        <w:spacing w:after="140"/>
      </w:pPr>
      <w:r>
        <w:t>Die Zielküste zählt. Für einen 20-ft-Container nennt ein Anbieter 5.000–8.000 € an die Ostküste, 7.000–11.000 € an die Westküste. Auf See liegen die Häfen unterschiedlich weit auseinander: New York rund zehn Tage, Boston zwölf, Miami 14, Los Angeles 24, San Francisco 27. Verladung, Zollabfertigung und Zustellung kommen dazu, bei Zielen im Landesinneren auch die Strecke ab Hafen. Von Tür zu Tür sind es vier bis zwölf Wochen.</w:t>
      </w:r>
    </w:p>
    <w:p w14:paraId="6E115760" w14:textId="77777777" w:rsidR="001F7233" w:rsidRDefault="00000000">
      <w:pPr>
        <w:spacing w:after="140"/>
      </w:pPr>
      <w:r>
        <w:rPr>
          <w:i/>
          <w:iCs/>
        </w:rPr>
        <w:t>Bei der Sammelladung (Less than Container Load, LCL) teilst du den Container mit anderen Kunden und zahlst nach Kubikmetern, rund 250–300 € je m³ (eigene Rechnung aus den Portalspannen). Nach der Faustregel der Portale ist LCL bis etwa 15 m³ günstiger, darüber der eigene 20-ft-Container (Full Container Load, FCL). Ein Liftvan ist eine Transportkiste von rund 4,85 m³ für kleine Haushalte.</w:t>
      </w:r>
    </w:p>
    <w:p w14:paraId="2A51ED5F" w14:textId="77777777" w:rsidR="001F7233" w:rsidRDefault="00000000">
      <w:pPr>
        <w:spacing w:after="140"/>
      </w:pPr>
      <w:r>
        <w:t>Luftfracht lohnt für Dringendes; bei sperrigem Gut zählt das Volumengewicht, denn 1 m³ gilt als 167 kg. Ein Paket kostet je Kilo etwa 6,60–7,15 € und lohnt nur für wenige Kartons: Zehn Kartons à 20 kg schlagen schon mit rund 1.430 € zu Buche. Gib bei Paketen Inhalt und Wert wahrheitsgemäß an und frage den Paketdienst nach den Zollregeln für gebrauchten Hausrat.</w:t>
      </w:r>
    </w:p>
    <w:p w14:paraId="240C13C7" w14:textId="77777777" w:rsidR="001F7233" w:rsidRDefault="001F7233">
      <w:pPr>
        <w:spacing w:line="220" w:lineRule="exact"/>
      </w:pPr>
    </w:p>
    <w:p w14:paraId="7E5F90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in den Container gehört</w:t>
      </w:r>
    </w:p>
    <w:p w14:paraId="3348F4C6" w14:textId="77777777" w:rsidR="001F7233" w:rsidRDefault="00000000">
      <w:pPr>
        <w:spacing w:after="140"/>
      </w:pPr>
      <w:r>
        <w:t xml:space="preserve">Bei der Sammelladung bezahlst du das Volumen, jeden Kubikmeter mit rund 250–300 €. Das macht aus „mitnehmen oder neu kaufen?“ eine Rechenaufgabe. Ein 20-ft-Container (4.000–7.500 € plus Zustellung in den USA) liegt in der Größenordnung der Neuausstattung einer </w:t>
      </w:r>
      <w:r>
        <w:rPr>
          <w:i/>
          <w:iCs/>
        </w:rPr>
        <w:t>1BR</w:t>
      </w:r>
      <w:r>
        <w:t xml:space="preserve">, einer Zweizimmerwohnung nach deutscher Zählung: Anbieter nennen dafür 7.000–12.000 $ in </w:t>
      </w:r>
      <w:r>
        <w:lastRenderedPageBreak/>
        <w:t>mittlerer Qualität, mit IKEA und Gebrauchtmöbeln 40–60 % weniger. Zur groben Orientierung: 1 € entsprach im September 2026 etwa 1,15 $ (bitte tagesaktuell prüfen).</w:t>
      </w:r>
    </w:p>
    <w:p w14:paraId="10E32DD1" w14:textId="77777777" w:rsidR="001F7233" w:rsidRDefault="00000000">
      <w:pPr>
        <w:spacing w:after="140"/>
      </w:pPr>
      <w:r>
        <w:t>Verbreiteter Irrtum: Wer schon einmal umgezogen ist, denkt oft, die eigenen Möbel seien im neuen Zuhause billiger als neue. Man hat sie ja bereits bezahlt. Beim Übersee-Umzug zählt aber nur, was der Transport auch kostet und der frisst bei sperrigen Stücken schnell den vermeintlichen Vorteil auf. Ein Beispiel: Ein Dreisitzer-Sofa belegt grob geschätzt 2 m³, das sind 500–600 € Transport. Ein neues Sofa kostet in den USA 300–800 $ (Budget) oder 800–2.000 $ (Mittelklasse). Bei einem Erbstück, das du nicht ersetzen kannst, fällt die Rechnung anders aus.</w:t>
      </w:r>
    </w:p>
    <w:p w14:paraId="76617540" w14:textId="77777777" w:rsidR="001F7233" w:rsidRDefault="00000000">
      <w:pPr>
        <w:spacing w:after="140"/>
      </w:pPr>
      <w:r>
        <w:t>Vieles passt außerdem technisch nicht: Das US-Netz liefert 120 V bei 60 Hz (Steckdosen Typ A und B). Wasserkocher, Toaster, Haartrockner und andere Heiz- und Motorgeräte lässt du zurück; Laptops und Ladegeräte mit dem Aufdruck 100–240 V laufen mit Adapter. Betten sind anders: Ein Queen-Bett misst 60 × 80 Zoll (152 × 203 cm), deutsche Lattenroste und Bettwäsche passen nicht. Sinnvoll im Container sind Persönliches, Bücher, Kleidung, Küchenutensilien und hochwertige Einzelstücke, oft genügen Kartons oder ein Liftvan. Die Raum-für-Raum-Liste steht in Kapitel </w:t>
      </w:r>
      <w:hyperlink w:anchor="k21">
        <w:r w:rsidR="001F7233">
          <w:t>21</w:t>
        </w:r>
      </w:hyperlink>
      <w:r>
        <w:t>, Haustiere reisen nicht im Umzugsgut (Kapitel </w:t>
      </w:r>
      <w:hyperlink w:anchor="k22">
        <w:r w:rsidR="001F7233">
          <w:t>22</w:t>
        </w:r>
      </w:hyperlink>
      <w:r>
        <w:t>).</w:t>
      </w:r>
    </w:p>
    <w:p w14:paraId="13DC1FA6" w14:textId="77777777" w:rsidR="001F7233" w:rsidRDefault="00000000">
      <w:r>
        <w:rPr>
          <w:b/>
        </w:rPr>
        <w:t xml:space="preserve">MERKE: </w:t>
      </w:r>
    </w:p>
    <w:p w14:paraId="7EB6DF78" w14:textId="77777777" w:rsidR="001F7233" w:rsidRDefault="00000000">
      <w:r>
        <w:t>• Jeder Kubikmeter im Container kostet rund 250–300 €. Nimm nur mit, was in den USA mehr kostet oder nicht zu ersetzen ist.</w:t>
      </w:r>
    </w:p>
    <w:p w14:paraId="48A7F953" w14:textId="77777777" w:rsidR="001F7233" w:rsidRDefault="001F7233">
      <w:pPr>
        <w:spacing w:line="220" w:lineRule="exact"/>
      </w:pPr>
    </w:p>
    <w:p w14:paraId="6F14D3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Spedition wählen und Angebote vergleichen</w:t>
      </w:r>
    </w:p>
    <w:p w14:paraId="0CFDC4C6" w14:textId="77777777" w:rsidR="001F7233" w:rsidRDefault="00000000">
      <w:pPr>
        <w:spacing w:after="140"/>
      </w:pPr>
      <w:r>
        <w:t>So gehst du vor:</w:t>
      </w:r>
    </w:p>
    <w:p w14:paraId="7E728AB6" w14:textId="77777777" w:rsidR="001F7233" w:rsidRDefault="00000000">
      <w:pPr>
        <w:pStyle w:val="ListParagraph"/>
        <w:numPr>
          <w:ilvl w:val="0"/>
          <w:numId w:val="1"/>
        </w:numPr>
        <w:spacing w:after="60"/>
      </w:pPr>
      <w:r>
        <w:rPr>
          <w:b/>
          <w:bCs/>
        </w:rPr>
        <w:lastRenderedPageBreak/>
        <w:t>Drei Angebote, jeweils nach Besichtigung vor Ort oder per Video-Survey (Rundgang per Videoanruf) – telefonische Schätzungen taugen nicht zum Vergleich.</w:t>
      </w:r>
    </w:p>
    <w:p w14:paraId="0B405D75" w14:textId="77777777" w:rsidR="001F7233" w:rsidRDefault="00000000">
      <w:pPr>
        <w:pStyle w:val="ListParagraph"/>
        <w:numPr>
          <w:ilvl w:val="0"/>
          <w:numId w:val="1"/>
        </w:numPr>
        <w:spacing w:after="60"/>
      </w:pPr>
      <w:r>
        <w:rPr>
          <w:b/>
          <w:bCs/>
        </w:rPr>
        <w:t>Verbindlicher Festpreis</w:t>
      </w:r>
      <w:r>
        <w:t xml:space="preserve"> statt Schätzung, schriftlich und mit gleichem Leistungsumfang bei allen Anbietern.</w:t>
      </w:r>
    </w:p>
    <w:p w14:paraId="3F4E165D" w14:textId="77777777" w:rsidR="001F7233" w:rsidRDefault="00000000">
      <w:pPr>
        <w:pStyle w:val="ListParagraph"/>
        <w:numPr>
          <w:ilvl w:val="0"/>
          <w:numId w:val="1"/>
        </w:numPr>
        <w:spacing w:after="60"/>
      </w:pPr>
      <w:r>
        <w:t xml:space="preserve">Qualitätsnachweise: FIDI-FAIM (FIDI Accredited International Mover, Qualitätslabel des Umzugsverbands FIDI; Mitgliederliste auf </w:t>
      </w:r>
      <w:hyperlink r:id="rId287">
        <w:r w:rsidR="001F7233">
          <w:rPr>
            <w:color w:val="0563C1"/>
            <w:u w:val="single"/>
          </w:rPr>
          <w:t>fidi.org</w:t>
        </w:r>
      </w:hyperlink>
      <w:r>
        <w:t>), auf US-Seite das Siegel AMSA ProMover sowie USDOT- und MC-Nummer des Frachtführers, nachschlagbar bei der Bundesbehörde FMCSA (Aufsicht über den Lkw-Verkehr).</w:t>
      </w:r>
    </w:p>
    <w:p w14:paraId="31BCC4DA" w14:textId="77777777" w:rsidR="001F7233" w:rsidRDefault="00000000">
      <w:pPr>
        <w:pStyle w:val="ListParagraph"/>
        <w:numPr>
          <w:ilvl w:val="0"/>
          <w:numId w:val="1"/>
        </w:numPr>
        <w:spacing w:after="60"/>
      </w:pPr>
      <w:r>
        <w:rPr>
          <w:b/>
          <w:bCs/>
        </w:rPr>
        <w:t>Zahlung</w:t>
      </w:r>
      <w:r>
        <w:t xml:space="preserve"> nie komplett im Voraus; kläre, wann die Restzahlung fällig wird.</w:t>
      </w:r>
    </w:p>
    <w:p w14:paraId="31D8BB95" w14:textId="77777777" w:rsidR="001F7233" w:rsidRDefault="00000000">
      <w:pPr>
        <w:pStyle w:val="ListParagraph"/>
        <w:numPr>
          <w:ilvl w:val="0"/>
          <w:numId w:val="1"/>
        </w:numPr>
        <w:spacing w:after="60"/>
      </w:pPr>
      <w:r>
        <w:rPr>
          <w:b/>
          <w:bCs/>
        </w:rPr>
        <w:t>Zeitplan:</w:t>
      </w:r>
      <w:r>
        <w:t xml:space="preserve"> Buche sechs bis acht Wochen vor der Verladung, aber verbindlich erst, wenn das Visum im Pass steht (Kapitel </w:t>
      </w:r>
      <w:hyperlink w:anchor="k11">
        <w:r w:rsidR="001F7233">
          <w:t>11</w:t>
        </w:r>
      </w:hyperlink>
      <w:r>
        <w:t>, Zeitleiste in Kapitel </w:t>
      </w:r>
      <w:hyperlink w:anchor="k15">
        <w:r w:rsidR="001F7233">
          <w:t>15</w:t>
        </w:r>
      </w:hyperlink>
      <w:r>
        <w:t>).</w:t>
      </w:r>
    </w:p>
    <w:p w14:paraId="62A11B8B" w14:textId="77777777" w:rsidR="001F7233" w:rsidRDefault="001F7233">
      <w:pPr>
        <w:spacing w:line="120" w:lineRule="exact"/>
      </w:pPr>
    </w:p>
    <w:p w14:paraId="59AA8A39" w14:textId="77777777" w:rsidR="001F7233" w:rsidRDefault="00000000">
      <w:r>
        <w:rPr>
          <w:b/>
        </w:rPr>
        <w:t xml:space="preserve">ACHTUNG: </w:t>
      </w:r>
    </w:p>
    <w:p w14:paraId="7E8587AB" w14:textId="77777777" w:rsidR="001F7233" w:rsidRDefault="00000000">
      <w:r>
        <w:t>• Ein Preis ist noch kein Preis bis zur Haustür. Zustellung Hafen–Haus, Zollabfertigung durch den Zollagenten (Customs Broker), Zuschläge für Treppen und lange Tragewege, Auspacken und Lagerung fehlen in Portalangeboten oft. Diese Posten schwanken stark: Lass dir jeden einzeln beziffern und vergleiche nur Tür-zu-Tür-Festpreise.</w:t>
      </w:r>
    </w:p>
    <w:p w14:paraId="63B29897" w14:textId="77777777" w:rsidR="001F7233" w:rsidRDefault="001F7233">
      <w:pPr>
        <w:spacing w:line="220" w:lineRule="exact"/>
      </w:pPr>
    </w:p>
    <w:p w14:paraId="5594C1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w:t>
      </w:r>
    </w:p>
    <w:p w14:paraId="46C5CF3F" w14:textId="77777777" w:rsidR="001F7233" w:rsidRDefault="00000000">
      <w:pPr>
        <w:spacing w:after="140"/>
      </w:pPr>
      <w:r>
        <w:t>Die Standardhaftung der Spedition ist gering und bemisst sich meist nach Gewicht, nicht nach dem Wert deiner Sachen. Schließe deshalb eine Transportversicherung „all risk“ zum Neu- bzw. Wiederbeschaffungswert ab. Als Faustwert gelten 1–3 % des Versicherungswerts (Praxiswert, hole ein konkretes Angebot ein): Bei 30.000 € wären das 300–900 €.</w:t>
      </w:r>
    </w:p>
    <w:p w14:paraId="2DAC836C" w14:textId="77777777" w:rsidR="001F7233" w:rsidRDefault="00000000">
      <w:pPr>
        <w:spacing w:after="140"/>
      </w:pPr>
      <w:r>
        <w:lastRenderedPageBreak/>
        <w:t>Grundlage ist deine Inventarliste mit Werten; fotografiere wertvolle Stücke vorher, solange sie noch im Regal stehen und nicht schon in Luftpolsterfolie verschwunden sind. Frage nach Ausschlüssen (etwa selbstgepackte Kartons, Wertsachen) und vermerke Schäden bei der Lieferung sofort auf dem Übergabeprotokoll. Ob deine deutsche Hausratversicherung während des Transports leistet, lässt du dir schriftlich bestätigen (Kündigung: Kapitel </w:t>
      </w:r>
      <w:hyperlink w:anchor="k16">
        <w:r w:rsidR="001F7233">
          <w:t>16</w:t>
        </w:r>
      </w:hyperlink>
      <w:r>
        <w:t>).</w:t>
      </w:r>
    </w:p>
    <w:p w14:paraId="4E3A90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USA: zollfreie Einfuhr des Umzugsguts</w:t>
      </w:r>
    </w:p>
    <w:p w14:paraId="37C3059B" w14:textId="77777777" w:rsidR="001F7233" w:rsidRDefault="00000000">
      <w:pPr>
        <w:spacing w:after="140"/>
      </w:pPr>
      <w:r>
        <w:t xml:space="preserve">Die Zoll- und Grenzschutzbehörde </w:t>
      </w:r>
      <w:r>
        <w:rPr>
          <w:i/>
          <w:iCs/>
        </w:rPr>
        <w:t>U.S. Customs and Border Protection</w:t>
      </w:r>
      <w:r>
        <w:t xml:space="preserve"> (CBP) lässt gebrauchten Hausrat zollfrei ins Land (</w:t>
      </w:r>
      <w:r>
        <w:rPr>
          <w:i/>
          <w:iCs/>
        </w:rPr>
        <w:t>Free Entry</w:t>
      </w:r>
      <w:r>
        <w:t>), wenn drei Bedingungen erfüllt sind (19 CFR 148.52, die einschlägige Vorschrift der US-Zollregeln):</w:t>
      </w:r>
    </w:p>
    <w:p w14:paraId="4FBACFA4" w14:textId="77777777" w:rsidR="001F7233" w:rsidRDefault="00000000">
      <w:pPr>
        <w:pStyle w:val="ListParagraph"/>
        <w:numPr>
          <w:ilvl w:val="0"/>
          <w:numId w:val="1"/>
        </w:numPr>
        <w:spacing w:after="60"/>
      </w:pPr>
      <w:r>
        <w:t>Du oder deine Familie habt die Gegenstände im Ausland mindestens ein Jahr genutzt. Das Jahr muss weder zusammenhängend sein noch unmittelbar vor der Einfuhr liegen.</w:t>
      </w:r>
    </w:p>
    <w:p w14:paraId="4CBCB998" w14:textId="77777777" w:rsidR="001F7233" w:rsidRDefault="00000000">
      <w:pPr>
        <w:pStyle w:val="ListParagraph"/>
        <w:numPr>
          <w:ilvl w:val="0"/>
          <w:numId w:val="1"/>
        </w:numPr>
        <w:spacing w:after="60"/>
      </w:pPr>
      <w:r>
        <w:t>Die Sachen sind für den eigenen Haushalt bestimmt, nicht für Dritte und nicht zum Verkauf.</w:t>
      </w:r>
    </w:p>
    <w:p w14:paraId="7F28CF16" w14:textId="77777777" w:rsidR="001F7233" w:rsidRDefault="00000000">
      <w:pPr>
        <w:pStyle w:val="ListParagraph"/>
        <w:numPr>
          <w:ilvl w:val="0"/>
          <w:numId w:val="1"/>
        </w:numPr>
        <w:spacing w:after="60"/>
      </w:pPr>
      <w:r>
        <w:t xml:space="preserve">Du erklärst sie auf </w:t>
      </w:r>
      <w:r>
        <w:rPr>
          <w:i/>
          <w:iCs/>
        </w:rPr>
        <w:t>CBP Form 3299</w:t>
      </w:r>
      <w:r>
        <w:t xml:space="preserve"> („Declaration for Free Entry of Unaccompanied Articles“, Zollerklärung für unbegleitetes Umzugsgut) oder in einem elektronischen Äquivalent.</w:t>
      </w:r>
    </w:p>
    <w:p w14:paraId="5B9D7B26" w14:textId="77777777" w:rsidR="001F7233" w:rsidRDefault="001F7233">
      <w:pPr>
        <w:spacing w:line="120" w:lineRule="exact"/>
      </w:pPr>
    </w:p>
    <w:p w14:paraId="438A39E5" w14:textId="77777777" w:rsidR="001F7233" w:rsidRDefault="00000000">
      <w:pPr>
        <w:spacing w:after="140"/>
      </w:pPr>
      <w:r>
        <w:t>Was du im Ausland gekauft und weniger als ein Jahr genutzt hast, ist verzollbar; das Formular fragt genau danach. Fahrzeuge zählen nicht zur Freigrenze: Ein Auto einzuführen lohnt fast nie (Verschiffung 1.300–3.000 €, Pkw-Zoll 2,5 %, Nachweise zu Abgas- und Sicherheitsnormen, mögliche Zusatzzölle; Kapitel </w:t>
      </w:r>
      <w:hyperlink w:anchor="k27">
        <w:r w:rsidR="001F7233">
          <w:t>27</w:t>
        </w:r>
      </w:hyperlink>
      <w:r>
        <w:t>).</w:t>
      </w:r>
    </w:p>
    <w:p w14:paraId="28DBDEE9" w14:textId="77777777" w:rsidR="001F7233" w:rsidRDefault="00000000">
      <w:r>
        <w:rPr>
          <w:b/>
        </w:rPr>
        <w:t xml:space="preserve">ACHTUNG: </w:t>
      </w:r>
    </w:p>
    <w:p w14:paraId="16034685" w14:textId="77777777" w:rsidR="001F7233" w:rsidRDefault="00000000">
      <w:r>
        <w:t xml:space="preserve">• Die Matratze vom Frühjahr, das im Sommer gekaufte Sofa: unter einem Jahr genutzt heißt verzollbar. Deklariere ehrlich, denn das </w:t>
      </w:r>
      <w:r>
        <w:lastRenderedPageBreak/>
        <w:t>Formular warnt, dass alle Angaben geprüft werden und falsche oder fehlende Angaben Strafen nach sich ziehen können. Neuware gehört nicht in den Container; auf Polstermöbel und Küchenschränke kommt zudem ein Zusatzzoll von etwa 25 % (Section 232, Stand 2026).</w:t>
      </w:r>
    </w:p>
    <w:p w14:paraId="16B526CC" w14:textId="77777777" w:rsidR="001F7233" w:rsidRDefault="001F7233">
      <w:pPr>
        <w:spacing w:line="220" w:lineRule="exact"/>
      </w:pPr>
    </w:p>
    <w:p w14:paraId="3E9E28B7" w14:textId="77777777" w:rsidR="001F7233" w:rsidRDefault="00000000">
      <w:pPr>
        <w:spacing w:after="140"/>
      </w:pPr>
      <w:r>
        <w:t>So läuft die Abwicklung:</w:t>
      </w:r>
    </w:p>
    <w:p w14:paraId="548CCEB1" w14:textId="77777777" w:rsidR="001F7233" w:rsidRDefault="00000000">
      <w:pPr>
        <w:pStyle w:val="ListParagraph"/>
        <w:numPr>
          <w:ilvl w:val="0"/>
          <w:numId w:val="20"/>
        </w:numPr>
        <w:spacing w:after="60"/>
      </w:pPr>
      <w:r>
        <w:rPr>
          <w:b/>
          <w:bCs/>
        </w:rPr>
        <w:t>Inventarliste</w:t>
      </w:r>
      <w:r>
        <w:t xml:space="preserve"> (Packliste) auf Englisch: Karton für Karton nummeriert, mit Inhalt und Wert. Sie dient Zoll und Versicherung; die Spedition liefert meist eine Vorlage.</w:t>
      </w:r>
    </w:p>
    <w:p w14:paraId="38E250D1" w14:textId="77777777" w:rsidR="001F7233" w:rsidRDefault="00000000">
      <w:pPr>
        <w:pStyle w:val="ListParagraph"/>
        <w:numPr>
          <w:ilvl w:val="0"/>
          <w:numId w:val="2"/>
        </w:numPr>
        <w:spacing w:after="60"/>
      </w:pPr>
      <w:r>
        <w:rPr>
          <w:b/>
          <w:bCs/>
        </w:rPr>
        <w:t>Zollagent: Er wird meist über die Spedition gestellt und braucht eine Vollmacht, deinen Reisepass, Visum und I-94 (den elektronischen Einreise- und Aufenthaltsnachweis) oder die Green Card und das Inventar.</w:t>
      </w:r>
    </w:p>
    <w:p w14:paraId="5D4326B5" w14:textId="77777777" w:rsidR="001F7233" w:rsidRDefault="00000000">
      <w:pPr>
        <w:pStyle w:val="ListParagraph"/>
        <w:numPr>
          <w:ilvl w:val="0"/>
          <w:numId w:val="2"/>
        </w:numPr>
        <w:spacing w:after="60"/>
      </w:pPr>
      <w:r>
        <w:rPr>
          <w:b/>
          <w:bCs/>
        </w:rPr>
        <w:t>Form 3299: Teil I füllen alle aus, Teil II fragt nach deinem Aufenthaltsstatus. Welches Kästchen zu deinem Visum passt, klärt der Zollagent. Wer aus Deutschland kommt, dem ist die Freude an exakt ausgefüllten Formularen ohnehin nicht fremd.</w:t>
      </w:r>
    </w:p>
    <w:p w14:paraId="7430E436" w14:textId="77777777" w:rsidR="001F7233" w:rsidRDefault="00000000">
      <w:pPr>
        <w:pStyle w:val="ListParagraph"/>
        <w:numPr>
          <w:ilvl w:val="0"/>
          <w:numId w:val="2"/>
        </w:numPr>
        <w:spacing w:after="60"/>
      </w:pPr>
      <w:r>
        <w:rPr>
          <w:b/>
          <w:bCs/>
        </w:rPr>
        <w:t>Fehlende Erklärung: Liegt sie bei der Ankunft nicht vor, kann eine Zollbürgschaft (Bond, CBP Form 301) hinterlegt werden. Die Erklärung reichst du binnen sechs Monaten nach.</w:t>
      </w:r>
    </w:p>
    <w:p w14:paraId="12AFF27E" w14:textId="77777777" w:rsidR="001F7233" w:rsidRDefault="00000000">
      <w:pPr>
        <w:pStyle w:val="ListParagraph"/>
        <w:numPr>
          <w:ilvl w:val="0"/>
          <w:numId w:val="2"/>
        </w:numPr>
        <w:spacing w:after="60"/>
      </w:pPr>
      <w:r>
        <w:rPr>
          <w:b/>
          <w:bCs/>
        </w:rPr>
        <w:t>Beschau:</w:t>
      </w:r>
      <w:r>
        <w:t xml:space="preserve"> Der Zoll darf den Container öffnen und prüfen. Das kann Zeit und Zusatzkosten bedeuten.</w:t>
      </w:r>
    </w:p>
    <w:p w14:paraId="02F67D74" w14:textId="77777777" w:rsidR="001F7233" w:rsidRDefault="001F7233">
      <w:pPr>
        <w:spacing w:line="120" w:lineRule="exact"/>
      </w:pPr>
    </w:p>
    <w:p w14:paraId="45378F07" w14:textId="77777777" w:rsidR="001F7233" w:rsidRDefault="00000000">
      <w:pPr>
        <w:spacing w:after="140"/>
      </w:pPr>
      <w:r>
        <w:t>In 19 CFR 148.52 ist keine feste kurze Frist zwischen deiner Einreise und dem Eintreffen der Sendung erkennbar. Beschränkt wird die sehr späte Einfuhr nach vielen Jahren. Die Praxis im Zielhafen klärst du trotzdem vorab schriftlich mit dem Zollagenten.</w:t>
      </w:r>
    </w:p>
    <w:p w14:paraId="7F76C8BF" w14:textId="77777777" w:rsidR="001F7233" w:rsidRDefault="00000000">
      <w:pPr>
        <w:spacing w:after="140"/>
      </w:pPr>
      <w:r>
        <w:t xml:space="preserve">Die Zolllage ist 2026 in Bewegung: Der Supreme Court kippte die auf das Notstandsgesetz IEEPA gestützten Zölle am 20. Februar 2026 (6:3); seit dem 24. Juli 2026 gelten Zölle nach Section 301 (für </w:t>
      </w:r>
      <w:r>
        <w:lastRenderedPageBreak/>
        <w:t>Waren aus der EU kombiniert 10 %) und die Zölle nach Section 232 auf Möbel, Autos, Stahl, Aluminium und Holz bleiben.</w:t>
      </w:r>
    </w:p>
    <w:p w14:paraId="0B0049FE" w14:textId="77777777" w:rsidR="001F7233" w:rsidRDefault="00000000">
      <w:pPr>
        <w:spacing w:after="140"/>
      </w:pPr>
      <w:r>
        <w:t>Ob sie zollfreies Umzugsgut treffen, ist offen: Von den früheren IEEPA-Zöllen waren Waren des Kapitels 98 des US-Zolltarifs, unter das Umzugsgut fällt, ausgenommen. Für die neuen Zölle liegt keine bestätigte Aussage vor. Lass dir vom Zollagenten schriftlich bestätigen, dass dein Umzugsgut abgabenfrei eingeht.</w:t>
      </w:r>
    </w:p>
    <w:p w14:paraId="252339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Verbotenes und Beschränktes</w:t>
      </w:r>
    </w:p>
    <w:p w14:paraId="536059CE" w14:textId="77777777" w:rsidR="001F7233" w:rsidRDefault="00000000">
      <w:pPr>
        <w:spacing w:after="140"/>
      </w:pPr>
      <w:r>
        <w:t>Manches darfst du nicht oder nur mit Papieren einführen. Die Zollerklärung fragt es ausdrücklich ab.</w:t>
      </w:r>
    </w:p>
    <w:p w14:paraId="326209EE" w14:textId="77777777" w:rsidR="001F7233" w:rsidRDefault="00000000">
      <w:r>
        <w:rPr>
          <w:b/>
        </w:rPr>
        <w:t>Lebensmittel</w:t>
      </w:r>
    </w:p>
    <w:p w14:paraId="7623BDFC" w14:textId="77777777" w:rsidR="001F7233" w:rsidRDefault="00000000">
      <w:r>
        <w:rPr>
          <w:b/>
        </w:rPr>
        <w:t xml:space="preserve">Regel (Stand 2026): </w:t>
      </w:r>
      <w:r>
        <w:t>Frisches Obst, Gemüse, Fleisch und Wurst: verboten oder je nach Herkunftsland beschränkt</w:t>
      </w:r>
    </w:p>
    <w:p w14:paraId="543C542C" w14:textId="77777777" w:rsidR="001F7233" w:rsidRDefault="00000000">
      <w:r>
        <w:rPr>
          <w:b/>
        </w:rPr>
        <w:t xml:space="preserve">Was du tust: </w:t>
      </w:r>
      <w:r>
        <w:t>Verbrauchen, verschenken, zurücklassen</w:t>
      </w:r>
    </w:p>
    <w:p w14:paraId="2975FDEB" w14:textId="77777777" w:rsidR="001F7233" w:rsidRDefault="00000000">
      <w:r>
        <w:rPr>
          <w:b/>
        </w:rPr>
        <w:t>Pflanzen, Samen, Erde</w:t>
      </w:r>
    </w:p>
    <w:p w14:paraId="2E9AE35C" w14:textId="77777777" w:rsidR="001F7233" w:rsidRDefault="00000000">
      <w:r>
        <w:rPr>
          <w:b/>
        </w:rPr>
        <w:t xml:space="preserve">Regel (Stand 2026): </w:t>
      </w:r>
      <w:r>
        <w:t>Ohne Genehmigung (Permit) des US-Landwirtschaftsministeriums USDA verboten</w:t>
      </w:r>
    </w:p>
    <w:p w14:paraId="071102BD" w14:textId="77777777" w:rsidR="001F7233" w:rsidRDefault="00000000">
      <w:r>
        <w:rPr>
          <w:b/>
        </w:rPr>
        <w:t xml:space="preserve">Was du tust: </w:t>
      </w:r>
      <w:r>
        <w:t>Nicht mitnehmen, auch keine Kübelerde</w:t>
      </w:r>
    </w:p>
    <w:p w14:paraId="32A2B69F" w14:textId="77777777" w:rsidR="001F7233" w:rsidRDefault="00000000">
      <w:r>
        <w:rPr>
          <w:b/>
        </w:rPr>
        <w:t>Holz</w:t>
      </w:r>
    </w:p>
    <w:p w14:paraId="2744C0D0" w14:textId="77777777" w:rsidR="001F7233" w:rsidRDefault="00000000">
      <w:r>
        <w:rPr>
          <w:b/>
        </w:rPr>
        <w:t xml:space="preserve">Regel (Stand 2026): </w:t>
      </w:r>
      <w:r>
        <w:t>Kisten, Paletten und Holzverpackung nur mit ISPM-15-Stempel (Pflanzenschutzstandard, Hitze- oder Begasungsbehandlung), sonst Zurückweisung</w:t>
      </w:r>
    </w:p>
    <w:p w14:paraId="13A5B73E" w14:textId="77777777" w:rsidR="001F7233" w:rsidRDefault="00000000">
      <w:r>
        <w:rPr>
          <w:b/>
        </w:rPr>
        <w:t xml:space="preserve">Was du tust: </w:t>
      </w:r>
      <w:r>
        <w:t>Von der Spedition schriftlich bestätigen lassen</w:t>
      </w:r>
    </w:p>
    <w:p w14:paraId="57738A88" w14:textId="77777777" w:rsidR="001F7233" w:rsidRDefault="00000000">
      <w:r>
        <w:rPr>
          <w:b/>
        </w:rPr>
        <w:t>Elfenbein, Artenschutzware</w:t>
      </w:r>
    </w:p>
    <w:p w14:paraId="0696686A" w14:textId="77777777" w:rsidR="001F7233" w:rsidRDefault="00000000">
      <w:r>
        <w:rPr>
          <w:b/>
        </w:rPr>
        <w:t xml:space="preserve">Regel (Stand 2026): </w:t>
      </w:r>
      <w:r>
        <w:t>Ohne CITES- und USFWS-Papiere verboten</w:t>
      </w:r>
    </w:p>
    <w:p w14:paraId="5330584A" w14:textId="77777777" w:rsidR="001F7233" w:rsidRDefault="00000000">
      <w:r>
        <w:rPr>
          <w:b/>
        </w:rPr>
        <w:t xml:space="preserve">Was du tust: </w:t>
      </w:r>
      <w:r>
        <w:t>Nicht mitnehmen</w:t>
      </w:r>
    </w:p>
    <w:p w14:paraId="00B7E80D" w14:textId="77777777" w:rsidR="001F7233" w:rsidRDefault="00000000">
      <w:r>
        <w:rPr>
          <w:b/>
        </w:rPr>
        <w:t>Waffen, Munition</w:t>
      </w:r>
    </w:p>
    <w:p w14:paraId="2A4DF40B" w14:textId="77777777" w:rsidR="001F7233" w:rsidRDefault="00000000">
      <w:r>
        <w:rPr>
          <w:b/>
        </w:rPr>
        <w:t xml:space="preserve">Regel (Stand 2026): </w:t>
      </w:r>
      <w:r>
        <w:t>Nur mit ATF-Formularen und Einfuhrgenehmigung</w:t>
      </w:r>
    </w:p>
    <w:p w14:paraId="0B98221E" w14:textId="77777777" w:rsidR="001F7233" w:rsidRDefault="00000000">
      <w:r>
        <w:rPr>
          <w:b/>
        </w:rPr>
        <w:t xml:space="preserve">Was du tust: </w:t>
      </w:r>
      <w:r>
        <w:t>Nicht mitschicken (</w:t>
      </w:r>
      <w:hyperlink w:anchor="k40">
        <w:r w:rsidR="001F7233">
          <w:rPr>
            <w:rStyle w:val="Hyperlink"/>
          </w:rPr>
          <w:t>Kapitel 40</w:t>
        </w:r>
      </w:hyperlink>
      <w:r>
        <w:t>)</w:t>
      </w:r>
    </w:p>
    <w:p w14:paraId="666188E3" w14:textId="77777777" w:rsidR="001F7233" w:rsidRDefault="00000000">
      <w:r>
        <w:rPr>
          <w:b/>
        </w:rPr>
        <w:t>Alkohol, Tabak</w:t>
      </w:r>
    </w:p>
    <w:p w14:paraId="46CD668F" w14:textId="77777777" w:rsidR="001F7233" w:rsidRDefault="00000000">
      <w:r>
        <w:rPr>
          <w:b/>
        </w:rPr>
        <w:t xml:space="preserve">Regel (Stand 2026): </w:t>
      </w:r>
      <w:r>
        <w:t>Beschränkt, gesondert zu deklarieren</w:t>
      </w:r>
    </w:p>
    <w:p w14:paraId="50E4684B" w14:textId="77777777" w:rsidR="001F7233" w:rsidRDefault="00000000">
      <w:r>
        <w:rPr>
          <w:b/>
        </w:rPr>
        <w:lastRenderedPageBreak/>
        <w:t xml:space="preserve">Was du tust: </w:t>
      </w:r>
      <w:r>
        <w:t>Nicht mitschicken</w:t>
      </w:r>
    </w:p>
    <w:p w14:paraId="6581F81C" w14:textId="77777777" w:rsidR="001F7233" w:rsidRDefault="00000000">
      <w:r>
        <w:rPr>
          <w:b/>
        </w:rPr>
        <w:t>Medikamente</w:t>
      </w:r>
    </w:p>
    <w:p w14:paraId="46183578" w14:textId="77777777" w:rsidR="001F7233" w:rsidRDefault="00000000">
      <w:r>
        <w:rPr>
          <w:b/>
        </w:rPr>
        <w:t xml:space="preserve">Regel (Stand 2026): </w:t>
      </w:r>
      <w:r>
        <w:t>Originalverpackung, Rezept, persönliche Menge (Praxisregel etwa 90 Tage); Betäubungsmittel, Cannabis und CBD problematisch</w:t>
      </w:r>
    </w:p>
    <w:p w14:paraId="29C81AA1" w14:textId="77777777" w:rsidR="001F7233" w:rsidRDefault="00000000">
      <w:r>
        <w:rPr>
          <w:b/>
        </w:rPr>
        <w:t xml:space="preserve">Was du tust: </w:t>
      </w:r>
      <w:r>
        <w:t>Ins Handgepäck (</w:t>
      </w:r>
      <w:hyperlink w:anchor="k18">
        <w:r w:rsidR="001F7233">
          <w:rPr>
            <w:rStyle w:val="Hyperlink"/>
          </w:rPr>
          <w:t>Kapitel 18</w:t>
        </w:r>
      </w:hyperlink>
      <w:r>
        <w:t>)</w:t>
      </w:r>
    </w:p>
    <w:p w14:paraId="7CB26AC0" w14:textId="77777777" w:rsidR="001F7233" w:rsidRDefault="00000000">
      <w:r>
        <w:rPr>
          <w:b/>
        </w:rPr>
        <w:t>Fälschungen</w:t>
      </w:r>
    </w:p>
    <w:p w14:paraId="63B646E7" w14:textId="77777777" w:rsidR="001F7233" w:rsidRDefault="00000000">
      <w:r>
        <w:rPr>
          <w:b/>
        </w:rPr>
        <w:t xml:space="preserve">Regel (Stand 2026): </w:t>
      </w:r>
      <w:r>
        <w:t>Verboten</w:t>
      </w:r>
    </w:p>
    <w:p w14:paraId="62CAEF32" w14:textId="77777777" w:rsidR="001F7233" w:rsidRDefault="00000000">
      <w:r>
        <w:rPr>
          <w:b/>
        </w:rPr>
        <w:t xml:space="preserve">Was du tust: </w:t>
      </w:r>
      <w:r>
        <w:t>Aussortieren</w:t>
      </w:r>
    </w:p>
    <w:p w14:paraId="1E4744DB" w14:textId="77777777" w:rsidR="001F7233" w:rsidRDefault="001F7233">
      <w:pPr>
        <w:spacing w:line="180" w:lineRule="exact"/>
      </w:pPr>
    </w:p>
    <w:p w14:paraId="2F294A6B" w14:textId="77777777" w:rsidR="001F7233" w:rsidRDefault="00000000">
      <w:r>
        <w:rPr>
          <w:b/>
        </w:rPr>
        <w:t xml:space="preserve">ACHTUNG: </w:t>
      </w:r>
    </w:p>
    <w:p w14:paraId="5E18C1F0" w14:textId="77777777" w:rsidR="001F7233" w:rsidRDefault="00000000">
      <w:r>
        <w:t>• Vorratsschrank und Balkonkübel sind der klassische Anfängerfehler. Räume beides aus, bevor der Packer kommt und deklariere Zweifelsfälle im Inventar, statt sie zu verschweigen.</w:t>
      </w:r>
    </w:p>
    <w:p w14:paraId="76D4F092" w14:textId="77777777" w:rsidR="001F7233" w:rsidRDefault="001F7233">
      <w:pPr>
        <w:spacing w:line="220" w:lineRule="exact"/>
      </w:pPr>
    </w:p>
    <w:p w14:paraId="621E0F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Ausfuhr aus Deutschland</w:t>
      </w:r>
    </w:p>
    <w:p w14:paraId="3651ABA7" w14:textId="77777777" w:rsidR="001F7233" w:rsidRDefault="00000000">
      <w:pPr>
        <w:spacing w:after="140"/>
      </w:pPr>
      <w:r>
        <w:t>Auf deutscher Seite meldet die Spedition den Export im elektronischen Ausfuhrverfahren des Zolls (ATLAS) an. Du lieferst dafür die Inventarliste. Genehmigungspflichtig sind unter anderem Kulturgut, Waffen und Artenschutzware, für ein Auto brauchst du Zoll- bzw. Exportkennzeichen.</w:t>
      </w:r>
    </w:p>
    <w:p w14:paraId="763300A1" w14:textId="77777777" w:rsidR="001F7233" w:rsidRDefault="00000000">
      <w:pPr>
        <w:spacing w:after="140"/>
      </w:pPr>
      <w:r>
        <w:t>Bargeld und gleichgestellte Zahlungsmittel ab 10.000 € musst du bei der Ausreise in ein Nicht-EU-Land beim Zoll anmelden (EU-Verordnung 2018/1672). In den USA gilt ab mehr als 10.000 $ die Anmeldung mit FinCEN Form 105 (Meldung an das Finanzministerium) bei Ein- und Ausreise. Die Anmeldung ist legal, die Nichtanmeldung kann zu Beschlagnahme und Strafe führen. Aktuelle deutsche Regeln stehen auf zoll.de, Abmeldung und Kündigungen in Deutschland vor dem Abflug.</w:t>
      </w:r>
    </w:p>
    <w:p w14:paraId="1DAC0D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Relocation-Paket: steuerpflichtig und verhandelbar</w:t>
      </w:r>
    </w:p>
    <w:p w14:paraId="6CA05860" w14:textId="77777777" w:rsidR="001F7233" w:rsidRDefault="00000000">
      <w:pPr>
        <w:spacing w:after="140"/>
      </w:pPr>
      <w:r>
        <w:rPr>
          <w:i/>
          <w:iCs/>
        </w:rPr>
        <w:t>Arbeitgeber beteiligen sich in drei Formen an den Umzugskosten: die Pauschale (Lump Sum), ein fester Bruttobetrag, mit dem du den Umzug selbst organisierst. Die Kostenerstattung gegen Belege bis zu einer Obergrenze (Cap) und der gemanagte Umzug (Managed Relocation), bei dem der Arbeitgeber einen Dienstleister beauftragt und direkt bezahlt.</w:t>
      </w:r>
    </w:p>
    <w:p w14:paraId="5E6B5C0D" w14:textId="77777777" w:rsidR="001F7233" w:rsidRDefault="00000000">
      <w:pPr>
        <w:spacing w:after="140"/>
      </w:pPr>
      <w:r>
        <w:t>Verlässliche Spannen für Neueinstellungen aus Deutschland gibt es nicht. Anbieter nennen für Inlandsversetzungen Pauschalen von 2.500–15.000 $ und Kostenobergrenzen von 8.000–45.000 $. Bei Auslandsentsendungen rechnen Arbeitgeber intern mit 40.000–90.000 $ (Mid-Level) bis 150.000–250.000 $ (Senior), inklusive Visum, Steuern und Wohnung (Anbieterbenchmarks 2025/26). Frage nach der schriftlichen Relocation Policy des Unternehmens.</w:t>
      </w:r>
    </w:p>
    <w:p w14:paraId="57B73E41" w14:textId="77777777" w:rsidR="001F7233" w:rsidRDefault="00000000">
      <w:pPr>
        <w:spacing w:after="140"/>
      </w:pPr>
      <w:r>
        <w:rPr>
          <w:i/>
          <w:iCs/>
        </w:rPr>
        <w:t>Der entscheidende Punkt: In den USA ist die Umzugskostenerstattung des Arbeitgebers steuerpflichtiger Lohn und erscheint im Form W-2, der jährlichen Lohnsteuerbescheinigung. Früher konnten Beschäftigte Umzugskosten unter Bedingungen absetzen, und Arbeitgeberzahlungen blieben steuerfrei; beides ist seit 2018 ausgesetzt. Das Steuergesetz vom 4. Juli 2025 (One Big Beautiful Bill Act, OBBBA, Public Law 119-21, § 70113) hat die Aussetzung dauerhaft gemacht. Ausnahmen gelten nur für aktive Militärangehörige mit Versetzungsbefehl und für Beschäftigte der Nachrichtendienste.</w:t>
      </w:r>
    </w:p>
    <w:p w14:paraId="2BDC3428" w14:textId="77777777" w:rsidR="001F7233" w:rsidRDefault="00000000">
      <w:pPr>
        <w:spacing w:after="140"/>
      </w:pPr>
      <w:r>
        <w:t>Auch bei Direktabrechnung zählt der bezahlte Rechnungsbetrag als Lohn, und eigene Umzugskosten kannst du nicht absetzen. Das ist ein Kontrast zu Deutschland, wo beruflich bedingte Umzugskosten steuerlich berücksichtigt werden können. Ob einzelne Bundesstaaten abweichen, ist nicht geprüft (US-Steuern: Kapitel </w:t>
      </w:r>
      <w:hyperlink w:anchor="k28">
        <w:r w:rsidR="001F7233">
          <w:t>28</w:t>
        </w:r>
      </w:hyperlink>
      <w:r>
        <w:t>).</w:t>
      </w:r>
    </w:p>
    <w:p w14:paraId="39C9B5A1" w14:textId="77777777" w:rsidR="001F7233" w:rsidRDefault="00000000">
      <w:r>
        <w:rPr>
          <w:b/>
        </w:rPr>
        <w:t xml:space="preserve">ACHTUNG: </w:t>
      </w:r>
    </w:p>
    <w:p w14:paraId="0A49A5D4" w14:textId="77777777" w:rsidR="001F7233" w:rsidRDefault="00000000">
      <w:r>
        <w:lastRenderedPageBreak/>
        <w:t>• Die Zahl im Angebotsschreiben ist selten die Zahl auf deinem Konto. Eine Pauschale von 10.000 $ brutto bringt bei angenommenen 30 % Abzügen für Bundessteuer, Landessteuer und Sozialabgaben nur 7.000 $. Zusatzvergütungen werden zudem oft pauschal mit 22 % Bundessteuer einbehalten. Frage schriftlich: Ist der Betrag brutto? Wird ein Gross-up gezahlt?</w:t>
      </w:r>
    </w:p>
    <w:p w14:paraId="466B5C4E" w14:textId="77777777" w:rsidR="001F7233" w:rsidRDefault="001F7233">
      <w:pPr>
        <w:spacing w:line="220" w:lineRule="exact"/>
      </w:pPr>
    </w:p>
    <w:p w14:paraId="1FC0EF35" w14:textId="77777777" w:rsidR="001F7233" w:rsidRDefault="00000000">
      <w:pPr>
        <w:spacing w:after="140"/>
      </w:pPr>
      <w:r>
        <w:t xml:space="preserve">Beim </w:t>
      </w:r>
      <w:r>
        <w:rPr>
          <w:i/>
          <w:iCs/>
        </w:rPr>
        <w:t>Gross-up</w:t>
      </w:r>
      <w:r>
        <w:t xml:space="preserve"> erhöht der Arbeitgeber die Zahlung so, dass netto der volle Betrag bei dir ankommt. Die Rechnung: Bruttobetrag = Nettobetrag ÷ (1 − Grenzsteuersatz), wobei der Satz Bundessteuer, Landessteuer und Sozialabgaben zusammenfasst. Anbieter beziffern den Aufschlag auf etwa 30–55 %.</w:t>
      </w:r>
    </w:p>
    <w:p w14:paraId="47A59A0C" w14:textId="77777777" w:rsidR="001F7233" w:rsidRDefault="00000000">
      <w:r>
        <w:rPr>
          <w:b/>
        </w:rPr>
        <w:t>25 %</w:t>
      </w:r>
    </w:p>
    <w:p w14:paraId="37139760" w14:textId="77777777" w:rsidR="001F7233" w:rsidRDefault="00000000">
      <w:r>
        <w:rPr>
          <w:b/>
        </w:rPr>
        <w:t xml:space="preserve">Aufschlag: </w:t>
      </w:r>
      <w:r>
        <w:t>+33 %</w:t>
      </w:r>
    </w:p>
    <w:p w14:paraId="05A30FA0" w14:textId="77777777" w:rsidR="001F7233" w:rsidRDefault="00000000">
      <w:r>
        <w:rPr>
          <w:b/>
        </w:rPr>
        <w:t xml:space="preserve">Für 10.000 $ netto nötig: </w:t>
      </w:r>
      <w:r>
        <w:t>13.333 $ brutto</w:t>
      </w:r>
    </w:p>
    <w:p w14:paraId="5B9B271E" w14:textId="77777777" w:rsidR="001F7233" w:rsidRDefault="00000000">
      <w:r>
        <w:rPr>
          <w:b/>
        </w:rPr>
        <w:t>30 %</w:t>
      </w:r>
    </w:p>
    <w:p w14:paraId="6A389A5D" w14:textId="77777777" w:rsidR="001F7233" w:rsidRDefault="00000000">
      <w:r>
        <w:rPr>
          <w:b/>
        </w:rPr>
        <w:t xml:space="preserve">Aufschlag: </w:t>
      </w:r>
      <w:r>
        <w:t>+43 %</w:t>
      </w:r>
    </w:p>
    <w:p w14:paraId="1886D447" w14:textId="77777777" w:rsidR="001F7233" w:rsidRDefault="00000000">
      <w:r>
        <w:rPr>
          <w:b/>
        </w:rPr>
        <w:t xml:space="preserve">Für 10.000 $ netto nötig: </w:t>
      </w:r>
      <w:r>
        <w:t>14.286 $ brutto</w:t>
      </w:r>
    </w:p>
    <w:p w14:paraId="078A7041" w14:textId="77777777" w:rsidR="001F7233" w:rsidRDefault="00000000">
      <w:r>
        <w:rPr>
          <w:b/>
        </w:rPr>
        <w:t>35 %</w:t>
      </w:r>
    </w:p>
    <w:p w14:paraId="65011386" w14:textId="77777777" w:rsidR="001F7233" w:rsidRDefault="00000000">
      <w:r>
        <w:rPr>
          <w:b/>
        </w:rPr>
        <w:t xml:space="preserve">Aufschlag: </w:t>
      </w:r>
      <w:r>
        <w:t>+54 %</w:t>
      </w:r>
    </w:p>
    <w:p w14:paraId="7556F86F" w14:textId="77777777" w:rsidR="001F7233" w:rsidRDefault="00000000">
      <w:r>
        <w:rPr>
          <w:b/>
        </w:rPr>
        <w:t xml:space="preserve">Für 10.000 $ netto nötig: </w:t>
      </w:r>
      <w:r>
        <w:t>15.385 $ brutto</w:t>
      </w:r>
    </w:p>
    <w:p w14:paraId="2485A4B9" w14:textId="77777777" w:rsidR="001F7233" w:rsidRDefault="001F7233">
      <w:pPr>
        <w:spacing w:line="180" w:lineRule="exact"/>
      </w:pPr>
    </w:p>
    <w:p w14:paraId="360D2459" w14:textId="77777777" w:rsidR="001F7233" w:rsidRDefault="00000000">
      <w:pPr>
        <w:spacing w:after="140"/>
      </w:pPr>
      <w:r>
        <w:t>Die Sätze sind Rechenbeispiele; dein tatsächlicher Satz hängt von Einkommen, Bundesstaat und Veranlagung ab. Verhandelt wird vor der Unterschrift des Angebotsschreibens (</w:t>
      </w:r>
      <w:r>
        <w:rPr>
          <w:i/>
          <w:iCs/>
        </w:rPr>
        <w:t>Offer Letter</w:t>
      </w:r>
      <w:r>
        <w:t>), danach ist dein Spielraum klein. Die vollständige Verhandlungsliste steht in Kapitel </w:t>
      </w:r>
      <w:hyperlink w:anchor="k3">
        <w:r w:rsidR="001F7233">
          <w:t>3</w:t>
        </w:r>
      </w:hyperlink>
      <w:r>
        <w:t>; für den Umzug gehören diese Punkte darauf:</w:t>
      </w:r>
    </w:p>
    <w:p w14:paraId="31384DB0" w14:textId="77777777" w:rsidR="001F7233" w:rsidRDefault="00000000">
      <w:pPr>
        <w:pStyle w:val="ListParagraph"/>
        <w:numPr>
          <w:ilvl w:val="0"/>
          <w:numId w:val="1"/>
        </w:numPr>
        <w:spacing w:after="60"/>
      </w:pPr>
      <w:r>
        <w:rPr>
          <w:b/>
          <w:bCs/>
        </w:rPr>
        <w:t>Brutto oder netto:</w:t>
      </w:r>
      <w:r>
        <w:t xml:space="preserve"> Gibt es ein Gross-up, zumindest für Transport und Übergangswohnen? Rechne im Gespräch immer in Nettobeträgen.</w:t>
      </w:r>
    </w:p>
    <w:p w14:paraId="58092D3B" w14:textId="77777777" w:rsidR="001F7233" w:rsidRDefault="00000000">
      <w:pPr>
        <w:pStyle w:val="ListParagraph"/>
        <w:numPr>
          <w:ilvl w:val="0"/>
          <w:numId w:val="1"/>
        </w:numPr>
        <w:spacing w:after="60"/>
      </w:pPr>
      <w:r>
        <w:rPr>
          <w:b/>
          <w:bCs/>
        </w:rPr>
        <w:t>Form:</w:t>
      </w:r>
      <w:r>
        <w:t xml:space="preserve"> Eine Pauschale lässt dir Spielraum (was du nicht ausgibst, bleibt dir, versteuert), die Direktabrechnung entlastet dein Konto.</w:t>
      </w:r>
    </w:p>
    <w:p w14:paraId="73191788" w14:textId="77777777" w:rsidR="001F7233" w:rsidRDefault="00000000">
      <w:pPr>
        <w:pStyle w:val="ListParagraph"/>
        <w:numPr>
          <w:ilvl w:val="0"/>
          <w:numId w:val="1"/>
        </w:numPr>
        <w:spacing w:after="60"/>
      </w:pPr>
      <w:r>
        <w:rPr>
          <w:b/>
          <w:bCs/>
        </w:rPr>
        <w:lastRenderedPageBreak/>
        <w:t>Umfang:</w:t>
      </w:r>
      <w:r>
        <w:t xml:space="preserve"> Sammelladung oder Container, Flüge für die ganze Familie, 30 bis 60 Tage möbliertes Wohnen (Kapitel </w:t>
      </w:r>
      <w:hyperlink w:anchor="k13">
        <w:r w:rsidR="001F7233">
          <w:t>13</w:t>
        </w:r>
      </w:hyperlink>
      <w:r>
        <w:t>), Lagerung, Mietwagen.</w:t>
      </w:r>
    </w:p>
    <w:p w14:paraId="24A8BA36" w14:textId="77777777" w:rsidR="001F7233" w:rsidRDefault="00000000">
      <w:pPr>
        <w:pStyle w:val="ListParagraph"/>
        <w:numPr>
          <w:ilvl w:val="0"/>
          <w:numId w:val="1"/>
        </w:numPr>
        <w:spacing w:after="60"/>
      </w:pPr>
      <w:r>
        <w:rPr>
          <w:b/>
          <w:bCs/>
        </w:rPr>
        <w:t>Zahlungszeitpunkt:</w:t>
      </w:r>
      <w:r>
        <w:t xml:space="preserve"> Das Geld fließt oft erst mit der ersten Gehaltsabrechnung, die Spedition will es früher. Verhandle einen Vorschuss oder die Direktabrechnung.</w:t>
      </w:r>
    </w:p>
    <w:p w14:paraId="77FC828E" w14:textId="77777777" w:rsidR="001F7233" w:rsidRDefault="00000000">
      <w:pPr>
        <w:pStyle w:val="ListParagraph"/>
        <w:numPr>
          <w:ilvl w:val="0"/>
          <w:numId w:val="1"/>
        </w:numPr>
        <w:spacing w:after="60"/>
      </w:pPr>
      <w:r>
        <w:rPr>
          <w:b/>
          <w:bCs/>
        </w:rPr>
        <w:t>Rückzahlungsklausel (</w:t>
      </w:r>
      <w:r>
        <w:rPr>
          <w:b/>
          <w:bCs/>
          <w:i/>
          <w:iCs/>
        </w:rPr>
        <w:t>Clawback</w:t>
      </w:r>
      <w:r>
        <w:rPr>
          <w:b/>
          <w:bCs/>
        </w:rPr>
        <w:t>):</w:t>
      </w:r>
      <w:r>
        <w:t xml:space="preserve"> Häufig ist die Rückzahlung bei eigener Kündigung binnen zwölf bis 24 Monaten. Frage nach anteiliger Rückzahlung, einer Ausnahme bei Kündigung durch den Arbeitgeber (</w:t>
      </w:r>
      <w:r>
        <w:rPr>
          <w:i/>
          <w:iCs/>
        </w:rPr>
        <w:t>At-will Employment</w:t>
      </w:r>
      <w:r>
        <w:t>, Kapitel </w:t>
      </w:r>
      <w:hyperlink w:anchor="k29">
        <w:r w:rsidR="001F7233">
          <w:t>29</w:t>
        </w:r>
      </w:hyperlink>
      <w:r>
        <w:t>) und danach, ob brutto oder netto zurückzuzahlen ist.</w:t>
      </w:r>
    </w:p>
    <w:p w14:paraId="2D2972BB" w14:textId="77777777" w:rsidR="001F7233" w:rsidRDefault="001F7233">
      <w:pPr>
        <w:spacing w:line="120" w:lineRule="exact"/>
      </w:pPr>
    </w:p>
    <w:p w14:paraId="2A232E33" w14:textId="77777777" w:rsidR="001F7233" w:rsidRDefault="00000000">
      <w:r>
        <w:rPr>
          <w:b/>
        </w:rPr>
        <w:t xml:space="preserve">ACHTUNG: </w:t>
      </w:r>
    </w:p>
    <w:p w14:paraId="22B03232" w14:textId="77777777" w:rsidR="001F7233" w:rsidRDefault="00000000">
      <w:r>
        <w:t>• Vorfinanzierung und Klausel zusammen sind gefährlich. Kündigt der Arbeitgeber oder du selbst binnen der Frist, kann er zurückfordern, was längst ausgegeben ist. Halte einen Puffer auf dem US-Konto bereit, bevor der Container eintrifft (</w:t>
      </w:r>
      <w:hyperlink w:anchor="k25">
        <w:r w:rsidR="001F7233">
          <w:rPr>
            <w:color w:val="0563C1"/>
            <w:u w:val="single"/>
          </w:rPr>
          <w:t>Kapitel 25</w:t>
        </w:r>
      </w:hyperlink>
      <w:r>
        <w:t>).</w:t>
      </w:r>
    </w:p>
    <w:p w14:paraId="5C826F92" w14:textId="77777777" w:rsidR="001F7233" w:rsidRDefault="001F7233">
      <w:pPr>
        <w:spacing w:line="220" w:lineRule="exact"/>
      </w:pPr>
    </w:p>
    <w:p w14:paraId="12FF11DA" w14:textId="77777777" w:rsidR="001F7233" w:rsidRDefault="001F7233">
      <w:pPr>
        <w:spacing w:line="220" w:lineRule="exact"/>
      </w:pPr>
    </w:p>
    <w:p w14:paraId="5E5C9B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Lagerung und die Zeit ohne Möbel</w:t>
      </w:r>
    </w:p>
    <w:p w14:paraId="21C87BBE" w14:textId="77777777" w:rsidR="001F7233" w:rsidRDefault="00000000">
      <w:pPr>
        <w:spacing w:after="140"/>
      </w:pPr>
      <w:r>
        <w:t>Per Schiff kommt dein Hausrat Wochen nach dir an und manchmal steht er vor der Tür, bevor die Wohnung bezugsfertig ist. Beides musst du überbrücken.</w:t>
      </w:r>
    </w:p>
    <w:p w14:paraId="233FE3BE" w14:textId="77777777" w:rsidR="001F7233" w:rsidRDefault="00000000">
      <w:pPr>
        <w:spacing w:after="140"/>
      </w:pPr>
      <w:r>
        <w:rPr>
          <w:b/>
          <w:bCs/>
        </w:rPr>
        <w:t>Ohne Möbel hast du drei Wege. Erstens kannst du möbliert auf Zeit wohnen (Corporate Housing, Extended-Stay-Hotel oder möblierte Monatsmiete); eine 1BR kostet nach Anbieterangaben rund 3.300 $ im Monat (Kapitel 13). Zweitens kannst du unmöbliert mieten und das Nötigste kaufen: Matratze, Bettwäsche, Handtücher und Geschirr etwa bei IKEA, Target, Costco oder Amazon; gebrauchte Sachen findest du über Facebook Marketplace, Goodwill oder Habitat ReStore (Kapitel 21). Drittens kannst du kombinieren: Schicke das Nötigste als Paket oder Luftfracht, den Rest per Schiff. Was ins Handgepäck gehört, steht in Kapitel 23.</w:t>
      </w:r>
      <w:r>
        <w:rPr>
          <w:b/>
          <w:bCs/>
        </w:rPr>
      </w:r>
    </w:p>
    <w:p w14:paraId="6510C0F2" w14:textId="77777777" w:rsidR="001F7233" w:rsidRDefault="00000000">
      <w:pPr>
        <w:spacing w:after="140"/>
      </w:pPr>
      <w:r>
        <w:rPr>
          <w:b/>
          <w:bCs/>
        </w:rPr>
        <w:t>Lagerung in den USA:</w:t>
      </w:r>
      <w:r>
        <w:t xml:space="preserve"> Kommt der Container vor deiner Wohnung, lagert ihn die Spedition, oder du mietest ein Self-Storage. Eine Einheit von 10 × 10 ft (ca. 9 m²) kostet im Landesdurchschnitt nach Anbieterangaben 2026 etwa 120–137 $ im Monat, von rund 90–95 $ (Atlanta, Houston) bis über 200 $ (Los Angeles, San Francisco); klimatisierte Einheiten kosten 15–30 % mehr. Frage im Speditionsangebot, wie viele Lagertage enthalten sind und was danach ein Tag kostet.</w:t>
      </w:r>
    </w:p>
    <w:p w14:paraId="4EC6E459" w14:textId="77777777" w:rsidR="001F7233" w:rsidRDefault="00000000">
      <w:pPr>
        <w:spacing w:after="140"/>
      </w:pPr>
      <w:r>
        <w:rPr>
          <w:b/>
          <w:bCs/>
        </w:rPr>
        <w:t>Lagerung in Deutschland:</w:t>
      </w:r>
      <w:r>
        <w:t xml:space="preserve"> Wer nur zwei bis drei Jahre bleiben will (Kapitel </w:t>
      </w:r>
      <w:hyperlink w:anchor="k3">
        <w:r w:rsidR="001F7233">
          <w:t>3</w:t>
        </w:r>
      </w:hyperlink>
      <w:r>
        <w:t>) oder Erbstücke behalten möchte, lagert dort ein; die Preise schwanken regional, hole Angebote ein. Zum Rückumzug siehe Kapitel </w:t>
      </w:r>
      <w:hyperlink w:anchor="k42">
        <w:r w:rsidR="001F7233">
          <w:t>42</w:t>
        </w:r>
      </w:hyperlink>
      <w:r>
        <w:t>.</w:t>
      </w:r>
    </w:p>
    <w:p w14:paraId="3F32FB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sparst du</w:t>
      </w:r>
    </w:p>
    <w:p w14:paraId="21E38CCA" w14:textId="77777777" w:rsidR="001F7233" w:rsidRDefault="00000000">
      <w:pPr>
        <w:spacing w:after="140"/>
      </w:pPr>
      <w:r>
        <w:t>Vier Hebel bringen das meiste.</w:t>
      </w:r>
    </w:p>
    <w:p w14:paraId="319CEA37" w14:textId="77777777" w:rsidR="001F7233" w:rsidRDefault="00000000">
      <w:r>
        <w:rPr>
          <w:b/>
        </w:rPr>
        <w:t xml:space="preserve">SPARTIPP: </w:t>
      </w:r>
    </w:p>
    <w:p w14:paraId="6BD208BC" w14:textId="77777777" w:rsidR="001F7233" w:rsidRDefault="00000000">
      <w:r>
        <w:t>• Volumen senken. Jeder Kubikmeter Sammelladung kostet rund 250–300 €. Wer von 14 auf 10 m³ reduziert, spart grob 1.000–1.200 €. Verkaufe oder verschenke Sperriges und kaufe es in den USA gebraucht.</w:t>
      </w:r>
    </w:p>
    <w:p w14:paraId="73A5FC72" w14:textId="77777777" w:rsidR="001F7233" w:rsidRDefault="001F7233">
      <w:pPr>
        <w:spacing w:line="220" w:lineRule="exact"/>
      </w:pPr>
    </w:p>
    <w:p w14:paraId="41D28DD6" w14:textId="77777777" w:rsidR="001F7233" w:rsidRDefault="00000000">
      <w:r>
        <w:rPr>
          <w:b/>
        </w:rPr>
        <w:t xml:space="preserve">SPARTIPP: </w:t>
      </w:r>
    </w:p>
    <w:p w14:paraId="45981E4A" w14:textId="77777777" w:rsidR="001F7233" w:rsidRDefault="00000000">
      <w:r>
        <w:t>• Saison und Hafen beachten. Von Mai bis September ist der US-Umzugsmarkt ausgelastet. Frage bei jedem Angebot nach dem Preisunterschied zu einem Termin außer der Hochsaison. Ist dein Ziel von beiden Küsten aus erreichbar, vergleiche die Häfen: Die Ostküste ist meist günstiger und schneller.</w:t>
      </w:r>
    </w:p>
    <w:p w14:paraId="77CEC4A9" w14:textId="77777777" w:rsidR="001F7233" w:rsidRDefault="001F7233">
      <w:pPr>
        <w:spacing w:line="220" w:lineRule="exact"/>
      </w:pPr>
    </w:p>
    <w:p w14:paraId="525B880C" w14:textId="77777777" w:rsidR="001F7233" w:rsidRDefault="00000000">
      <w:r>
        <w:rPr>
          <w:b/>
        </w:rPr>
        <w:t xml:space="preserve">SPARTIPP: </w:t>
      </w:r>
    </w:p>
    <w:p w14:paraId="1C7F098E" w14:textId="77777777" w:rsidR="001F7233" w:rsidRDefault="00000000">
      <w:r>
        <w:t xml:space="preserve">• Selbst packen. Die Portalpreise enthalten das Einpacken. Lass dir ein Angebot mit und ohne Einpacken geben und packe Bücher, </w:t>
      </w:r>
      <w:r>
        <w:lastRenderedPageBreak/>
        <w:t>Kleidung und Spielzeug selbst. Führe die Inventarliste Karton für Karton und kläre vorab, wie selbstgepackte Kartons versichert sind.</w:t>
      </w:r>
    </w:p>
    <w:p w14:paraId="509E5437" w14:textId="77777777" w:rsidR="001F7233" w:rsidRDefault="001F7233">
      <w:pPr>
        <w:spacing w:line="220" w:lineRule="exact"/>
      </w:pPr>
    </w:p>
    <w:p w14:paraId="6511B4B2" w14:textId="77777777" w:rsidR="001F7233" w:rsidRDefault="00000000">
      <w:r>
        <w:rPr>
          <w:b/>
        </w:rPr>
        <w:t xml:space="preserve">SPARTIPP: </w:t>
      </w:r>
    </w:p>
    <w:p w14:paraId="734DEE06" w14:textId="77777777" w:rsidR="001F7233" w:rsidRDefault="00000000">
      <w:r>
        <w:t>• Konsolidieren. Bei kleinen Mengen reichen Sammelladung oder Beiladung (ein Portal-Partnerbeispiel nennt 4.000–5.000 €) statt eines eigenen Containers, unter etwa 15 m³ ist LCL günstiger. Bündle alles in eine Lieferung: Ab etwa 15 Kartons à 20 kg liegt das Paket (rund 2.145 €) im Bereich eines Liftvans (2.000–3.000 €), der mehr Platz bietet.</w:t>
      </w:r>
    </w:p>
    <w:p w14:paraId="0FB14276" w14:textId="77777777" w:rsidR="001F7233" w:rsidRDefault="001F7233">
      <w:pPr>
        <w:spacing w:line="220" w:lineRule="exact"/>
      </w:pPr>
    </w:p>
    <w:p w14:paraId="1E4F5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Container, Luftfracht oder Koffer: Umzug planen und Kosten sparen</w:t>
      </w:r>
    </w:p>
    <w:p w14:paraId="65403185" w14:textId="77777777" w:rsidR="001F7233" w:rsidRDefault="00000000">
      <w:r>
        <w:rPr>
          <w:b/>
        </w:rPr>
        <w:t>Plus: Vertraute Möbel, Bücher und Erinnerungsstücke sind nach Wochen da</w:t>
      </w:r>
    </w:p>
    <w:p w14:paraId="6AB89D3F" w14:textId="77777777" w:rsidR="001F7233" w:rsidRDefault="00000000">
      <w:r>
        <w:rPr>
          <w:b/>
        </w:rPr>
        <w:t xml:space="preserve">Minus: </w:t>
      </w:r>
      <w:r>
        <w:t>20-ft-Container: 4.000–7.500 € plus Zustellung in den USA</w:t>
      </w:r>
    </w:p>
    <w:p w14:paraId="4775633C" w14:textId="77777777" w:rsidR="001F7233" w:rsidRDefault="00000000">
      <w:r>
        <w:rPr>
          <w:b/>
        </w:rPr>
        <w:t>Plus: Gebrauchtes ist nach einem Jahr Nutzung zollfrei</w:t>
      </w:r>
    </w:p>
    <w:p w14:paraId="7D6CDD78" w14:textId="77777777" w:rsidR="001F7233" w:rsidRDefault="00000000">
      <w:r>
        <w:rPr>
          <w:b/>
        </w:rPr>
        <w:t xml:space="preserve">Minus: </w:t>
      </w:r>
      <w:r>
        <w:t>Elektro (120 V), Betten und Küchengeräte passen oft nicht</w:t>
      </w:r>
    </w:p>
    <w:p w14:paraId="54793B47" w14:textId="77777777" w:rsidR="001F7233" w:rsidRDefault="00000000">
      <w:r>
        <w:rPr>
          <w:b/>
        </w:rPr>
        <w:t>Plus: Koffer und Paket sind schnell und gut kalkulierbar</w:t>
      </w:r>
    </w:p>
    <w:p w14:paraId="49E40835" w14:textId="77777777" w:rsidR="001F7233" w:rsidRDefault="00000000">
      <w:r>
        <w:rPr>
          <w:b/>
        </w:rPr>
        <w:t xml:space="preserve">Minus: </w:t>
      </w:r>
      <w:r>
        <w:t>Paket: 6,60–7,15 € je kg, Koffer sind begrenzt</w:t>
      </w:r>
    </w:p>
    <w:p w14:paraId="4C1BA4EE" w14:textId="77777777" w:rsidR="001F7233" w:rsidRDefault="00000000">
      <w:r>
        <w:rPr>
          <w:b/>
        </w:rPr>
        <w:t>Plus: Neukauf vor Ort passt zu US-Größen und -Normen</w:t>
      </w:r>
    </w:p>
    <w:p w14:paraId="5B9329D5" w14:textId="77777777" w:rsidR="001F7233" w:rsidRDefault="00000000">
      <w:r>
        <w:rPr>
          <w:b/>
        </w:rPr>
        <w:t xml:space="preserve">Minus: </w:t>
      </w:r>
      <w:r>
        <w:t>Neuausstattung einer 1BR: 7.000–12.000 $</w:t>
      </w:r>
    </w:p>
    <w:p w14:paraId="37B8B562" w14:textId="77777777" w:rsidR="001F7233" w:rsidRDefault="00000000">
      <w:r>
        <w:rPr>
          <w:b/>
        </w:rPr>
        <w:t>Plus: Ein Relocation-Paket kann die Kosten tragen</w:t>
      </w:r>
    </w:p>
    <w:p w14:paraId="441344BF" w14:textId="77777777" w:rsidR="001F7233" w:rsidRDefault="00000000">
      <w:r>
        <w:rPr>
          <w:b/>
        </w:rPr>
        <w:t xml:space="preserve">Minus: </w:t>
      </w:r>
      <w:r>
        <w:t>Steuerpflichtig, mit Rückzahlungsklausel und Vorfinanzierung</w:t>
      </w:r>
    </w:p>
    <w:p w14:paraId="32412C8D" w14:textId="77777777" w:rsidR="001F7233" w:rsidRDefault="00000000">
      <w:r>
        <w:rPr>
          <w:b/>
        </w:rPr>
        <w:t>Plus: Sammelladung senkt den Preis bei kleinen Mengen</w:t>
      </w:r>
    </w:p>
    <w:p w14:paraId="0956FCE9" w14:textId="77777777" w:rsidR="001F7233" w:rsidRDefault="00000000">
      <w:r>
        <w:rPr>
          <w:b/>
        </w:rPr>
        <w:t xml:space="preserve">Minus: </w:t>
      </w:r>
      <w:r>
        <w:t>Tür–Tür vier bis zwölf Wochen ohne Möbel</w:t>
      </w:r>
    </w:p>
    <w:p w14:paraId="69312865" w14:textId="77777777" w:rsidR="001F7233" w:rsidRDefault="001F7233">
      <w:pPr>
        <w:spacing w:line="180" w:lineRule="exact"/>
      </w:pPr>
    </w:p>
    <w:p w14:paraId="1DE79B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5954FEBA" w14:textId="77777777" w:rsidR="001F7233" w:rsidRDefault="00000000">
      <w:pPr>
        <w:pStyle w:val="ListParagraph"/>
        <w:numPr>
          <w:ilvl w:val="0"/>
          <w:numId w:val="21"/>
        </w:numPr>
        <w:spacing w:after="60"/>
      </w:pPr>
      <w:r>
        <w:t>Miste aus und kläre die Umzugsleistungen des Arbeitgebers brutto und netto, bevor du unterschreibst (Kapitel </w:t>
      </w:r>
      <w:hyperlink w:anchor="k3">
        <w:r w:rsidR="001F7233">
          <w:t>3</w:t>
        </w:r>
      </w:hyperlink>
      <w:r>
        <w:t xml:space="preserve"> und </w:t>
      </w:r>
      <w:hyperlink w:anchor="k21">
        <w:r w:rsidR="001F7233">
          <w:t>21</w:t>
        </w:r>
      </w:hyperlink>
      <w:r>
        <w:t>).</w:t>
      </w:r>
    </w:p>
    <w:p w14:paraId="2CBD118B" w14:textId="77777777" w:rsidR="001F7233" w:rsidRDefault="00000000">
      <w:pPr>
        <w:pStyle w:val="ListParagraph"/>
        <w:numPr>
          <w:ilvl w:val="0"/>
          <w:numId w:val="2"/>
        </w:numPr>
        <w:spacing w:after="60"/>
      </w:pPr>
      <w:r>
        <w:t>Hole drei Festpreisangebote ein, buche aber erst mit dem Visum im Pass (Kapitel </w:t>
      </w:r>
      <w:hyperlink w:anchor="k11">
        <w:r w:rsidR="001F7233">
          <w:t>11</w:t>
        </w:r>
      </w:hyperlink>
      <w:r>
        <w:t>).</w:t>
      </w:r>
    </w:p>
    <w:p w14:paraId="6C56D184" w14:textId="77777777" w:rsidR="001F7233" w:rsidRDefault="00000000">
      <w:pPr>
        <w:pStyle w:val="ListParagraph"/>
        <w:numPr>
          <w:ilvl w:val="0"/>
          <w:numId w:val="2"/>
        </w:numPr>
        <w:spacing w:after="60"/>
      </w:pPr>
      <w:r>
        <w:t>Erstelle die Inventarliste, kläre Form 3299 mit dem Zollagenten und plane Übergangswohnen (Kapitel </w:t>
      </w:r>
      <w:hyperlink w:anchor="k13">
        <w:r w:rsidR="001F7233">
          <w:t>13</w:t>
        </w:r>
      </w:hyperlink>
      <w:r>
        <w:t>); die Zeitleiste steht in Kapitel </w:t>
      </w:r>
      <w:hyperlink w:anchor="k15">
        <w:r w:rsidR="001F7233">
          <w:t>15</w:t>
        </w:r>
      </w:hyperlink>
      <w:r>
        <w:t>.</w:t>
      </w:r>
    </w:p>
    <w:p w14:paraId="59B0B4DB" w14:textId="77777777" w:rsidR="001F7233" w:rsidRDefault="001F7233">
      <w:pPr>
        <w:spacing w:line="120" w:lineRule="exact"/>
      </w:pPr>
    </w:p>
    <w:p w14:paraId="6B1711CB" w14:textId="77777777" w:rsidR="001F7233" w:rsidRDefault="00000000">
      <w:r>
        <w:t>• Volumen in m³ geschätzt und ausgemistet</w:t>
      </w:r>
    </w:p>
    <w:p w14:paraId="6F128996" w14:textId="77777777" w:rsidR="001F7233" w:rsidRDefault="00000000">
      <w:r>
        <w:t>• Relocation-Bedingungen schriftlich geklärt: brutto oder netto, Gross-up, Direktabrechnung, Rückzahlungsklausel</w:t>
      </w:r>
    </w:p>
    <w:p w14:paraId="35352E9D" w14:textId="77777777" w:rsidR="001F7233" w:rsidRDefault="00000000">
      <w:r>
        <w:t>• Drei Tür-zu-Tür-Festpreise nach Besichtigung oder Video-Survey eingeholt; FIDI-FAIM und AMSA ProMover geprüft</w:t>
      </w:r>
    </w:p>
    <w:p w14:paraId="5449FEE5" w14:textId="77777777" w:rsidR="001F7233" w:rsidRDefault="00000000">
      <w:r>
        <w:t>• Verbindlich gebucht erst mit dem Visum im Pass, sechs bis acht Wochen vor der Verladung</w:t>
      </w:r>
    </w:p>
    <w:p w14:paraId="35C48A6F" w14:textId="77777777" w:rsidR="001F7233" w:rsidRDefault="00000000">
      <w:r>
        <w:t>• Transportversicherung „all risk“ zum Wiederbeschaffungswert abgeschlossen</w:t>
      </w:r>
    </w:p>
    <w:p w14:paraId="4FFF85BC" w14:textId="77777777" w:rsidR="001F7233" w:rsidRDefault="00000000">
      <w:r>
        <w:t>• Englische Inventarliste mit Werten erstellt; nur Gegenstände eingepackt, die du mindestens ein Jahr genutzt hast</w:t>
      </w:r>
    </w:p>
    <w:p w14:paraId="18BA6D18" w14:textId="77777777" w:rsidR="001F7233" w:rsidRDefault="00000000">
      <w:r>
        <w:t>• Zollagent, Vollmacht und CBP Form 3299 mit der Spedition abgestimmt</w:t>
      </w:r>
    </w:p>
    <w:p w14:paraId="42F7E57F" w14:textId="77777777" w:rsidR="001F7233" w:rsidRDefault="00000000">
      <w:r>
        <w:t>• Lebensmittel, Pflanzen, Erde, Holz ohne ISPM-15-Stempel, Alkohol und Waffen aussortiert; Medikamente ins Handgepäck</w:t>
      </w:r>
    </w:p>
    <w:p w14:paraId="3B2C0052" w14:textId="77777777" w:rsidR="001F7233" w:rsidRDefault="00000000">
      <w:r>
        <w:t>• Bargeld ab 10.000 € beim deutschen Zoll angemeldet</w:t>
      </w:r>
    </w:p>
    <w:p w14:paraId="221512B2" w14:textId="77777777" w:rsidR="001F7233" w:rsidRDefault="00000000">
      <w:r>
        <w:t>• Übergangswohnen gebucht und Puffer auf dem US-Konto bereitgestellt</w:t>
      </w:r>
    </w:p>
    <w:p w14:paraId="1D7B0664" w14:textId="77777777" w:rsidR="001F7233" w:rsidRDefault="001F7233">
      <w:pPr>
        <w:spacing w:line="220" w:lineRule="exact"/>
      </w:pPr>
    </w:p>
    <w:p w14:paraId="13B0E7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04C0E7EC" w14:textId="77777777" w:rsidR="001F7233" w:rsidRDefault="00000000">
      <w:pPr>
        <w:pStyle w:val="ListParagraph"/>
        <w:numPr>
          <w:ilvl w:val="0"/>
          <w:numId w:val="1"/>
        </w:numPr>
        <w:spacing w:after="60"/>
      </w:pPr>
      <w:r>
        <w:t>U.S. Customs and Border Protection (CBP) — Zollerklärung für Umzugsgut, Form 3299 (</w:t>
      </w:r>
      <w:hyperlink r:id="rId288">
        <w:r w:rsidR="001F7233">
          <w:rPr>
            <w:color w:val="0563C1"/>
            <w:u w:val="single"/>
          </w:rPr>
          <w:t>cbp.gov/document/forms/form-3299-declaration-free-entry-unaccompanied-articles</w:t>
        </w:r>
      </w:hyperlink>
      <w:r>
        <w:t>)</w:t>
      </w:r>
    </w:p>
    <w:p w14:paraId="778E0ABE" w14:textId="77777777" w:rsidR="001F7233" w:rsidRDefault="00000000">
      <w:pPr>
        <w:pStyle w:val="ListParagraph"/>
        <w:numPr>
          <w:ilvl w:val="0"/>
          <w:numId w:val="1"/>
        </w:numPr>
        <w:spacing w:after="60"/>
      </w:pPr>
      <w:r>
        <w:t>Cornell Law School, Legal Information Institute — 19 CFR 148.52, Haushalts- und persönliche Gegenstände (</w:t>
      </w:r>
      <w:hyperlink r:id="rId289">
        <w:r w:rsidR="001F7233">
          <w:rPr>
            <w:color w:val="0563C1"/>
            <w:u w:val="single"/>
          </w:rPr>
          <w:t>law.cornell.edu/cfr/text/19/148.52</w:t>
        </w:r>
      </w:hyperlink>
      <w:r>
        <w:t>)</w:t>
      </w:r>
    </w:p>
    <w:p w14:paraId="1F3F1C34" w14:textId="77777777" w:rsidR="001F7233" w:rsidRDefault="00000000">
      <w:pPr>
        <w:pStyle w:val="ListParagraph"/>
        <w:numPr>
          <w:ilvl w:val="0"/>
          <w:numId w:val="1"/>
        </w:numPr>
        <w:spacing w:after="60"/>
      </w:pPr>
      <w:r>
        <w:t>USDA APHIS — Einfuhrregeln für Pflanzen, Erde und Lebensmittel (</w:t>
      </w:r>
      <w:hyperlink r:id="rId290">
        <w:r w:rsidR="001F7233">
          <w:rPr>
            <w:color w:val="0563C1"/>
            <w:u w:val="single"/>
          </w:rPr>
          <w:t>aphis.usda.gov</w:t>
        </w:r>
      </w:hyperlink>
      <w:r>
        <w:t>)</w:t>
      </w:r>
    </w:p>
    <w:p w14:paraId="5329B00F" w14:textId="77777777" w:rsidR="001F7233" w:rsidRDefault="00000000">
      <w:pPr>
        <w:pStyle w:val="ListParagraph"/>
        <w:numPr>
          <w:ilvl w:val="0"/>
          <w:numId w:val="1"/>
        </w:numPr>
        <w:spacing w:after="60"/>
      </w:pPr>
      <w:r>
        <w:t>IRS — Publication 15-B, steuerliche Behandlung von Leistungen des Arbeitgebers (</w:t>
      </w:r>
      <w:hyperlink r:id="rId291">
        <w:r w:rsidR="001F7233">
          <w:rPr>
            <w:color w:val="0563C1"/>
            <w:u w:val="single"/>
          </w:rPr>
          <w:t>irs.gov/pub/irs-pdf/p15b.pdf</w:t>
        </w:r>
      </w:hyperlink>
      <w:r>
        <w:t>)</w:t>
      </w:r>
    </w:p>
    <w:p w14:paraId="01541FFF" w14:textId="77777777" w:rsidR="001F7233" w:rsidRDefault="00000000">
      <w:pPr>
        <w:pStyle w:val="ListParagraph"/>
        <w:numPr>
          <w:ilvl w:val="0"/>
          <w:numId w:val="1"/>
        </w:numPr>
        <w:spacing w:after="60"/>
      </w:pPr>
      <w:r>
        <w:t>FIDI — Mitgliederliste zertifizierter Umzugsunternehmen (</w:t>
      </w:r>
      <w:hyperlink r:id="rId292">
        <w:r w:rsidR="001F7233">
          <w:rPr>
            <w:color w:val="0563C1"/>
            <w:u w:val="single"/>
          </w:rPr>
          <w:t>fidi.org</w:t>
        </w:r>
      </w:hyperlink>
      <w:r>
        <w:t>)</w:t>
      </w:r>
    </w:p>
    <w:p w14:paraId="135C265F" w14:textId="77777777" w:rsidR="001F7233" w:rsidRDefault="00000000">
      <w:pPr>
        <w:pStyle w:val="ListParagraph"/>
        <w:numPr>
          <w:ilvl w:val="0"/>
          <w:numId w:val="1"/>
        </w:numPr>
        <w:spacing w:after="60"/>
      </w:pPr>
      <w:r>
        <w:t>FMCSA — Registrierung von Frachtführern, USDOT- und MC-Nummer (</w:t>
      </w:r>
      <w:hyperlink r:id="rId293">
        <w:r w:rsidR="001F7233">
          <w:rPr>
            <w:color w:val="0563C1"/>
            <w:u w:val="single"/>
          </w:rPr>
          <w:t>fmcsa.dot.gov</w:t>
        </w:r>
      </w:hyperlink>
      <w:r>
        <w:t>)</w:t>
      </w:r>
    </w:p>
    <w:p w14:paraId="5138CED9" w14:textId="77777777" w:rsidR="001F7233" w:rsidRDefault="00000000">
      <w:pPr>
        <w:pStyle w:val="ListParagraph"/>
        <w:numPr>
          <w:ilvl w:val="0"/>
          <w:numId w:val="1"/>
        </w:numPr>
        <w:spacing w:after="60"/>
      </w:pPr>
      <w:r>
        <w:t>Zoll — Bargeld und Ausfuhr aus Deutschland (</w:t>
      </w:r>
      <w:hyperlink r:id="rId294">
        <w:r w:rsidR="001F7233">
          <w:rPr>
            <w:color w:val="0563C1"/>
            <w:u w:val="single"/>
          </w:rPr>
          <w:t>zoll.de</w:t>
        </w:r>
      </w:hyperlink>
      <w:r>
        <w:t>)</w:t>
      </w:r>
    </w:p>
    <w:p w14:paraId="0B6432FD" w14:textId="77777777" w:rsidR="001F7233" w:rsidRDefault="001F7233">
      <w:pPr>
        <w:spacing w:line="120" w:lineRule="exact"/>
      </w:pPr>
    </w:p>
    <w:p w14:paraId="1E04CF1B" w14:textId="77777777" w:rsidR="001F7233" w:rsidRDefault="00000000">
      <w:r>
        <w:t>• Quellen- und Datenstand: September 2026; Redaktionsschluss: Oktober 2026. Diese Angaben ändern sich schnell: Speditions- und Paketpreise, Laufzeiten, die Zolllage (Section 301 und 232, laufende Verfahren), die steuerliche Behandlung von Relocation-Leistungen und der Wechselkurs. Prüfe vor jeder Entscheidung die offiziellen Seiten von CBP und IRS und lass dir Festpreise schriftlich geben.</w:t>
      </w:r>
    </w:p>
    <w:p w14:paraId="398A0551" w14:textId="77777777" w:rsidR="001F7233" w:rsidRDefault="00000000">
      <w:pPr>
        <w:spacing w:line="220" w:lineRule="exact"/>
      </w:pPr>
      <w:r>
        <w:br w:type="page"/>
      </w:r>
    </w:p>
    <w:p w14:paraId="7EFACB57" w14:textId="77777777" w:rsidR="001F7233" w:rsidRDefault="00000000">
      <w:pPr>
        <w:pStyle w:val="Heading2"/>
        <w:keepNext/>
        <w:spacing w:line="341" w:lineRule="auto"/>
        <w:jc w:val="center"/>
      </w:pPr>
      <w:bookmarkStart w:id="49" w:name="k21"/>
      <w:r>
        <w:rPr>
          <w:rFonts w:ascii="Amazon Ember" w:eastAsia="Amazon Ember" w:hAnsi="Amazon Ember" w:cs="Amazon Ember"/>
          <w:color w:val="0000FF"/>
          <w:sz w:val="36"/>
          <w:szCs w:val="36"/>
        </w:rPr>
        <w:lastRenderedPageBreak/>
        <w:t>Kapitel 21: Mitnehmen oder neu kaufen? Die Raum-für-Raum-Liste</w:t>
      </w:r>
      <w:bookmarkEnd w:id="49"/>
    </w:p>
    <w:p w14:paraId="7657BD6A" w14:textId="77777777" w:rsidR="001F7233" w:rsidRDefault="00000000">
      <w:pPr>
        <w:spacing w:after="140"/>
      </w:pPr>
      <w:r>
        <w:t>Am ersten Abend in der neuen Wohnung ziehst du das deutsche Spannbetttuch über die Queen-Matratze. Es ist acht Zentimeter zu breit und drei zu kurz und rutscht an der Ecke ab. Der Wasserkocher aus Stuttgart braucht am Adapter ein Vielfaches der gewohnten Zeit und dein Hausrat schwimmt noch irgendwo auf dem Atlantik. Ob ein Gegenstand mitfährt, entscheidest du deshalb nicht aus dem Bauch, sondern raumweise mit drei Fragen: Läuft er in den USA? Was kostet der Ersatz? Und ist er die Fracht wert?</w:t>
      </w:r>
    </w:p>
    <w:p w14:paraId="1F0A929B" w14:textId="77777777" w:rsidR="001F7233" w:rsidRDefault="00000000">
      <w:r>
        <w:rPr>
          <w:b/>
        </w:rPr>
        <w:t xml:space="preserve">KURZ GESAGT: </w:t>
      </w:r>
    </w:p>
    <w:p w14:paraId="73A70AF7" w14:textId="77777777" w:rsidR="001F7233" w:rsidRDefault="00000000">
      <w:r>
        <w:t>• Die US-Steckdose liefert 120 V bei 60 Hz. Geräte mit Netzteil „100–240 V“ laufen mit Adapter; Heiz- und Motorgeräte bleiben zurück.</w:t>
      </w:r>
    </w:p>
    <w:p w14:paraId="6A5C8A95" w14:textId="77777777" w:rsidR="001F7233" w:rsidRDefault="00000000">
      <w:r>
        <w:t>• Betten und Bettwäsche sind anders genormt (Queen: 152 × 203 cm). Matratzen, Lattenroste und Spannbetttücher kaufst du in den USA neu.</w:t>
      </w:r>
    </w:p>
    <w:p w14:paraId="7B3D62D9" w14:textId="77777777" w:rsidR="001F7233" w:rsidRDefault="00000000">
      <w:r>
        <w:t>• Mitnehmen lohnt sich für Persönliches, Bücher, Kleidung, gutes Küchenzubehör und wenige hochwertige Einzelstücke.</w:t>
      </w:r>
    </w:p>
    <w:p w14:paraId="7D060E2C" w14:textId="77777777" w:rsidR="001F7233" w:rsidRDefault="00000000">
      <w:r>
        <w:t>• Ein 20-ft-Container kostet 4.000–7.500 € plus US-Zustellung. Eine 1BR neu einzurichten kostet 7.000–12.000 $, mit IKEA und Secondhand 40–60 % weniger.</w:t>
      </w:r>
    </w:p>
    <w:p w14:paraId="6C5AAB30" w14:textId="77777777" w:rsidR="001F7233" w:rsidRDefault="00000000">
      <w:r>
        <w:t>• Für die ersten zwei Wochen packst du Koffer, den Rest der Erstausstattung kaufst du vor Ort.</w:t>
      </w:r>
    </w:p>
    <w:p w14:paraId="6D663E5B" w14:textId="77777777" w:rsidR="001F7233" w:rsidRDefault="001F7233">
      <w:pPr>
        <w:spacing w:line="220" w:lineRule="exact"/>
      </w:pPr>
    </w:p>
    <w:p w14:paraId="067314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Entscheidungsregel: Fracht gegen Ersatz</w:t>
      </w:r>
    </w:p>
    <w:p w14:paraId="07F4E444" w14:textId="77777777" w:rsidR="001F7233" w:rsidRDefault="00000000">
      <w:pPr>
        <w:spacing w:after="140"/>
      </w:pPr>
      <w:r>
        <w:t xml:space="preserve">Jeder Gegenstand muss drei Prüfungen bestehen. Erstens: Funktioniert er in den USA ohne Umbau, also bei Strom, Größe und </w:t>
      </w:r>
      <w:r>
        <w:lastRenderedPageBreak/>
        <w:t>Norm? Zweitens: Was kostet der Ersatz in den USA, verglichen mit Frachtanteil, Aufwand und Verkaufserlös in Deutschland? Drittens: Hängt Erinnerung oder unersetzbare Qualität daran? Fällt er bei der ersten Prüfung durch, ist die Sache entschieden. Bei der zweiten hilft eine grobe Rechnung.</w:t>
      </w:r>
    </w:p>
    <w:p w14:paraId="58E5C717" w14:textId="77777777" w:rsidR="001F7233" w:rsidRDefault="00000000">
      <w:pPr>
        <w:spacing w:after="140"/>
      </w:pPr>
      <w:r>
        <w:t>Die Portale nennen für einen 20-ft-Container (28–33 m³) 4.000–7.500 € ohne US-Zustellung und für eine Sammelladung von 10–20 m³ 2.500–6.000 € (</w:t>
      </w:r>
      <w:hyperlink w:anchor="k20">
        <w:r w:rsidR="001F7233">
          <w:t>Kapitel 20</w:t>
        </w:r>
      </w:hyperlink>
      <w:r>
        <w:t>). Auf den Kubikmeter umgerechnet sind das grob 120–300 € (eigene Rechnung). Ein Dreisitzer-Sofa belegt verpackt schätzungsweise 2 m³ und kostet damit 250–600 € Fracht; Zustellung und Zollabwicklung kommen als Festkosten hinzu. Ein neues Mittelklasse-Sofa kostet 800–2.000 $. Ein gutes, gepflegtes Sofa kann sich also lohnen, ein billiges nie. Ein Standard-Umzugskarton mit Büchern (etwa 0,07 m³) kostet nach derselben Rechnung 10–20 € Fracht; als DHL-Paket wären es für 20 kg 142,99 € (Datenstand September 2026; geprüft im Oktober 2026).</w:t>
      </w:r>
    </w:p>
    <w:p w14:paraId="021394A7" w14:textId="77777777" w:rsidR="001F7233" w:rsidRDefault="00000000">
      <w:pPr>
        <w:spacing w:after="140"/>
      </w:pPr>
      <w:r>
        <w:t>Was zurückbleibt, verkaufst du über Kleinanzeigenportale, Flohmarkt oder Haushaltsauflösung, am besten in den letzten acht bis zwölf Wochen vor dem Abflug (Zeitplan: Kapitel </w:t>
      </w:r>
      <w:hyperlink w:anchor="k15">
        <w:r w:rsidR="001F7233">
          <w:t>15</w:t>
        </w:r>
      </w:hyperlink>
      <w:r>
        <w:t>). Rechne mit einem Bruchteil des Neupreises; was übrig bleibt, verschenkst oder spendest du.</w:t>
      </w:r>
    </w:p>
    <w:p w14:paraId="443A6F3C" w14:textId="77777777" w:rsidR="001F7233" w:rsidRDefault="00000000">
      <w:r>
        <w:rPr>
          <w:b/>
        </w:rPr>
        <w:t xml:space="preserve">ACHTUNG: </w:t>
      </w:r>
    </w:p>
    <w:p w14:paraId="10CA1CDB" w14:textId="77777777" w:rsidR="001F7233" w:rsidRDefault="00000000">
      <w:r>
        <w:t>• Kaufe nichts Neues, um es mitzuschicken. Gegenstände, die du im Ausland weniger als ein Jahr genutzt hast, gelten nicht als zollfreies Umzugsgut (</w:t>
      </w:r>
      <w:hyperlink w:anchor="k20">
        <w:r w:rsidR="001F7233">
          <w:rPr>
            <w:color w:val="0563C1"/>
            <w:u w:val="single"/>
          </w:rPr>
          <w:t>Kapitel 20</w:t>
        </w:r>
      </w:hyperlink>
      <w:r>
        <w:t>).</w:t>
      </w:r>
    </w:p>
    <w:p w14:paraId="34C1AFB0" w14:textId="77777777" w:rsidR="001F7233" w:rsidRDefault="001F7233">
      <w:pPr>
        <w:spacing w:line="220" w:lineRule="exact"/>
      </w:pPr>
    </w:p>
    <w:p w14:paraId="057DBA46" w14:textId="77777777" w:rsidR="001F7233" w:rsidRDefault="00000000">
      <w:r>
        <w:rPr>
          <w:b/>
        </w:rPr>
        <w:t xml:space="preserve">MERKE: </w:t>
      </w:r>
    </w:p>
    <w:p w14:paraId="435FBFE9" w14:textId="77777777" w:rsidR="001F7233" w:rsidRDefault="00000000">
      <w:r>
        <w:t>• Ein Gegenstand fährt nur mit, wenn er ohne Umbau funktioniert und entweder sein Ersatz mehr kostet als Fracht und Aufwand oder er sich nicht ersetzen lässt.</w:t>
      </w:r>
    </w:p>
    <w:p w14:paraId="4B521520" w14:textId="77777777" w:rsidR="001F7233" w:rsidRDefault="001F7233">
      <w:pPr>
        <w:spacing w:line="220" w:lineRule="exact"/>
      </w:pPr>
    </w:p>
    <w:p w14:paraId="270151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Strom, Steckdosen und Lampen</w:t>
      </w:r>
    </w:p>
    <w:p w14:paraId="789CC205" w14:textId="77777777" w:rsidR="001F7233" w:rsidRDefault="00000000">
      <w:pPr>
        <w:spacing w:after="140"/>
      </w:pPr>
      <w:r>
        <w:t>Fast jede Entscheidung bei Elektrogeräten fällt an einer Zeile auf dem Typenschild. Die US-Steckdose liefert 120 V bei 60 Hz (nominal. Das Netz schwankt zwischen etwa 100 und 127 V), die deutsche 230 V bei 50 Hz. US-Dosen sind vom Typ A (zwei Flachstifte) oder Typ B (mit Erdungsstift). Dein Schuko-Stecker (Typ C oder F) passt nur mit Adapter. Eine 240-V-Leitung gibt es im Haushalt meist nur für Großverbraucher wie Herd, Trockner und Klimaanlage.</w:t>
      </w:r>
    </w:p>
    <w:p w14:paraId="30CC1F58" w14:textId="77777777" w:rsidR="001F7233" w:rsidRDefault="00000000">
      <w:pPr>
        <w:spacing w:after="140"/>
      </w:pPr>
      <w:r>
        <w:t>Verbreiteter Irrtum: Ein Adapter aus dem Reisezubehör-Regal macht jedes deutsche Gerät startklar. Tatsächlich ändert er nur die Steckerform, nicht die Spannung. Für die Entscheidung gilt:</w:t>
      </w:r>
    </w:p>
    <w:p w14:paraId="21DB519B" w14:textId="77777777" w:rsidR="001F7233" w:rsidRDefault="00000000">
      <w:pPr>
        <w:pStyle w:val="ListParagraph"/>
        <w:numPr>
          <w:ilvl w:val="0"/>
          <w:numId w:val="1"/>
        </w:numPr>
        <w:spacing w:after="60"/>
      </w:pPr>
      <w:r>
        <w:rPr>
          <w:b/>
          <w:bCs/>
        </w:rPr>
        <w:t>Netzteil „Input 100–240 V, 50/60 Hz“: läuft mit Adapter unverändert. Das trifft auf Laptop, Handy, Tablet, Kamera, Konsole, viele Router und LED-Lampen zu, meist auch auf die Ladegeräte von elektrischer Zahnbürste und Rasierer.</w:t>
      </w:r>
    </w:p>
    <w:p w14:paraId="75D66A97" w14:textId="77777777" w:rsidR="001F7233" w:rsidRDefault="00000000">
      <w:pPr>
        <w:pStyle w:val="ListParagraph"/>
        <w:numPr>
          <w:ilvl w:val="0"/>
          <w:numId w:val="1"/>
        </w:numPr>
        <w:spacing w:after="60"/>
      </w:pPr>
      <w:r>
        <w:rPr>
          <w:b/>
          <w:bCs/>
        </w:rPr>
        <w:t>Heizgeräte</w:t>
      </w:r>
      <w:r>
        <w:t xml:space="preserve"> (Wasserkocher, Toaster, Haartrockner, Bügeleisen, Kaffeemaschine): erreichen bei 120 V nur etwa ein Viertel bis die Hälfte ihrer Leistung. Nicht mitnehmen.</w:t>
      </w:r>
    </w:p>
    <w:p w14:paraId="3DC42767" w14:textId="77777777" w:rsidR="001F7233" w:rsidRDefault="00000000">
      <w:pPr>
        <w:pStyle w:val="ListParagraph"/>
        <w:numPr>
          <w:ilvl w:val="0"/>
          <w:numId w:val="1"/>
        </w:numPr>
        <w:spacing w:after="60"/>
      </w:pPr>
      <w:r>
        <w:rPr>
          <w:b/>
          <w:bCs/>
        </w:rPr>
        <w:t>Geräte mit Synchronmotor</w:t>
      </w:r>
      <w:r>
        <w:t xml:space="preserve"> (Plattenspieler, manche Uhren): laufen bei 60 Hz falsch. Nicht mitnehmen.</w:t>
      </w:r>
    </w:p>
    <w:p w14:paraId="292880B2" w14:textId="77777777" w:rsidR="001F7233" w:rsidRDefault="00000000">
      <w:pPr>
        <w:pStyle w:val="ListParagraph"/>
        <w:numPr>
          <w:ilvl w:val="0"/>
          <w:numId w:val="1"/>
        </w:numPr>
        <w:spacing w:after="60"/>
      </w:pPr>
      <w:r>
        <w:rPr>
          <w:b/>
          <w:bCs/>
        </w:rPr>
        <w:t>Spannungswandler</w:t>
      </w:r>
      <w:r>
        <w:t xml:space="preserve"> (</w:t>
      </w:r>
      <w:r>
        <w:rPr>
          <w:i/>
          <w:iCs/>
        </w:rPr>
        <w:t>Transformer</w:t>
      </w:r>
      <w:r>
        <w:t>) taugen für kleine Lasten; bei Geräten über 1.000 W lohnen sie sich nicht.</w:t>
      </w:r>
    </w:p>
    <w:p w14:paraId="11DE042F" w14:textId="77777777" w:rsidR="001F7233" w:rsidRDefault="001F7233">
      <w:pPr>
        <w:spacing w:line="120" w:lineRule="exact"/>
      </w:pPr>
    </w:p>
    <w:p w14:paraId="0D53388C" w14:textId="77777777" w:rsidR="001F7233" w:rsidRDefault="00000000">
      <w:pPr>
        <w:spacing w:after="140"/>
      </w:pPr>
      <w:r>
        <w:t>Bei Leuchten sitzt der Unterschied im Detail: Der US-Sockel E26 (26 mm) und der deutsche E27 (27 mm) sind mechanisch kompatibel, aber leuchtmittel für 230 V sind an 120 V unbrauchbar – Leuchtmittel kaufst du deshalb vor Ort. Leuchten mit Kabel, Stecker und E27-Fassung laufen mit Adapter und neuen Leuchtmitteln. Leuchten mit fest verbautem 230-V-Leuchtmittel oder Trafo nicht. Bei einfachen Leuchten ist der Neukauf meist die bequemere Lösung.</w:t>
      </w:r>
    </w:p>
    <w:p w14:paraId="4CAD128C" w14:textId="77777777" w:rsidR="001F7233" w:rsidRDefault="00000000">
      <w:r>
        <w:rPr>
          <w:b/>
        </w:rPr>
        <w:t xml:space="preserve">ACHTUNG: </w:t>
      </w:r>
    </w:p>
    <w:p w14:paraId="26AD6DD6" w14:textId="77777777" w:rsidR="001F7233" w:rsidRDefault="00000000">
      <w:r>
        <w:lastRenderedPageBreak/>
        <w:t>• Ein Adapter schützt kein Gerät. Auch der Gedanke, ein 230-V-Gerät an die 240-V-Dose von Herd oder Trockner zu hängen, führt nicht weiter: Stecker, Absicherung und Frequenz passen nicht und der Anschluss ist für andere Verbraucher gebaut.</w:t>
      </w:r>
    </w:p>
    <w:p w14:paraId="665B7093" w14:textId="77777777" w:rsidR="001F7233" w:rsidRDefault="001F7233">
      <w:pPr>
        <w:spacing w:line="220" w:lineRule="exact"/>
      </w:pPr>
    </w:p>
    <w:p w14:paraId="5CFA9C54" w14:textId="77777777" w:rsidR="001F7233" w:rsidRDefault="00000000">
      <w:r>
        <w:rPr>
          <w:b/>
        </w:rPr>
        <w:t xml:space="preserve">SPARTIPP: </w:t>
      </w:r>
    </w:p>
    <w:p w14:paraId="154C360F" w14:textId="77777777" w:rsidR="001F7233" w:rsidRDefault="00000000">
      <w:r>
        <w:t>• Fotografiere vor dem Verkauf die Typenschilder aller Elektrogeräte und notiere Eingangsspannung und Leistung in Watt. So verkaufst du kein Gerät, das du hättest behalten können und schleppst keinen Toaster über den Atlantik.</w:t>
      </w:r>
    </w:p>
    <w:p w14:paraId="27C29460" w14:textId="77777777" w:rsidR="001F7233" w:rsidRDefault="001F7233">
      <w:pPr>
        <w:spacing w:line="220" w:lineRule="exact"/>
      </w:pPr>
    </w:p>
    <w:p w14:paraId="6EC2DF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Schlafzimmer: Betten und Bettwäsche</w:t>
      </w:r>
    </w:p>
    <w:p w14:paraId="451156ED" w14:textId="77777777" w:rsidR="001F7233" w:rsidRDefault="00000000">
      <w:pPr>
        <w:spacing w:after="140"/>
      </w:pPr>
      <w:r>
        <w:t>US-Matratzen haben eigene Maße, und die Unterschiede sind klein genug, um zu täuschen. Die Tabelle zeigt die fünf Größen mit der nächstliegenden deutschen Entsprechung (Näherungswerte).</w:t>
      </w:r>
    </w:p>
    <w:p w14:paraId="4540A1A2" w14:textId="77777777" w:rsidR="001F7233" w:rsidRDefault="00000000">
      <w:r>
        <w:rPr>
          <w:b/>
        </w:rPr>
        <w:t>Twin</w:t>
      </w:r>
    </w:p>
    <w:p w14:paraId="5B858E07" w14:textId="77777777" w:rsidR="001F7233" w:rsidRDefault="00000000">
      <w:r>
        <w:rPr>
          <w:b/>
        </w:rPr>
        <w:t xml:space="preserve">Zoll: </w:t>
      </w:r>
      <w:r>
        <w:t>38 × 75</w:t>
      </w:r>
    </w:p>
    <w:p w14:paraId="2DA69C01" w14:textId="77777777" w:rsidR="001F7233" w:rsidRDefault="00000000">
      <w:r>
        <w:rPr>
          <w:b/>
        </w:rPr>
        <w:t xml:space="preserve">Zentimeter: </w:t>
      </w:r>
      <w:r>
        <w:t>96,5 × 190,5</w:t>
      </w:r>
    </w:p>
    <w:p w14:paraId="6BBB96B2" w14:textId="77777777" w:rsidR="001F7233" w:rsidRDefault="00000000">
      <w:r>
        <w:rPr>
          <w:b/>
        </w:rPr>
        <w:t xml:space="preserve">Deutsche Entsprechung: </w:t>
      </w:r>
      <w:r>
        <w:t>90 × 200</w:t>
      </w:r>
    </w:p>
    <w:p w14:paraId="16911DAF" w14:textId="77777777" w:rsidR="001F7233" w:rsidRDefault="00000000">
      <w:r>
        <w:rPr>
          <w:b/>
        </w:rPr>
        <w:t>Full</w:t>
      </w:r>
    </w:p>
    <w:p w14:paraId="582C6F28" w14:textId="77777777" w:rsidR="001F7233" w:rsidRDefault="00000000">
      <w:r>
        <w:rPr>
          <w:b/>
        </w:rPr>
        <w:t xml:space="preserve">Zoll: </w:t>
      </w:r>
      <w:r>
        <w:t>54 × 75</w:t>
      </w:r>
    </w:p>
    <w:p w14:paraId="3BB12E4B" w14:textId="77777777" w:rsidR="001F7233" w:rsidRDefault="00000000">
      <w:r>
        <w:rPr>
          <w:b/>
        </w:rPr>
        <w:t xml:space="preserve">Zentimeter: </w:t>
      </w:r>
      <w:r>
        <w:t>137 × 190,5</w:t>
      </w:r>
    </w:p>
    <w:p w14:paraId="1749C825" w14:textId="77777777" w:rsidR="001F7233" w:rsidRDefault="00000000">
      <w:r>
        <w:rPr>
          <w:b/>
        </w:rPr>
        <w:t xml:space="preserve">Deutsche Entsprechung: </w:t>
      </w:r>
      <w:r>
        <w:t>140 × 200</w:t>
      </w:r>
    </w:p>
    <w:p w14:paraId="048FDF34" w14:textId="77777777" w:rsidR="001F7233" w:rsidRDefault="00000000">
      <w:r>
        <w:rPr>
          <w:b/>
        </w:rPr>
        <w:t>Queen</w:t>
      </w:r>
    </w:p>
    <w:p w14:paraId="1E72845E" w14:textId="77777777" w:rsidR="001F7233" w:rsidRDefault="00000000">
      <w:r>
        <w:rPr>
          <w:b/>
        </w:rPr>
        <w:t xml:space="preserve">Zoll: </w:t>
      </w:r>
      <w:r>
        <w:t>60 × 80</w:t>
      </w:r>
    </w:p>
    <w:p w14:paraId="2A4CBFA6" w14:textId="77777777" w:rsidR="001F7233" w:rsidRDefault="00000000">
      <w:r>
        <w:rPr>
          <w:b/>
        </w:rPr>
        <w:t xml:space="preserve">Zentimeter: </w:t>
      </w:r>
      <w:r>
        <w:t>152 × 203</w:t>
      </w:r>
    </w:p>
    <w:p w14:paraId="5D61114E" w14:textId="77777777" w:rsidR="001F7233" w:rsidRDefault="00000000">
      <w:r>
        <w:rPr>
          <w:b/>
        </w:rPr>
        <w:t xml:space="preserve">Deutsche Entsprechung: </w:t>
      </w:r>
      <w:r>
        <w:t>160 × 200</w:t>
      </w:r>
    </w:p>
    <w:p w14:paraId="6FE1BA8B" w14:textId="77777777" w:rsidR="001F7233" w:rsidRDefault="00000000">
      <w:r>
        <w:rPr>
          <w:b/>
        </w:rPr>
        <w:t>King</w:t>
      </w:r>
    </w:p>
    <w:p w14:paraId="41BE6533" w14:textId="77777777" w:rsidR="001F7233" w:rsidRDefault="00000000">
      <w:r>
        <w:rPr>
          <w:b/>
        </w:rPr>
        <w:t xml:space="preserve">Zoll: </w:t>
      </w:r>
      <w:r>
        <w:t>76 × 80</w:t>
      </w:r>
    </w:p>
    <w:p w14:paraId="403D355C" w14:textId="77777777" w:rsidR="001F7233" w:rsidRDefault="00000000">
      <w:r>
        <w:rPr>
          <w:b/>
        </w:rPr>
        <w:t xml:space="preserve">Zentimeter: </w:t>
      </w:r>
      <w:r>
        <w:t>193 × 203</w:t>
      </w:r>
    </w:p>
    <w:p w14:paraId="0734F07A" w14:textId="77777777" w:rsidR="001F7233" w:rsidRDefault="00000000">
      <w:r>
        <w:rPr>
          <w:b/>
        </w:rPr>
        <w:t xml:space="preserve">Deutsche Entsprechung: </w:t>
      </w:r>
      <w:r>
        <w:t>180 × 200 oder 200 × 200</w:t>
      </w:r>
    </w:p>
    <w:p w14:paraId="14FA3AEF" w14:textId="77777777" w:rsidR="001F7233" w:rsidRDefault="00000000">
      <w:r>
        <w:rPr>
          <w:b/>
        </w:rPr>
        <w:t>California King</w:t>
      </w:r>
    </w:p>
    <w:p w14:paraId="5EB3A8A8" w14:textId="77777777" w:rsidR="001F7233" w:rsidRDefault="00000000">
      <w:r>
        <w:rPr>
          <w:b/>
        </w:rPr>
        <w:t xml:space="preserve">Zoll: </w:t>
      </w:r>
      <w:r>
        <w:t>72 × 84</w:t>
      </w:r>
    </w:p>
    <w:p w14:paraId="2D5A19F6" w14:textId="77777777" w:rsidR="001F7233" w:rsidRDefault="00000000">
      <w:r>
        <w:rPr>
          <w:b/>
        </w:rPr>
        <w:lastRenderedPageBreak/>
        <w:t xml:space="preserve">Zentimeter: </w:t>
      </w:r>
      <w:r>
        <w:t>183 × 213</w:t>
      </w:r>
    </w:p>
    <w:p w14:paraId="74A2BF8A" w14:textId="77777777" w:rsidR="001F7233" w:rsidRDefault="00000000">
      <w:r>
        <w:rPr>
          <w:b/>
        </w:rPr>
        <w:t xml:space="preserve">Deutsche Entsprechung: </w:t>
      </w:r>
      <w:r>
        <w:t>180 × 200</w:t>
      </w:r>
    </w:p>
    <w:p w14:paraId="229B14C9" w14:textId="77777777" w:rsidR="001F7233" w:rsidRDefault="001F7233">
      <w:pPr>
        <w:spacing w:line="180" w:lineRule="exact"/>
      </w:pPr>
    </w:p>
    <w:p w14:paraId="32791C0B" w14:textId="77777777" w:rsidR="001F7233" w:rsidRDefault="00000000">
      <w:pPr>
        <w:spacing w:after="140"/>
      </w:pPr>
      <w:r>
        <w:rPr>
          <w:i/>
          <w:iCs/>
        </w:rPr>
        <w:t>Die Zahlen erklären die Fehlkäufe: Eine Queen-Matratze ist mit 203 cm länger als die deutschen 200 cm und passt daher nicht in ein Bettgestell für 160 × 200 cm. Umgekehrt sind deutsche Spannbetttücher für US-Matratzen zu kurz oder zu breit und rutschen. Dazu sind US-Matratzen oft dicker als deutsche; passend sind Tücher mit tiefer Tasche (Deep Pocket). Als Unterbau dient statt des Lattenrosts oft ein Box Spring (flacher Rahmen, mit oder ohne Federn) oder eine Plattform. Das US-Standardkissen (20 × 26 in) misst 51 × 66 cm, deutlich weniger als die gewohnten 80 × 80 cm.</w:t>
      </w:r>
    </w:p>
    <w:p w14:paraId="6B358E3C" w14:textId="77777777" w:rsidR="001F7233" w:rsidRDefault="00000000">
      <w:pPr>
        <w:spacing w:after="140"/>
      </w:pPr>
      <w:r>
        <w:t>Deine deutschen Bettdecken (135 × 200 cm) kannst du weiter benutzen, sie wirken auf einem Queen- oder King-Bett aber schmal; US-Bezüge passen nur auf US-Decken. Handtücher sind unproblematisch: Nimm die Lieblingsstücke mit, den Rest ersetzt du vor Ort.</w:t>
      </w:r>
    </w:p>
    <w:p w14:paraId="009E9580" w14:textId="77777777" w:rsidR="001F7233" w:rsidRDefault="00000000">
      <w:pPr>
        <w:spacing w:after="140"/>
      </w:pPr>
      <w:r>
        <w:t>Bettgestelle, Lattenroste und Matratzen verkaufst du also, Bettwäsche kaufst du in US-Größe neu. Für eine Queen-Matratze rechnest du mit 400–1.200 $ (Markt-Durchschnitt 600–800 $, Stand 2026).</w:t>
      </w:r>
    </w:p>
    <w:p w14:paraId="5EDA1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 und Esszimmer: Möbel</w:t>
      </w:r>
    </w:p>
    <w:p w14:paraId="6F1DE68E" w14:textId="77777777" w:rsidR="001F7233" w:rsidRDefault="00000000">
      <w:pPr>
        <w:spacing w:after="140"/>
      </w:pPr>
      <w:r>
        <w:rPr>
          <w:i/>
          <w:iCs/>
        </w:rPr>
        <w:t>Die Wohnung bestimmt, was hineinpasst. Innentüren sind meist 80 in (203 cm) hoch und 24–36 in (61–91 cm) breit, Decken meist 8 ft (244 cm) hoch. Miss hohe Schränke, breite Sofas und lange Tische vorab aus und vergleiche sie mit dem Grundriss. Einen Kleiderschrank brauchst du oft nicht: Die meisten US-Schlafzimmer haben eingebaute Wandschränke (Closets).</w:t>
      </w:r>
    </w:p>
    <w:p w14:paraId="6922D902" w14:textId="77777777" w:rsidR="001F7233" w:rsidRDefault="00000000">
      <w:pPr>
        <w:spacing w:after="140"/>
      </w:pPr>
      <w:r>
        <w:t>Für Neuware sind Möbel zurzeit ein Preistreiber. Auf importierte Polstermöbel, Küchenschränke und Waschtischunterschränke (</w:t>
      </w:r>
      <w:r>
        <w:rPr>
          <w:i/>
          <w:iCs/>
        </w:rPr>
        <w:t>Vanities</w:t>
      </w:r>
      <w:r>
        <w:t xml:space="preserve">) liegt seit Herbst 2025 ein Zoll von 25 % (Section 232). Die </w:t>
      </w:r>
      <w:r>
        <w:lastRenderedPageBreak/>
        <w:t>geplanten Erhöhungen, auf 30 % bei Polstermöbeln und 50 % bei Schränken und Vanities, wurden auf den 1. Januar 2027 verschoben. Wie stark sich das in den Ladenpreisen niederschlägt, ist offen. Gebrauchtes Umzugsgut, das du seit mindestens einem Jahr nutzt, ist nach den Regeln für Umzugsgut meist zollfrei (Kapitel </w:t>
      </w:r>
      <w:hyperlink w:anchor="k20">
        <w:r w:rsidR="001F7233">
          <w:t>20</w:t>
        </w:r>
      </w:hyperlink>
      <w:r>
        <w:t>).</w:t>
      </w:r>
    </w:p>
    <w:p w14:paraId="78EC12A4" w14:textId="77777777" w:rsidR="001F7233" w:rsidRDefault="00000000">
      <w:pPr>
        <w:spacing w:after="140"/>
      </w:pPr>
      <w:r>
        <w:t>Praktisch heißt das: Massive, hochwertige Einzelstücke, deren Ersatz in den USA viel kostet, nimmst du mit, sofern Maße und Zustand stimmen. Standardmöbel auf IKEA-Niveau verkaufst du, denn Fracht und Ersatz liegen dort nahe beieinander. Zum Vergleich kosten in den USA ein Mittelklasse-Sofa 800–2.000 $ (Premium 2.000–5.000 $ und mehr) und ein Esstisch 500–2.000 $ (Budget 150–500 $).</w:t>
      </w:r>
    </w:p>
    <w:p w14:paraId="139413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Küche: Geräte, Töpfe, Herdtypen</w:t>
      </w:r>
    </w:p>
    <w:p w14:paraId="32BD8532" w14:textId="77777777" w:rsidR="001F7233" w:rsidRDefault="00000000">
      <w:pPr>
        <w:spacing w:after="140"/>
      </w:pPr>
      <w:r>
        <w:t>Anders als in vielen deutschen Mietwohnungen, in denen du die Küche selbst mitbringst, gehört die US-Küche zur Wohnung: Kühlschrank, Herd mit Backofen und meist auch ein Geschirrspüler sind da (Kapitel </w:t>
      </w:r>
      <w:hyperlink w:anchor="k13">
        <w:r w:rsidR="001F7233">
          <w:t>13</w:t>
        </w:r>
      </w:hyperlink>
      <w:r>
        <w:t>). Die Geräte sind in Zoll genormt: Kühlschränke sind 30–36 in (76–91 cm) breit, Herde 30 in (76 cm), Geschirrspüler 24 in (61 cm). Deine Einbau- und Großgeräte bleiben daher zurück. Für Waschmaschine und Trockner gilt dasselbe: Deutsche 230-V-Geräte sind unbrauchbar, US-Trockner laufen mit 240 V, elektrisch oder mit Gas. Ob Maschinen zur Wohnung gehören, klärst du vor der Unterschrift; als Paar kosten sie neu 1.000–2.300 $.</w:t>
      </w:r>
    </w:p>
    <w:p w14:paraId="2BABABA1" w14:textId="77777777" w:rsidR="001F7233" w:rsidRDefault="00000000">
      <w:pPr>
        <w:spacing w:after="140"/>
      </w:pPr>
      <w:r>
        <w:t>Gas- und Elektroherde sind üblich, Induktion ist selten, aber im Kommen. Deine Töpfe und Pfannen laufen auf Gas und Elektro; für Induktion brauchen sie einen Magnetboden, Aluminium und Kupfer ohne diese Schicht funktionieren dort nicht. Der Backofen zeigt °F: 350 °F sind etwa 175 °C (Tassenmaße und Rezepte: Kapitel </w:t>
      </w:r>
      <w:hyperlink w:anchor="k35">
        <w:r w:rsidR="001F7233">
          <w:t>35</w:t>
        </w:r>
      </w:hyperlink>
      <w:r>
        <w:t>).</w:t>
      </w:r>
    </w:p>
    <w:p w14:paraId="73E3F882" w14:textId="77777777" w:rsidR="001F7233" w:rsidRDefault="00000000">
      <w:pPr>
        <w:pStyle w:val="ListParagraph"/>
        <w:numPr>
          <w:ilvl w:val="0"/>
          <w:numId w:val="1"/>
        </w:numPr>
        <w:spacing w:after="60"/>
      </w:pPr>
      <w:r>
        <w:rPr>
          <w:b/>
          <w:bCs/>
        </w:rPr>
        <w:t>Mitnehmen:</w:t>
      </w:r>
      <w:r>
        <w:t xml:space="preserve"> gute Messer, Pfannen, Töpfe und Bräter, Backformen, Lieblingsgeschirr, Besteck, Küchenwaage, Mokkakanne.</w:t>
      </w:r>
    </w:p>
    <w:p w14:paraId="0BC175D6" w14:textId="77777777" w:rsidR="001F7233" w:rsidRDefault="00000000">
      <w:pPr>
        <w:pStyle w:val="ListParagraph"/>
        <w:numPr>
          <w:ilvl w:val="0"/>
          <w:numId w:val="1"/>
        </w:numPr>
        <w:spacing w:after="60"/>
      </w:pPr>
      <w:r>
        <w:rPr>
          <w:b/>
          <w:bCs/>
        </w:rPr>
        <w:lastRenderedPageBreak/>
        <w:t>Verkaufen:</w:t>
      </w:r>
      <w:r>
        <w:t xml:space="preserve"> Wasserkocher, Toaster, Kaffeemaschine, Mixer, Küchenmaschine (Heizung oder Motor für 230 V).</w:t>
      </w:r>
    </w:p>
    <w:p w14:paraId="17D247B8" w14:textId="77777777" w:rsidR="001F7233" w:rsidRDefault="00000000">
      <w:pPr>
        <w:pStyle w:val="ListParagraph"/>
        <w:numPr>
          <w:ilvl w:val="0"/>
          <w:numId w:val="1"/>
        </w:numPr>
        <w:spacing w:after="60"/>
      </w:pPr>
      <w:r>
        <w:rPr>
          <w:b/>
          <w:bCs/>
        </w:rPr>
        <w:t>Neu kaufen:</w:t>
      </w:r>
      <w:r>
        <w:t xml:space="preserve"> Ratgeber nennen für eine funktionale Grundausstattung 150–400 $ und für 30 Basisteile 345–580 $ (2026).</w:t>
      </w:r>
    </w:p>
    <w:p w14:paraId="7916216D" w14:textId="77777777" w:rsidR="001F7233" w:rsidRDefault="001F7233">
      <w:pPr>
        <w:spacing w:line="120" w:lineRule="exact"/>
      </w:pPr>
    </w:p>
    <w:p w14:paraId="610D4CA7" w14:textId="77777777" w:rsidR="001F7233" w:rsidRDefault="00000000">
      <w:r>
        <w:rPr>
          <w:b/>
        </w:rPr>
        <w:t xml:space="preserve">SPARTIPP: </w:t>
      </w:r>
    </w:p>
    <w:p w14:paraId="56429ED3" w14:textId="77777777" w:rsidR="001F7233" w:rsidRDefault="00000000">
      <w:r>
        <w:t>• Töpfe, Geschirr und Besteck gibt es bei Goodwill und auf Estate Sales für einen Bruchteil des Neupreises. Kaufe dort, was dir nicht persönlich wichtig ist, und spare Container-Volumen für die guten Stücke.</w:t>
      </w:r>
    </w:p>
    <w:p w14:paraId="54D3DDAB" w14:textId="77777777" w:rsidR="001F7233" w:rsidRDefault="001F7233">
      <w:pPr>
        <w:spacing w:line="220" w:lineRule="exact"/>
      </w:pPr>
    </w:p>
    <w:p w14:paraId="5EEBBA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Arbeitszimmer und Technik: Elektronik, Fernseher, Handy</w:t>
      </w:r>
    </w:p>
    <w:p w14:paraId="146CB702" w14:textId="77777777" w:rsidR="001F7233" w:rsidRDefault="00000000">
      <w:pPr>
        <w:spacing w:after="140"/>
      </w:pPr>
      <w:r>
        <w:t>Laptops, Tablets, Kameras, Konsolen, Kopfhörer, E-Reader und Ladegeräte nimmst du mit; ihre Netzteile decken 100–240 V ab. Bei Monitor, Drucker und Desktop-PC prüfst du Netzteil und Spannungsschalter. Fernseher verkaufst du: Ein 4K-Smart-TV mit 55 Zoll kostet im Budgetsegment nach Ratgeberangaben etwa 200–300 $ (2026, mit Aktionen). Deutsche Geräte haben Tuner für DVB-T2, -C und -S, die in den USA nichts empfangen und mediatheken deutscher Sender sind häufig nur in Deutschland abrufbar. Die Lieblingsserie bleibt so mitten in der letzten Staffel hinter der Ländersperre stecken.</w:t>
      </w:r>
    </w:p>
    <w:p w14:paraId="29B591D5" w14:textId="77777777" w:rsidR="001F7233" w:rsidRDefault="00000000">
      <w:pPr>
        <w:spacing w:after="140"/>
      </w:pPr>
      <w:r>
        <w:t>Auch Funktechnik kennt Regionsgrenzen: Manche DECT-Telefone, Babyphone und Funkuhren nutzen europäische Frequenzen und Zeitsignale. DVDs (Regionalcode 2) und Blu-rays (Code B) laufen in US-Playern meist nicht. Router und Modem stellen die Internetanbieter meist selbst oder verkaufen sie; deutsche Geräte sind auf europäische Anschlüsse ausgelegt (Kapitel </w:t>
      </w:r>
      <w:hyperlink w:anchor="k25">
        <w:r w:rsidR="001F7233">
          <w:t>25</w:t>
        </w:r>
      </w:hyperlink>
      <w:r>
        <w:t xml:space="preserve">). Papier hat das Format Letter (8,5 × 11 in, 21,6 × 27,9 cm) statt DIN A4, und </w:t>
      </w:r>
      <w:r>
        <w:lastRenderedPageBreak/>
        <w:t>Ordner haben eine andere Lochung; Ordner und Locher kaufst du vor Ort.</w:t>
      </w:r>
    </w:p>
    <w:p w14:paraId="35A86482" w14:textId="77777777" w:rsidR="001F7233" w:rsidRDefault="00000000">
      <w:pPr>
        <w:spacing w:after="140"/>
      </w:pPr>
      <w:r>
        <w:t>Beim Handy hilft ein Blick in die technischen Daten. Neuere Smartphones aus dem europäischen Handel (iPhone, Galaxy, Pixel) unterstützen die meisten US-Netzbänder; bei älteren Modellen prüfst du die Bänder 12, 13, 17 und 71. Lass einen SIM-Lock vor dem Abflug aufheben. eSIM-Tarife sind nutzbar. Prepaid-Tarife kommen ohne Bonitätsprüfung aus, Vertragstarife verlangen SSN und Bonität oder eine Kaution (Kapitel </w:t>
      </w:r>
      <w:hyperlink w:anchor="k23">
        <w:r w:rsidR="001F7233">
          <w:t>23</w:t>
        </w:r>
      </w:hyperlink>
      <w:r>
        <w:t xml:space="preserve"> und </w:t>
      </w:r>
      <w:hyperlink w:anchor="k25">
        <w:r w:rsidR="001F7233">
          <w:t>25</w:t>
        </w:r>
      </w:hyperlink>
      <w:r>
        <w:t>).</w:t>
      </w:r>
    </w:p>
    <w:p w14:paraId="182497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Keller und Garage: Werkzeug, Fahrräder, Sport</w:t>
      </w:r>
    </w:p>
    <w:p w14:paraId="4EDBE0DA" w14:textId="77777777" w:rsidR="001F7233" w:rsidRDefault="00000000">
      <w:pPr>
        <w:spacing w:after="140"/>
      </w:pPr>
      <w:r>
        <w:t>Das US-Bauwesen misst in Zoll. Schrauben, Muttern und Schlüssel folgen dem imperialen System (SAE) und passen nicht zu metrischem Werkzeug; ein Kantholz „2 × 4“ misst 1,5 × 3,5 in (3,8 × 8,9 cm). Wer als Deutscher gern auf DIN-Normen pocht, muss hier einfach loslassen: In der US-Werkstatt zählt Zoll, basta. Metrisches Werkzeug bleibt trotzdem nützlich für IKEA-Möbel und Fahrzeuge. Handwerkzeug wie Inbusschlüssel, Schraubendreher, Zange und Wasserwaage nimmst du mit, ein Maßband mit Zoll-Skala kaufst du vor Ort. Kabelgebundene 230-V-Elektrowerkzeuge verkaufst du. Bei Akkuwerkzeug muss das Ladegerät 100–240 V abdecken. Ersatz gibt es in Baumärkten wie Home Depot und Lowe’s.</w:t>
      </w:r>
    </w:p>
    <w:p w14:paraId="644DE196" w14:textId="77777777" w:rsidR="001F7233" w:rsidRDefault="00000000">
      <w:r>
        <w:rPr>
          <w:b/>
        </w:rPr>
        <w:t xml:space="preserve">ACHTUNG: </w:t>
      </w:r>
    </w:p>
    <w:p w14:paraId="1AD421E5" w14:textId="77777777" w:rsidR="001F7233" w:rsidRDefault="00000000">
      <w:r>
        <w:t xml:space="preserve">• Lithium-Akkus (Akkuschrauber, E-Bike) gelten als Gefahrgut, und viele Umzugsfirmen schließen sie aus oder verlangen Sonderverpackung. Frage im Angebot ausdrücklich danach, bevor du Akkugeräte einplanst (mehr zu Verbotenem und Beschränktem im Umzugsgut: </w:t>
      </w:r>
      <w:hyperlink w:anchor="k20">
        <w:r w:rsidR="001F7233">
          <w:rPr>
            <w:color w:val="0563C1"/>
            <w:u w:val="single"/>
          </w:rPr>
          <w:t>Kapitel 20</w:t>
        </w:r>
      </w:hyperlink>
      <w:r>
        <w:t>).</w:t>
      </w:r>
    </w:p>
    <w:p w14:paraId="5724FEF8" w14:textId="77777777" w:rsidR="001F7233" w:rsidRDefault="001F7233">
      <w:pPr>
        <w:spacing w:line="220" w:lineRule="exact"/>
      </w:pPr>
    </w:p>
    <w:p w14:paraId="41565373" w14:textId="77777777" w:rsidR="001F7233" w:rsidRDefault="00000000">
      <w:pPr>
        <w:spacing w:after="140"/>
      </w:pPr>
      <w:r>
        <w:t xml:space="preserve">Bei Fahrrädern lohnt sich das Mitnehmen für hochwertige Rennräder, Mountainbikes und Reiseräder, die du verpackt </w:t>
      </w:r>
      <w:r>
        <w:lastRenderedPageBreak/>
        <w:t>transportieren lässt; ein eingefahrenes Rad ersetzt du schwer. Alltags- und Kinderräder verkaufst du, denn Kinder wachsen schnell heraus. Ski, Snowboard, Kletter- und Campingausrüstung sowie der Schlafsack sind gut aufgehoben im Umzugsgut (Outdoor-Ausrüstung auch in Kapitel </w:t>
      </w:r>
      <w:hyperlink w:anchor="k34">
        <w:r w:rsidR="001F7233">
          <w:t>34</w:t>
        </w:r>
      </w:hyperlink>
      <w:r>
        <w:t>). Fitnessgeräte sind schwer und in den USA gebraucht leicht zu bekommen: verkaufen. Das Auto bleibt ebenfalls zurück; es lohnt sich fast nie (Kapitel </w:t>
      </w:r>
      <w:hyperlink w:anchor="k27">
        <w:r w:rsidR="001F7233">
          <w:t>27</w:t>
        </w:r>
      </w:hyperlink>
      <w:r>
        <w:t>).</w:t>
      </w:r>
    </w:p>
    <w:p w14:paraId="27CC371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Kinderzimmer, Regale, Kleiderschrank: Bücher, Kleidung, Spielzeug</w:t>
      </w:r>
    </w:p>
    <w:p w14:paraId="606994A4" w14:textId="77777777" w:rsidR="001F7233" w:rsidRDefault="00000000">
      <w:pPr>
        <w:spacing w:after="140"/>
      </w:pPr>
      <w:r>
        <w:t>Bücher wiegen viel, sind im Sammelcontainer aber vergleichsweise günstig (Rechnung oben). Nimm deine Lieblingsbücher und die deutschen Kinderbücher mit; wie du Deutsch im Alltag der Kinder bewahrst, steht in Kapitel </w:t>
      </w:r>
      <w:hyperlink w:anchor="k37">
        <w:r w:rsidR="001F7233">
          <w:t>37</w:t>
        </w:r>
      </w:hyperlink>
      <w:r>
        <w:t>. Den Rest verkaufst du oder spendest ihn, ein E-Reader spart Platz. Zur Kleidung siehe Kapitel </w:t>
      </w:r>
      <w:hyperlink w:anchor="k34">
        <w:r w:rsidR="001F7233">
          <w:t>34</w:t>
        </w:r>
      </w:hyperlink>
      <w:r>
        <w:t>.</w:t>
      </w:r>
    </w:p>
    <w:p w14:paraId="4D782F05" w14:textId="77777777" w:rsidR="001F7233" w:rsidRDefault="00000000">
      <w:pPr>
        <w:spacing w:after="140"/>
      </w:pPr>
      <w:r>
        <w:rPr>
          <w:i/>
          <w:iCs/>
        </w:rPr>
        <w:t>Bei Spielzeug zählt, woran die Kinder hängen. Lieblingsstücke, Kuscheltiere, Lego und Puzzles nimmst du mit, alles Übrige kaufst du gebraucht: In Vorstädten gibt es am Wochenende Garagenverkäufe (Garage Sales oder Yard Sales), bei denen Spielzeug und Kinderkleidung oft für kleine Beträge den Besitzer wechseln.</w:t>
      </w:r>
    </w:p>
    <w:p w14:paraId="16B0ABAF" w14:textId="77777777" w:rsidR="001F7233" w:rsidRDefault="00000000">
      <w:r>
        <w:rPr>
          <w:b/>
        </w:rPr>
        <w:t xml:space="preserve">ACHTUNG: </w:t>
      </w:r>
    </w:p>
    <w:p w14:paraId="12B71C63" w14:textId="77777777" w:rsidR="001F7233" w:rsidRDefault="00000000">
      <w:r>
        <w:t>• Kindersitze aus Deutschland folgen der europäischen ECE-Norm, nicht der US-Norm FMVSS 213, und gelten in den USA als nicht zugelassen. Kaufe Kindersitze vor Ort und prüfe die Vorgaben deines Bundesstaats (</w:t>
      </w:r>
      <w:hyperlink w:anchor="k38">
        <w:r w:rsidR="001F7233">
          <w:rPr>
            <w:color w:val="0563C1"/>
            <w:u w:val="single"/>
          </w:rPr>
          <w:t>Kapitel 38</w:t>
        </w:r>
      </w:hyperlink>
      <w:r>
        <w:t>).</w:t>
      </w:r>
    </w:p>
    <w:p w14:paraId="15C8C434" w14:textId="77777777" w:rsidR="001F7233" w:rsidRDefault="001F7233">
      <w:pPr>
        <w:spacing w:line="220" w:lineRule="exact"/>
      </w:pPr>
    </w:p>
    <w:p w14:paraId="521BC8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Kunst und Erinnerungsstücke</w:t>
      </w:r>
    </w:p>
    <w:p w14:paraId="0EDDEC0F" w14:textId="77777777" w:rsidR="001F7233" w:rsidRDefault="00000000">
      <w:pPr>
        <w:spacing w:after="140"/>
      </w:pPr>
      <w:r>
        <w:t>Bilder, Familienfotos, Instrumente, Erbstücke und alles, was sich nicht neu kaufen lässt, gehören in die Fracht, das Wertvollste sogar ins Handgepäck. Erfasse jedes Stück in der Inventarliste mit Wiederbeschaffungswert und Foto: Die Versicherung zahlt nach dem hinterlegten Wert (Kapitel </w:t>
      </w:r>
      <w:hyperlink w:anchor="k20">
        <w:r w:rsidR="001F7233">
          <w:t>20</w:t>
        </w:r>
      </w:hyperlink>
      <w:r>
        <w:t>). Lass Bilder und Spiegel in Kisten mit Kantenschutz packen. Schmuck, Uhren, Datenträger und Originaldokumente reisen bei dir.</w:t>
      </w:r>
    </w:p>
    <w:p w14:paraId="72B5C6C0" w14:textId="77777777" w:rsidR="001F7233" w:rsidRDefault="00000000">
      <w:pPr>
        <w:spacing w:after="140"/>
      </w:pPr>
      <w:r>
        <w:t>Kritisch sind Artenschutz und Kulturgut: Elfenbein ohne Genehmigung ist in den USA verboten, und für wertvolles Kulturgut brauchst du bei der Ausfuhr aus Deutschland unter Umständen eine Genehmigung (Kapitel </w:t>
      </w:r>
      <w:hyperlink w:anchor="k20">
        <w:r w:rsidR="001F7233">
          <w:t>20</w:t>
        </w:r>
      </w:hyperlink>
      <w:r>
        <w:t>). Digitalisiere Fotos und Dokumente vorab. Ein paar vertraute Dinge an der Wand helfen außerdem gegen Heimweh (Kapitel </w:t>
      </w:r>
      <w:hyperlink w:anchor="k33">
        <w:r w:rsidR="001F7233">
          <w:t>33</w:t>
        </w:r>
      </w:hyperlink>
      <w:r>
        <w:t>).</w:t>
      </w:r>
    </w:p>
    <w:p w14:paraId="4296A2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Übersicht: Mitnehmen, verkaufen oder neu kaufen</w:t>
      </w:r>
    </w:p>
    <w:p w14:paraId="27EA6730" w14:textId="77777777" w:rsidR="001F7233" w:rsidRDefault="00000000">
      <w:pPr>
        <w:spacing w:after="140"/>
      </w:pPr>
      <w:r>
        <w:t>Die Tabelle fasst die Empfehlungen zusammen. Die Ersatzkosten sind Spannen aus Ratgeber- und Anbietertexten (Stand 2026) und zeigen die Größenordnung, keine Festpreise.</w:t>
      </w:r>
    </w:p>
    <w:p w14:paraId="66856EB5" w14:textId="77777777" w:rsidR="001F7233" w:rsidRDefault="00000000">
      <w:r>
        <w:rPr>
          <w:b/>
        </w:rPr>
        <w:t>Standardmöbel, Sofa</w:t>
      </w:r>
    </w:p>
    <w:p w14:paraId="27F50087" w14:textId="77777777" w:rsidR="001F7233" w:rsidRDefault="00000000">
      <w:r>
        <w:rPr>
          <w:b/>
        </w:rPr>
        <w:t xml:space="preserve">Empfehlung: </w:t>
      </w:r>
      <w:r>
        <w:t>Verkaufen</w:t>
      </w:r>
    </w:p>
    <w:p w14:paraId="7D220EA9" w14:textId="77777777" w:rsidR="001F7233" w:rsidRDefault="00000000">
      <w:r>
        <w:rPr>
          <w:b/>
        </w:rPr>
        <w:t xml:space="preserve">Warum: </w:t>
      </w:r>
      <w:r>
        <w:t>Fracht (250–600 € je Sofa) liegt nahe am Ersatz</w:t>
      </w:r>
    </w:p>
    <w:p w14:paraId="1E995E83" w14:textId="77777777" w:rsidR="001F7233" w:rsidRDefault="00000000">
      <w:r>
        <w:rPr>
          <w:b/>
        </w:rPr>
        <w:t xml:space="preserve">Ersatzkosten in den USA: </w:t>
      </w:r>
      <w:r>
        <w:t>Sofa 800–2.000 $, Esstisch 500–2.000 $</w:t>
      </w:r>
    </w:p>
    <w:p w14:paraId="7CCB7777" w14:textId="77777777" w:rsidR="001F7233" w:rsidRDefault="00000000">
      <w:r>
        <w:rPr>
          <w:b/>
        </w:rPr>
        <w:t>Hochwertige Einzelstücke</w:t>
      </w:r>
    </w:p>
    <w:p w14:paraId="24B3130F" w14:textId="77777777" w:rsidR="001F7233" w:rsidRDefault="00000000">
      <w:r>
        <w:rPr>
          <w:b/>
        </w:rPr>
        <w:t xml:space="preserve">Empfehlung: </w:t>
      </w:r>
      <w:r>
        <w:t>Mitnehmen</w:t>
      </w:r>
    </w:p>
    <w:p w14:paraId="04EEDFA0" w14:textId="77777777" w:rsidR="001F7233" w:rsidRDefault="00000000">
      <w:r>
        <w:rPr>
          <w:b/>
        </w:rPr>
        <w:t xml:space="preserve">Warum: </w:t>
      </w:r>
      <w:r>
        <w:t>Ersatz teuer, Maße vorher prüfen</w:t>
      </w:r>
    </w:p>
    <w:p w14:paraId="5B05A0F0" w14:textId="77777777" w:rsidR="001F7233" w:rsidRDefault="00000000">
      <w:r>
        <w:rPr>
          <w:b/>
        </w:rPr>
        <w:t xml:space="preserve">Ersatzkosten in den USA: </w:t>
      </w:r>
      <w:r>
        <w:t>Premium-Sofa 2.000–5.000 $ und mehr</w:t>
      </w:r>
    </w:p>
    <w:p w14:paraId="01FC10A6" w14:textId="77777777" w:rsidR="001F7233" w:rsidRDefault="00000000">
      <w:r>
        <w:rPr>
          <w:b/>
        </w:rPr>
        <w:t>Betten, Matratzen, Lattenroste</w:t>
      </w:r>
    </w:p>
    <w:p w14:paraId="3E1774A4" w14:textId="77777777" w:rsidR="001F7233" w:rsidRDefault="00000000">
      <w:r>
        <w:rPr>
          <w:b/>
        </w:rPr>
        <w:t xml:space="preserve">Empfehlung: </w:t>
      </w:r>
      <w:r>
        <w:t>Verkaufen</w:t>
      </w:r>
    </w:p>
    <w:p w14:paraId="24E2843C" w14:textId="77777777" w:rsidR="001F7233" w:rsidRDefault="00000000">
      <w:r>
        <w:rPr>
          <w:b/>
        </w:rPr>
        <w:lastRenderedPageBreak/>
        <w:t xml:space="preserve">Warum: </w:t>
      </w:r>
      <w:r>
        <w:t>Andere Größen und Unterbauten</w:t>
      </w:r>
    </w:p>
    <w:p w14:paraId="20F7B54F" w14:textId="77777777" w:rsidR="001F7233" w:rsidRDefault="00000000">
      <w:r>
        <w:rPr>
          <w:b/>
        </w:rPr>
        <w:t xml:space="preserve">Ersatzkosten in den USA: </w:t>
      </w:r>
      <w:r>
        <w:t>Queen-Matratze 400–1.200 $</w:t>
      </w:r>
    </w:p>
    <w:p w14:paraId="59F3646D" w14:textId="77777777" w:rsidR="001F7233" w:rsidRDefault="00000000">
      <w:r>
        <w:rPr>
          <w:b/>
        </w:rPr>
        <w:t>Bettwäsche</w:t>
      </w:r>
    </w:p>
    <w:p w14:paraId="6960836F" w14:textId="77777777" w:rsidR="001F7233" w:rsidRDefault="00000000">
      <w:r>
        <w:rPr>
          <w:b/>
        </w:rPr>
        <w:t xml:space="preserve">Empfehlung: </w:t>
      </w:r>
      <w:r>
        <w:t>Neu kaufen</w:t>
      </w:r>
    </w:p>
    <w:p w14:paraId="369F315C" w14:textId="77777777" w:rsidR="001F7233" w:rsidRDefault="00000000">
      <w:r>
        <w:rPr>
          <w:b/>
        </w:rPr>
        <w:t xml:space="preserve">Warum: </w:t>
      </w:r>
      <w:r>
        <w:t>Größen passen nicht</w:t>
      </w:r>
    </w:p>
    <w:p w14:paraId="14356FD0" w14:textId="77777777" w:rsidR="001F7233" w:rsidRDefault="00000000">
      <w:r>
        <w:rPr>
          <w:b/>
        </w:rPr>
        <w:t xml:space="preserve">Ersatzkosten in den USA: </w:t>
      </w:r>
      <w:r>
        <w:t>Sets ab niedrigen zweistelligen Beträgen</w:t>
      </w:r>
    </w:p>
    <w:p w14:paraId="610F4CC9" w14:textId="77777777" w:rsidR="001F7233" w:rsidRDefault="00000000">
      <w:r>
        <w:rPr>
          <w:b/>
        </w:rPr>
        <w:t>Waschmaschine, Trockner</w:t>
      </w:r>
    </w:p>
    <w:p w14:paraId="2301AD23" w14:textId="77777777" w:rsidR="001F7233" w:rsidRDefault="00000000">
      <w:r>
        <w:rPr>
          <w:b/>
        </w:rPr>
        <w:t xml:space="preserve">Empfehlung: </w:t>
      </w:r>
      <w:r>
        <w:t>Verkaufen</w:t>
      </w:r>
    </w:p>
    <w:p w14:paraId="125BE3B2" w14:textId="77777777" w:rsidR="001F7233" w:rsidRDefault="00000000">
      <w:r>
        <w:rPr>
          <w:b/>
        </w:rPr>
        <w:t xml:space="preserve">Warum: </w:t>
      </w:r>
      <w:r>
        <w:t>230 V, oft in Wohnung vorhanden</w:t>
      </w:r>
    </w:p>
    <w:p w14:paraId="6A3ADE2E" w14:textId="77777777" w:rsidR="001F7233" w:rsidRDefault="00000000">
      <w:r>
        <w:rPr>
          <w:b/>
        </w:rPr>
        <w:t xml:space="preserve">Ersatzkosten in den USA: </w:t>
      </w:r>
      <w:r>
        <w:t>Paar 1.000–2.300 $</w:t>
      </w:r>
    </w:p>
    <w:p w14:paraId="6F6A8597" w14:textId="77777777" w:rsidR="001F7233" w:rsidRDefault="00000000">
      <w:r>
        <w:rPr>
          <w:b/>
        </w:rPr>
        <w:t>Kühlschrank, Herd</w:t>
      </w:r>
    </w:p>
    <w:p w14:paraId="6493EDDC" w14:textId="77777777" w:rsidR="001F7233" w:rsidRDefault="00000000">
      <w:r>
        <w:rPr>
          <w:b/>
        </w:rPr>
        <w:t xml:space="preserve">Empfehlung: </w:t>
      </w:r>
      <w:r>
        <w:t>Verkaufen</w:t>
      </w:r>
    </w:p>
    <w:p w14:paraId="1A190271" w14:textId="77777777" w:rsidR="001F7233" w:rsidRDefault="00000000">
      <w:r>
        <w:rPr>
          <w:b/>
        </w:rPr>
        <w:t xml:space="preserve">Warum: </w:t>
      </w:r>
      <w:r>
        <w:t>Zoll-Normen, Mietwohnung hat beides</w:t>
      </w:r>
    </w:p>
    <w:p w14:paraId="4C7F63A5" w14:textId="77777777" w:rsidR="001F7233" w:rsidRDefault="00000000">
      <w:r>
        <w:rPr>
          <w:b/>
        </w:rPr>
        <w:t xml:space="preserve">Ersatzkosten in den USA: </w:t>
      </w:r>
      <w:r>
        <w:t>Kühlschrank 600–2.300 $, Herd 600–1.300 $</w:t>
      </w:r>
    </w:p>
    <w:p w14:paraId="4E1E8C6E" w14:textId="77777777" w:rsidR="001F7233" w:rsidRDefault="00000000">
      <w:r>
        <w:rPr>
          <w:b/>
        </w:rPr>
        <w:t>Wasserkocher, Toaster, Kaffeemaschine</w:t>
      </w:r>
    </w:p>
    <w:p w14:paraId="04FE297D" w14:textId="77777777" w:rsidR="001F7233" w:rsidRDefault="00000000">
      <w:r>
        <w:rPr>
          <w:b/>
        </w:rPr>
        <w:t xml:space="preserve">Empfehlung: </w:t>
      </w:r>
      <w:r>
        <w:t>Verkaufen</w:t>
      </w:r>
    </w:p>
    <w:p w14:paraId="258A4580" w14:textId="77777777" w:rsidR="001F7233" w:rsidRDefault="00000000">
      <w:r>
        <w:rPr>
          <w:b/>
        </w:rPr>
        <w:t xml:space="preserve">Warum: </w:t>
      </w:r>
      <w:r>
        <w:t>Leistung bei 120 V nur ¼–½</w:t>
      </w:r>
    </w:p>
    <w:p w14:paraId="449915F8" w14:textId="77777777" w:rsidR="001F7233" w:rsidRDefault="00000000">
      <w:r>
        <w:rPr>
          <w:b/>
        </w:rPr>
        <w:t xml:space="preserve">Ersatzkosten in den USA: </w:t>
      </w:r>
      <w:r>
        <w:t>Küchen-Grundausstattung 150–400 $</w:t>
      </w:r>
    </w:p>
    <w:p w14:paraId="3FEC9619" w14:textId="77777777" w:rsidR="001F7233" w:rsidRDefault="00000000">
      <w:r>
        <w:rPr>
          <w:b/>
        </w:rPr>
        <w:t>Töpfe, Messer, Geschirr</w:t>
      </w:r>
    </w:p>
    <w:p w14:paraId="7247101A" w14:textId="77777777" w:rsidR="001F7233" w:rsidRDefault="00000000">
      <w:r>
        <w:rPr>
          <w:b/>
        </w:rPr>
        <w:t xml:space="preserve">Empfehlung: </w:t>
      </w:r>
      <w:r>
        <w:t>Mitnehmen</w:t>
      </w:r>
    </w:p>
    <w:p w14:paraId="2B41992D" w14:textId="77777777" w:rsidR="001F7233" w:rsidRDefault="00000000">
      <w:r>
        <w:rPr>
          <w:b/>
        </w:rPr>
        <w:t xml:space="preserve">Warum: </w:t>
      </w:r>
      <w:r>
        <w:t>Passen auf alle Herde, Qualität</w:t>
      </w:r>
    </w:p>
    <w:p w14:paraId="0E9E2433" w14:textId="77777777" w:rsidR="001F7233" w:rsidRDefault="00000000">
      <w:r>
        <w:rPr>
          <w:b/>
        </w:rPr>
        <w:t xml:space="preserve">Ersatzkosten in den USA: </w:t>
      </w:r>
      <w:r>
        <w:t>30 Basisteile 345–580 $</w:t>
      </w:r>
    </w:p>
    <w:p w14:paraId="63DF6BA0" w14:textId="77777777" w:rsidR="001F7233" w:rsidRDefault="00000000">
      <w:r>
        <w:rPr>
          <w:b/>
        </w:rPr>
        <w:t>Fernseher</w:t>
      </w:r>
    </w:p>
    <w:p w14:paraId="0D30D4AF" w14:textId="77777777" w:rsidR="001F7233" w:rsidRDefault="00000000">
      <w:r>
        <w:rPr>
          <w:b/>
        </w:rPr>
        <w:t xml:space="preserve">Empfehlung: </w:t>
      </w:r>
      <w:r>
        <w:t>Verkaufen</w:t>
      </w:r>
    </w:p>
    <w:p w14:paraId="255C0535" w14:textId="77777777" w:rsidR="001F7233" w:rsidRDefault="00000000">
      <w:r>
        <w:rPr>
          <w:b/>
        </w:rPr>
        <w:t xml:space="preserve">Warum: </w:t>
      </w:r>
      <w:r>
        <w:t>Tuner nutzlos, US-Geräte günstig</w:t>
      </w:r>
    </w:p>
    <w:p w14:paraId="56408E9B" w14:textId="77777777" w:rsidR="001F7233" w:rsidRDefault="00000000">
      <w:r>
        <w:rPr>
          <w:b/>
        </w:rPr>
        <w:t xml:space="preserve">Ersatzkosten in den USA: </w:t>
      </w:r>
      <w:r>
        <w:t>55 Zoll, 4K: etwa 200–300 $</w:t>
      </w:r>
    </w:p>
    <w:p w14:paraId="05ABADAC" w14:textId="77777777" w:rsidR="001F7233" w:rsidRDefault="00000000">
      <w:r>
        <w:rPr>
          <w:b/>
        </w:rPr>
        <w:t>Laptop, Handy, Tablet, Konsole</w:t>
      </w:r>
    </w:p>
    <w:p w14:paraId="26325F66" w14:textId="77777777" w:rsidR="001F7233" w:rsidRDefault="00000000">
      <w:r>
        <w:rPr>
          <w:b/>
        </w:rPr>
        <w:t xml:space="preserve">Empfehlung: </w:t>
      </w:r>
      <w:r>
        <w:t>Mitnehmen</w:t>
      </w:r>
    </w:p>
    <w:p w14:paraId="7582A391" w14:textId="77777777" w:rsidR="001F7233" w:rsidRDefault="00000000">
      <w:r>
        <w:rPr>
          <w:b/>
        </w:rPr>
        <w:t xml:space="preserve">Warum: </w:t>
      </w:r>
      <w:r>
        <w:t>Netzteile 100–240 V</w:t>
      </w:r>
    </w:p>
    <w:p w14:paraId="2FC9F7E0" w14:textId="77777777" w:rsidR="001F7233" w:rsidRDefault="00000000">
      <w:r>
        <w:rPr>
          <w:b/>
        </w:rPr>
        <w:t xml:space="preserve">Ersatzkosten in den USA: </w:t>
      </w:r>
      <w:r>
        <w:t>Entfällt, Adapter genügt</w:t>
      </w:r>
    </w:p>
    <w:p w14:paraId="72370C23" w14:textId="77777777" w:rsidR="001F7233" w:rsidRDefault="00000000">
      <w:r>
        <w:rPr>
          <w:b/>
        </w:rPr>
        <w:t>Werkzeug</w:t>
      </w:r>
    </w:p>
    <w:p w14:paraId="44D98AA8" w14:textId="77777777" w:rsidR="001F7233" w:rsidRDefault="00000000">
      <w:r>
        <w:rPr>
          <w:b/>
        </w:rPr>
        <w:t xml:space="preserve">Empfehlung: </w:t>
      </w:r>
      <w:r>
        <w:t>Handwerkzeug mit, 230-V-Geräte verkaufen</w:t>
      </w:r>
    </w:p>
    <w:p w14:paraId="68A93741" w14:textId="77777777" w:rsidR="001F7233" w:rsidRDefault="00000000">
      <w:r>
        <w:rPr>
          <w:b/>
        </w:rPr>
        <w:t xml:space="preserve">Warum: </w:t>
      </w:r>
      <w:r>
        <w:t>Zoll statt metrisch</w:t>
      </w:r>
    </w:p>
    <w:p w14:paraId="3EB9ABDA" w14:textId="77777777" w:rsidR="001F7233" w:rsidRDefault="00000000">
      <w:r>
        <w:rPr>
          <w:b/>
        </w:rPr>
        <w:t xml:space="preserve">Ersatzkosten in den USA: </w:t>
      </w:r>
      <w:r>
        <w:t>Baumarkt vor Ort</w:t>
      </w:r>
    </w:p>
    <w:p w14:paraId="7402B1F8" w14:textId="77777777" w:rsidR="001F7233" w:rsidRDefault="00000000">
      <w:r>
        <w:rPr>
          <w:b/>
        </w:rPr>
        <w:lastRenderedPageBreak/>
        <w:t>Fahrräder, Sport</w:t>
      </w:r>
    </w:p>
    <w:p w14:paraId="267266E3" w14:textId="77777777" w:rsidR="001F7233" w:rsidRDefault="00000000">
      <w:r>
        <w:rPr>
          <w:b/>
        </w:rPr>
        <w:t xml:space="preserve">Empfehlung: </w:t>
      </w:r>
      <w:r>
        <w:t>Hochwertiges mitnehmen</w:t>
      </w:r>
    </w:p>
    <w:p w14:paraId="0DE1EC9B" w14:textId="77777777" w:rsidR="001F7233" w:rsidRDefault="00000000">
      <w:r>
        <w:rPr>
          <w:b/>
        </w:rPr>
        <w:t xml:space="preserve">Warum: </w:t>
      </w:r>
      <w:r>
        <w:t>Eingefahren, schwer ersetzbar</w:t>
      </w:r>
    </w:p>
    <w:p w14:paraId="2F3EBD7E" w14:textId="77777777" w:rsidR="001F7233" w:rsidRDefault="00000000">
      <w:r>
        <w:rPr>
          <w:b/>
        </w:rPr>
        <w:t xml:space="preserve">Ersatzkosten in den USA: </w:t>
      </w:r>
      <w:r>
        <w:t>Alltagsräder gebraucht über Marketplace</w:t>
      </w:r>
    </w:p>
    <w:p w14:paraId="14F853AE" w14:textId="77777777" w:rsidR="001F7233" w:rsidRDefault="00000000">
      <w:r>
        <w:rPr>
          <w:b/>
        </w:rPr>
        <w:t>Bücher, Spielzeug</w:t>
      </w:r>
    </w:p>
    <w:p w14:paraId="15AF09F0" w14:textId="77777777" w:rsidR="001F7233" w:rsidRDefault="00000000">
      <w:r>
        <w:rPr>
          <w:b/>
        </w:rPr>
        <w:t xml:space="preserve">Empfehlung: </w:t>
      </w:r>
      <w:r>
        <w:t>Auswahl mitnehmen</w:t>
      </w:r>
    </w:p>
    <w:p w14:paraId="771CF9DA" w14:textId="77777777" w:rsidR="001F7233" w:rsidRDefault="00000000">
      <w:r>
        <w:rPr>
          <w:b/>
        </w:rPr>
        <w:t xml:space="preserve">Warum: </w:t>
      </w:r>
      <w:r>
        <w:t>Fracht 10–20 € je Karton</w:t>
      </w:r>
    </w:p>
    <w:p w14:paraId="2DAA0CD8" w14:textId="77777777" w:rsidR="001F7233" w:rsidRDefault="00000000">
      <w:r>
        <w:rPr>
          <w:b/>
        </w:rPr>
        <w:t xml:space="preserve">Ersatzkosten in den USA: </w:t>
      </w:r>
      <w:r>
        <w:t>Deutsche Bücher kaum ersetzbar</w:t>
      </w:r>
    </w:p>
    <w:p w14:paraId="6FBB7CA1" w14:textId="77777777" w:rsidR="001F7233" w:rsidRDefault="00000000">
      <w:r>
        <w:rPr>
          <w:b/>
        </w:rPr>
        <w:t>Kindersitze</w:t>
      </w:r>
    </w:p>
    <w:p w14:paraId="06A9153E" w14:textId="77777777" w:rsidR="001F7233" w:rsidRDefault="00000000">
      <w:r>
        <w:rPr>
          <w:b/>
        </w:rPr>
        <w:t xml:space="preserve">Empfehlung: </w:t>
      </w:r>
      <w:r>
        <w:t>Neu kaufen</w:t>
      </w:r>
    </w:p>
    <w:p w14:paraId="1FA09C9B" w14:textId="77777777" w:rsidR="001F7233" w:rsidRDefault="00000000">
      <w:r>
        <w:rPr>
          <w:b/>
        </w:rPr>
        <w:t xml:space="preserve">Warum: </w:t>
      </w:r>
      <w:r>
        <w:t>US-Norm FMVSS 213</w:t>
      </w:r>
    </w:p>
    <w:p w14:paraId="6FA498CF" w14:textId="77777777" w:rsidR="001F7233" w:rsidRDefault="00000000">
      <w:r>
        <w:rPr>
          <w:b/>
        </w:rPr>
        <w:t xml:space="preserve">Ersatzkosten in den USA: </w:t>
      </w:r>
      <w:r>
        <w:t>Vor Ort im Fachhandel</w:t>
      </w:r>
    </w:p>
    <w:p w14:paraId="18872760" w14:textId="77777777" w:rsidR="001F7233" w:rsidRDefault="00000000">
      <w:r>
        <w:rPr>
          <w:b/>
        </w:rPr>
        <w:t>Kunst, Erinnerungsstücke</w:t>
      </w:r>
    </w:p>
    <w:p w14:paraId="13FE5031" w14:textId="77777777" w:rsidR="001F7233" w:rsidRDefault="00000000">
      <w:r>
        <w:rPr>
          <w:b/>
        </w:rPr>
        <w:t xml:space="preserve">Empfehlung: </w:t>
      </w:r>
      <w:r>
        <w:t>Mitnehmen</w:t>
      </w:r>
    </w:p>
    <w:p w14:paraId="1E5711C3" w14:textId="77777777" w:rsidR="001F7233" w:rsidRDefault="00000000">
      <w:r>
        <w:rPr>
          <w:b/>
        </w:rPr>
        <w:t xml:space="preserve">Warum: </w:t>
      </w:r>
      <w:r>
        <w:t>Unersetzlich</w:t>
      </w:r>
    </w:p>
    <w:p w14:paraId="0D5134E5" w14:textId="77777777" w:rsidR="001F7233" w:rsidRDefault="00000000">
      <w:r>
        <w:rPr>
          <w:b/>
        </w:rPr>
        <w:t xml:space="preserve">Ersatzkosten in den USA: </w:t>
      </w:r>
      <w:r>
        <w:t>Nicht ersetzbar, Versicherungswert festhalten</w:t>
      </w:r>
    </w:p>
    <w:p w14:paraId="7F66DA81" w14:textId="77777777" w:rsidR="001F7233" w:rsidRDefault="001F7233">
      <w:pPr>
        <w:spacing w:line="180" w:lineRule="exact"/>
      </w:pPr>
    </w:p>
    <w:p w14:paraId="27D972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Erstausstattung: Budget und Kaufquellen</w:t>
      </w:r>
    </w:p>
    <w:p w14:paraId="5C004CE0" w14:textId="77777777" w:rsidR="001F7233" w:rsidRDefault="00000000">
      <w:pPr>
        <w:spacing w:after="140"/>
      </w:pPr>
      <w:r>
        <w:t>Für eine komplett neue Ausstattung nennen Ratgeber in mittlerer Qualität (Stand 2026) 5.000–8.000 $ für ein Studio, 7.000–12.000 $ für eine 1BR und 12.000–22.000 $ für eine 2BR (Zimmerzählung: Kapitel </w:t>
      </w:r>
      <w:hyperlink w:anchor="k13">
        <w:r w:rsidR="001F7233">
          <w:t>13</w:t>
        </w:r>
      </w:hyperlink>
      <w:r>
        <w:t>). Mit IKEA und Secondhand liegen die Kosten 40–60 % darunter. Die Spalte rechts ist daraus gerechnet:</w:t>
      </w:r>
    </w:p>
    <w:p w14:paraId="1292087E" w14:textId="77777777" w:rsidR="001F7233" w:rsidRDefault="00000000">
      <w:r>
        <w:rPr>
          <w:b/>
        </w:rPr>
        <w:t>Studio</w:t>
      </w:r>
    </w:p>
    <w:p w14:paraId="075C7875" w14:textId="77777777" w:rsidR="001F7233" w:rsidRDefault="00000000">
      <w:r>
        <w:rPr>
          <w:b/>
        </w:rPr>
        <w:t xml:space="preserve">Neumöbel, mittlere Qualität: </w:t>
      </w:r>
      <w:r>
        <w:t>5.000–8.000 $</w:t>
      </w:r>
    </w:p>
    <w:p w14:paraId="0185DA34" w14:textId="77777777" w:rsidR="001F7233" w:rsidRDefault="00000000">
      <w:r>
        <w:rPr>
          <w:b/>
        </w:rPr>
        <w:t xml:space="preserve">Mit IKEA und Secondhand: </w:t>
      </w:r>
      <w:r>
        <w:t>ca. 2.000–4.800 $</w:t>
      </w:r>
    </w:p>
    <w:p w14:paraId="0710AB20" w14:textId="77777777" w:rsidR="001F7233" w:rsidRDefault="00000000">
      <w:r>
        <w:rPr>
          <w:b/>
        </w:rPr>
        <w:t>Wohnung mit 1BR</w:t>
      </w:r>
    </w:p>
    <w:p w14:paraId="2581A0E0" w14:textId="77777777" w:rsidR="001F7233" w:rsidRDefault="00000000">
      <w:r>
        <w:rPr>
          <w:b/>
        </w:rPr>
        <w:t xml:space="preserve">Neumöbel, mittlere Qualität: </w:t>
      </w:r>
      <w:r>
        <w:t>7.000–12.000 $</w:t>
      </w:r>
    </w:p>
    <w:p w14:paraId="790583D5" w14:textId="77777777" w:rsidR="001F7233" w:rsidRDefault="00000000">
      <w:r>
        <w:rPr>
          <w:b/>
        </w:rPr>
        <w:t xml:space="preserve">Mit IKEA und Secondhand: </w:t>
      </w:r>
      <w:r>
        <w:t>ca. 2.800–7.200 $</w:t>
      </w:r>
    </w:p>
    <w:p w14:paraId="639F6B64" w14:textId="77777777" w:rsidR="001F7233" w:rsidRDefault="00000000">
      <w:r>
        <w:rPr>
          <w:b/>
        </w:rPr>
        <w:lastRenderedPageBreak/>
        <w:t>Wohnung mit 2BR</w:t>
      </w:r>
    </w:p>
    <w:p w14:paraId="75E7B7DD" w14:textId="77777777" w:rsidR="001F7233" w:rsidRDefault="00000000">
      <w:r>
        <w:rPr>
          <w:b/>
        </w:rPr>
        <w:t xml:space="preserve">Neumöbel, mittlere Qualität: </w:t>
      </w:r>
      <w:r>
        <w:t>12.000–22.000 $</w:t>
      </w:r>
    </w:p>
    <w:p w14:paraId="55857FA3" w14:textId="77777777" w:rsidR="001F7233" w:rsidRDefault="00000000">
      <w:r>
        <w:rPr>
          <w:b/>
        </w:rPr>
        <w:t xml:space="preserve">Mit IKEA und Secondhand: </w:t>
      </w:r>
      <w:r>
        <w:t>ca. 4.800–13.200 $</w:t>
      </w:r>
    </w:p>
    <w:p w14:paraId="7D7E6ED9" w14:textId="77777777" w:rsidR="001F7233" w:rsidRDefault="001F7233">
      <w:pPr>
        <w:spacing w:line="180" w:lineRule="exact"/>
      </w:pPr>
    </w:p>
    <w:p w14:paraId="766F647A" w14:textId="77777777" w:rsidR="001F7233" w:rsidRDefault="00000000">
      <w:pPr>
        <w:spacing w:after="140"/>
      </w:pPr>
      <w:r>
        <w:t>Je Raum (mittlere Qualität) rechnest du mit 3.800–5.700 $ fürs Wohnzimmer, 1.900–2.600 $ fürs Esszimmer und 2.700–4.100 $ fürs Schlafzimmer. Eine abgespeckte Variante mit reinen Essentials für eine 1BR kostet neu 2.500–5.000 $. Die Zahlen stammen aus Ratgebertexten mit uneinheitlicher Methode; nimm sie als Spanne. Geräte sind wegen der Zölle um 15–19 % teurer geworden. Preisschilder zeigen den Preis ohne Verkaufssteuer (</w:t>
      </w:r>
      <w:r>
        <w:rPr>
          <w:i/>
          <w:iCs/>
        </w:rPr>
        <w:t>Sales Tax</w:t>
      </w:r>
      <w:r>
        <w:t>), die erst an der Kasse dazukommt (Kapitel </w:t>
      </w:r>
      <w:hyperlink w:anchor="k28">
        <w:r w:rsidR="001F7233">
          <w:t>28</w:t>
        </w:r>
      </w:hyperlink>
      <w:r>
        <w:t>). In den ersten Wochen zahlst du meist sofort: Ratenkauf und Händlerkarten setzen oft einen Credit Score voraus (Kapitel </w:t>
      </w:r>
      <w:hyperlink w:anchor="k25">
        <w:r w:rsidR="001F7233">
          <w:t>25</w:t>
        </w:r>
      </w:hyperlink>
      <w:r>
        <w:t>), also plane das Budget als Guthaben auf Konto und Karte ein.</w:t>
      </w:r>
    </w:p>
    <w:p w14:paraId="2A6EA105" w14:textId="77777777" w:rsidR="001F7233" w:rsidRDefault="00000000">
      <w:r>
        <w:rPr>
          <w:b/>
        </w:rPr>
        <w:t>IKEA</w:t>
      </w:r>
    </w:p>
    <w:p w14:paraId="71240AAA" w14:textId="77777777" w:rsidR="001F7233" w:rsidRDefault="00000000">
      <w:r>
        <w:rPr>
          <w:b/>
        </w:rPr>
        <w:t xml:space="preserve">Wofür: </w:t>
      </w:r>
      <w:r>
        <w:t>Betten, Regale, Kommoden, Küchenzubehör</w:t>
      </w:r>
    </w:p>
    <w:p w14:paraId="0EBA1166" w14:textId="77777777" w:rsidR="001F7233" w:rsidRDefault="00000000">
      <w:r>
        <w:rPr>
          <w:b/>
        </w:rPr>
        <w:t xml:space="preserve">Hinweis: </w:t>
      </w:r>
      <w:r>
        <w:t>Lieferung ab 5 $ (klein) bzw. 49 $ (groß), Montage über Taskrabbit ab 52 $ (IKEA-Angaben)</w:t>
      </w:r>
    </w:p>
    <w:p w14:paraId="133A306D" w14:textId="77777777" w:rsidR="001F7233" w:rsidRDefault="00000000">
      <w:r>
        <w:rPr>
          <w:b/>
        </w:rPr>
        <w:t>Costco</w:t>
      </w:r>
    </w:p>
    <w:p w14:paraId="3A608C2E" w14:textId="77777777" w:rsidR="001F7233" w:rsidRDefault="00000000">
      <w:r>
        <w:rPr>
          <w:b/>
        </w:rPr>
        <w:t xml:space="preserve">Wofür: </w:t>
      </w:r>
      <w:r>
        <w:t>Sofas, Matratzen, Geräte, Großpackungen</w:t>
      </w:r>
    </w:p>
    <w:p w14:paraId="24EE9E99" w14:textId="77777777" w:rsidR="001F7233" w:rsidRDefault="00000000">
      <w:r>
        <w:rPr>
          <w:b/>
        </w:rPr>
        <w:t xml:space="preserve">Hinweis: </w:t>
      </w:r>
      <w:r>
        <w:t>Mitgliedschaft 65 $ (Gold Star) oder 130 $ (Executive) im Jahr; kulante Rückgabe</w:t>
      </w:r>
    </w:p>
    <w:p w14:paraId="71471DE9" w14:textId="77777777" w:rsidR="001F7233" w:rsidRDefault="00000000">
      <w:r>
        <w:rPr>
          <w:b/>
        </w:rPr>
        <w:t>Target, Wayfair</w:t>
      </w:r>
    </w:p>
    <w:p w14:paraId="505354AD" w14:textId="77777777" w:rsidR="001F7233" w:rsidRDefault="00000000">
      <w:r>
        <w:rPr>
          <w:b/>
        </w:rPr>
        <w:t xml:space="preserve">Wofür: </w:t>
      </w:r>
      <w:r>
        <w:t>Bettwäsche, Küche, Kleinmöbel; Online-Möbel</w:t>
      </w:r>
    </w:p>
    <w:p w14:paraId="27E45361" w14:textId="77777777" w:rsidR="001F7233" w:rsidRDefault="00000000">
      <w:r>
        <w:rPr>
          <w:b/>
        </w:rPr>
        <w:t xml:space="preserve">Hinweis: </w:t>
      </w:r>
      <w:r>
        <w:t>Lieferzeit und Rückgabe vorher prüfen</w:t>
      </w:r>
    </w:p>
    <w:p w14:paraId="7D5F849B" w14:textId="77777777" w:rsidR="001F7233" w:rsidRDefault="00000000">
      <w:r>
        <w:rPr>
          <w:b/>
        </w:rPr>
        <w:t>Amazon</w:t>
      </w:r>
    </w:p>
    <w:p w14:paraId="546F1C61" w14:textId="77777777" w:rsidR="001F7233" w:rsidRDefault="00000000">
      <w:r>
        <w:rPr>
          <w:b/>
        </w:rPr>
        <w:t xml:space="preserve">Wofür: </w:t>
      </w:r>
      <w:r>
        <w:t>Adapter, Leuchtmittel, Steckdosenleisten</w:t>
      </w:r>
    </w:p>
    <w:p w14:paraId="45A088A2" w14:textId="77777777" w:rsidR="001F7233" w:rsidRDefault="00000000">
      <w:r>
        <w:rPr>
          <w:b/>
        </w:rPr>
        <w:t xml:space="preserve">Hinweis: </w:t>
      </w:r>
      <w:r>
        <w:t>Preise vergleichen</w:t>
      </w:r>
    </w:p>
    <w:p w14:paraId="3AA68F0F" w14:textId="77777777" w:rsidR="001F7233" w:rsidRDefault="00000000">
      <w:r>
        <w:rPr>
          <w:b/>
        </w:rPr>
        <w:t>Facebook Marketplace, Craigslist</w:t>
      </w:r>
    </w:p>
    <w:p w14:paraId="22CB14FB" w14:textId="77777777" w:rsidR="001F7233" w:rsidRDefault="00000000">
      <w:r>
        <w:rPr>
          <w:b/>
        </w:rPr>
        <w:t xml:space="preserve">Wofür: </w:t>
      </w:r>
      <w:r>
        <w:t>Möbel, Geräte, Sportartikel gebraucht</w:t>
      </w:r>
    </w:p>
    <w:p w14:paraId="63F0B58D" w14:textId="77777777" w:rsidR="001F7233" w:rsidRDefault="00000000">
      <w:r>
        <w:rPr>
          <w:b/>
        </w:rPr>
        <w:t xml:space="preserve">Hinweis: </w:t>
      </w:r>
      <w:r>
        <w:t>Selbst abholen; öffentlicher Treffpunkt</w:t>
      </w:r>
    </w:p>
    <w:p w14:paraId="2471D04B" w14:textId="77777777" w:rsidR="001F7233" w:rsidRDefault="00000000">
      <w:r>
        <w:rPr>
          <w:b/>
        </w:rPr>
        <w:t>Goodwill, Habitat ReStore</w:t>
      </w:r>
    </w:p>
    <w:p w14:paraId="3D50A091" w14:textId="77777777" w:rsidR="001F7233" w:rsidRDefault="00000000">
      <w:r>
        <w:rPr>
          <w:b/>
        </w:rPr>
        <w:t xml:space="preserve">Wofür: </w:t>
      </w:r>
      <w:r>
        <w:t>Geschirr, Töpfe, Möbel, Baumaterial</w:t>
      </w:r>
    </w:p>
    <w:p w14:paraId="592CB3EA" w14:textId="77777777" w:rsidR="001F7233" w:rsidRDefault="00000000">
      <w:r>
        <w:rPr>
          <w:b/>
        </w:rPr>
        <w:t xml:space="preserve">Hinweis: </w:t>
      </w:r>
      <w:r>
        <w:t>Läden gemeinnütziger Organisationen; Bestand wechselt</w:t>
      </w:r>
    </w:p>
    <w:p w14:paraId="22FEFEA9" w14:textId="77777777" w:rsidR="001F7233" w:rsidRDefault="00000000">
      <w:r>
        <w:rPr>
          <w:b/>
        </w:rPr>
        <w:lastRenderedPageBreak/>
        <w:t>Estate Sales</w:t>
      </w:r>
    </w:p>
    <w:p w14:paraId="2B7C6D64" w14:textId="77777777" w:rsidR="001F7233" w:rsidRDefault="00000000">
      <w:r>
        <w:rPr>
          <w:b/>
        </w:rPr>
        <w:t xml:space="preserve">Wofür: </w:t>
      </w:r>
      <w:r>
        <w:t>Möbel, Hausrat, Kunst</w:t>
      </w:r>
    </w:p>
    <w:p w14:paraId="5F7D608E" w14:textId="77777777" w:rsidR="001F7233" w:rsidRDefault="00000000">
      <w:r>
        <w:rPr>
          <w:b/>
        </w:rPr>
        <w:t xml:space="preserve">Hinweis: </w:t>
      </w:r>
      <w:r>
        <w:t>Haushaltsauflösungen; Rabatte steigen im Verlauf</w:t>
      </w:r>
    </w:p>
    <w:p w14:paraId="67EE0F82" w14:textId="77777777" w:rsidR="001F7233" w:rsidRDefault="001F7233">
      <w:pPr>
        <w:spacing w:line="180" w:lineRule="exact"/>
      </w:pPr>
    </w:p>
    <w:p w14:paraId="32D5EBF5" w14:textId="77777777" w:rsidR="001F7233" w:rsidRDefault="00000000">
      <w:pPr>
        <w:spacing w:after="140"/>
      </w:pPr>
      <w:r>
        <w:t>Verbreiteter Irrtum: Gebrauchtmöbel aus den USA gelten hierzulande oft als Resterampe. Auf Estate Sales wechseln tatsächlich häufig hochwertige, kaum genutzte Stücke den Besitzer, weil ganze Haushalte auf einen Schlag aufgelöst werden, nicht weil jemand ausgemustert hat, was nichts mehr taugte.</w:t>
      </w:r>
    </w:p>
    <w:p w14:paraId="53C9E7E6" w14:textId="77777777" w:rsidR="001F7233" w:rsidRDefault="00000000">
      <w:pPr>
        <w:spacing w:after="140"/>
      </w:pPr>
      <w:r>
        <w:t>Auf Estate Sales gilt: Am ersten Tag zahlst du volle Preise, häufig folgen 25 % Rabatt am zweiten und 50 % am letzten Tag (Ablauf je Veranstalter). Möbel gehen dort nach Ratgeberangaben oft für 20–40 % des Neupreises weg. Auf Marketplace gilt ein Preis von mehr als der Hälfte unter Neupreis als gutes Angebot. Beides schwankt stark nach Zustand und Marke.</w:t>
      </w:r>
    </w:p>
    <w:p w14:paraId="03D250DA" w14:textId="77777777" w:rsidR="001F7233" w:rsidRDefault="00000000">
      <w:r>
        <w:rPr>
          <w:b/>
        </w:rPr>
        <w:t xml:space="preserve">SPARTIPP: </w:t>
      </w:r>
    </w:p>
    <w:p w14:paraId="36747D0F" w14:textId="77777777" w:rsidR="001F7233" w:rsidRDefault="00000000">
      <w:r>
        <w:t>• Verteile große Anschaffungen. Ratgeber empfehlen Sales im Januar und September; Matratzen und Möbel sind an US-Feiertagswochenenden (Presidents’ Day, Memorial Day, Labor Day, Black Friday) häufig reduziert. Kaufe in den ersten Wochen nur, was du täglich brauchst und beobachte vier bis sechs Wochen, was fehlt.</w:t>
      </w:r>
    </w:p>
    <w:p w14:paraId="2DEE7554" w14:textId="77777777" w:rsidR="001F7233" w:rsidRDefault="001F7233">
      <w:pPr>
        <w:spacing w:line="220" w:lineRule="exact"/>
      </w:pPr>
    </w:p>
    <w:p w14:paraId="3017D8EE" w14:textId="77777777" w:rsidR="001F7233" w:rsidRDefault="00000000">
      <w:r>
        <w:rPr>
          <w:b/>
        </w:rPr>
        <w:t xml:space="preserve">ACHTUNG: </w:t>
      </w:r>
    </w:p>
    <w:p w14:paraId="1DE9EBE5" w14:textId="77777777" w:rsidR="001F7233" w:rsidRDefault="00000000">
      <w:r>
        <w:t>• Prüfe gebrauchte Kinderprodukte (Betten, Hochstühle, Laufställe) vor dem Kauf auf Rückrufe bei der Verbraucherschutzbehörde CPSC (</w:t>
      </w:r>
      <w:hyperlink r:id="rId295">
        <w:r w:rsidR="001F7233">
          <w:rPr>
            <w:color w:val="0563C1"/>
            <w:u w:val="single"/>
          </w:rPr>
          <w:t>cpsc.gov/recalls</w:t>
        </w:r>
      </w:hyperlink>
      <w:r>
        <w:t>). Bei Marketplace-Käufen triffst du Verkäufer an öffentlichen Orten und zahlst erst bei der Übergabe.</w:t>
      </w:r>
    </w:p>
    <w:p w14:paraId="320B63F8" w14:textId="77777777" w:rsidR="001F7233" w:rsidRDefault="001F7233">
      <w:pPr>
        <w:spacing w:line="220" w:lineRule="exact"/>
      </w:pPr>
    </w:p>
    <w:p w14:paraId="7A06E846" w14:textId="77777777" w:rsidR="001F7233" w:rsidRDefault="001F7233">
      <w:pPr>
        <w:spacing w:line="220" w:lineRule="exact"/>
      </w:pPr>
    </w:p>
    <w:p w14:paraId="7609B4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Packliste für die ersten zwei Wochen</w:t>
      </w:r>
    </w:p>
    <w:p w14:paraId="6D6606D3" w14:textId="77777777" w:rsidR="001F7233" w:rsidRDefault="00000000">
      <w:pPr>
        <w:spacing w:after="140"/>
      </w:pPr>
      <w:r>
        <w:t>Bis die Sammelladung ankommt, vergehen nach Portalangaben vier bis zwölf Wochen Tür zu Tür (Kapitel </w:t>
      </w:r>
      <w:hyperlink w:anchor="k20">
        <w:r w:rsidR="001F7233">
          <w:t>20</w:t>
        </w:r>
      </w:hyperlink>
      <w:r>
        <w:t>). Die Handgepäckliste für den Landetag steht in Kapitel </w:t>
      </w:r>
      <w:hyperlink w:anchor="k23">
        <w:r w:rsidR="001F7233">
          <w:t>23</w:t>
        </w:r>
      </w:hyperlink>
      <w:r>
        <w:t>. Hier geht es um die Zeit danach.</w:t>
      </w:r>
    </w:p>
    <w:p w14:paraId="7E20B7B9" w14:textId="77777777" w:rsidR="001F7233" w:rsidRDefault="00000000">
      <w:pPr>
        <w:spacing w:after="140"/>
      </w:pPr>
      <w:r>
        <w:rPr>
          <w:b/>
          <w:bCs/>
        </w:rPr>
        <w:lastRenderedPageBreak/>
        <w:t>Im Koffer, pro Person:</w:t>
      </w:r>
    </w:p>
    <w:p w14:paraId="483523C6" w14:textId="77777777" w:rsidR="001F7233" w:rsidRDefault="00000000">
      <w:pPr>
        <w:pStyle w:val="ListParagraph"/>
        <w:numPr>
          <w:ilvl w:val="0"/>
          <w:numId w:val="1"/>
        </w:numPr>
        <w:spacing w:after="60"/>
      </w:pPr>
      <w:r>
        <w:t>Kleidung für 10 bis 14 Tage im Schichtenprinzip, passend zum Wetter am Zielort (Kapitel </w:t>
      </w:r>
      <w:hyperlink w:anchor="k34">
        <w:r w:rsidR="001F7233">
          <w:t>34</w:t>
        </w:r>
      </w:hyperlink>
      <w:r>
        <w:t>), dazu ein bis zwei Business-Outfits für den Start</w:t>
      </w:r>
    </w:p>
    <w:p w14:paraId="39AA4E9A" w14:textId="77777777" w:rsidR="001F7233" w:rsidRDefault="00000000">
      <w:pPr>
        <w:pStyle w:val="ListParagraph"/>
        <w:numPr>
          <w:ilvl w:val="0"/>
          <w:numId w:val="1"/>
        </w:numPr>
        <w:spacing w:after="60"/>
      </w:pPr>
      <w:r>
        <w:t>ein bequemes und ein gutes Paar Schuhe</w:t>
      </w:r>
    </w:p>
    <w:p w14:paraId="55964475" w14:textId="77777777" w:rsidR="001F7233" w:rsidRDefault="00000000">
      <w:pPr>
        <w:pStyle w:val="ListParagraph"/>
        <w:numPr>
          <w:ilvl w:val="0"/>
          <w:numId w:val="1"/>
        </w:numPr>
        <w:spacing w:after="60"/>
      </w:pPr>
      <w:r>
        <w:t>Reiseapotheke und Dauermedikamente in Originalverpackung mit Rezept</w:t>
      </w:r>
    </w:p>
    <w:p w14:paraId="00CD2688" w14:textId="77777777" w:rsidR="001F7233" w:rsidRDefault="00000000">
      <w:pPr>
        <w:pStyle w:val="ListParagraph"/>
        <w:numPr>
          <w:ilvl w:val="0"/>
          <w:numId w:val="1"/>
        </w:numPr>
        <w:spacing w:after="60"/>
      </w:pPr>
      <w:r>
        <w:t>Ladegeräte und zwei bis drei Adapter für US-Steckdosen (Typ A/B)</w:t>
      </w:r>
    </w:p>
    <w:p w14:paraId="594BE3B4" w14:textId="77777777" w:rsidR="001F7233" w:rsidRDefault="00000000">
      <w:pPr>
        <w:pStyle w:val="ListParagraph"/>
        <w:numPr>
          <w:ilvl w:val="0"/>
          <w:numId w:val="1"/>
        </w:numPr>
        <w:spacing w:after="60"/>
      </w:pPr>
      <w:r>
        <w:t>ein Handtuch, bei Kindern Kuscheltier, Bücher und Spiele</w:t>
      </w:r>
    </w:p>
    <w:p w14:paraId="4F6B685A" w14:textId="77777777" w:rsidR="001F7233" w:rsidRDefault="001F7233">
      <w:pPr>
        <w:spacing w:line="120" w:lineRule="exact"/>
      </w:pPr>
    </w:p>
    <w:p w14:paraId="668F2294" w14:textId="77777777" w:rsidR="001F7233" w:rsidRDefault="00000000">
      <w:pPr>
        <w:spacing w:after="140"/>
      </w:pPr>
      <w:r>
        <w:rPr>
          <w:b/>
          <w:bCs/>
        </w:rPr>
        <w:t>Für eine noch leere Wohnung:</w:t>
      </w:r>
    </w:p>
    <w:p w14:paraId="1C2E7876" w14:textId="77777777" w:rsidR="001F7233" w:rsidRDefault="00000000">
      <w:pPr>
        <w:pStyle w:val="ListParagraph"/>
        <w:numPr>
          <w:ilvl w:val="0"/>
          <w:numId w:val="1"/>
        </w:numPr>
        <w:spacing w:after="60"/>
      </w:pPr>
      <w:r>
        <w:t>Schlafsack und Isomatte aus dem Outdoor-Bestand oder eine Luftmatratze, die du vor Ort kaufst</w:t>
      </w:r>
    </w:p>
    <w:p w14:paraId="3DD00189" w14:textId="77777777" w:rsidR="001F7233" w:rsidRDefault="00000000">
      <w:pPr>
        <w:pStyle w:val="ListParagraph"/>
        <w:numPr>
          <w:ilvl w:val="0"/>
          <w:numId w:val="1"/>
        </w:numPr>
        <w:spacing w:after="60"/>
      </w:pPr>
      <w:r>
        <w:t>ein Basisset für die Küche: Topf, Pfanne, Messer, Teller, Besteck für jede Person</w:t>
      </w:r>
    </w:p>
    <w:p w14:paraId="6FD7C739" w14:textId="77777777" w:rsidR="001F7233" w:rsidRDefault="001F7233">
      <w:pPr>
        <w:spacing w:line="120" w:lineRule="exact"/>
      </w:pPr>
    </w:p>
    <w:p w14:paraId="4402C979" w14:textId="77777777" w:rsidR="001F7233" w:rsidRDefault="00000000">
      <w:pPr>
        <w:spacing w:after="140"/>
      </w:pPr>
      <w:r>
        <w:t>Beim möblierten Wohnen auf Zeit fragst du vorab nach Bettwäsche und Geschirr (Kapitel </w:t>
      </w:r>
      <w:hyperlink w:anchor="k13">
        <w:r w:rsidR="001F7233">
          <w:t>13</w:t>
        </w:r>
      </w:hyperlink>
      <w:r>
        <w:t>).</w:t>
      </w:r>
    </w:p>
    <w:p w14:paraId="39F7F2DC" w14:textId="77777777" w:rsidR="001F7233" w:rsidRDefault="00000000">
      <w:pPr>
        <w:spacing w:after="140"/>
      </w:pPr>
      <w:r>
        <w:rPr>
          <w:b/>
          <w:bCs/>
        </w:rPr>
        <w:t>In den ersten Tagen vor Ort kaufen:</w:t>
      </w:r>
    </w:p>
    <w:p w14:paraId="782CBBD5" w14:textId="77777777" w:rsidR="001F7233" w:rsidRDefault="00000000">
      <w:pPr>
        <w:pStyle w:val="ListParagraph"/>
        <w:numPr>
          <w:ilvl w:val="0"/>
          <w:numId w:val="1"/>
        </w:numPr>
        <w:spacing w:after="60"/>
      </w:pPr>
      <w:r>
        <w:t>Bettwäsche in US-Größe, Kissen, Decken, Handtücher</w:t>
      </w:r>
    </w:p>
    <w:p w14:paraId="672ED961" w14:textId="77777777" w:rsidR="001F7233" w:rsidRDefault="00000000">
      <w:pPr>
        <w:pStyle w:val="ListParagraph"/>
        <w:numPr>
          <w:ilvl w:val="0"/>
          <w:numId w:val="1"/>
        </w:numPr>
        <w:spacing w:after="60"/>
      </w:pPr>
      <w:r>
        <w:t>Toilettenpapier, Müllbeutel, Spülmittel, Putzzeug, Leuchtmittel</w:t>
      </w:r>
    </w:p>
    <w:p w14:paraId="0B5659F3" w14:textId="77777777" w:rsidR="001F7233" w:rsidRDefault="00000000">
      <w:pPr>
        <w:pStyle w:val="ListParagraph"/>
        <w:numPr>
          <w:ilvl w:val="0"/>
          <w:numId w:val="1"/>
        </w:numPr>
        <w:spacing w:after="60"/>
      </w:pPr>
      <w:r>
        <w:t>Steckdosenleiste mit Überspannungsschutz</w:t>
      </w:r>
    </w:p>
    <w:p w14:paraId="0AC56E7C" w14:textId="77777777" w:rsidR="001F7233" w:rsidRDefault="00000000">
      <w:pPr>
        <w:pStyle w:val="ListParagraph"/>
        <w:numPr>
          <w:ilvl w:val="0"/>
          <w:numId w:val="1"/>
        </w:numPr>
        <w:spacing w:after="60"/>
      </w:pPr>
      <w:r>
        <w:t>Wasserkocher oder Kaffeemaschine für 120 V</w:t>
      </w:r>
    </w:p>
    <w:p w14:paraId="532C4F28" w14:textId="77777777" w:rsidR="001F7233" w:rsidRDefault="001F7233">
      <w:pPr>
        <w:spacing w:line="120" w:lineRule="exact"/>
      </w:pPr>
    </w:p>
    <w:p w14:paraId="65E58FA4" w14:textId="77777777" w:rsidR="001F7233" w:rsidRDefault="00000000">
      <w:pPr>
        <w:spacing w:after="140"/>
      </w:pPr>
      <w:r>
        <w:t xml:space="preserve">Was dir nach zwei Wochen fehlt, bestellst du besser vor Ort als aus Deutschland: Ein 20-kg-Paket per DHL kostet 142,99 € bei 6–12 Werktagen Laufzeit (Quellenstand September 2026, redaktionell geprüft im Oktober 2026, </w:t>
      </w:r>
      <w:hyperlink w:anchor="k20">
        <w:r w:rsidR="001F7233">
          <w:t>Kapitel 20</w:t>
        </w:r>
      </w:hyperlink>
      <w:r>
        <w:t>). Es ist die Notlösung, nicht der Plan.</w:t>
      </w:r>
    </w:p>
    <w:p w14:paraId="32C465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Mitnehmen oder neu kaufen? Die Raum-für-Raum-Liste</w:t>
      </w:r>
    </w:p>
    <w:p w14:paraId="3382B13C" w14:textId="77777777" w:rsidR="001F7233" w:rsidRDefault="00000000">
      <w:r>
        <w:rPr>
          <w:b/>
        </w:rPr>
        <w:t xml:space="preserve">Plus: </w:t>
      </w:r>
      <w:r>
        <w:t>Die Bilanz gilt für den schlanken Umzug: wenig mitnehmen, vieles vor Ort neu kaufen.</w:t>
      </w:r>
    </w:p>
    <w:p w14:paraId="37D60804" w14:textId="77777777" w:rsidR="001F7233" w:rsidRDefault="00000000">
      <w:r>
        <w:rPr>
          <w:b/>
        </w:rPr>
        <w:t>Plus: Weniger Fracht und weniger Zollpapier (</w:t>
      </w:r>
      <w:hyperlink w:anchor="k20">
        <w:r w:rsidR="001F7233">
          <w:rPr>
            <w:rStyle w:val="Hyperlink"/>
            <w:b/>
          </w:rPr>
          <w:t>Kapitel 20</w:t>
        </w:r>
      </w:hyperlink>
      <w:r>
        <w:rPr>
          <w:b/>
        </w:rPr>
        <w:t>)</w:t>
      </w:r>
    </w:p>
    <w:p w14:paraId="28FE444A" w14:textId="77777777" w:rsidR="001F7233" w:rsidRDefault="00000000">
      <w:r>
        <w:rPr>
          <w:b/>
        </w:rPr>
        <w:t xml:space="preserve">Minus: </w:t>
      </w:r>
      <w:r>
        <w:t>Hohe Ausgaben in den ersten Wochen, oft mehrere tausend Dollar</w:t>
      </w:r>
    </w:p>
    <w:p w14:paraId="3D8EA59F" w14:textId="77777777" w:rsidR="001F7233" w:rsidRDefault="00000000">
      <w:r>
        <w:rPr>
          <w:b/>
        </w:rPr>
        <w:t>Plus: Alles passt zu Strom, Normen und Grundriss</w:t>
      </w:r>
    </w:p>
    <w:p w14:paraId="24749D54" w14:textId="77777777" w:rsidR="001F7233" w:rsidRDefault="00000000">
      <w:r>
        <w:rPr>
          <w:b/>
        </w:rPr>
        <w:t xml:space="preserve">Minus: </w:t>
      </w:r>
      <w:r>
        <w:t>Zeit und Nerven für Einkauf, Lieferung und Aufbau</w:t>
      </w:r>
    </w:p>
    <w:p w14:paraId="28C46DD1" w14:textId="77777777" w:rsidR="001F7233" w:rsidRDefault="00000000">
      <w:r>
        <w:rPr>
          <w:b/>
        </w:rPr>
        <w:t>Plus: Der Verkauf entrümpelt und bringt etwas Geld</w:t>
      </w:r>
    </w:p>
    <w:p w14:paraId="12B5BDA6" w14:textId="77777777" w:rsidR="001F7233" w:rsidRDefault="00000000">
      <w:r>
        <w:rPr>
          <w:b/>
        </w:rPr>
        <w:t xml:space="preserve">Minus: </w:t>
      </w:r>
      <w:r>
        <w:t>Der Erlös liegt meist weit unter dem Neupreis</w:t>
      </w:r>
    </w:p>
    <w:p w14:paraId="61395129" w14:textId="77777777" w:rsidR="001F7233" w:rsidRDefault="00000000">
      <w:r>
        <w:rPr>
          <w:b/>
        </w:rPr>
        <w:t>Plus: Die Ausstattung passt zur US-Wohnung mit Closets und Geräten</w:t>
      </w:r>
    </w:p>
    <w:p w14:paraId="6EEB7326" w14:textId="77777777" w:rsidR="001F7233" w:rsidRDefault="00000000">
      <w:r>
        <w:rPr>
          <w:b/>
        </w:rPr>
        <w:t xml:space="preserve">Minus: </w:t>
      </w:r>
      <w:r>
        <w:t>Vertrautes fehlt am Anfang und kann das Ankommen erschweren (</w:t>
      </w:r>
      <w:hyperlink w:anchor="k33">
        <w:r w:rsidR="001F7233">
          <w:rPr>
            <w:rStyle w:val="Hyperlink"/>
          </w:rPr>
          <w:t>Kapitel 33</w:t>
        </w:r>
      </w:hyperlink>
      <w:r>
        <w:t>)</w:t>
      </w:r>
    </w:p>
    <w:p w14:paraId="59AD702A" w14:textId="77777777" w:rsidR="001F7233" w:rsidRDefault="00000000">
      <w:r>
        <w:rPr>
          <w:b/>
        </w:rPr>
        <w:t>Plus: Ein späterer Umzug im Land bleibt leicht (</w:t>
      </w:r>
      <w:hyperlink w:anchor="k30">
        <w:r w:rsidR="001F7233">
          <w:rPr>
            <w:rStyle w:val="Hyperlink"/>
            <w:b/>
          </w:rPr>
          <w:t>Kapitel 30</w:t>
        </w:r>
      </w:hyperlink>
      <w:r>
        <w:rPr>
          <w:b/>
        </w:rPr>
        <w:t>)</w:t>
      </w:r>
    </w:p>
    <w:p w14:paraId="6DB4E2BB" w14:textId="77777777" w:rsidR="001F7233" w:rsidRDefault="00000000">
      <w:r>
        <w:rPr>
          <w:b/>
        </w:rPr>
        <w:t xml:space="preserve">Minus: </w:t>
      </w:r>
      <w:r>
        <w:t>Geräte und Möbel sind durch Zölle teurer geworden</w:t>
      </w:r>
    </w:p>
    <w:p w14:paraId="4F6B1A37" w14:textId="77777777" w:rsidR="001F7233" w:rsidRDefault="001F7233">
      <w:pPr>
        <w:spacing w:line="180" w:lineRule="exact"/>
      </w:pPr>
    </w:p>
    <w:p w14:paraId="5AD99A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90CF1FD" w14:textId="77777777" w:rsidR="001F7233" w:rsidRDefault="00000000">
      <w:pPr>
        <w:spacing w:after="140"/>
      </w:pPr>
      <w:r>
        <w:t>Lege ein Inventar an (Gegenstand, Maße, Eingangsspannung, Wert, Entscheidung) und sortiere in drei Stapel: mitnehmen, verkaufen, in den USA kaufen. Hole für das Mitnahmevolumen Angebote ein (Kapitel </w:t>
      </w:r>
      <w:hyperlink w:anchor="k20">
        <w:r w:rsidR="001F7233">
          <w:t>20</w:t>
        </w:r>
      </w:hyperlink>
      <w:r>
        <w:t>), lege den Verkaufszeitraum in deinen Zeitplan (Kapitel </w:t>
      </w:r>
      <w:hyperlink w:anchor="k15">
        <w:r w:rsidR="001F7233">
          <w:t>15</w:t>
        </w:r>
      </w:hyperlink>
      <w:r>
        <w:t>) und setze ein Budget für die Erstausstattung fest. Frage außerdem deinen Arbeitgeber, ob er dafür im Relocation-Paket etwas übernimmt.</w:t>
      </w:r>
    </w:p>
    <w:p w14:paraId="30AC7444" w14:textId="77777777" w:rsidR="001F7233" w:rsidRDefault="00000000">
      <w:r>
        <w:t>• Inventar aller Räume anlegen: Gegenstand, Maße, Eingangsspannung laut Typenschild, Wert, Entscheidung</w:t>
      </w:r>
    </w:p>
    <w:p w14:paraId="62F52A1F" w14:textId="77777777" w:rsidR="001F7233" w:rsidRDefault="00000000">
      <w:r>
        <w:t>• Jeden Gegenstand einsortieren: mitnehmen, verkaufen oder in den USA neu kaufen</w:t>
      </w:r>
    </w:p>
    <w:p w14:paraId="725DC3CC" w14:textId="77777777" w:rsidR="001F7233" w:rsidRDefault="00000000">
      <w:r>
        <w:lastRenderedPageBreak/>
        <w:t>• Nur mitnehmen, was ohne Umbau funktioniert und seit mindestens einem Jahr in Gebrauch ist</w:t>
      </w:r>
    </w:p>
    <w:p w14:paraId="122D4F77" w14:textId="77777777" w:rsidR="001F7233" w:rsidRDefault="00000000">
      <w:r>
        <w:t>• Türen, Deckenhöhe und Grundriss der US-Wohnung mit den Möbelmaßen vergleichen</w:t>
      </w:r>
    </w:p>
    <w:p w14:paraId="6F4E4080" w14:textId="77777777" w:rsidR="001F7233" w:rsidRDefault="00000000">
      <w:r>
        <w:t>• Betten, Matratzen, Lattenroste und Spannbetttücher nicht mitnehmen (US-Größen)</w:t>
      </w:r>
    </w:p>
    <w:p w14:paraId="280D5827" w14:textId="77777777" w:rsidR="001F7233" w:rsidRDefault="00000000">
      <w:r>
        <w:t>• Verkaufen, Verschenken und Spenden acht bis zwölf Wochen vor dem Abflug starten</w:t>
      </w:r>
    </w:p>
    <w:p w14:paraId="22FB8824" w14:textId="77777777" w:rsidR="001F7233" w:rsidRDefault="00000000">
      <w:r>
        <w:t>• Erstausstattungsbudget festlegen und Zahlungsmittel für die ersten Käufe klären</w:t>
      </w:r>
    </w:p>
    <w:p w14:paraId="26A29ADB" w14:textId="77777777" w:rsidR="001F7233" w:rsidRDefault="00000000">
      <w:r>
        <w:t>• Kindersitze nach US-Norm vor Ort einplanen</w:t>
      </w:r>
    </w:p>
    <w:p w14:paraId="471B8BDD" w14:textId="77777777" w:rsidR="001F7233" w:rsidRDefault="00000000">
      <w:r>
        <w:t>• Bei älteren Handys die US-Netzbänder prüfen und den SIM-Lock aufheben lassen</w:t>
      </w:r>
    </w:p>
    <w:p w14:paraId="06D181FE" w14:textId="77777777" w:rsidR="001F7233" w:rsidRDefault="00000000">
      <w:r>
        <w:t>• Koffer für die ersten zwei Wochen packen und Wertsachen ins Handgepäck legen</w:t>
      </w:r>
    </w:p>
    <w:p w14:paraId="2E74A58C" w14:textId="77777777" w:rsidR="001F7233" w:rsidRDefault="001F7233">
      <w:pPr>
        <w:spacing w:line="220" w:lineRule="exact"/>
      </w:pPr>
    </w:p>
    <w:p w14:paraId="4BFFAF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AEEFCA1" w14:textId="77777777" w:rsidR="001F7233" w:rsidRDefault="00000000">
      <w:pPr>
        <w:pStyle w:val="ListParagraph"/>
        <w:numPr>
          <w:ilvl w:val="0"/>
          <w:numId w:val="1"/>
        </w:numPr>
        <w:spacing w:after="60"/>
      </w:pPr>
      <w:r>
        <w:t xml:space="preserve">CBP (Zoll- und Grenzschutzbehörde) — Umzugsgut und Formular 3299: </w:t>
      </w:r>
      <w:hyperlink r:id="rId296">
        <w:r w:rsidR="001F7233">
          <w:rPr>
            <w:color w:val="0563C1"/>
            <w:u w:val="single"/>
          </w:rPr>
          <w:t>cbp.gov</w:t>
        </w:r>
      </w:hyperlink>
      <w:r>
        <w:t xml:space="preserve"> (Suche „household effects“)</w:t>
      </w:r>
    </w:p>
    <w:p w14:paraId="2D5E6C54" w14:textId="77777777" w:rsidR="001F7233" w:rsidRDefault="00000000">
      <w:pPr>
        <w:pStyle w:val="ListParagraph"/>
        <w:numPr>
          <w:ilvl w:val="0"/>
          <w:numId w:val="1"/>
        </w:numPr>
        <w:spacing w:after="60"/>
      </w:pPr>
      <w:r>
        <w:t xml:space="preserve">Bundesvorschrift zum zollfreien Umzugsgut, 19 CFR § 148.52: </w:t>
      </w:r>
      <w:hyperlink r:id="rId297">
        <w:r w:rsidR="001F7233">
          <w:rPr>
            <w:color w:val="0563C1"/>
            <w:u w:val="single"/>
          </w:rPr>
          <w:t>ecfr.gov</w:t>
        </w:r>
      </w:hyperlink>
      <w:r>
        <w:t xml:space="preserve"> (Suche „19 CFR 148.52“)</w:t>
      </w:r>
    </w:p>
    <w:p w14:paraId="1A6EA311" w14:textId="77777777" w:rsidR="001F7233" w:rsidRDefault="00000000">
      <w:pPr>
        <w:pStyle w:val="ListParagraph"/>
        <w:numPr>
          <w:ilvl w:val="0"/>
          <w:numId w:val="1"/>
        </w:numPr>
        <w:spacing w:after="60"/>
      </w:pPr>
      <w:r>
        <w:t xml:space="preserve">Federal Register — Section-232-Zölle auf Holzprodukte, Polstermöbel und Schränke: </w:t>
      </w:r>
      <w:hyperlink r:id="rId298">
        <w:r w:rsidR="001F7233">
          <w:rPr>
            <w:color w:val="0563C1"/>
            <w:u w:val="single"/>
          </w:rPr>
          <w:t>federalregister.gov</w:t>
        </w:r>
      </w:hyperlink>
      <w:r>
        <w:t xml:space="preserve"> (Suche „Timber, Lumber, and Their Derivative Products“)</w:t>
      </w:r>
    </w:p>
    <w:p w14:paraId="217280C5" w14:textId="77777777" w:rsidR="001F7233" w:rsidRDefault="00000000">
      <w:pPr>
        <w:pStyle w:val="ListParagraph"/>
        <w:numPr>
          <w:ilvl w:val="0"/>
          <w:numId w:val="1"/>
        </w:numPr>
        <w:spacing w:after="60"/>
      </w:pPr>
      <w:r>
        <w:t xml:space="preserve">NHTSA (Verkehrssicherheitsbehörde) — Kindersitze in den USA: </w:t>
      </w:r>
      <w:hyperlink r:id="rId299">
        <w:r w:rsidR="001F7233">
          <w:rPr>
            <w:color w:val="0563C1"/>
            <w:u w:val="single"/>
          </w:rPr>
          <w:t>nhtsa.gov/vehicle-safety/car-seats-and-booster-seats</w:t>
        </w:r>
      </w:hyperlink>
    </w:p>
    <w:p w14:paraId="40C2C4E2" w14:textId="77777777" w:rsidR="001F7233" w:rsidRDefault="00000000">
      <w:pPr>
        <w:pStyle w:val="ListParagraph"/>
        <w:numPr>
          <w:ilvl w:val="0"/>
          <w:numId w:val="1"/>
        </w:numPr>
        <w:spacing w:after="60"/>
      </w:pPr>
      <w:r>
        <w:t xml:space="preserve">CPSC (Verbraucherschutzbehörde für Produktsicherheit) — Rückrufe: </w:t>
      </w:r>
      <w:hyperlink r:id="rId300">
        <w:r w:rsidR="001F7233">
          <w:rPr>
            <w:color w:val="0563C1"/>
            <w:u w:val="single"/>
          </w:rPr>
          <w:t>cpsc.gov/recalls</w:t>
        </w:r>
      </w:hyperlink>
    </w:p>
    <w:p w14:paraId="0B07D83D" w14:textId="77777777" w:rsidR="001F7233" w:rsidRDefault="00000000">
      <w:pPr>
        <w:pStyle w:val="ListParagraph"/>
        <w:numPr>
          <w:ilvl w:val="0"/>
          <w:numId w:val="1"/>
        </w:numPr>
        <w:spacing w:after="60"/>
      </w:pPr>
      <w:r>
        <w:t xml:space="preserve">IEC — Steckertypen und Netzspannung nach Land: </w:t>
      </w:r>
      <w:hyperlink r:id="rId301">
        <w:r w:rsidR="001F7233">
          <w:rPr>
            <w:color w:val="0563C1"/>
            <w:u w:val="single"/>
          </w:rPr>
          <w:t>iec.ch/world-plugs</w:t>
        </w:r>
      </w:hyperlink>
    </w:p>
    <w:p w14:paraId="46FF503C" w14:textId="77777777" w:rsidR="001F7233" w:rsidRDefault="00000000">
      <w:pPr>
        <w:pStyle w:val="ListParagraph"/>
        <w:numPr>
          <w:ilvl w:val="0"/>
          <w:numId w:val="1"/>
        </w:numPr>
        <w:spacing w:after="60"/>
      </w:pPr>
      <w:r>
        <w:lastRenderedPageBreak/>
        <w:t xml:space="preserve">Deutscher Zoll — Umzug und Ausfuhr: </w:t>
      </w:r>
      <w:hyperlink r:id="rId302">
        <w:r w:rsidR="001F7233">
          <w:rPr>
            <w:color w:val="0563C1"/>
            <w:u w:val="single"/>
          </w:rPr>
          <w:t>zoll.de</w:t>
        </w:r>
      </w:hyperlink>
      <w:r>
        <w:t xml:space="preserve"> (Suche „Umzugsgut“)</w:t>
      </w:r>
    </w:p>
    <w:p w14:paraId="4BB5F0DA" w14:textId="77777777" w:rsidR="001F7233" w:rsidRDefault="001F7233">
      <w:pPr>
        <w:spacing w:line="120" w:lineRule="exact"/>
      </w:pPr>
    </w:p>
    <w:p w14:paraId="1DE5B9FB" w14:textId="77777777" w:rsidR="001F7233" w:rsidRDefault="00000000">
      <w:r>
        <w:t>• Quellen- und Datenstand: September 2026; Redaktionsschluss: Oktober 2026. Diese Angaben ändern sich schnell: Zölle (Section 232 und 301; die Erhöhung für Möbel ist auf den 1. Januar 2027 verschoben), Preise für Möbel, Geräte und Fracht, IKEA-Liefer- und Montagepreise, Costco-Mitgliedsbeiträge und DHL-Paketpreise. Die Preisspannen stammen aus Ratgeber- und Anbietertexten und dienen der Orientierung. Prüfe vor jeder Entscheidung die Preise an deinem Zielort und die offiziellen Seiten zu Zoll und Kindersitzen.</w:t>
      </w:r>
    </w:p>
    <w:p w14:paraId="111CA369" w14:textId="77777777" w:rsidR="001F7233" w:rsidRDefault="00000000">
      <w:pPr>
        <w:spacing w:line="220" w:lineRule="exact"/>
      </w:pPr>
      <w:r>
        <w:br w:type="page"/>
      </w:r>
    </w:p>
    <w:p w14:paraId="12B5A2BA" w14:textId="77777777" w:rsidR="001F7233" w:rsidRDefault="00000000">
      <w:pPr>
        <w:pStyle w:val="Heading2"/>
        <w:keepNext/>
        <w:spacing w:line="341" w:lineRule="auto"/>
        <w:jc w:val="center"/>
      </w:pPr>
      <w:bookmarkStart w:id="50" w:name="k22"/>
      <w:r>
        <w:rPr>
          <w:rFonts w:ascii="Amazon Ember" w:eastAsia="Amazon Ember" w:hAnsi="Amazon Ember" w:cs="Amazon Ember"/>
          <w:color w:val="0000FF"/>
          <w:sz w:val="36"/>
          <w:szCs w:val="36"/>
        </w:rPr>
        <w:lastRenderedPageBreak/>
        <w:t>Kapitel 22: Haustiere: Einreise, Kosten, Alltag</w:t>
      </w:r>
      <w:bookmarkEnd w:id="50"/>
    </w:p>
    <w:p w14:paraId="5D307A28" w14:textId="77777777" w:rsidR="001F7233" w:rsidRDefault="00000000">
      <w:pPr>
        <w:spacing w:after="140"/>
      </w:pPr>
      <w:r>
        <w:t>Der Container ist gebucht, das Visum steckt im Pass, die Wohnung ist so gut wie sicher. Nur der Hund liegt im Flur und schaut, als ahne er, dass er in der bisherigen Planung nicht vorkam. Für viele Familien hängt am Tier die Frage, ob sich der Umzug richtig anfühlt. Die Bundesregeln der USA sind für Hunde aus Deutschland erfreulich schlank. Airline, Vermieter und Wetter machen daraus trotzdem ein Projekt.</w:t>
      </w:r>
    </w:p>
    <w:p w14:paraId="27CB4067" w14:textId="77777777" w:rsidR="001F7233" w:rsidRDefault="00000000">
      <w:r>
        <w:rPr>
          <w:b/>
        </w:rPr>
        <w:t xml:space="preserve">KURZ GESAGT: </w:t>
      </w:r>
    </w:p>
    <w:p w14:paraId="3B726A2A" w14:textId="77777777" w:rsidR="001F7233" w:rsidRDefault="00000000">
      <w:r>
        <w:t>• Für Hunde aus Deutschland verlangt die US-Seuchenschutzbehörde CDC (Centers for Disease Control and Prevention, Quellenstand September 2026. Redaktionell geprüft im Oktober 2026) die kostenlose Dog Import Form, ein Mindestalter von sechs Monaten, einen lesbaren Mikrochip und gesundes Aussehen. Katzen müssen nur gesund wirken.</w:t>
      </w:r>
    </w:p>
    <w:p w14:paraId="2F5F9052" w14:textId="77777777" w:rsidR="001F7233" w:rsidRDefault="00000000">
      <w:r>
        <w:t>• Eine Tollwutimpfung schreibt die CDC nicht vor. Bundesstaaten, Kommunen und Airlines verlangen sie in aller Regel trotzdem.</w:t>
      </w:r>
    </w:p>
    <w:p w14:paraId="00306313" w14:textId="77777777" w:rsidR="001F7233" w:rsidRDefault="00000000">
      <w:r>
        <w:t>• Die Reise kostet pro Tier 95–200 $ je Strecke in der Kabine oder 500–2.500 $ und mehr im Frachtraum. Hitzesperren und Rassenregeln entscheiden oft mehr als die CDC.</w:t>
      </w:r>
    </w:p>
    <w:p w14:paraId="5B5575BD" w14:textId="77777777" w:rsidR="001F7233" w:rsidRDefault="00000000">
      <w:r>
        <w:t>• Laufende Kosten: 1.200–4.300 $ pro Jahr für einen Hund, dazu in Mietwohnungen meist Haustiermiete und Kaution.</w:t>
      </w:r>
    </w:p>
    <w:p w14:paraId="7892C972" w14:textId="77777777" w:rsidR="001F7233" w:rsidRDefault="00000000">
      <w:r>
        <w:t>• Plane drei bis vier Monate Vorlauf, für Hawaii mindestens vier.</w:t>
      </w:r>
    </w:p>
    <w:p w14:paraId="32471752" w14:textId="77777777" w:rsidR="001F7233" w:rsidRDefault="001F7233">
      <w:pPr>
        <w:spacing w:line="220" w:lineRule="exact"/>
      </w:pPr>
    </w:p>
    <w:p w14:paraId="6C5676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USA bei der Einreise verlangen</w:t>
      </w:r>
    </w:p>
    <w:p w14:paraId="4C19C59C" w14:textId="77777777" w:rsidR="001F7233" w:rsidRDefault="00000000">
      <w:pPr>
        <w:spacing w:after="140"/>
      </w:pPr>
      <w:r>
        <w:rPr>
          <w:b/>
          <w:bCs/>
        </w:rPr>
        <w:t>Hunde. Jeder Hund braucht die CDC Dog Import Form: online auszufüllen, kostenlos, ein Formular pro Tier. Du kannst sie bis zu sechs Monate vor der Reise oder am Reisetag ausfüllen. Die Quittung gilt sechs Monate, sofern der Hund in dieser Zeit in keinem Hochrisikoland war. Für Hunde aus Ländern ohne Hochrisiko-Einstufung gilt auch: mindestens sechs Monate alt, ein Mikrochip, den ein Universalscanner liest, gesundes Aussehen. Impf- oder Antikörpernachweise verlangt die CDC dann nicht. Deutschland steht nicht auf der Hochrisikoliste (CDC, Abruf 20. September 2026; die Regeln gelten unverändert seit 1. August 2024, die Liste wurde zuletzt am 15. April 2026 aktualisiert). Wer kurz vor dem Umzug einen Welpen anschafft, muss bis zum sechsten Lebensmonat warten.</w:t>
      </w:r>
    </w:p>
    <w:p w14:paraId="13BED1CF" w14:textId="77777777" w:rsidR="001F7233" w:rsidRDefault="00000000">
      <w:pPr>
        <w:spacing w:after="140"/>
      </w:pPr>
      <w:r>
        <w:t>Verbreiteter Irrtum: Ohne Tollwutimpfung geht bei der Einreise angeblich gar nichts. Bundesrechtlich verlangt allein die CDC sie für Hunde aus Deutschland gar nicht. Mikrochip und ein ausgefülltes Formular reichen. Erst der Bundesstaat, die Fluggesellschaft oder die Kommune am Zielort macht die Spritze in der Praxis zur Pflicht.</w:t>
      </w:r>
    </w:p>
    <w:p w14:paraId="1A83A767" w14:textId="77777777" w:rsidR="001F7233" w:rsidRDefault="00000000">
      <w:r>
        <w:rPr>
          <w:b/>
        </w:rPr>
        <w:t xml:space="preserve">ACHTUNG: </w:t>
      </w:r>
    </w:p>
    <w:p w14:paraId="47B9CC8B" w14:textId="77777777" w:rsidR="001F7233" w:rsidRDefault="00000000">
      <w:r>
        <w:t xml:space="preserve">• War dein Hund in den letzten sechs Monaten in einem Hochrisikoland, auch nur im Urlaub, gilt die einfache Regel nicht mehr. Dann verlangt die CDC unter anderem Tollwutimpfung, Antikörpernachweis und Gesundheitszeugnis. Prüfe die Liste auf </w:t>
      </w:r>
      <w:hyperlink r:id="rId303">
        <w:r w:rsidR="001F7233">
          <w:rPr>
            <w:color w:val="0563C1"/>
            <w:u w:val="single"/>
          </w:rPr>
          <w:t>cdc.gov/importation</w:t>
        </w:r>
      </w:hyperlink>
      <w:r>
        <w:t>, bevor du einen Urlaub mit Hund buchst.</w:t>
      </w:r>
    </w:p>
    <w:p w14:paraId="3DE8DE31" w14:textId="77777777" w:rsidR="001F7233" w:rsidRDefault="001F7233">
      <w:pPr>
        <w:spacing w:line="220" w:lineRule="exact"/>
      </w:pPr>
    </w:p>
    <w:p w14:paraId="29A0D4A5" w14:textId="77777777" w:rsidR="001F7233" w:rsidRDefault="00000000">
      <w:pPr>
        <w:spacing w:after="140"/>
      </w:pPr>
      <w:r>
        <w:rPr>
          <w:b/>
          <w:bCs/>
        </w:rPr>
        <w:t>Katzen.</w:t>
      </w:r>
      <w:r>
        <w:t xml:space="preserve"> Bundesweit gibt es keine Impfpflicht; die Katze muss bei der Ankunft gesund wirken (CDC, Seite vom 22. August 2025). Die CDC empfiehlt die Tollwutimpfung, und einzelne Staaten schreiben sie vor, laut Ratgebern etwa New York ab drei Monaten. Wirkt ein Tier </w:t>
      </w:r>
      <w:r>
        <w:lastRenderedPageBreak/>
        <w:t>krank, kann vor der Einreise eine tierärztliche Untersuchung auf deine Kosten verlangt werden.</w:t>
      </w:r>
    </w:p>
    <w:p w14:paraId="1A0A856D" w14:textId="77777777" w:rsidR="001F7233" w:rsidRDefault="00000000">
      <w:pPr>
        <w:spacing w:after="140"/>
      </w:pPr>
      <w:r>
        <w:rPr>
          <w:b/>
          <w:bCs/>
        </w:rPr>
        <w:t>Hawaii und Guam haben eigene Quarantäneregeln, auch für Tiere vom US-Festland. In Hawaii begrenzt das Programm „5 Day or Less“ die Quarantäne bei vollständigen Unterlagen auf höchstens fünf Tage, im Idealfall entfällt sie ganz. Es kostet 244 $ pro Tier (jeder weitere Tag 17,80 $) und verlangt mindestens zwei Tollwutimpfungen im Abstand von 30 Tagen sowie einen FAVN-Antikörpertest (Labor rund 115 $ pro Probe, Stand 2026). Fehlt etwas, drohen bis zu 120 Tage Quarantäne. Rechne mit mehreren Monaten Vorlauf.</w:t>
      </w:r>
    </w:p>
    <w:p w14:paraId="20AD6504" w14:textId="77777777" w:rsidR="001F7233" w:rsidRDefault="00000000">
      <w:pPr>
        <w:spacing w:after="140"/>
      </w:pPr>
      <w:r>
        <w:rPr>
          <w:b/>
          <w:bCs/>
        </w:rPr>
        <w:t>Andere Tiere. Für Vögel, Reptilien, Nager, Pferde und geschützte Arten gelten eigene Vorgaben des Landwirtschaftsministeriums (USDA, Behörde APHIS) und der Wildtierbehörde USFWS, teils mit Genehmigung oder Quarantäne. Kläre das Monate vorher.</w:t>
      </w:r>
    </w:p>
    <w:p w14:paraId="370909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Vorbereitung: Chip, Impfung, Papiere</w:t>
      </w:r>
    </w:p>
    <w:p w14:paraId="70C5B0D3" w14:textId="77777777" w:rsidR="001F7233" w:rsidRDefault="00000000">
      <w:pPr>
        <w:spacing w:after="140"/>
      </w:pPr>
      <w:r>
        <w:t>Beginne drei bis vier Monate vor dem Abflug:</w:t>
      </w:r>
    </w:p>
    <w:p w14:paraId="6B1D9393" w14:textId="77777777" w:rsidR="001F7233" w:rsidRDefault="00000000">
      <w:pPr>
        <w:pStyle w:val="ListParagraph"/>
        <w:numPr>
          <w:ilvl w:val="0"/>
          <w:numId w:val="22"/>
        </w:numPr>
        <w:spacing w:after="60"/>
      </w:pPr>
      <w:r>
        <w:rPr>
          <w:b/>
          <w:bCs/>
        </w:rPr>
        <w:t>Chip prüfen.</w:t>
      </w:r>
      <w:r>
        <w:t xml:space="preserve"> Der ISO-Chip (15-stellig) muss lesbar sein und in Heimtierausweis und Register stehen. Fehlt er, lass ihn zuerst setzen: Für die spätere Rückreise in die EU muss der Chip vor der Tollwutimpfung im Tier sein.</w:t>
      </w:r>
    </w:p>
    <w:p w14:paraId="68B3513B" w14:textId="77777777" w:rsidR="001F7233" w:rsidRDefault="00000000">
      <w:pPr>
        <w:pStyle w:val="ListParagraph"/>
        <w:numPr>
          <w:ilvl w:val="0"/>
          <w:numId w:val="2"/>
        </w:numPr>
        <w:spacing w:after="60"/>
      </w:pPr>
      <w:r>
        <w:rPr>
          <w:b/>
          <w:bCs/>
        </w:rPr>
        <w:t>Airline und Route klären.</w:t>
      </w:r>
      <w:r>
        <w:t xml:space="preserve"> Kabine oder Frachtraum, Gewichtsgrenzen, Hitze- und Rassenregeln, Anmeldefrist (siehe nächster Abschnitt).</w:t>
      </w:r>
    </w:p>
    <w:p w14:paraId="424034C0" w14:textId="77777777" w:rsidR="001F7233" w:rsidRDefault="00000000">
      <w:pPr>
        <w:pStyle w:val="ListParagraph"/>
        <w:numPr>
          <w:ilvl w:val="0"/>
          <w:numId w:val="2"/>
        </w:numPr>
        <w:spacing w:after="60"/>
      </w:pPr>
      <w:r>
        <w:rPr>
          <w:b/>
          <w:bCs/>
        </w:rPr>
        <w:t>Tierarzt-Check. Gesundheit, Flugtauglichkeit (bei älteren Tieren und bei Herz- oder Atemproblemen ausdrücklich fragen) und aktuelle Tollwutimpfung im EU-Heimtierausweis.</w:t>
      </w:r>
    </w:p>
    <w:p w14:paraId="34348E4E" w14:textId="77777777" w:rsidR="001F7233" w:rsidRDefault="00000000">
      <w:pPr>
        <w:pStyle w:val="ListParagraph"/>
        <w:numPr>
          <w:ilvl w:val="0"/>
          <w:numId w:val="2"/>
        </w:numPr>
        <w:spacing w:after="60"/>
      </w:pPr>
      <w:r>
        <w:rPr>
          <w:b/>
          <w:bCs/>
        </w:rPr>
        <w:t>CDC-Formular.</w:t>
      </w:r>
      <w:r>
        <w:t xml:space="preserve"> Dog Import Form ausfüllen, Quittung ausdrucken und digital speichern.</w:t>
      </w:r>
    </w:p>
    <w:p w14:paraId="5F441708" w14:textId="77777777" w:rsidR="001F7233" w:rsidRDefault="00000000">
      <w:pPr>
        <w:pStyle w:val="ListParagraph"/>
        <w:numPr>
          <w:ilvl w:val="0"/>
          <w:numId w:val="2"/>
        </w:numPr>
        <w:spacing w:after="60"/>
      </w:pPr>
      <w:r>
        <w:rPr>
          <w:b/>
          <w:bCs/>
        </w:rPr>
        <w:lastRenderedPageBreak/>
        <w:t>Gesundheitszeugnis.</w:t>
      </w:r>
      <w:r>
        <w:t xml:space="preserve"> Viele Airlines verlangen ein tierärztliches Zeugnis, das beim Abflug höchstens zehn Tage alt ist (laut Ratgebern etwa bei Lufthansa). Lass dir den Bedarf schriftlich bestätigen.</w:t>
      </w:r>
    </w:p>
    <w:p w14:paraId="52347FCC" w14:textId="77777777" w:rsidR="001F7233" w:rsidRDefault="00000000">
      <w:pPr>
        <w:pStyle w:val="ListParagraph"/>
        <w:numPr>
          <w:ilvl w:val="0"/>
          <w:numId w:val="2"/>
        </w:numPr>
        <w:spacing w:after="60"/>
      </w:pPr>
      <w:r>
        <w:rPr>
          <w:b/>
          <w:bCs/>
        </w:rPr>
        <w:t>Papiermappe</w:t>
      </w:r>
      <w:r>
        <w:t xml:space="preserve"> ins Handgepäck: Heimtierausweis, CDC-Quittung, Zeugnis, Chipnummer.</w:t>
      </w:r>
    </w:p>
    <w:p w14:paraId="4317928C" w14:textId="77777777" w:rsidR="001F7233" w:rsidRDefault="001F7233">
      <w:pPr>
        <w:spacing w:line="120" w:lineRule="exact"/>
      </w:pPr>
    </w:p>
    <w:p w14:paraId="7A5DCBBD" w14:textId="77777777" w:rsidR="001F7233" w:rsidRDefault="00000000">
      <w:r>
        <w:rPr>
          <w:b/>
        </w:rPr>
        <w:t xml:space="preserve">MERKE: </w:t>
      </w:r>
    </w:p>
    <w:p w14:paraId="7B5E0B6A" w14:textId="77777777" w:rsidR="001F7233" w:rsidRDefault="00000000">
      <w:r>
        <w:t>• Die CDC ist die kleinste Hürde. Ob dein Tier mitkommt, wo es wohnen darf und was es kostet, entscheiden Airline, Vermieter, Kommune und Jahreszeit.</w:t>
      </w:r>
    </w:p>
    <w:p w14:paraId="61E8E827" w14:textId="77777777" w:rsidR="001F7233" w:rsidRDefault="001F7233">
      <w:pPr>
        <w:spacing w:line="220" w:lineRule="exact"/>
      </w:pPr>
    </w:p>
    <w:p w14:paraId="3F1F09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Flug: Kabine oder Frachtraum</w:t>
      </w:r>
    </w:p>
    <w:p w14:paraId="24C5953E" w14:textId="77777777" w:rsidR="001F7233" w:rsidRDefault="00000000">
      <w:pPr>
        <w:spacing w:after="140"/>
      </w:pPr>
      <w:r>
        <w:rPr>
          <w:b/>
          <w:bCs/>
        </w:rPr>
        <w:t>In der Kabine reist das Tier samt weicher Box unter dem Vordersitz. Die Gewichtsgrenze liegt laut Ratgebern bei Lufthansa bei etwa 8 kg, bei vielen US-Airlines bei etwa 20 lb (9 kg) für Tier und Box zusammen. Lass dir die Regel deiner Airline schriftlich bestätigen. Pro Flug sind nur wenige Tiere zugelassen, melde deins also sofort nach der Ticketbuchung an. Die Gebühr beträgt 95–200 $ je Strecke: rund 150 $ bei den großen US-Airlines, 125 $ bei Southwest und JetBlue, 100 $ bei Alaska (Ratgeberangaben, bitte prüfen).</w:t>
      </w:r>
    </w:p>
    <w:p w14:paraId="4AFB2F7C" w14:textId="77777777" w:rsidR="001F7233" w:rsidRDefault="00000000">
      <w:pPr>
        <w:spacing w:after="140"/>
      </w:pPr>
      <w:r>
        <w:rPr>
          <w:b/>
          <w:bCs/>
        </w:rPr>
        <w:t>Alles Größere reist im Frachtraum, dem klimatisierten Bereich des Flugzeugs, je nach Airline als aufgegebenes Tier oder als Fracht. Du brauchst eine stabile, belüftete Box, in der das Tier stehen, sich umdrehen und liegen kann; gewöhne es wochenlang vorher daran. Bevorzuge Direktflüge, denn jeder Umstieg erhöht das Risiko für Verspätung, Hitze oder Kälte.</w:t>
      </w:r>
    </w:p>
    <w:p w14:paraId="21597839" w14:textId="77777777" w:rsidR="001F7233" w:rsidRDefault="00000000">
      <w:r>
        <w:rPr>
          <w:b/>
        </w:rPr>
        <w:t xml:space="preserve">ACHTUNG: </w:t>
      </w:r>
    </w:p>
    <w:p w14:paraId="0065E3D3" w14:textId="77777777" w:rsidR="001F7233" w:rsidRDefault="00000000">
      <w:r>
        <w:t xml:space="preserve">• Hitze ist die häufigste Sperre. Der Frachtraum hält laut Lufthansa 45–85 °F (7–29 °C). Kurzköpfige Rassen wie Mops, Bulldogge, Boxer oder Shih Tzu reisen dort nicht, wenn es am Abflug-, Umstiegs- oder </w:t>
      </w:r>
      <w:r>
        <w:lastRenderedPageBreak/>
        <w:t>Zielflughafen wärmer als 80 °F (27 °C) ist. Eine andere Quelle nennt ein Sommerverbot vom 1. Mai bis 30. September; die Angaben widersprechen sich. US-Airlines setzen ihre Hitzegrenze häufig bei etwa 85 °F (29 °C). Wer im Sommer nach Arizona, Texas oder Florida fliegt, fragt die Airline vor der Buchung schriftlich.</w:t>
      </w:r>
    </w:p>
    <w:p w14:paraId="5FE1C335" w14:textId="77777777" w:rsidR="001F7233" w:rsidRDefault="001F7233">
      <w:pPr>
        <w:spacing w:line="220" w:lineRule="exact"/>
      </w:pPr>
    </w:p>
    <w:p w14:paraId="730AB2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Reise kostet</w:t>
      </w:r>
    </w:p>
    <w:p w14:paraId="7C7D35CE" w14:textId="77777777" w:rsidR="001F7233" w:rsidRDefault="00000000">
      <w:r>
        <w:rPr>
          <w:b/>
        </w:rPr>
        <w:t>Tierarzt, Tests, Formalitäten</w:t>
      </w:r>
    </w:p>
    <w:p w14:paraId="6A86188B" w14:textId="77777777" w:rsidR="001F7233" w:rsidRDefault="00000000">
      <w:r>
        <w:rPr>
          <w:b/>
        </w:rPr>
        <w:t xml:space="preserve">Spanne pro Tier (Stand 2026): </w:t>
      </w:r>
      <w:r>
        <w:t>250–800 $</w:t>
      </w:r>
    </w:p>
    <w:p w14:paraId="35687E50" w14:textId="77777777" w:rsidR="001F7233" w:rsidRDefault="00000000">
      <w:r>
        <w:rPr>
          <w:b/>
        </w:rPr>
        <w:t>Transportbox</w:t>
      </w:r>
    </w:p>
    <w:p w14:paraId="04C29989" w14:textId="77777777" w:rsidR="001F7233" w:rsidRDefault="00000000">
      <w:r>
        <w:rPr>
          <w:b/>
        </w:rPr>
        <w:t xml:space="preserve">Spanne pro Tier (Stand 2026): </w:t>
      </w:r>
      <w:r>
        <w:t>50–400 $</w:t>
      </w:r>
    </w:p>
    <w:p w14:paraId="3888C169" w14:textId="77777777" w:rsidR="001F7233" w:rsidRDefault="00000000">
      <w:r>
        <w:rPr>
          <w:b/>
        </w:rPr>
        <w:t>Flug in der Kabine</w:t>
      </w:r>
    </w:p>
    <w:p w14:paraId="7170AC2A" w14:textId="77777777" w:rsidR="001F7233" w:rsidRDefault="00000000">
      <w:r>
        <w:rPr>
          <w:b/>
        </w:rPr>
        <w:t xml:space="preserve">Spanne pro Tier (Stand 2026): </w:t>
      </w:r>
      <w:r>
        <w:t>95–200 $ je Strecke</w:t>
      </w:r>
    </w:p>
    <w:p w14:paraId="0A89AAFE" w14:textId="77777777" w:rsidR="001F7233" w:rsidRDefault="00000000">
      <w:r>
        <w:rPr>
          <w:b/>
        </w:rPr>
        <w:t>Flug im Frachtraum</w:t>
      </w:r>
    </w:p>
    <w:p w14:paraId="5E717CC2" w14:textId="77777777" w:rsidR="001F7233" w:rsidRDefault="00000000">
      <w:r>
        <w:rPr>
          <w:b/>
        </w:rPr>
        <w:t xml:space="preserve">Spanne pro Tier (Stand 2026): </w:t>
      </w:r>
      <w:r>
        <w:t>500–2.500 $ und mehr</w:t>
      </w:r>
    </w:p>
    <w:p w14:paraId="42CBF7F1" w14:textId="77777777" w:rsidR="001F7233" w:rsidRDefault="00000000">
      <w:r>
        <w:rPr>
          <w:b/>
        </w:rPr>
        <w:t>Full-Service-Tiertransport</w:t>
      </w:r>
    </w:p>
    <w:p w14:paraId="25F3ADBF" w14:textId="77777777" w:rsidR="001F7233" w:rsidRDefault="00000000">
      <w:r>
        <w:rPr>
          <w:b/>
        </w:rPr>
        <w:t xml:space="preserve">Spanne pro Tier (Stand 2026): </w:t>
      </w:r>
      <w:r>
        <w:t>4.000–12.000 $ und mehr</w:t>
      </w:r>
    </w:p>
    <w:p w14:paraId="105D4005" w14:textId="77777777" w:rsidR="001F7233" w:rsidRDefault="001F7233">
      <w:pPr>
        <w:spacing w:line="180" w:lineRule="exact"/>
      </w:pPr>
    </w:p>
    <w:p w14:paraId="646DCC2B" w14:textId="77777777" w:rsidR="001F7233" w:rsidRDefault="00000000">
      <w:pPr>
        <w:spacing w:after="140"/>
      </w:pPr>
      <w:r>
        <w:t>Die Zahlen stammen überwiegend von Anbietern und Ratgebern mit Eigeninteresse; nimm sie als Größenordnung. Beim Tierarztposten liegst du für Hunde aus Deutschland eher unten, weil die CDC keinen Antikörpertest verlangt (eigene Einschätzung). Ein Full-Service-Dienst, der Papiere, Buchung und Übergabe übernimmt, lohnt vor allem bei großen oder kurzköpfigen Hunden, mehreren Tieren und Hawaii.</w:t>
      </w:r>
    </w:p>
    <w:p w14:paraId="633E6AFB" w14:textId="77777777" w:rsidR="001F7233" w:rsidRDefault="00000000">
      <w:r>
        <w:rPr>
          <w:b/>
        </w:rPr>
        <w:t xml:space="preserve">SPARTIPP: </w:t>
      </w:r>
    </w:p>
    <w:p w14:paraId="6C9B0575" w14:textId="77777777" w:rsidR="001F7233" w:rsidRDefault="00000000">
      <w:r>
        <w:t>• Passt dein Tier in die Kabine, spart das gegenüber Fracht oder Dienstleister oft mehrere Tausend Dollar. Bei größeren Hunden buche den Frachtflug selbst bei der Airline, wenn die Route einfach ist (Direktflug, kein Hochsommer, ein Tier). Frage außerdem deinen Arbeitgeber, ob der Tiertransport ins Relocation-Paket passt; Erstattungen sind in den USA steuerpflichtig (</w:t>
      </w:r>
      <w:hyperlink w:anchor="k20">
        <w:r w:rsidR="001F7233">
          <w:rPr>
            <w:color w:val="0563C1"/>
            <w:u w:val="single"/>
          </w:rPr>
          <w:t>Kapitel 20</w:t>
        </w:r>
      </w:hyperlink>
      <w:r>
        <w:t>).</w:t>
      </w:r>
    </w:p>
    <w:p w14:paraId="122D5763" w14:textId="77777777" w:rsidR="001F7233" w:rsidRDefault="001F7233">
      <w:pPr>
        <w:spacing w:line="220" w:lineRule="exact"/>
      </w:pPr>
    </w:p>
    <w:p w14:paraId="707E2A6F" w14:textId="77777777" w:rsidR="001F7233" w:rsidRDefault="001F7233">
      <w:pPr>
        <w:spacing w:line="220" w:lineRule="exact"/>
      </w:pPr>
    </w:p>
    <w:p w14:paraId="332ECA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Kontrolle, Abholung, erste Tage</w:t>
      </w:r>
    </w:p>
    <w:p w14:paraId="2516AE00" w14:textId="77777777" w:rsidR="001F7233" w:rsidRDefault="00000000">
      <w:pPr>
        <w:spacing w:after="140"/>
      </w:pPr>
      <w:r>
        <w:t>Bei der Ankunft prüfen die Beamten die CDC-Quittung, können den Chip auslesen und sehen sich das Tier an. Halte die Mappe griffbereit. Frachttiere holst du je nach Buchung am Sperrgepäckschalter oder im Cargo-Terminal der Airline ab, oft eine fensterlose Halle, in der das Bellen aufgeregter Reisender von der Decke hallt; frage vorab nach dem Ort und plane einige Stunden Puffer ein (Kapitel </w:t>
      </w:r>
      <w:hyperlink w:anchor="k23">
        <w:r w:rsidR="001F7233">
          <w:t>23</w:t>
        </w:r>
      </w:hyperlink>
      <w:r>
        <w:t>).</w:t>
      </w:r>
    </w:p>
    <w:p w14:paraId="721E09C4" w14:textId="77777777" w:rsidR="001F7233" w:rsidRDefault="00000000">
      <w:pPr>
        <w:spacing w:after="140"/>
      </w:pPr>
      <w:r>
        <w:t xml:space="preserve">Kläre vor dem Abflug, ob deine Übergangsunterkunft (Hotel, </w:t>
      </w:r>
      <w:r>
        <w:rPr>
          <w:i/>
          <w:iCs/>
        </w:rPr>
        <w:t>Corporate Housing</w:t>
      </w:r>
      <w:r>
        <w:t>, möbliertes Wohnen auf Zeit) Tiere erlaubt und was das kostet; oft fallen Zuschläge an. Tierfutter mit Fleisch- oder Milchbestandteilen kann bei der Einfuhr beschränkt sein, kaufe es lieber vor Ort (Kapitel </w:t>
      </w:r>
      <w:hyperlink w:anchor="k20">
        <w:r w:rsidR="001F7233">
          <w:t>20</w:t>
        </w:r>
      </w:hyperlink>
      <w:r>
        <w:t>). In der ersten Woche suchst du einen Tierarzt, änderst Adresse und Telefonnummer beim Chipregister und beantragst die Lizenz.</w:t>
      </w:r>
    </w:p>
    <w:p w14:paraId="0569A7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mit Tier: Miete, Rassenlisten, HOA</w:t>
      </w:r>
    </w:p>
    <w:p w14:paraId="4142369D" w14:textId="77777777" w:rsidR="001F7233" w:rsidRDefault="00000000">
      <w:pPr>
        <w:spacing w:after="140"/>
      </w:pPr>
      <w:r>
        <w:t>Rund 80 % der Mietwohnungen erlauben Tiere (Branchenangabe), doch für die meisten kostet das extra: 72 % der tierfreundlichen Objekte verlangen Haustiermiete (Branchenverband NAA). Typische Posten:</w:t>
      </w:r>
    </w:p>
    <w:p w14:paraId="2436023F" w14:textId="77777777" w:rsidR="001F7233" w:rsidRDefault="00000000">
      <w:r>
        <w:rPr>
          <w:b/>
        </w:rPr>
        <w:t>Haustiermiete (Pet Rent)</w:t>
      </w:r>
    </w:p>
    <w:p w14:paraId="4701033A" w14:textId="77777777" w:rsidR="001F7233" w:rsidRDefault="00000000">
      <w:r>
        <w:rPr>
          <w:b/>
        </w:rPr>
        <w:t xml:space="preserve">Spanne: </w:t>
      </w:r>
      <w:r>
        <w:t>Ø 50 $/Monat (Hund), 35 $ (Katze); Großstädte 50–75 $</w:t>
      </w:r>
    </w:p>
    <w:p w14:paraId="0CE5A7D5" w14:textId="77777777" w:rsidR="001F7233" w:rsidRDefault="00000000">
      <w:r>
        <w:rPr>
          <w:b/>
        </w:rPr>
        <w:t>Tierkaution (Pet Deposit)</w:t>
      </w:r>
    </w:p>
    <w:p w14:paraId="61644F19" w14:textId="77777777" w:rsidR="001F7233" w:rsidRDefault="00000000">
      <w:r>
        <w:rPr>
          <w:b/>
        </w:rPr>
        <w:t xml:space="preserve">Spanne: </w:t>
      </w:r>
      <w:r>
        <w:t>200–500 $; San Francisco, New York 400–600 $</w:t>
      </w:r>
    </w:p>
    <w:p w14:paraId="603B5F2D" w14:textId="77777777" w:rsidR="001F7233" w:rsidRDefault="00000000">
      <w:r>
        <w:rPr>
          <w:b/>
        </w:rPr>
        <w:t>Einmalgebühr (Pet Fee)</w:t>
      </w:r>
    </w:p>
    <w:p w14:paraId="60BF2D2B" w14:textId="77777777" w:rsidR="001F7233" w:rsidRDefault="00000000">
      <w:r>
        <w:rPr>
          <w:b/>
        </w:rPr>
        <w:lastRenderedPageBreak/>
        <w:t xml:space="preserve">Spanne: </w:t>
      </w:r>
      <w:r>
        <w:t>150–300 $, meist nicht erstattbar</w:t>
      </w:r>
    </w:p>
    <w:p w14:paraId="2134B313" w14:textId="77777777" w:rsidR="001F7233" w:rsidRDefault="001F7233">
      <w:pPr>
        <w:spacing w:line="180" w:lineRule="exact"/>
      </w:pPr>
    </w:p>
    <w:p w14:paraId="7DC69B51" w14:textId="77777777" w:rsidR="001F7233" w:rsidRDefault="00000000">
      <w:pPr>
        <w:spacing w:after="140"/>
      </w:pPr>
      <w:r>
        <w:t>Häufiger Stolperstein sind Rassenlisten: Vermieter und ihre Versicherer schließen bestimmte Rassen aus, meist Pitbull-Typen, Rottweiler, Dobermann, Deutscher Schäferhund und Chow-Chow, dazu Gewichtsgrenzen. Ausgerechnet der Deutsche Schäferhund steht also auf mancher Liste, und auch Mischlinge können betroffen sein.</w:t>
      </w:r>
    </w:p>
    <w:p w14:paraId="47417434" w14:textId="77777777" w:rsidR="001F7233" w:rsidRDefault="00000000">
      <w:r>
        <w:rPr>
          <w:b/>
        </w:rPr>
        <w:t xml:space="preserve">ACHTUNG: </w:t>
      </w:r>
    </w:p>
    <w:p w14:paraId="3513B972" w14:textId="77777777" w:rsidR="001F7233" w:rsidRDefault="00000000">
      <w:r>
        <w:t>• Kläre Rasse, Gewicht und Zahl der Tiere, bevor du dich bewirbst, denn die Bewerbungsgebühr ist bei Ablehnung meist verloren (</w:t>
      </w:r>
      <w:hyperlink w:anchor="k13">
        <w:r w:rsidR="001F7233">
          <w:rPr>
            <w:color w:val="0563C1"/>
            <w:u w:val="single"/>
          </w:rPr>
          <w:t>Kapitel 13</w:t>
        </w:r>
      </w:hyperlink>
      <w:r>
        <w:t>). Verschweige das Tier nie: Ein nicht gemeldetes Tier ist ein Vertragsverstoß und kann Nachzahlung oder Kündigung bedeuten.</w:t>
      </w:r>
    </w:p>
    <w:p w14:paraId="50BE19FD" w14:textId="77777777" w:rsidR="001F7233" w:rsidRDefault="001F7233">
      <w:pPr>
        <w:spacing w:line="220" w:lineRule="exact"/>
      </w:pPr>
    </w:p>
    <w:p w14:paraId="27F7D501" w14:textId="77777777" w:rsidR="001F7233" w:rsidRDefault="00000000">
      <w:pPr>
        <w:spacing w:after="140"/>
      </w:pPr>
      <w:r>
        <w:t>Wer später kauft, begegnet der Eigentümergemeinschaft (</w:t>
      </w:r>
      <w:r>
        <w:rPr>
          <w:i/>
          <w:iCs/>
        </w:rPr>
        <w:t>Homeowners Association</w:t>
      </w:r>
      <w:r>
        <w:t>, HOA). Ihre Satzung kann Zahl, Gewicht und Rassen begrenzen; lies sie vor dem Kauf (Kapitel </w:t>
      </w:r>
      <w:hyperlink w:anchor="k14">
        <w:r w:rsidR="001F7233">
          <w:t>14</w:t>
        </w:r>
      </w:hyperlink>
      <w:r>
        <w:t xml:space="preserve">). Assistenzhunde für Menschen mit Behinderung unterliegen Sonderregeln des </w:t>
      </w:r>
      <w:r>
        <w:rPr>
          <w:i/>
          <w:iCs/>
        </w:rPr>
        <w:t>Fair Housing Act</w:t>
      </w:r>
      <w:r>
        <w:t>, des Bundesgesetzes gegen Diskriminierung beim Wohnen; ihre Halter zahlen in der Regel keine Haustiergebühren. Ein Schlupfloch für gewöhnliche Haustiere ist das nicht.</w:t>
      </w:r>
    </w:p>
    <w:p w14:paraId="69B355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Tierarzt, Versicherung, Lizenz, Leine</w:t>
      </w:r>
    </w:p>
    <w:p w14:paraId="1FF2CD18" w14:textId="77777777" w:rsidR="001F7233" w:rsidRDefault="00000000">
      <w:pPr>
        <w:spacing w:after="140"/>
      </w:pPr>
      <w:r>
        <w:rPr>
          <w:b/>
          <w:bCs/>
        </w:rPr>
        <w:t xml:space="preserve">Kosten. Ein Hund kostet in den USA laut Ratgebern 1.200–4.300 $ pro Jahr: kleine Hunde 1.400–1.800 $, mittlere 1.800–2.400 $, große 2.400–3.200 $. Auf Routine beim Tierarzt (Impfungen, Vorsorge, Parasitenschutz) entfallen 530–1.500 $. Eine bundesweite Gebührenordnung wie die deutsche Gebührenordnung für Tierärzte (GOT) gibt es nicht. Wer feste Sätze gewohnt ist, muss hier freundlich, aber bestimmt </w:t>
      </w:r>
      <w:r>
        <w:rPr>
          <w:b/>
          <w:bCs/>
        </w:rPr>
        <w:lastRenderedPageBreak/>
        <w:t>verhandeln lernen. Verlange deshalb vor jeder Behandlung einen Kostenvoranschlag (Estimate). Notfallkliniken sind deutlich teurer, ein verschluckter Fremdkörper oder ein Kreuzbandriss kostet schnell mehrere Tausend Dollar. In vielen Regionen gehört eine monatliche Herzwurm-Vorsorge (Heartworm Prevention) zum Standard; frage den Tierarzt.</w:t>
      </w:r>
    </w:p>
    <w:p w14:paraId="40B2CD36" w14:textId="77777777" w:rsidR="001F7233" w:rsidRDefault="00000000">
      <w:pPr>
        <w:spacing w:after="140"/>
      </w:pPr>
      <w:r>
        <w:rPr>
          <w:b/>
          <w:bCs/>
        </w:rPr>
        <w:t>Tierversicherung.</w:t>
      </w:r>
      <w:r>
        <w:t xml:space="preserve"> Eine Krankenversicherung für Hunde kostet etwa 52–70 $ im Monat (rund 620–840 $ im Jahr). Sie erstattet meist erst nach der Behandlung, du legst also aus; Vorerkrankungen sind in der Regel ausgeschlossen. Schließe sie früh ab, solange das Tier gesund ist (Kapitel </w:t>
      </w:r>
      <w:hyperlink w:anchor="k25">
        <w:r w:rsidR="001F7233">
          <w:t>25</w:t>
        </w:r>
      </w:hyperlink>
      <w:r>
        <w:t>).</w:t>
      </w:r>
    </w:p>
    <w:p w14:paraId="26777300" w14:textId="77777777" w:rsidR="001F7233" w:rsidRDefault="00000000">
      <w:pPr>
        <w:spacing w:after="140"/>
      </w:pPr>
      <w:r>
        <w:rPr>
          <w:b/>
          <w:bCs/>
        </w:rPr>
        <w:t>Lizenz und Leine. Eine Hundesteuer wie in Deutschland gibt es nicht. Stattdessen kostet die jährliche Hundelizenz (Dog License) meist einen niedrigen zweistelligen Betrag, für kastrierte Hunde weniger. Voraussetzung ist fast überall ein gültiger Tollwutimpfnachweis. In Maricopa County (Phoenix) bringt ein Kastrationsnachweis den ermäßigten Tarif. Frage bei der Kommune, ob dein deutscher Impfnachweis genügt, sonst impft der US-Tierarzt nach. Lizenz, Leinenpflicht und Haftung regeln Bundesstaaten, Countys und Städte selbst. Meist gilt: Leine außer des eigenen Grundstücks, Freilauf nur in ausgewiesenen Hundeparks (Dog Parks), Kotbeutel Pflicht, in vielen Nationalparks kein Hund auf Wanderwegen.</w:t>
      </w:r>
    </w:p>
    <w:p w14:paraId="4F838D6F" w14:textId="77777777" w:rsidR="001F7233" w:rsidRDefault="00000000">
      <w:pPr>
        <w:spacing w:after="140"/>
      </w:pPr>
      <w:r>
        <w:rPr>
          <w:b/>
          <w:bCs/>
        </w:rPr>
        <w:t>Hitze. Lass ein Tier nie im geparkten Auto: Zahlreiche Bundesstaaten stellen das unter Strafe und der Innenraum erreicht binnen Minuten lebensgefährliche Temperaturen. Asphalt kann sich im Sommer auf 60 °C und mehr aufheizen. Geh früh oder spät Gassi und prüfe den Boden mit dem Handrücken.</w:t>
      </w:r>
    </w:p>
    <w:p w14:paraId="04D5AB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Rückreise nach Europa</w:t>
      </w:r>
    </w:p>
    <w:p w14:paraId="14186F01" w14:textId="77777777" w:rsidR="001F7233" w:rsidRDefault="00000000">
      <w:pPr>
        <w:spacing w:after="140"/>
      </w:pPr>
      <w:r>
        <w:t>Auch der Weg zurück will geplant sein (Kapitel </w:t>
      </w:r>
      <w:hyperlink w:anchor="k42">
        <w:r w:rsidR="001F7233">
          <w:t>42</w:t>
        </w:r>
      </w:hyperlink>
      <w:r>
        <w:t>). Laut APHIS (Seite vom 2. September 2026) gilt für Hunde und Katzen bei nicht gewerblicher Reise mit höchstens fünf Tieren:</w:t>
      </w:r>
    </w:p>
    <w:p w14:paraId="08673349" w14:textId="77777777" w:rsidR="001F7233" w:rsidRDefault="00000000">
      <w:pPr>
        <w:pStyle w:val="ListParagraph"/>
        <w:numPr>
          <w:ilvl w:val="0"/>
          <w:numId w:val="1"/>
        </w:numPr>
        <w:spacing w:after="60"/>
      </w:pPr>
      <w:r>
        <w:t>Ein USDA-akkreditierter Tierarzt stellt das EU-Gesundheitszertifikat aus, das über das Online-System VEHCS eingereicht und von APHIS beglaubigt wird. Die Beglaubigung muss innerhalb von zehn Tagen vor der Ankunft in der EU erfolgen. Das Zeugnis gilt 30 Tage ab Ausstellung.</w:t>
      </w:r>
    </w:p>
    <w:p w14:paraId="7A273AA7" w14:textId="77777777" w:rsidR="001F7233" w:rsidRDefault="00000000">
      <w:pPr>
        <w:pStyle w:val="ListParagraph"/>
        <w:numPr>
          <w:ilvl w:val="0"/>
          <w:numId w:val="1"/>
        </w:numPr>
        <w:spacing w:after="60"/>
      </w:pPr>
      <w:r>
        <w:t>Der ISO-Chip muss vor der Tollwutimpfung sitzen. Nach der Erstimpfung gilt eine Wartezeit von mindestens 21 Tagen (oder die vom Impfstoffhersteller genannte Zeit). Für rechtzeitige Auffrischungen gibt es keine neue Wartezeit. Einen Titertest nennt APHIS für Hunde und Katzen nicht.</w:t>
      </w:r>
    </w:p>
    <w:p w14:paraId="4E020F47" w14:textId="77777777" w:rsidR="001F7233" w:rsidRDefault="00000000">
      <w:pPr>
        <w:pStyle w:val="ListParagraph"/>
        <w:numPr>
          <w:ilvl w:val="0"/>
          <w:numId w:val="1"/>
        </w:numPr>
        <w:spacing w:after="60"/>
      </w:pPr>
      <w:r>
        <w:t>Ob ein in Deutschland ausgestellter EU-Heimtierausweis das Zeugnis ersetzt, klärst du vorab mit APHIS und deinem Tierarzt.</w:t>
      </w:r>
    </w:p>
    <w:p w14:paraId="40110550" w14:textId="77777777" w:rsidR="001F7233" w:rsidRDefault="001F7233">
      <w:pPr>
        <w:spacing w:line="120" w:lineRule="exact"/>
      </w:pPr>
    </w:p>
    <w:p w14:paraId="6805A4D4" w14:textId="77777777" w:rsidR="001F7233" w:rsidRDefault="00000000">
      <w:r>
        <w:rPr>
          <w:b/>
        </w:rPr>
        <w:t xml:space="preserve">ACHTUNG: </w:t>
      </w:r>
    </w:p>
    <w:p w14:paraId="3B913FE5" w14:textId="77777777" w:rsidR="001F7233" w:rsidRDefault="00000000">
      <w:r>
        <w:t>• Wer in den USA einen Hund adoptiert, sollte die Rückreise mitdenken. Deutsches Bundesrecht untersagt die Einfuhr bestimmter Rassen und ihrer Kreuzungen, darunter Pitbull Terrier, American Staffordshire Terrier, Staffordshire Bullterrier und Bullterrier; mehrere Bundesländer führen eigene Listen. Prüfe das vor der Adoption beim Zoll und bei der Landesbehörde.</w:t>
      </w:r>
    </w:p>
    <w:p w14:paraId="4E4CF6BA" w14:textId="77777777" w:rsidR="001F7233" w:rsidRDefault="001F7233">
      <w:pPr>
        <w:spacing w:line="220" w:lineRule="exact"/>
      </w:pPr>
    </w:p>
    <w:p w14:paraId="79A222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Haustiere: Einreise, Kosten, Alltag</w:t>
      </w:r>
    </w:p>
    <w:p w14:paraId="5C1DD528" w14:textId="77777777" w:rsidR="001F7233" w:rsidRDefault="00000000">
      <w:r>
        <w:rPr>
          <w:b/>
        </w:rPr>
        <w:t>Plus: Der Hund bleibt in der Familie, das erleichtert vor allem Kindern das Ankommen</w:t>
      </w:r>
    </w:p>
    <w:p w14:paraId="7F8752D8" w14:textId="77777777" w:rsidR="001F7233" w:rsidRDefault="00000000">
      <w:r>
        <w:rPr>
          <w:b/>
        </w:rPr>
        <w:t xml:space="preserve">Minus: </w:t>
      </w:r>
      <w:r>
        <w:t>Reisekosten von 500 $ bis mehrere Tausend Dollar pro Tier</w:t>
      </w:r>
    </w:p>
    <w:p w14:paraId="05821737" w14:textId="77777777" w:rsidR="001F7233" w:rsidRDefault="00000000">
      <w:r>
        <w:rPr>
          <w:b/>
        </w:rPr>
        <w:lastRenderedPageBreak/>
        <w:t>Plus: Für Hunde aus Deutschland genügt bundesweit ein kostenloses Online-Formular, kein Bluttest</w:t>
      </w:r>
    </w:p>
    <w:p w14:paraId="6AC15E70" w14:textId="77777777" w:rsidR="001F7233" w:rsidRDefault="00000000">
      <w:r>
        <w:rPr>
          <w:b/>
        </w:rPr>
        <w:t xml:space="preserve">Minus: </w:t>
      </w:r>
      <w:r>
        <w:t>Hitzesperren und Kurzkopf-Regeln können Termin und Route bestimmen</w:t>
      </w:r>
    </w:p>
    <w:p w14:paraId="1750D724" w14:textId="77777777" w:rsidR="001F7233" w:rsidRDefault="00000000">
      <w:r>
        <w:rPr>
          <w:b/>
        </w:rPr>
        <w:t>Plus: Rund 80 % der Mietwohnungen erlauben Tiere</w:t>
      </w:r>
    </w:p>
    <w:p w14:paraId="135A3B80" w14:textId="77777777" w:rsidR="001F7233" w:rsidRDefault="00000000">
      <w:r>
        <w:rPr>
          <w:b/>
        </w:rPr>
        <w:t xml:space="preserve">Minus: </w:t>
      </w:r>
      <w:r>
        <w:t>Haustiermiete, Kaution und Gebühren verteuern das Wohnen, Rassenlisten schließen manche Hunde aus</w:t>
      </w:r>
    </w:p>
    <w:p w14:paraId="07A9528E" w14:textId="77777777" w:rsidR="001F7233" w:rsidRDefault="00000000">
      <w:r>
        <w:rPr>
          <w:b/>
        </w:rPr>
        <w:t>Plus: Hundeparks gehören in vielen Städten zum Standard</w:t>
      </w:r>
    </w:p>
    <w:p w14:paraId="05D0B5C8" w14:textId="77777777" w:rsidR="001F7233" w:rsidRDefault="00000000">
      <w:r>
        <w:rPr>
          <w:b/>
        </w:rPr>
        <w:t xml:space="preserve">Minus: </w:t>
      </w:r>
      <w:r>
        <w:t>Tierarztpreise sind nicht gedeckelt, Notfälle werden schnell vierstellig</w:t>
      </w:r>
    </w:p>
    <w:p w14:paraId="32DA62DE" w14:textId="77777777" w:rsidR="001F7233" w:rsidRDefault="00000000">
      <w:r>
        <w:rPr>
          <w:b/>
        </w:rPr>
        <w:t>Plus: Tierversicherungen federn hohe Rechnungen ab</w:t>
      </w:r>
    </w:p>
    <w:p w14:paraId="7F0FB4BD" w14:textId="77777777" w:rsidR="001F7233" w:rsidRDefault="00000000">
      <w:r>
        <w:rPr>
          <w:b/>
        </w:rPr>
        <w:t xml:space="preserve">Minus: </w:t>
      </w:r>
      <w:r>
        <w:t>Die Rückreise verlangt ein neues Zeugnis mit APHIS-Beglaubigung und straffe Fristen</w:t>
      </w:r>
    </w:p>
    <w:p w14:paraId="1895AB8D" w14:textId="77777777" w:rsidR="001F7233" w:rsidRDefault="001F7233">
      <w:pPr>
        <w:spacing w:line="180" w:lineRule="exact"/>
      </w:pPr>
    </w:p>
    <w:p w14:paraId="40E3017C" w14:textId="77777777" w:rsidR="001F7233" w:rsidRDefault="00000000">
      <w:r>
        <w:rPr>
          <w:b/>
        </w:rPr>
        <w:t>ZUM ABHAKEN</w:t>
      </w:r>
    </w:p>
    <w:p w14:paraId="5FBCD3E7" w14:textId="77777777" w:rsidR="001F7233" w:rsidRDefault="00000000">
      <w:r>
        <w:t>• Chip prüfen: 15-stellige ISO-Nummer lesbar, in Heimtierausweis und Register eingetragen</w:t>
      </w:r>
    </w:p>
    <w:p w14:paraId="6A1A274C" w14:textId="77777777" w:rsidR="001F7233" w:rsidRDefault="00000000">
      <w:r>
        <w:t>• Airline schriftlich fragen: Kabine oder Frachtraum, Gewicht, Kurzkopf- und Hitzeregeln, Anmeldefrist, Zeugnis</w:t>
      </w:r>
    </w:p>
    <w:p w14:paraId="08627B69" w14:textId="77777777" w:rsidR="001F7233" w:rsidRDefault="00000000">
      <w:r>
        <w:t>• Drei bis vier Monate vor Abflug zum Tierarzt: Flugtauglichkeit, Tollwutimpfung aktuell</w:t>
      </w:r>
    </w:p>
    <w:p w14:paraId="452514BB" w14:textId="77777777" w:rsidR="001F7233" w:rsidRDefault="00000000">
      <w:r>
        <w:t>• Prüfen, ob der Hund in den letzten sechs Monaten in einem Hochrisikoland war</w:t>
      </w:r>
    </w:p>
    <w:p w14:paraId="3A991C81" w14:textId="77777777" w:rsidR="001F7233" w:rsidRDefault="00000000">
      <w:r>
        <w:t>• Transportbox kaufen und mehrere Wochen vorher gewöhnen</w:t>
      </w:r>
    </w:p>
    <w:p w14:paraId="1EE76126" w14:textId="77777777" w:rsidR="001F7233" w:rsidRDefault="00000000">
      <w:r>
        <w:t>• CDC Dog Import Form pro Hund ausfüllen, Quittung ausdrucken und digital speichern</w:t>
      </w:r>
    </w:p>
    <w:p w14:paraId="2D86B1F1" w14:textId="77777777" w:rsidR="001F7233" w:rsidRDefault="00000000">
      <w:r>
        <w:t>• Gesundheitszeugnis nach Airline-Vorgabe besorgen (beim Abflug höchstens zehn Tage alt)</w:t>
      </w:r>
    </w:p>
    <w:p w14:paraId="23653ACD" w14:textId="77777777" w:rsidR="001F7233" w:rsidRDefault="00000000">
      <w:r>
        <w:t>• Tierregeln, Rassenliste, Haustiermiete und Kaution klären, bevor du dich für Wohnung oder Übergangsunterkunft bewirbst</w:t>
      </w:r>
    </w:p>
    <w:p w14:paraId="7D8D928D" w14:textId="77777777" w:rsidR="001F7233" w:rsidRDefault="00000000">
      <w:r>
        <w:t>• Papiermappe ins Handgepäck legen und den Abholort am Zielflughafen erfragen</w:t>
      </w:r>
    </w:p>
    <w:p w14:paraId="3B3C2163" w14:textId="77777777" w:rsidR="001F7233" w:rsidRDefault="00000000">
      <w:r>
        <w:t>• Nach der Ankunft Tierarzt suchen, Lizenz beantragen, Chipregister aktualisieren, Versicherung prüfen</w:t>
      </w:r>
    </w:p>
    <w:p w14:paraId="0CD997AD" w14:textId="77777777" w:rsidR="001F7233" w:rsidRDefault="00000000">
      <w:r>
        <w:lastRenderedPageBreak/>
        <w:t>• Für die Rückreise Impfstatus und Chip dokumentieren und die APHIS-Regeln früh ansehen</w:t>
      </w:r>
    </w:p>
    <w:p w14:paraId="129C90FB" w14:textId="77777777" w:rsidR="001F7233" w:rsidRDefault="001F7233">
      <w:pPr>
        <w:spacing w:line="220" w:lineRule="exact"/>
      </w:pPr>
    </w:p>
    <w:p w14:paraId="1B72AB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283272" w14:textId="77777777" w:rsidR="001F7233" w:rsidRDefault="00000000">
      <w:pPr>
        <w:pStyle w:val="ListParagraph"/>
        <w:numPr>
          <w:ilvl w:val="0"/>
          <w:numId w:val="1"/>
        </w:numPr>
        <w:spacing w:after="60"/>
      </w:pPr>
      <w:r>
        <w:t>CDC — Einfuhr von Hunden und Katzen, Hochrisikoländer, Dog Import Form (</w:t>
      </w:r>
      <w:hyperlink r:id="rId304">
        <w:r w:rsidR="001F7233">
          <w:rPr>
            <w:color w:val="0563C1"/>
            <w:u w:val="single"/>
          </w:rPr>
          <w:t>cdc.gov/importation</w:t>
        </w:r>
      </w:hyperlink>
      <w:r>
        <w:t>)</w:t>
      </w:r>
    </w:p>
    <w:p w14:paraId="362406D2" w14:textId="77777777" w:rsidR="001F7233" w:rsidRDefault="00000000">
      <w:pPr>
        <w:pStyle w:val="ListParagraph"/>
        <w:numPr>
          <w:ilvl w:val="0"/>
          <w:numId w:val="1"/>
        </w:numPr>
        <w:spacing w:after="60"/>
      </w:pPr>
      <w:r>
        <w:t>USDA APHIS — Reisen mit Haustieren, Rückreise in die EU (</w:t>
      </w:r>
      <w:hyperlink r:id="rId305">
        <w:r w:rsidR="001F7233">
          <w:rPr>
            <w:color w:val="0563C1"/>
            <w:u w:val="single"/>
          </w:rPr>
          <w:t>aphis.usda.gov/pet-travel</w:t>
        </w:r>
      </w:hyperlink>
      <w:r>
        <w:t>)</w:t>
      </w:r>
    </w:p>
    <w:p w14:paraId="1F26841A" w14:textId="77777777" w:rsidR="001F7233" w:rsidRDefault="00000000">
      <w:pPr>
        <w:pStyle w:val="ListParagraph"/>
        <w:numPr>
          <w:ilvl w:val="0"/>
          <w:numId w:val="1"/>
        </w:numPr>
        <w:spacing w:after="60"/>
      </w:pPr>
      <w:r>
        <w:t>Hawaii Department of Agriculture — Quarantäneprogramm für Tiere (</w:t>
      </w:r>
      <w:hyperlink r:id="rId306">
        <w:r w:rsidR="001F7233">
          <w:rPr>
            <w:color w:val="0563C1"/>
            <w:u w:val="single"/>
          </w:rPr>
          <w:t>dab.hawaii.gov/ai</w:t>
        </w:r>
      </w:hyperlink>
      <w:r>
        <w:t>)</w:t>
      </w:r>
    </w:p>
    <w:p w14:paraId="23A69CCF" w14:textId="77777777" w:rsidR="001F7233" w:rsidRDefault="00000000">
      <w:pPr>
        <w:pStyle w:val="ListParagraph"/>
        <w:numPr>
          <w:ilvl w:val="0"/>
          <w:numId w:val="1"/>
        </w:numPr>
        <w:spacing w:after="60"/>
      </w:pPr>
      <w:r>
        <w:t>Maricopa County — Hundelizenz als Beispiel (</w:t>
      </w:r>
      <w:hyperlink r:id="rId307">
        <w:r w:rsidR="001F7233">
          <w:rPr>
            <w:color w:val="0563C1"/>
            <w:u w:val="single"/>
          </w:rPr>
          <w:t>maricopa.gov/226/Dog-License</w:t>
        </w:r>
      </w:hyperlink>
      <w:r>
        <w:t>)</w:t>
      </w:r>
    </w:p>
    <w:p w14:paraId="49DA6FFD" w14:textId="77777777" w:rsidR="001F7233" w:rsidRDefault="00000000">
      <w:pPr>
        <w:pStyle w:val="ListParagraph"/>
        <w:numPr>
          <w:ilvl w:val="0"/>
          <w:numId w:val="1"/>
        </w:numPr>
        <w:spacing w:after="60"/>
      </w:pPr>
      <w:r>
        <w:t>U.S. Fish and Wildlife Service — Einfuhr geschützter Arten (</w:t>
      </w:r>
      <w:hyperlink r:id="rId308">
        <w:r w:rsidR="001F7233">
          <w:rPr>
            <w:color w:val="0563C1"/>
            <w:u w:val="single"/>
          </w:rPr>
          <w:t>fws.gov</w:t>
        </w:r>
      </w:hyperlink>
      <w:r>
        <w:t>)</w:t>
      </w:r>
    </w:p>
    <w:p w14:paraId="5C071EFD" w14:textId="77777777" w:rsidR="001F7233" w:rsidRDefault="00000000">
      <w:pPr>
        <w:pStyle w:val="ListParagraph"/>
        <w:numPr>
          <w:ilvl w:val="0"/>
          <w:numId w:val="1"/>
        </w:numPr>
        <w:spacing w:after="60"/>
      </w:pPr>
      <w:r>
        <w:t>Zoll — Einreise mit Heimtieren nach Deutschland (</w:t>
      </w:r>
      <w:hyperlink r:id="rId309">
        <w:r w:rsidR="001F7233">
          <w:rPr>
            <w:color w:val="0563C1"/>
            <w:u w:val="single"/>
          </w:rPr>
          <w:t>zoll.de</w:t>
        </w:r>
      </w:hyperlink>
      <w:r>
        <w:t>, Suchbegriff „Heimtiere“)</w:t>
      </w:r>
    </w:p>
    <w:p w14:paraId="183CC733" w14:textId="77777777" w:rsidR="001F7233" w:rsidRDefault="001F7233">
      <w:pPr>
        <w:spacing w:line="120" w:lineRule="exact"/>
      </w:pPr>
    </w:p>
    <w:p w14:paraId="6EB2A998" w14:textId="77777777" w:rsidR="001F7233" w:rsidRDefault="00000000">
      <w:r>
        <w:t>• Quellen- und Datenstand: September 2026; Redaktionsschluss: Oktober 2026. Die CDC-Seite zu Hunden aus Ländern ohne Hochrisiko-Einstufung trägt das Datum 22. Juli 2024, die Hochrisikoliste den 15. April 2026. Schnell ändern sich Airline-Regeln (Gewicht, Hitze, Kurzkopf-Rassen, Gebühren), die Preise für Fracht und Tiertransport, Haustiermiete und Rassenlisten der Vermieter, kommunale Lizenzgebühren sowie Fristen der Hawaii- und APHIS-Verfahren. Prüfe vor jeder Buchung CDC, APHIS und deine Airline.</w:t>
      </w:r>
    </w:p>
    <w:p w14:paraId="572123A7" w14:textId="77777777" w:rsidR="001F7233" w:rsidRDefault="001F7233">
      <w:pPr>
        <w:spacing w:line="220" w:lineRule="exact"/>
      </w:pPr>
    </w:p>
    <w:p w14:paraId="2D61AC30" w14:textId="77777777" w:rsidR="001F7233" w:rsidRDefault="00000000">
      <w:r>
        <w:br w:type="page"/>
      </w:r>
    </w:p>
    <w:p w14:paraId="17178435" w14:textId="77777777" w:rsidR="001F7233" w:rsidRDefault="00000000">
      <w:pPr>
        <w:pStyle w:val="Heading1"/>
        <w:keepNext/>
        <w:spacing w:line="341" w:lineRule="auto"/>
        <w:jc w:val="center"/>
      </w:pPr>
      <w:bookmarkStart w:id="51" w:name="rev73h2011"/>
      <w:r>
        <w:rPr>
          <w:rFonts w:ascii="Amazon Ember" w:eastAsia="Amazon Ember" w:hAnsi="Amazon Ember" w:cs="Amazon Ember"/>
          <w:color w:val="0000FF"/>
        </w:rPr>
        <w:lastRenderedPageBreak/>
        <w:t>TEIL VI — Ankommen</w:t>
      </w:r>
      <w:bookmarkEnd w:id="51"/>
    </w:p>
    <w:p w14:paraId="7C37A5C4" w14:textId="77777777" w:rsidR="001F7233" w:rsidRDefault="00000000">
      <w:pPr>
        <w:spacing w:after="160" w:line="300" w:lineRule="auto"/>
        <w:ind w:left="400" w:right="400"/>
        <w:jc w:val="center"/>
      </w:pPr>
      <w:r>
        <w:rPr>
          <w:i/>
          <w:iCs/>
          <w:sz w:val="24"/>
          <w:szCs w:val="24"/>
        </w:rPr>
        <w:t>Die ersten Tage und Wochen: Einreise, Sozialversicherungsnummer, Bank, Krankenversicherung, Führerschein und Steuern.</w:t>
      </w:r>
    </w:p>
    <w:p w14:paraId="7DDF3919" w14:textId="77777777" w:rsidR="001F7233" w:rsidRDefault="00000000">
      <w:r>
        <w:br w:type="page"/>
      </w:r>
    </w:p>
    <w:p w14:paraId="779E7FAC" w14:textId="77777777" w:rsidR="001F7233" w:rsidRDefault="00000000">
      <w:pPr>
        <w:pStyle w:val="Heading2"/>
        <w:keepNext/>
        <w:spacing w:line="341" w:lineRule="auto"/>
        <w:jc w:val="center"/>
      </w:pPr>
      <w:bookmarkStart w:id="52" w:name="k23"/>
      <w:r>
        <w:rPr>
          <w:rFonts w:ascii="Amazon Ember" w:eastAsia="Amazon Ember" w:hAnsi="Amazon Ember" w:cs="Amazon Ember"/>
          <w:color w:val="0000FF"/>
          <w:sz w:val="36"/>
          <w:szCs w:val="36"/>
        </w:rPr>
        <w:lastRenderedPageBreak/>
        <w:t>Kapitel 23: Landung, Einreise und die ersten 72 Stunden</w:t>
      </w:r>
      <w:bookmarkEnd w:id="52"/>
    </w:p>
    <w:p w14:paraId="1694D29D" w14:textId="77777777" w:rsidR="001F7233" w:rsidRDefault="00000000">
      <w:pPr>
        <w:spacing w:after="140"/>
      </w:pPr>
      <w:r>
        <w:t>Die Augen brennen vom Nachtflug. Im Rollkoffer klappert irgendetwas Loses. Die Schlange vor dir rückt nur im Minutentakt vor – dann stehst du vor einer Glaskabine. Der Beamte prüft dein Visum, macht ein Foto und stellt ein paar Fragen. Was er dabei erfasst, legt fest, welchen Status du bekommst und bis wann er gilt. Danach beginnen die ersten 72 Stunden mit Jetlag, Unterkunft, Handy, Geld und Papierkram. Dieses Kapitel gibt dir die Reihenfolge.</w:t>
      </w:r>
    </w:p>
    <w:p w14:paraId="66607E84" w14:textId="77777777" w:rsidR="001F7233" w:rsidRDefault="00000000">
      <w:r>
        <w:rPr>
          <w:b/>
        </w:rPr>
        <w:t xml:space="preserve">KURZ GESAGT: </w:t>
      </w:r>
    </w:p>
    <w:p w14:paraId="1EE2719C" w14:textId="77777777" w:rsidR="001F7233" w:rsidRDefault="00000000">
      <w:r>
        <w:t>• Das Visum bringt dich an die Grenze; Status und Ablaufdatum legt der Grenzschutz (CBP) fest, beides im elektronischen Form I-94, dem Einreisenachweis.</w:t>
      </w:r>
    </w:p>
    <w:p w14:paraId="702D3779" w14:textId="77777777" w:rsidR="001F7233" w:rsidRDefault="00000000">
      <w:r>
        <w:t>• Für H-1B darfst du frühestens 10 Tage vor Petitionsbeginn landen. Arbeiten darfst du erst ab dem Startdatum.</w:t>
      </w:r>
    </w:p>
    <w:p w14:paraId="11B619F1" w14:textId="77777777" w:rsidR="001F7233" w:rsidRDefault="00000000">
      <w:r>
        <w:t>• Alle Papiere gehören ins Handgepäck; den I-94 rufst du noch am Ankunftstag online ab.</w:t>
      </w:r>
    </w:p>
    <w:p w14:paraId="120DE521" w14:textId="77777777" w:rsidR="001F7233" w:rsidRDefault="00000000">
      <w:r>
        <w:t>• Am ersten Arbeitstag brauchst du Originale für die Form I-9 (Nachweis der Arbeitserlaubnis), ein W-4 und Bankdaten.</w:t>
      </w:r>
    </w:p>
    <w:p w14:paraId="3A1BEDC4" w14:textId="77777777" w:rsidR="001F7233" w:rsidRDefault="00000000">
      <w:r>
        <w:t>• Der Notruf lautet 911. Betrüger suchen gezielt Neuankömmlinge.</w:t>
      </w:r>
    </w:p>
    <w:p w14:paraId="5C7D5CAE" w14:textId="77777777" w:rsidR="001F7233" w:rsidRDefault="001F7233">
      <w:pPr>
        <w:spacing w:line="220" w:lineRule="exact"/>
      </w:pPr>
    </w:p>
    <w:p w14:paraId="50596F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Frühester Einreisetag und Flugbuchung</w:t>
      </w:r>
    </w:p>
    <w:p w14:paraId="120FD2FD" w14:textId="77777777" w:rsidR="001F7233" w:rsidRDefault="00000000">
      <w:pPr>
        <w:spacing w:after="140"/>
      </w:pPr>
      <w:r>
        <w:t>Für H-1B gilt: frühestens 10 Tage vor Beginn des Gültigkeitszeitraums deiner Petition einreisen. Das Von-Datum steht im Genehmigungsbescheid (</w:t>
      </w:r>
      <w:r>
        <w:rPr>
          <w:i/>
          <w:iCs/>
        </w:rPr>
        <w:t>Form I-797</w:t>
      </w:r>
      <w:r>
        <w:t xml:space="preserve">, </w:t>
      </w:r>
      <w:r>
        <w:rPr>
          <w:i/>
          <w:iCs/>
        </w:rPr>
        <w:t>Approval Notice</w:t>
      </w:r>
      <w:r>
        <w:t xml:space="preserve">, USCIS). Beginnt der Zeitraum am 1. Oktober, ist der 21. September der früheste Landetag. Früher kommt niemand im H-1B-Status durch. </w:t>
      </w:r>
      <w:r>
        <w:lastRenderedPageBreak/>
        <w:t>Nach dem Ende bleiben 10 Tage Puffer zum Ausreisen, nicht zum Weiterarbeiten. H-4-Familienmitglieder reisen meist im selben Zeitraum ein (Kapitel </w:t>
      </w:r>
      <w:hyperlink w:anchor="k10">
        <w:r w:rsidR="001F7233">
          <w:t>10</w:t>
        </w:r>
      </w:hyperlink>
      <w:r>
        <w:t>).</w:t>
      </w:r>
    </w:p>
    <w:p w14:paraId="041DEA9D" w14:textId="77777777" w:rsidR="001F7233" w:rsidRDefault="00000000">
      <w:pPr>
        <w:spacing w:after="140"/>
      </w:pPr>
      <w:r>
        <w:t>Buche den Flug erst nach dem Visum im Pass (Kapitel </w:t>
      </w:r>
      <w:hyperlink w:anchor="k11">
        <w:r w:rsidR="001F7233">
          <w:t>11</w:t>
        </w:r>
      </w:hyperlink>
      <w:r>
        <w:t>). Plane ein bis zwei Tage Puffer vor dem Startdatum ein: So kostet ein gestrichener Anschlussflug nicht den ersten Arbeitstag. Das Zehn-Tage-Fenster auszunutzen ist Abwägungssache (siehe Plus und Minus).</w:t>
      </w:r>
    </w:p>
    <w:p w14:paraId="0ABE2D14" w14:textId="77777777" w:rsidR="001F7233" w:rsidRDefault="00000000">
      <w:r>
        <w:rPr>
          <w:b/>
        </w:rPr>
        <w:t xml:space="preserve">ACHTUNG: </w:t>
      </w:r>
    </w:p>
    <w:p w14:paraId="3CD419E7" w14:textId="77777777" w:rsidR="001F7233" w:rsidRDefault="00000000">
      <w:r>
        <w:t>• Arbeite nicht vor dem Startdatum der Petition, auch nicht unbezahlt oder aus dem Hotel. Das kann als unerlaubte Beschäftigung gelten und deinen Status gefährden. Lege Onboarding-Termine auf das Startdatum oder danach.</w:t>
      </w:r>
    </w:p>
    <w:p w14:paraId="2FF29141" w14:textId="77777777" w:rsidR="001F7233" w:rsidRDefault="001F7233">
      <w:pPr>
        <w:spacing w:line="220" w:lineRule="exact"/>
      </w:pPr>
    </w:p>
    <w:p w14:paraId="07BB38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ins Handgepäck gehört</w:t>
      </w:r>
    </w:p>
    <w:p w14:paraId="346F1CA3" w14:textId="77777777" w:rsidR="001F7233" w:rsidRDefault="00000000">
      <w:pPr>
        <w:spacing w:after="140"/>
      </w:pPr>
      <w:r>
        <w:t>Der Koffer kann Stunden oder Tage nach dir ankommen. Die Papiere dürfen es nicht: Packe alles Folgende in eine Handgepäck-Mappe und fotografiere jede Seite für eine Cloud.</w:t>
      </w:r>
    </w:p>
    <w:p w14:paraId="25AA578F" w14:textId="77777777" w:rsidR="001F7233" w:rsidRDefault="00000000">
      <w:r>
        <w:rPr>
          <w:b/>
        </w:rPr>
        <w:t>Reisepass mit Visum, für jedes Familienmitglied</w:t>
      </w:r>
    </w:p>
    <w:p w14:paraId="12EDC139" w14:textId="77777777" w:rsidR="001F7233" w:rsidRDefault="00000000">
      <w:r>
        <w:rPr>
          <w:b/>
        </w:rPr>
        <w:t xml:space="preserve">Wozu: </w:t>
      </w:r>
      <w:r>
        <w:t>Einreise</w:t>
      </w:r>
    </w:p>
    <w:p w14:paraId="461A6AFE" w14:textId="77777777" w:rsidR="001F7233" w:rsidRDefault="00000000">
      <w:r>
        <w:rPr>
          <w:b/>
        </w:rPr>
        <w:t>Genehmigungsbescheid Form I-797, Original</w:t>
      </w:r>
    </w:p>
    <w:p w14:paraId="7E877074" w14:textId="77777777" w:rsidR="001F7233" w:rsidRDefault="00000000">
      <w:r>
        <w:rPr>
          <w:b/>
        </w:rPr>
        <w:t xml:space="preserve">Wozu: </w:t>
      </w:r>
      <w:r>
        <w:t>Belegt Arbeitgeber, Zeitraum, Kategorie</w:t>
      </w:r>
    </w:p>
    <w:p w14:paraId="2CF21EB5" w14:textId="77777777" w:rsidR="001F7233" w:rsidRDefault="00000000">
      <w:r>
        <w:rPr>
          <w:b/>
        </w:rPr>
        <w:t>Arbeitgeberbrief mit Startdatum und Ansprechpartner in der Personalabteilung</w:t>
      </w:r>
    </w:p>
    <w:p w14:paraId="5F90D64D" w14:textId="77777777" w:rsidR="001F7233" w:rsidRDefault="00000000">
      <w:r>
        <w:rPr>
          <w:b/>
        </w:rPr>
        <w:t xml:space="preserve">Wozu: </w:t>
      </w:r>
      <w:r>
        <w:t>Rückfragen zu Job und Start</w:t>
      </w:r>
    </w:p>
    <w:p w14:paraId="527A2BED" w14:textId="77777777" w:rsidR="001F7233" w:rsidRDefault="00000000">
      <w:r>
        <w:rPr>
          <w:b/>
        </w:rPr>
        <w:t>Buchung der ersten Unterkunft</w:t>
      </w:r>
    </w:p>
    <w:p w14:paraId="33F408C7" w14:textId="77777777" w:rsidR="001F7233" w:rsidRDefault="00000000">
      <w:r>
        <w:rPr>
          <w:b/>
        </w:rPr>
        <w:t xml:space="preserve">Wozu: </w:t>
      </w:r>
      <w:r>
        <w:t>CBP fragt nach der Adresse</w:t>
      </w:r>
    </w:p>
    <w:p w14:paraId="3401806D" w14:textId="77777777" w:rsidR="001F7233" w:rsidRDefault="00000000">
      <w:r>
        <w:rPr>
          <w:b/>
        </w:rPr>
        <w:t>Heirats- und Geburtsurkunden, Originale (</w:t>
      </w:r>
      <w:hyperlink w:anchor="k19">
        <w:r w:rsidR="001F7233">
          <w:rPr>
            <w:rStyle w:val="Hyperlink"/>
            <w:b/>
          </w:rPr>
          <w:t>Kapitel 19</w:t>
        </w:r>
      </w:hyperlink>
      <w:r>
        <w:rPr>
          <w:b/>
        </w:rPr>
        <w:t>)</w:t>
      </w:r>
    </w:p>
    <w:p w14:paraId="38A8B009" w14:textId="77777777" w:rsidR="001F7233" w:rsidRDefault="00000000">
      <w:r>
        <w:rPr>
          <w:b/>
        </w:rPr>
        <w:t xml:space="preserve">Wozu: </w:t>
      </w:r>
      <w:r>
        <w:t>Familiennachweis für H-4, später Behörden</w:t>
      </w:r>
    </w:p>
    <w:p w14:paraId="3A762C53" w14:textId="77777777" w:rsidR="001F7233" w:rsidRDefault="00000000">
      <w:r>
        <w:rPr>
          <w:b/>
        </w:rPr>
        <w:t>Impfausweise und Zeugnisse der Kinder</w:t>
      </w:r>
    </w:p>
    <w:p w14:paraId="628F4AEF" w14:textId="77777777" w:rsidR="001F7233" w:rsidRDefault="00000000">
      <w:r>
        <w:rPr>
          <w:b/>
        </w:rPr>
        <w:t xml:space="preserve">Wozu: </w:t>
      </w:r>
      <w:r>
        <w:t>Schulanmeldung (</w:t>
      </w:r>
      <w:hyperlink w:anchor="k36">
        <w:r w:rsidR="001F7233">
          <w:rPr>
            <w:rStyle w:val="Hyperlink"/>
          </w:rPr>
          <w:t>Kapitel 36</w:t>
        </w:r>
      </w:hyperlink>
      <w:r>
        <w:t>)</w:t>
      </w:r>
    </w:p>
    <w:p w14:paraId="2E3AAA69" w14:textId="77777777" w:rsidR="001F7233" w:rsidRDefault="00000000">
      <w:r>
        <w:rPr>
          <w:b/>
        </w:rPr>
        <w:lastRenderedPageBreak/>
        <w:t>Führerschein und Internationaler Führerschein</w:t>
      </w:r>
    </w:p>
    <w:p w14:paraId="1BA85417" w14:textId="77777777" w:rsidR="001F7233" w:rsidRDefault="00000000">
      <w:r>
        <w:rPr>
          <w:b/>
        </w:rPr>
        <w:t xml:space="preserve">Wozu: </w:t>
      </w:r>
      <w:r>
        <w:t>Mietwagen (</w:t>
      </w:r>
      <w:hyperlink w:anchor="k27">
        <w:r w:rsidR="001F7233">
          <w:rPr>
            <w:rStyle w:val="Hyperlink"/>
          </w:rPr>
          <w:t>Kapitel 27</w:t>
        </w:r>
      </w:hyperlink>
      <w:r>
        <w:t>)</w:t>
      </w:r>
    </w:p>
    <w:p w14:paraId="23AEB6F2" w14:textId="77777777" w:rsidR="001F7233" w:rsidRDefault="00000000">
      <w:r>
        <w:rPr>
          <w:b/>
        </w:rPr>
        <w:t>Medikamente in Originalverpackung, Arztbrief</w:t>
      </w:r>
    </w:p>
    <w:p w14:paraId="00AD2B6C" w14:textId="77777777" w:rsidR="001F7233" w:rsidRDefault="00000000">
      <w:r>
        <w:rPr>
          <w:b/>
        </w:rPr>
        <w:t xml:space="preserve">Wozu: </w:t>
      </w:r>
      <w:r>
        <w:t>Vorrat bis zur Versicherung</w:t>
      </w:r>
    </w:p>
    <w:p w14:paraId="0E6788FB" w14:textId="77777777" w:rsidR="001F7233" w:rsidRDefault="00000000">
      <w:r>
        <w:rPr>
          <w:b/>
        </w:rPr>
        <w:t>Nummern von Personalabteilung und Einwanderungsanwalt auf Papier</w:t>
      </w:r>
    </w:p>
    <w:p w14:paraId="34FEC83F" w14:textId="77777777" w:rsidR="001F7233" w:rsidRDefault="00000000">
      <w:r>
        <w:rPr>
          <w:b/>
        </w:rPr>
        <w:t xml:space="preserve">Wozu: </w:t>
      </w:r>
      <w:r>
        <w:t>Falls das Handy ausfällt</w:t>
      </w:r>
    </w:p>
    <w:p w14:paraId="2D54EDAB" w14:textId="77777777" w:rsidR="001F7233" w:rsidRDefault="00000000">
      <w:r>
        <w:rPr>
          <w:b/>
        </w:rPr>
        <w:t>Mit Hund: Quittung des CDC Dog Import Form</w:t>
      </w:r>
    </w:p>
    <w:p w14:paraId="2E2E93F9" w14:textId="77777777" w:rsidR="001F7233" w:rsidRDefault="00000000">
      <w:r>
        <w:rPr>
          <w:b/>
        </w:rPr>
        <w:t xml:space="preserve">Wozu: </w:t>
      </w:r>
      <w:r>
        <w:t>Kontrolle bei der Einreise (</w:t>
      </w:r>
      <w:hyperlink w:anchor="k22">
        <w:r w:rsidR="001F7233">
          <w:rPr>
            <w:rStyle w:val="Hyperlink"/>
          </w:rPr>
          <w:t>Kapitel 22</w:t>
        </w:r>
      </w:hyperlink>
      <w:r>
        <w:t>)</w:t>
      </w:r>
    </w:p>
    <w:p w14:paraId="4BEF874B" w14:textId="77777777" w:rsidR="001F7233" w:rsidRDefault="001F7233">
      <w:pPr>
        <w:spacing w:line="180" w:lineRule="exact"/>
      </w:pPr>
    </w:p>
    <w:p w14:paraId="3F26238C" w14:textId="77777777" w:rsidR="001F7233" w:rsidRDefault="00000000">
      <w:r>
        <w:rPr>
          <w:b/>
        </w:rPr>
        <w:t xml:space="preserve">ACHTUNG: </w:t>
      </w:r>
    </w:p>
    <w:p w14:paraId="352E852E" w14:textId="77777777" w:rsidR="001F7233" w:rsidRDefault="00000000">
      <w:r>
        <w:t>• Kein Original gehört in den aufgegebenen Koffer: Ein verspäteter Koffer wird nachgeliefert, ein verlorener Genehmigungsbescheid ist mühsam zu ersetzen.</w:t>
      </w:r>
    </w:p>
    <w:p w14:paraId="54B80EF3" w14:textId="77777777" w:rsidR="001F7233" w:rsidRDefault="001F7233">
      <w:pPr>
        <w:spacing w:line="220" w:lineRule="exact"/>
      </w:pPr>
    </w:p>
    <w:p w14:paraId="342266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Einreisekontrolle bei CBP</w:t>
      </w:r>
    </w:p>
    <w:p w14:paraId="26D38C75" w14:textId="77777777" w:rsidR="001F7233" w:rsidRDefault="00000000">
      <w:pPr>
        <w:spacing w:after="140"/>
      </w:pPr>
      <w:r>
        <w:rPr>
          <w:i/>
          <w:iCs/>
        </w:rPr>
        <w:t>Nach der Landung folgst du den Schildern zur Einreisekontrolle (Immigration), hinein in die Schlange für ausländische Reisepässe. Dort quietschen Koffergriffe, und ein Dutzend Sprachen murmeln durcheinander. Am Schalter prüft ein Beamter der Customs and Border Protection (CBP, dem Grenzschutz) Pass und Visum, nimmt ein Foto auf und fragt nach Zweck, Arbeitgeber, Adresse und Dauer. Er kann weitere biometrische Daten wie Fingerabdrücke verlangen.</w:t>
      </w:r>
    </w:p>
    <w:p w14:paraId="1CC02FBC" w14:textId="77777777" w:rsidR="001F7233" w:rsidRDefault="00000000">
      <w:pPr>
        <w:spacing w:after="140"/>
      </w:pPr>
      <w:r>
        <w:t>Seit dem 26. Dezember 2025 darf CBP alle Nicht-US-Bürger bei Ein- und Ausreise fotografieren (Federal Register, 27. Oktober 2025): Das Foto ist Routine, kein Verdachtsmoment.</w:t>
      </w:r>
    </w:p>
    <w:p w14:paraId="13F400DD" w14:textId="77777777" w:rsidR="001F7233" w:rsidRDefault="00000000">
      <w:pPr>
        <w:spacing w:after="140"/>
      </w:pPr>
      <w:r>
        <w:rPr>
          <w:i/>
          <w:iCs/>
        </w:rPr>
        <w:t>Antworte kurz, ruhig und wahrheitsgemäß auf Englisch, etwa: „I am starting a job as a software engineer at [company name] in Seattle. My H-1B status begins on October 1.“ Falsche Angaben gelten als Täuschung und können eine dauerhafte Einreisesperre nach sich ziehen. ‚Das weiß ich nicht genau‘ ist besser als eine Vermutung. Telefonieren und Fotografieren sind in der Kontrollzone untersagt.</w:t>
      </w:r>
    </w:p>
    <w:p w14:paraId="12D1CF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zweite Kontrolle</w:t>
      </w:r>
    </w:p>
    <w:p w14:paraId="160A1BC8" w14:textId="77777777" w:rsidR="001F7233" w:rsidRDefault="00000000">
      <w:pPr>
        <w:spacing w:after="140"/>
      </w:pPr>
      <w:r>
        <w:t xml:space="preserve">Manchmal schickt dich der Beamte zur </w:t>
      </w:r>
      <w:r>
        <w:rPr>
          <w:i/>
          <w:iCs/>
        </w:rPr>
        <w:t>Secondary Inspection</w:t>
      </w:r>
      <w:r>
        <w:t>, einer ausführlicheren Befragung im Nebenraum. Das ist kein Vorwurf: Gründe sind Stichproben, Namensähnlichkeiten in Datenbanken, unklare Jobangaben oder fehlende Unterlagen. Sie dauert Minuten bis Stunden. Sage der abholenden Person Bescheid und plane keinen knappen Anschluss.</w:t>
      </w:r>
    </w:p>
    <w:p w14:paraId="1CD88F97" w14:textId="77777777" w:rsidR="001F7233" w:rsidRDefault="00000000">
      <w:pPr>
        <w:spacing w:after="140"/>
      </w:pPr>
      <w:r>
        <w:t>Bleibe höflich, antworte wahrheitsgemäß, zeige Genehmigungsbescheid und Arbeitgeberbrief. Der Beamte kann beim Arbeitgeber nachfragen — kündige deine Ankunft an. Nummern von Personalabteilung und Anwalt gehören auf Papier, dein Handy ist in der Kontrolle vielleicht nicht nutzbar.</w:t>
      </w:r>
    </w:p>
    <w:p w14:paraId="3B0955B8" w14:textId="77777777" w:rsidR="001F7233" w:rsidRDefault="00000000">
      <w:pPr>
        <w:spacing w:after="140"/>
      </w:pPr>
      <w:r>
        <w:t>CBP darf Handys und Laptops bei der Einreise durchsehen. Das regelt eine im Januar 2026 neu gefasste Richtlinie (CBP Directive 3340-049B). Verweigert ein Nicht-US-Bürger die Mitwirkung, riskiert er, dass CBP das Gerät einbehält oder die Einreise verweigert. Kläre vorab mit dem Arbeitgeber den Umgang mit vertraulichen Firmendaten auf dem Gerät.</w:t>
      </w:r>
    </w:p>
    <w:p w14:paraId="702A40B8" w14:textId="77777777" w:rsidR="001F7233" w:rsidRDefault="00000000">
      <w:pPr>
        <w:pStyle w:val="Heading3"/>
        <w:keepNext/>
        <w:spacing w:line="341" w:lineRule="auto"/>
        <w:jc w:val="center"/>
      </w:pPr>
      <w:bookmarkStart w:id="53" w:name="idx_I_94"/>
      <w:r>
        <w:rPr>
          <w:rFonts w:ascii="Amazon Ember" w:eastAsia="Amazon Ember" w:hAnsi="Amazon Ember" w:cs="Amazon Ember"/>
          <w:color w:val="0000FF"/>
          <w:sz w:val="36"/>
          <w:szCs w:val="36"/>
        </w:rPr>
        <w:t>Der I-94: Nachweis deines Status</w:t>
      </w:r>
      <w:bookmarkEnd w:id="53"/>
    </w:p>
    <w:p w14:paraId="2001BA9F" w14:textId="77777777" w:rsidR="001F7233" w:rsidRDefault="00000000">
      <w:r>
        <w:rPr>
          <w:b/>
        </w:rPr>
        <w:t xml:space="preserve">MERKE: </w:t>
      </w:r>
    </w:p>
    <w:p w14:paraId="7D612F43" w14:textId="77777777" w:rsidR="001F7233" w:rsidRDefault="00000000">
      <w:r>
        <w:t>• Das Visum im Pass ist nur die Eintrittskarte. Status und Ablaufdatum legt CBP bei der Zulassung fest. Sie stehen im I-94, nicht im Visum.</w:t>
      </w:r>
    </w:p>
    <w:p w14:paraId="145F24D0" w14:textId="77777777" w:rsidR="001F7233" w:rsidRDefault="001F7233">
      <w:pPr>
        <w:spacing w:line="220" w:lineRule="exact"/>
      </w:pPr>
    </w:p>
    <w:p w14:paraId="211402A0" w14:textId="77777777" w:rsidR="001F7233" w:rsidRDefault="00000000">
      <w:pPr>
        <w:spacing w:after="140"/>
      </w:pPr>
      <w:r>
        <w:t xml:space="preserve">Am Flughafen bekommst du meist keinen Papier-I-94: CBP erfasst die Einreise elektronisch. Du rufst den Nachweis selbst ab, auf </w:t>
      </w:r>
      <w:hyperlink r:id="rId310">
        <w:r w:rsidR="001F7233">
          <w:rPr>
            <w:color w:val="0563C1"/>
            <w:u w:val="single"/>
          </w:rPr>
          <w:t>i94.cbp.dhs.gov</w:t>
        </w:r>
      </w:hyperlink>
      <w:r>
        <w:t xml:space="preserve"> unter „Get Most Recent I-94“, mit Name, Geburtsdatum und Passdaten. Speichere das PDF und gib es der Personalabteilung; jedes Familienmitglied hat einen eigenen I-94. Fehlt der Datensatz noch, versuche es nach einigen Stunden erneut.</w:t>
      </w:r>
    </w:p>
    <w:p w14:paraId="17B57D68" w14:textId="77777777" w:rsidR="001F7233" w:rsidRDefault="00000000">
      <w:pPr>
        <w:spacing w:after="140"/>
      </w:pPr>
      <w:r>
        <w:rPr>
          <w:i/>
          <w:iCs/>
        </w:rPr>
        <w:lastRenderedPageBreak/>
        <w:t>Prüfe vier Angaben: Name und Geburtsdatum wie im Pass, Zulassungskategorie (H-1B: H1B, H-4: H4) und Ablaufdatum (Admit Until Date), passend zum Ende des Zeitraums im Bescheid. Namen mit Umlaut oder ß erscheinen in der maschinenlesbaren Passzeile als AE, OE, UE und SS. Achte darauf, dass Sozialversicherungskarte, Führerschein und Bankkonto später dieselbe Schreibweise nutzen.</w:t>
      </w:r>
    </w:p>
    <w:p w14:paraId="2898CAFC" w14:textId="77777777" w:rsidR="001F7233" w:rsidRDefault="00000000">
      <w:r>
        <w:rPr>
          <w:b/>
        </w:rPr>
        <w:t xml:space="preserve">ACHTUNG: </w:t>
      </w:r>
    </w:p>
    <w:p w14:paraId="08AFF4F9" w14:textId="77777777" w:rsidR="001F7233" w:rsidRDefault="00000000">
      <w:r>
        <w:t>• Ein Fehler im I-94 fällt sonst erst bei SSN, Führerschein oder Verlängerung auf. CBP kann ihn in einer Nachprüfungsstelle (Deferred Inspection) am Flughafen korrigieren, meist gebührenfrei. Melde ihn sofort Arbeitgeber und Anwalt.</w:t>
      </w:r>
    </w:p>
    <w:p w14:paraId="6155BC9C" w14:textId="77777777" w:rsidR="001F7233" w:rsidRDefault="001F7233">
      <w:pPr>
        <w:spacing w:line="220" w:lineRule="exact"/>
      </w:pPr>
    </w:p>
    <w:p w14:paraId="3131A9CE" w14:textId="77777777" w:rsidR="001F7233" w:rsidRDefault="001F7233">
      <w:pPr>
        <w:spacing w:line="220" w:lineRule="exact"/>
      </w:pPr>
    </w:p>
    <w:p w14:paraId="594C04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und Bargeld</w:t>
      </w:r>
    </w:p>
    <w:p w14:paraId="544FB33B" w14:textId="77777777" w:rsidR="001F7233" w:rsidRDefault="00000000">
      <w:pPr>
        <w:spacing w:after="140"/>
      </w:pPr>
      <w:r>
        <w:t>Danach folgt die Zollkontrolle; Fragen am Kiosk oder im Formular beantwortest du ehrlich. Frisches Obst und Gemüse, Pflanzen, Erde sowie Fleisch- und Wurstwaren darfst du nicht oder nur mit Genehmigung einführen. Im Zweifel gib sie an. Ein Agrar-Spürhund am Gepäckband interessiert sich mitunter mehr für die vergessene Mandarine in deiner Jackentasche als du für den gesamten Rückflug. Nimm es ihm nicht übel, er tut nur seinen Job. Bargeld, Reiseschecks und Inhaberpapiere von zusammen mehr als 10.000 $ meldest du mit dem Formular FinCEN 105. Die Anmeldung ist legal, Verschweigen führt zu Beschlagnahme und Strafe.</w:t>
      </w:r>
    </w:p>
    <w:p w14:paraId="109BC3AA" w14:textId="77777777" w:rsidR="001F7233" w:rsidRDefault="00000000">
      <w:pPr>
        <w:spacing w:after="140"/>
      </w:pPr>
      <w:r>
        <w:t>Gebrauchte persönliche Sachen, mindestens ein Jahr im Ausland genutzt, kommen zollfrei ins Land. Neuware im Koffer kann zollpflichtig sein. Den Container behandelt Kapitel </w:t>
      </w:r>
      <w:hyperlink w:anchor="k20">
        <w:r w:rsidR="001F7233">
          <w:t>20</w:t>
        </w:r>
      </w:hyperlink>
      <w:r>
        <w:t>.</w:t>
      </w:r>
    </w:p>
    <w:p w14:paraId="42AE13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Nacht: Unterkunft, Transport, Mietwagen</w:t>
      </w:r>
    </w:p>
    <w:p w14:paraId="2B2CC938" w14:textId="77777777" w:rsidR="001F7233" w:rsidRDefault="00000000">
      <w:pPr>
        <w:spacing w:after="140"/>
      </w:pPr>
      <w:r>
        <w:t>Buche die ersten Nächte im Voraus, mit kostenloser Stornierung. Eine Wohnung mietest du besser vor Ort (Kapitel </w:t>
      </w:r>
      <w:hyperlink w:anchor="k13">
        <w:r w:rsidR="001F7233">
          <w:t>13</w:t>
        </w:r>
      </w:hyperlink>
      <w:r>
        <w:t xml:space="preserve">). Für die Übergangszeit eignen sich Hotel, Extended-Stay-Hotel mit Küche oder </w:t>
      </w:r>
      <w:r>
        <w:rPr>
          <w:i/>
          <w:iCs/>
        </w:rPr>
        <w:t>Corporate Housing</w:t>
      </w:r>
      <w:r>
        <w:t xml:space="preserve"> (möblierte Wohnungen auf Zeit) — eine 1BR (Zweizimmerwohnung) kostet dort laut Anbietern 2026 rund 3.300 $ im Monat. Manche Arbeitgeber übernehmen die ersten Wochen im Relocation-Paket; frage danach vor der Unterschrift. Wie andere Umzugsleistungen ist das meist steuerpflichtiger Lohn (Kapitel </w:t>
      </w:r>
      <w:hyperlink w:anchor="k28">
        <w:r w:rsidR="001F7233">
          <w:t>28</w:t>
        </w:r>
      </w:hyperlink>
      <w:r>
        <w:t>).</w:t>
      </w:r>
    </w:p>
    <w:p w14:paraId="703023C9" w14:textId="77777777" w:rsidR="001F7233" w:rsidRDefault="00000000">
      <w:pPr>
        <w:spacing w:after="140"/>
      </w:pPr>
      <w:r>
        <w:t>Vom Flughafen fährst du mit Taxi, Fahrdienst (</w:t>
      </w:r>
      <w:r>
        <w:rPr>
          <w:i/>
          <w:iCs/>
        </w:rPr>
        <w:t>Rideshare</w:t>
      </w:r>
      <w:r>
        <w:t>, etwa Uber oder Lyft) oder Nahverkehr. Nutze nur ausgeschilderte Taxistände oder die App am offiziellen Abholpunkt, nie Angebote in der Ankunftshalle.</w:t>
      </w:r>
    </w:p>
    <w:p w14:paraId="01D9C9F0" w14:textId="77777777" w:rsidR="001F7233" w:rsidRDefault="00000000">
      <w:pPr>
        <w:spacing w:after="140"/>
      </w:pPr>
      <w:r>
        <w:t>In Detroit, Phoenix oder Houston brauchst du bald ein Auto, in Seattle, Boston oder New York oft nicht (Kapitel </w:t>
      </w:r>
      <w:hyperlink w:anchor="k27">
        <w:r w:rsidR="001F7233">
          <w:t>27</w:t>
        </w:r>
      </w:hyperlink>
      <w:r>
        <w:t>). Mietwagenfirmen verlangen eine Kreditkarte auf den Namen des Fahrers, blockieren eine Kaution und verlangen unter 25 Jahren meist Zuschläge. Dein deutscher Führerschein genügt laut Auswärtigem Amt für Mietwagen bis zu einem Jahr. Den Internationalen Führerschein führst du trotzdem mit, in einigen Staaten ist er Pflicht. Kläre vor der Unterschrift Haftpflicht- und Kaskodeckung. Kindersitze sind vorgeschrieben; die Regeln setzt jeder Bundesstaat.</w:t>
      </w:r>
    </w:p>
    <w:p w14:paraId="1B24AFAA" w14:textId="77777777" w:rsidR="001F7233" w:rsidRDefault="00000000">
      <w:pPr>
        <w:spacing w:after="140"/>
      </w:pPr>
      <w:r>
        <w:t>Fahre nach dem Nachtflug nicht sofort selbst: Ein ausgeruhter zweiter Tag ist sicherer.</w:t>
      </w:r>
    </w:p>
    <w:p w14:paraId="6973DE6E" w14:textId="77777777" w:rsidR="001F7233" w:rsidRDefault="00000000">
      <w:r>
        <w:rPr>
          <w:b/>
        </w:rPr>
        <w:t xml:space="preserve">SPARTIPP: </w:t>
      </w:r>
    </w:p>
    <w:p w14:paraId="1D29125B" w14:textId="77777777" w:rsidR="001F7233" w:rsidRDefault="00000000">
      <w:r>
        <w:t>• Mietwagen in der Stadt statt am Flughafen sparen oft Flughafenzuschläge. In Städten mit gutem Nahverkehr mietest du nur für die Wochenenden der Wohnungssuche.</w:t>
      </w:r>
    </w:p>
    <w:p w14:paraId="4BB1F238" w14:textId="77777777" w:rsidR="001F7233" w:rsidRDefault="001F7233">
      <w:pPr>
        <w:spacing w:line="220" w:lineRule="exact"/>
      </w:pPr>
    </w:p>
    <w:p w14:paraId="04A61A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und Geld</w:t>
      </w:r>
    </w:p>
    <w:p w14:paraId="73639BA2" w14:textId="77777777" w:rsidR="001F7233" w:rsidRDefault="00000000">
      <w:pPr>
        <w:spacing w:after="140"/>
      </w:pPr>
      <w:r>
        <w:t>Deutsche Tarife haben in den USA kein EU-Roaming. Prüfe deshalb vor dem Abflug die Datenkosten. Besser: eine eSIM (digitale SIM) mit US-Datenpaket, schon vor dem Flug eingerichtet, oder eine Prepaid-SIM vom Flughafen. Neuere europäische Smartphones unterstützen die meisten US-Netze. Bei älteren prüfst du Frequenzbänder und SIM-Lock. Ein Laufzeitvertrag verlangt meist SSN und Bonitätsprüfung oder Kaution, Prepaid nicht (Kapitel </w:t>
      </w:r>
      <w:hyperlink w:anchor="k25">
        <w:r w:rsidR="001F7233">
          <w:t>25</w:t>
        </w:r>
      </w:hyperlink>
      <w:r>
        <w:t>). Behalte deine deutsche Nummer als Zweit-SIM für SMS-Codes der Bank.</w:t>
      </w:r>
    </w:p>
    <w:p w14:paraId="4F569621" w14:textId="77777777" w:rsidR="001F7233" w:rsidRDefault="00000000">
      <w:pPr>
        <w:spacing w:after="140"/>
      </w:pPr>
      <w:r>
        <w:t>Die klassische Girocard funktioniert in den USA meist nicht. Für Hotelkaution und Mietwagen brauchst du ohnehin eine Visa- oder Mastercard-Kreditkarte. Bezahle am Terminal in Dollar, nicht in Euro — die Terminal-Umrechnung ist meist teurer. Etwa 200–300 $ in kleinen Scheinen decken Trinkgeld und Kleinigkeiten (Kapitel </w:t>
      </w:r>
      <w:hyperlink w:anchor="k31">
        <w:r w:rsidR="001F7233">
          <w:t>31</w:t>
        </w:r>
      </w:hyperlink>
      <w:r>
        <w:t>). Ein Konto eröffnest du in den ersten Tagen (Kapitel </w:t>
      </w:r>
      <w:hyperlink w:anchor="k25">
        <w:r w:rsidR="001F7233">
          <w:t>25</w:t>
        </w:r>
      </w:hyperlink>
      <w:r>
        <w:t>).</w:t>
      </w:r>
    </w:p>
    <w:p w14:paraId="47CA48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Jetlag</w:t>
      </w:r>
    </w:p>
    <w:p w14:paraId="36511DC2" w14:textId="77777777" w:rsidR="001F7233" w:rsidRDefault="00000000">
      <w:pPr>
        <w:spacing w:after="140"/>
      </w:pPr>
      <w:r>
        <w:t>Die Zeitverschiebung beträgt nach Detroit, Boston oder Raleigh 6 Stunden, nach Texas 7, nach Seattle 9. In der Woche zwischen den Zeitumstellungen Ende Oktober und Anfang November eine Stunde weniger. Nach Westen fällt der Jetlag meist leichter, der Tag wird länger. Kinder wachen in den ersten Nächten trotzdem oft hungrig um 3 Uhr auf. Was hilft: sofort auf Ortszeit umstellen, nachmittags an die frische Luft, bis zum lokalen Abend wach bleiben, Snacks und Wasser am Bett.</w:t>
      </w:r>
    </w:p>
    <w:p w14:paraId="60EF6A13" w14:textId="77777777" w:rsidR="001F7233" w:rsidRDefault="00000000">
      <w:pPr>
        <w:spacing w:after="140"/>
      </w:pPr>
      <w:r>
        <w:t>Plane für den zweiten Vormittag keine festen Termine. Schulanmeldung und Kita gehören nicht in die ersten 72 Stunden (Kapitel </w:t>
      </w:r>
      <w:hyperlink w:anchor="k36">
        <w:r w:rsidR="001F7233">
          <w:t>36</w:t>
        </w:r>
      </w:hyperlink>
      <w:r>
        <w:t>). Sprich vor dem Abflug mit dem Kinderarzt, bevor du Schlafmittel oder Melatonin gibst. Reist ein Elternteil allein mit den Kindern, hilft eine englische Einverständniserklärung des anderen.</w:t>
      </w:r>
    </w:p>
    <w:p w14:paraId="5BC549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Notruf 911</w:t>
      </w:r>
    </w:p>
    <w:p w14:paraId="3AA16ADF" w14:textId="77777777" w:rsidR="001F7233" w:rsidRDefault="00000000">
      <w:pPr>
        <w:spacing w:after="140"/>
      </w:pPr>
      <w:r>
        <w:t>Der Notruf für Polizei, Feuerwehr und Rettungsdienst lautet in den USA 911, eine Nummer statt 110 und 112. Er funktioniert von jedem Handy, auch ohne SIM-Karte und Guthaben. Die Leitstelle fragt zuerst nach dem Ort: Speichere die Adresse deiner Unterkunft im Handy. Brauchst du einen Dolmetscher, sage „German, please“; viele Leitstellen schalten einen zu. Textnachrichten an 911 sind nicht überall möglich, im Zweifel rufe an. Ohne Lebensgefahr: in vielen Städten die 311, bei Vergiftungen die Poison Help unter 1-800-222-1222.</w:t>
      </w:r>
    </w:p>
    <w:p w14:paraId="5D8DCFC4" w14:textId="77777777" w:rsidR="001F7233" w:rsidRDefault="00000000">
      <w:pPr>
        <w:spacing w:after="140"/>
      </w:pPr>
      <w:r>
        <w:t>Bei Fieber, Verstauchung oder Infekt ist meist eine Walk-in-Klinik (</w:t>
      </w:r>
      <w:r>
        <w:rPr>
          <w:i/>
          <w:iCs/>
        </w:rPr>
        <w:t>Urgent Care</w:t>
      </w:r>
      <w:r>
        <w:t>) richtig, nicht der Rettungswagen (Kapitel </w:t>
      </w:r>
      <w:hyperlink w:anchor="k26">
        <w:r w:rsidR="001F7233">
          <w:t>26</w:t>
        </w:r>
      </w:hyperlink>
      <w:r>
        <w:t>). Deine Auslandskrankenversicherung sollte ab der Landung gelten, bis die Versicherung des Arbeitgebers beginnt (Kapitel </w:t>
      </w:r>
      <w:hyperlink w:anchor="k18">
        <w:r w:rsidR="001F7233">
          <w:t>18</w:t>
        </w:r>
      </w:hyperlink>
      <w:r>
        <w:t>).</w:t>
      </w:r>
    </w:p>
    <w:p w14:paraId="24687B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Erste Besorgungen</w:t>
      </w:r>
    </w:p>
    <w:p w14:paraId="5755D907" w14:textId="77777777" w:rsidR="001F7233" w:rsidRDefault="00000000">
      <w:pPr>
        <w:spacing w:after="140"/>
      </w:pPr>
      <w:r>
        <w:t>Für die ersten Tage reicht ein Einkauf im Supermarkt oder Drogeriemarkt: Wasser, Frühstück, Snacks, Toilettenartikel. Ladegeräte mit dem Aufdruck 100–240 V laufen mit Adapter an der US-Steckdose (120 V, Typ A/B). Föhn, Wasserkocher und Toaster aus Deutschland laufen so nicht (Kapitel </w:t>
      </w:r>
      <w:hyperlink w:anchor="k21">
        <w:r w:rsidR="001F7233">
          <w:t>21</w:t>
        </w:r>
      </w:hyperlink>
      <w:r>
        <w:t>). Preisschilder nennen den Preis ohne Verkaufssteuer (</w:t>
      </w:r>
      <w:r>
        <w:rPr>
          <w:i/>
          <w:iCs/>
        </w:rPr>
        <w:t>Sales Tax</w:t>
      </w:r>
      <w:r>
        <w:t>), die erst an der Kasse dazukommt (Kapitel </w:t>
      </w:r>
      <w:hyperlink w:anchor="k31">
        <w:r w:rsidR="001F7233">
          <w:t>31</w:t>
        </w:r>
      </w:hyperlink>
      <w:r>
        <w:t>).</w:t>
      </w:r>
    </w:p>
    <w:p w14:paraId="1373B5FD" w14:textId="77777777" w:rsidR="001F7233" w:rsidRDefault="00000000">
      <w:pPr>
        <w:spacing w:after="140"/>
      </w:pPr>
      <w:r>
        <w:t xml:space="preserve">In der Apotheke heißt Paracetamol </w:t>
      </w:r>
      <w:r>
        <w:rPr>
          <w:i/>
          <w:iCs/>
        </w:rPr>
        <w:t>Acetaminophen</w:t>
      </w:r>
      <w:r>
        <w:t xml:space="preserve"> (Marke Tylenol), Ibuprofen gibt es als Advil oder Motrin; für Kinder gibt es eigene Präparate mit Dosierung nach Gewicht — lass dich beraten. Betten und Möbel: Kapitel </w:t>
      </w:r>
      <w:hyperlink w:anchor="k21">
        <w:r w:rsidR="001F7233">
          <w:t>21</w:t>
        </w:r>
      </w:hyperlink>
      <w:r>
        <w:t>.</w:t>
      </w:r>
    </w:p>
    <w:p w14:paraId="59197995" w14:textId="77777777" w:rsidR="001F7233" w:rsidRDefault="00000000">
      <w:pPr>
        <w:spacing w:after="140"/>
      </w:pPr>
      <w:r>
        <w:t xml:space="preserve">Verbreiteter Irrtum: Viele suchen in den ersten Tagen reflexhaft nach dem amerikanischen Pendant zum Einwohnermeldeamt. Es gibt keins. Ziehst du aus der Übergangsunterkunft in die Wohnung, </w:t>
      </w:r>
      <w:r>
        <w:lastRenderedPageBreak/>
        <w:t>meldest du die neue Adresse stattdessen binnen 10 Tagen mit dem Formular AR-11 an USCIS (</w:t>
      </w:r>
      <w:hyperlink r:id="rId311">
        <w:r w:rsidR="001F7233">
          <w:rPr>
            <w:color w:val="0563C1"/>
            <w:u w:val="single"/>
          </w:rPr>
          <w:t>uscis.gov/ar-11</w:t>
        </w:r>
      </w:hyperlink>
      <w:r>
        <w:t>).</w:t>
      </w:r>
    </w:p>
    <w:p w14:paraId="415A3E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Onboarding beim Arbeitgeber: I-9, W-4, Direktüberweisung</w:t>
      </w:r>
    </w:p>
    <w:p w14:paraId="3E23E5EA" w14:textId="77777777" w:rsidR="001F7233" w:rsidRDefault="00000000">
      <w:pPr>
        <w:spacing w:after="140"/>
      </w:pPr>
      <w:r>
        <w:t>Am ersten Arbeitstag unterschreibst du einen Stapel Papiere; drei Formulare sind entscheidend.</w:t>
      </w:r>
    </w:p>
    <w:p w14:paraId="02382524" w14:textId="77777777" w:rsidR="001F7233" w:rsidRDefault="00000000">
      <w:pPr>
        <w:spacing w:after="140"/>
      </w:pPr>
      <w:r>
        <w:rPr>
          <w:b/>
          <w:bCs/>
        </w:rPr>
        <w:t>Form I-9. Mit ihr bestätigt der Arbeitgeber, dass du arbeiten darfst. Du füllst Abschnitt 1 spätestens am ersten Arbeitstag aus, der Arbeitgeber prüft in Abschnitt 2 innerhalb von drei Werktagen deine Originaldokumente. Als H-1B-Inhaber legst du meist Reisepass und I-94 vor.</w:t>
      </w:r>
    </w:p>
    <w:p w14:paraId="3EF59578" w14:textId="77777777" w:rsidR="001F7233" w:rsidRDefault="00000000">
      <w:pPr>
        <w:spacing w:after="140"/>
      </w:pPr>
      <w:r>
        <w:t>Welches zulässige Dokument du zeigst, entscheidest du selbst; der Arbeitgeber darf keins vorschreiben. Die aktuelle Ausgabe trägt das Datum 01/20/25, zugelassen bis 31. Mai 2027 (USCIS). Bringe Originale, keine Kopien.</w:t>
      </w:r>
    </w:p>
    <w:p w14:paraId="6E73E9B2" w14:textId="77777777" w:rsidR="001F7233" w:rsidRDefault="00000000">
      <w:pPr>
        <w:spacing w:after="140"/>
      </w:pPr>
      <w:r>
        <w:rPr>
          <w:b/>
          <w:bCs/>
        </w:rPr>
        <w:t>Form W-4.</w:t>
      </w:r>
      <w:r>
        <w:t xml:space="preserve"> Mit der </w:t>
      </w:r>
      <w:r>
        <w:rPr>
          <w:i/>
          <w:iCs/>
        </w:rPr>
        <w:t>Form W-4</w:t>
      </w:r>
      <w:r>
        <w:t xml:space="preserve"> (Employee’s Withholding Certificate) legst du fest, wie viel Bundeseinkommensteuer der Arbeitgeber einbehält. Für Neuankömmlinge ist das heikel: Dein steuerlicher Status als Ansässiger oder Nichtansässiger verändert das Ausfüllen. Frage die Lohnbuchhaltung (</w:t>
      </w:r>
      <w:r>
        <w:rPr>
          <w:i/>
          <w:iCs/>
        </w:rPr>
        <w:t>Payroll</w:t>
      </w:r>
      <w:r>
        <w:t>) und lies Kapitel </w:t>
      </w:r>
      <w:hyperlink w:anchor="k28">
        <w:r w:rsidR="001F7233">
          <w:t>28</w:t>
        </w:r>
      </w:hyperlink>
      <w:r>
        <w:t xml:space="preserve"> vor der Unterschrift. Fehlt die SSN noch, ist das am ersten Tag normal. Sage der Personalabteilung, dass du sie beantragst (Kapitel </w:t>
      </w:r>
      <w:hyperlink w:anchor="k24">
        <w:r w:rsidR="001F7233">
          <w:t>24</w:t>
        </w:r>
      </w:hyperlink>
      <w:r>
        <w:t>).</w:t>
      </w:r>
    </w:p>
    <w:p w14:paraId="6FD93EFB" w14:textId="77777777" w:rsidR="001F7233" w:rsidRDefault="00000000">
      <w:pPr>
        <w:spacing w:after="140"/>
      </w:pPr>
      <w:r>
        <w:rPr>
          <w:b/>
          <w:bCs/>
        </w:rPr>
        <w:t>Direktüberweisung.</w:t>
      </w:r>
      <w:r>
        <w:t xml:space="preserve"> Die meisten Arbeitgeber zahlen per </w:t>
      </w:r>
      <w:r>
        <w:rPr>
          <w:i/>
          <w:iCs/>
        </w:rPr>
        <w:t>Direct Deposit</w:t>
      </w:r>
      <w:r>
        <w:t>: Du nennst Bank, Routing Number (neunstellige Bankkennung) und Account Number (Kontonummer). Ohne Konto frage nach Scheck oder Lohnkarte. Das erste Gehalt kommt je nach Rhythmus oft erst zwei bis vier Wochen nach Start; plane Rücklagen ein. Für die Krankenversicherung gilt meist eine Anmeldefrist von rund 30 Tagen (Kapitel </w:t>
      </w:r>
      <w:hyperlink w:anchor="k26">
        <w:r w:rsidR="001F7233">
          <w:t>26</w:t>
        </w:r>
      </w:hyperlink>
      <w:r>
        <w:t>).</w:t>
      </w:r>
    </w:p>
    <w:p w14:paraId="7C5223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Betrugsmaschen für Neuankömmlinge</w:t>
      </w:r>
    </w:p>
    <w:p w14:paraId="763B5DAD" w14:textId="77777777" w:rsidR="001F7233" w:rsidRDefault="00000000">
      <w:pPr>
        <w:spacing w:after="140"/>
      </w:pPr>
      <w:r>
        <w:t>Wer neu ist, kennt weder Behörden noch Abläufe. Das nutzen Betrüger. Vier Muster kehren immer wieder:</w:t>
      </w:r>
    </w:p>
    <w:p w14:paraId="5E859BAC" w14:textId="77777777" w:rsidR="001F7233" w:rsidRDefault="00000000">
      <w:pPr>
        <w:pStyle w:val="ListParagraph"/>
        <w:numPr>
          <w:ilvl w:val="0"/>
          <w:numId w:val="1"/>
        </w:numPr>
        <w:spacing w:after="60"/>
      </w:pPr>
      <w:r>
        <w:rPr>
          <w:b/>
          <w:bCs/>
        </w:rPr>
        <w:t>Traumwohnung aus der Ferne:</w:t>
      </w:r>
      <w:r>
        <w:t xml:space="preserve"> günstig, Vermieter angeblich im Ausland, Kaution vorab per Überweisung, Zelle oder Geschenkkarte, keine Besichtigung (Kapitel </w:t>
      </w:r>
      <w:hyperlink w:anchor="k13">
        <w:r w:rsidR="001F7233">
          <w:t>13</w:t>
        </w:r>
      </w:hyperlink>
      <w:r>
        <w:t>).</w:t>
      </w:r>
    </w:p>
    <w:p w14:paraId="46B20FFE" w14:textId="77777777" w:rsidR="001F7233" w:rsidRDefault="00000000">
      <w:pPr>
        <w:pStyle w:val="ListParagraph"/>
        <w:numPr>
          <w:ilvl w:val="0"/>
          <w:numId w:val="1"/>
        </w:numPr>
        <w:spacing w:after="60"/>
      </w:pPr>
      <w:r>
        <w:rPr>
          <w:b/>
          <w:bCs/>
        </w:rPr>
        <w:t>Anruf einer Behörde: Angebliche IRS-, SSA- oder USCIS-Beamte drohen mit Festnahme, Abschiebung oder gesperrter SSN und verlangen sofortige Zahlung. Diese Behörden fordern nie Zahlung per Geschenkkarte, Kryptowährung oder an Privatpersonen. Lege auf und suche die Nummer selbst auf der offiziellen Website.</w:t>
      </w:r>
    </w:p>
    <w:p w14:paraId="381C5C70" w14:textId="77777777" w:rsidR="001F7233" w:rsidRDefault="00000000">
      <w:pPr>
        <w:pStyle w:val="ListParagraph"/>
        <w:numPr>
          <w:ilvl w:val="0"/>
          <w:numId w:val="1"/>
        </w:numPr>
        <w:spacing w:after="60"/>
      </w:pPr>
      <w:r>
        <w:rPr>
          <w:b/>
          <w:bCs/>
        </w:rPr>
        <w:t>Fake-Jobmail:</w:t>
      </w:r>
      <w:r>
        <w:t xml:space="preserve"> Ein „Arbeitgeber“ schickt einen Scheck für Büroausstattung, du überweist den Überschuss zurück, der Scheck platzt. Mails „der Personalabteilung“, die vorab Passkopie und Bankdaten wollen, prüfst du über eine bekannte Telefonnummer.</w:t>
      </w:r>
    </w:p>
    <w:p w14:paraId="3313145F" w14:textId="77777777" w:rsidR="001F7233" w:rsidRDefault="00000000">
      <w:pPr>
        <w:pStyle w:val="ListParagraph"/>
        <w:numPr>
          <w:ilvl w:val="0"/>
          <w:numId w:val="1"/>
        </w:numPr>
        <w:spacing w:after="60"/>
      </w:pPr>
      <w:r>
        <w:t xml:space="preserve">Visa-Berater und Zoll-SMS: Rechtsrat zum Einwanderungsrecht dürfen nur zugelassene Anwälte oder akkreditierte Vertreter geben; Formulare gibt es kostenlos bei </w:t>
      </w:r>
      <w:hyperlink r:id="rId312">
        <w:r w:rsidR="001F7233">
          <w:rPr>
            <w:color w:val="0563C1"/>
            <w:u w:val="single"/>
          </w:rPr>
          <w:t>uscis.gov</w:t>
        </w:r>
      </w:hyperlink>
      <w:r>
        <w:t>. Auch „Dein Container hängt im Zoll, zahle jetzt“ ist Betrug.</w:t>
      </w:r>
    </w:p>
    <w:p w14:paraId="7E0158A0" w14:textId="77777777" w:rsidR="001F7233" w:rsidRDefault="001F7233">
      <w:pPr>
        <w:spacing w:line="120" w:lineRule="exact"/>
      </w:pPr>
    </w:p>
    <w:p w14:paraId="14B1E358" w14:textId="77777777" w:rsidR="001F7233" w:rsidRDefault="00000000">
      <w:r>
        <w:rPr>
          <w:b/>
        </w:rPr>
        <w:t xml:space="preserve">ACHTUNG: </w:t>
      </w:r>
    </w:p>
    <w:p w14:paraId="076B6C22" w14:textId="77777777" w:rsidR="001F7233" w:rsidRDefault="00000000">
      <w:r>
        <w:t>• Betrüger arbeiten mit Zeitdruck. Zahle nie sofort und nie per Geschenkkarte, Zelle oder Kryptowährung an Fremde; solche Zahlungen lassen sich meist nicht zurückholen (</w:t>
      </w:r>
      <w:hyperlink w:anchor="k25">
        <w:r w:rsidR="001F7233">
          <w:rPr>
            <w:color w:val="0563C1"/>
            <w:u w:val="single"/>
          </w:rPr>
          <w:t>Kapitel 25</w:t>
        </w:r>
      </w:hyperlink>
      <w:r>
        <w:t xml:space="preserve">). Melde Betrugsversuche auf </w:t>
      </w:r>
      <w:hyperlink r:id="rId313">
        <w:r w:rsidR="001F7233">
          <w:rPr>
            <w:color w:val="0563C1"/>
            <w:u w:val="single"/>
          </w:rPr>
          <w:t>reportfraud.ftc.gov</w:t>
        </w:r>
      </w:hyperlink>
      <w:r>
        <w:t>.</w:t>
      </w:r>
    </w:p>
    <w:p w14:paraId="3F1FFA91" w14:textId="77777777" w:rsidR="001F7233" w:rsidRDefault="001F7233">
      <w:pPr>
        <w:spacing w:line="220" w:lineRule="exact"/>
      </w:pPr>
    </w:p>
    <w:p w14:paraId="48DC58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72 Stunden als Stundenplan</w:t>
      </w:r>
    </w:p>
    <w:p w14:paraId="483EFFAE" w14:textId="77777777" w:rsidR="001F7233" w:rsidRDefault="00000000">
      <w:r>
        <w:rPr>
          <w:b/>
        </w:rPr>
        <w:t>0–2 Stunden</w:t>
      </w:r>
    </w:p>
    <w:p w14:paraId="33E38EDA" w14:textId="77777777" w:rsidR="001F7233" w:rsidRDefault="00000000">
      <w:r>
        <w:rPr>
          <w:b/>
        </w:rPr>
        <w:t xml:space="preserve">Aufgabe: </w:t>
      </w:r>
      <w:r>
        <w:t>Passkontrolle, Gepäck, Zoll</w:t>
      </w:r>
    </w:p>
    <w:p w14:paraId="3BEC1677" w14:textId="77777777" w:rsidR="001F7233" w:rsidRDefault="00000000">
      <w:r>
        <w:rPr>
          <w:b/>
        </w:rPr>
        <w:lastRenderedPageBreak/>
        <w:t xml:space="preserve">Worauf du achtest: </w:t>
      </w:r>
      <w:r>
        <w:t>Papiere griffbereit, kurze wahre Antworten</w:t>
      </w:r>
    </w:p>
    <w:p w14:paraId="6B26A1D4" w14:textId="77777777" w:rsidR="001F7233" w:rsidRDefault="00000000">
      <w:r>
        <w:rPr>
          <w:b/>
        </w:rPr>
        <w:t xml:space="preserve">Mehr dazu: </w:t>
      </w:r>
      <w:r>
        <w:t>–</w:t>
      </w:r>
    </w:p>
    <w:p w14:paraId="441B309C" w14:textId="77777777" w:rsidR="001F7233" w:rsidRDefault="00000000">
      <w:r>
        <w:rPr>
          <w:b/>
        </w:rPr>
        <w:t>2–4 Stunden</w:t>
      </w:r>
    </w:p>
    <w:p w14:paraId="6224AE68" w14:textId="77777777" w:rsidR="001F7233" w:rsidRDefault="00000000">
      <w:r>
        <w:rPr>
          <w:b/>
        </w:rPr>
        <w:t xml:space="preserve">Aufgabe: </w:t>
      </w:r>
      <w:r>
        <w:t>Fahrt zur Unterkunft, eSIM aktivieren, Familie und Personalabteilung informieren</w:t>
      </w:r>
    </w:p>
    <w:p w14:paraId="3443AE8A" w14:textId="77777777" w:rsidR="001F7233" w:rsidRDefault="00000000">
      <w:r>
        <w:rPr>
          <w:b/>
        </w:rPr>
        <w:t xml:space="preserve">Worauf du achtest: </w:t>
      </w:r>
      <w:r>
        <w:t>Offizielles Taxi oder App</w:t>
      </w:r>
    </w:p>
    <w:p w14:paraId="238BA70C" w14:textId="77777777" w:rsidR="001F7233" w:rsidRDefault="00000000">
      <w:r>
        <w:rPr>
          <w:b/>
        </w:rPr>
        <w:t xml:space="preserve">Mehr dazu: </w:t>
      </w:r>
      <w:hyperlink w:anchor="k25">
        <w:r w:rsidR="001F7233">
          <w:rPr>
            <w:rStyle w:val="Hyperlink"/>
          </w:rPr>
          <w:t>Kapitel 25</w:t>
        </w:r>
      </w:hyperlink>
    </w:p>
    <w:p w14:paraId="3F9432B4" w14:textId="77777777" w:rsidR="001F7233" w:rsidRDefault="00000000">
      <w:r>
        <w:rPr>
          <w:b/>
        </w:rPr>
        <w:t>4–8 Stunden</w:t>
      </w:r>
    </w:p>
    <w:p w14:paraId="3369F7D6" w14:textId="77777777" w:rsidR="001F7233" w:rsidRDefault="00000000">
      <w:r>
        <w:rPr>
          <w:b/>
        </w:rPr>
        <w:t xml:space="preserve">Aufgabe: </w:t>
      </w:r>
      <w:r>
        <w:t>I-94 abrufen und prüfen, leichtes Abendessen, bis etwa 21 Uhr Ortszeit wach bleiben</w:t>
      </w:r>
    </w:p>
    <w:p w14:paraId="03559B6C" w14:textId="77777777" w:rsidR="001F7233" w:rsidRDefault="00000000">
      <w:r>
        <w:rPr>
          <w:b/>
        </w:rPr>
        <w:t xml:space="preserve">Worauf du achtest: </w:t>
      </w:r>
      <w:r>
        <w:t>Fehler sofort melden</w:t>
      </w:r>
    </w:p>
    <w:p w14:paraId="06382713" w14:textId="77777777" w:rsidR="001F7233" w:rsidRDefault="00000000">
      <w:r>
        <w:rPr>
          <w:b/>
        </w:rPr>
        <w:t xml:space="preserve">Mehr dazu: </w:t>
      </w:r>
      <w:r>
        <w:t>–</w:t>
      </w:r>
    </w:p>
    <w:p w14:paraId="333FB728" w14:textId="77777777" w:rsidR="001F7233" w:rsidRDefault="00000000">
      <w:r>
        <w:rPr>
          <w:b/>
        </w:rPr>
        <w:t>8–24 Stunden</w:t>
      </w:r>
    </w:p>
    <w:p w14:paraId="2E62364D" w14:textId="77777777" w:rsidR="001F7233" w:rsidRDefault="00000000">
      <w:r>
        <w:rPr>
          <w:b/>
        </w:rPr>
        <w:t xml:space="preserve">Aufgabe: </w:t>
      </w:r>
      <w:r>
        <w:t>Schlafen, Frühstück, Basiseinkauf</w:t>
      </w:r>
    </w:p>
    <w:p w14:paraId="08C9E75E" w14:textId="77777777" w:rsidR="001F7233" w:rsidRDefault="00000000">
      <w:r>
        <w:rPr>
          <w:b/>
        </w:rPr>
        <w:t xml:space="preserve">Worauf du achtest: </w:t>
      </w:r>
      <w:r>
        <w:t>Keine großen Entscheidungen</w:t>
      </w:r>
    </w:p>
    <w:p w14:paraId="44BDA7E3" w14:textId="77777777" w:rsidR="001F7233" w:rsidRDefault="00000000">
      <w:r>
        <w:rPr>
          <w:b/>
        </w:rPr>
        <w:t xml:space="preserve">Mehr dazu: </w:t>
      </w:r>
      <w:hyperlink w:anchor="k35">
        <w:r w:rsidR="001F7233">
          <w:rPr>
            <w:rStyle w:val="Hyperlink"/>
          </w:rPr>
          <w:t>Kapitel 35</w:t>
        </w:r>
      </w:hyperlink>
    </w:p>
    <w:p w14:paraId="3ADE85C8" w14:textId="77777777" w:rsidR="001F7233" w:rsidRDefault="00000000">
      <w:r>
        <w:rPr>
          <w:b/>
        </w:rPr>
        <w:t>24–36 Stunden</w:t>
      </w:r>
    </w:p>
    <w:p w14:paraId="05BF2D17" w14:textId="77777777" w:rsidR="001F7233" w:rsidRDefault="00000000">
      <w:r>
        <w:rPr>
          <w:b/>
        </w:rPr>
        <w:t xml:space="preserve">Aufgabe: </w:t>
      </w:r>
      <w:r>
        <w:t>Bank, SSN-Termin planen, Mietwagen abholen</w:t>
      </w:r>
    </w:p>
    <w:p w14:paraId="12318042" w14:textId="77777777" w:rsidR="001F7233" w:rsidRDefault="00000000">
      <w:r>
        <w:rPr>
          <w:b/>
        </w:rPr>
        <w:t xml:space="preserve">Worauf du achtest: </w:t>
      </w:r>
      <w:r>
        <w:t>Originale und I-94 mitnehmen</w:t>
      </w:r>
    </w:p>
    <w:p w14:paraId="10122099" w14:textId="77777777" w:rsidR="001F7233" w:rsidRDefault="00000000">
      <w:r>
        <w:rPr>
          <w:b/>
        </w:rPr>
        <w:t xml:space="preserve">Mehr dazu: </w:t>
      </w:r>
      <w:hyperlink w:anchor="k24">
        <w:r w:rsidR="001F7233">
          <w:rPr>
            <w:rStyle w:val="Hyperlink"/>
          </w:rPr>
          <w:t>Kapitel 24</w:t>
        </w:r>
      </w:hyperlink>
      <w:r>
        <w:t>, 25, 27</w:t>
      </w:r>
    </w:p>
    <w:p w14:paraId="22793F09" w14:textId="77777777" w:rsidR="001F7233" w:rsidRDefault="00000000">
      <w:r>
        <w:rPr>
          <w:b/>
        </w:rPr>
        <w:t>36–48 Stunden</w:t>
      </w:r>
    </w:p>
    <w:p w14:paraId="2074119D" w14:textId="77777777" w:rsidR="001F7233" w:rsidRDefault="00000000">
      <w:r>
        <w:rPr>
          <w:b/>
        </w:rPr>
        <w:t xml:space="preserve">Aufgabe: </w:t>
      </w:r>
      <w:r>
        <w:t>Wohnungen und Arbeitsweg ansehen</w:t>
      </w:r>
    </w:p>
    <w:p w14:paraId="1FD4899B" w14:textId="77777777" w:rsidR="001F7233" w:rsidRDefault="00000000">
      <w:r>
        <w:rPr>
          <w:b/>
        </w:rPr>
        <w:t xml:space="preserve">Worauf du achtest: </w:t>
      </w:r>
      <w:r>
        <w:t>Nichts anzahlen vor Besichtigung und Vertrag</w:t>
      </w:r>
    </w:p>
    <w:p w14:paraId="37AFC36B" w14:textId="77777777" w:rsidR="001F7233" w:rsidRDefault="00000000">
      <w:r>
        <w:rPr>
          <w:b/>
        </w:rPr>
        <w:t xml:space="preserve">Mehr dazu: </w:t>
      </w:r>
      <w:hyperlink w:anchor="k13">
        <w:r w:rsidR="001F7233">
          <w:rPr>
            <w:rStyle w:val="Hyperlink"/>
          </w:rPr>
          <w:t>Kapitel 13</w:t>
        </w:r>
      </w:hyperlink>
    </w:p>
    <w:p w14:paraId="6CE8BDFB" w14:textId="77777777" w:rsidR="001F7233" w:rsidRDefault="00000000">
      <w:r>
        <w:rPr>
          <w:b/>
        </w:rPr>
        <w:t>48–60 Stunden</w:t>
      </w:r>
    </w:p>
    <w:p w14:paraId="37CD256B" w14:textId="77777777" w:rsidR="001F7233" w:rsidRDefault="00000000">
      <w:r>
        <w:rPr>
          <w:b/>
        </w:rPr>
        <w:t xml:space="preserve">Aufgabe: </w:t>
      </w:r>
      <w:r>
        <w:t>Onboarding vorbereiten: I-9-Originale, Bankdaten, W-4-Fragen</w:t>
      </w:r>
    </w:p>
    <w:p w14:paraId="54214E9D" w14:textId="77777777" w:rsidR="001F7233" w:rsidRDefault="00000000">
      <w:r>
        <w:rPr>
          <w:b/>
        </w:rPr>
        <w:t xml:space="preserve">Worauf du achtest: </w:t>
      </w:r>
      <w:r>
        <w:t>Startdatum und ersten Termin bestätigen</w:t>
      </w:r>
    </w:p>
    <w:p w14:paraId="1CD1C796" w14:textId="77777777" w:rsidR="001F7233" w:rsidRDefault="00000000">
      <w:r>
        <w:rPr>
          <w:b/>
        </w:rPr>
        <w:t xml:space="preserve">Mehr dazu: </w:t>
      </w:r>
      <w:hyperlink w:anchor="k28">
        <w:r w:rsidR="001F7233">
          <w:rPr>
            <w:rStyle w:val="Hyperlink"/>
          </w:rPr>
          <w:t>Kapitel 28</w:t>
        </w:r>
      </w:hyperlink>
    </w:p>
    <w:p w14:paraId="36E28435" w14:textId="77777777" w:rsidR="001F7233" w:rsidRDefault="00000000">
      <w:r>
        <w:rPr>
          <w:b/>
        </w:rPr>
        <w:t>60–72 Stunden</w:t>
      </w:r>
    </w:p>
    <w:p w14:paraId="2AF6C05E" w14:textId="77777777" w:rsidR="001F7233" w:rsidRDefault="00000000">
      <w:r>
        <w:rPr>
          <w:b/>
        </w:rPr>
        <w:t xml:space="preserve">Aufgabe: </w:t>
      </w:r>
      <w:r>
        <w:t>Urgent Care, Kinderarzt, Apotheke heraussuchen; Wochenplan</w:t>
      </w:r>
    </w:p>
    <w:p w14:paraId="573EAB31" w14:textId="77777777" w:rsidR="001F7233" w:rsidRDefault="00000000">
      <w:r>
        <w:rPr>
          <w:b/>
        </w:rPr>
        <w:t xml:space="preserve">Worauf du achtest: </w:t>
      </w:r>
      <w:r>
        <w:t>Versicherung womöglich noch nicht aktiv</w:t>
      </w:r>
    </w:p>
    <w:p w14:paraId="1A3A56DD" w14:textId="77777777" w:rsidR="001F7233" w:rsidRDefault="00000000">
      <w:r>
        <w:rPr>
          <w:b/>
        </w:rPr>
        <w:t xml:space="preserve">Mehr dazu: </w:t>
      </w:r>
      <w:hyperlink w:anchor="k26">
        <w:r w:rsidR="001F7233">
          <w:rPr>
            <w:rStyle w:val="Hyperlink"/>
          </w:rPr>
          <w:t>Kapitel 26</w:t>
        </w:r>
      </w:hyperlink>
    </w:p>
    <w:p w14:paraId="4B230A84" w14:textId="77777777" w:rsidR="001F7233" w:rsidRDefault="001F7233">
      <w:pPr>
        <w:spacing w:line="180" w:lineRule="exact"/>
      </w:pPr>
    </w:p>
    <w:p w14:paraId="1A5746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Landung, Einreise und die ersten 72 Stunden</w:t>
      </w:r>
    </w:p>
    <w:p w14:paraId="213AEFA3" w14:textId="77777777" w:rsidR="001F7233" w:rsidRDefault="00000000">
      <w:r>
        <w:rPr>
          <w:b/>
        </w:rPr>
        <w:t xml:space="preserve">Plus: </w:t>
      </w:r>
      <w:r>
        <w:t>Bewertet wird, so früh wie erlaubt zu landen – bis zu 10 Tage vor dem Startdatum.</w:t>
      </w:r>
    </w:p>
    <w:p w14:paraId="6D07F436" w14:textId="77777777" w:rsidR="001F7233" w:rsidRDefault="00000000">
      <w:r>
        <w:rPr>
          <w:b/>
        </w:rPr>
        <w:t>Plus: Zeit für Jetlag, Bank und Besichtigungen ohne Arbeitsdruck</w:t>
      </w:r>
    </w:p>
    <w:p w14:paraId="6530BE11" w14:textId="77777777" w:rsidR="001F7233" w:rsidRDefault="00000000">
      <w:r>
        <w:rPr>
          <w:b/>
        </w:rPr>
        <w:t xml:space="preserve">Minus: </w:t>
      </w:r>
      <w:r>
        <w:t>Kein Gehalt vor dem Startdatum, arbeiten darfst du noch nicht</w:t>
      </w:r>
    </w:p>
    <w:p w14:paraId="19F87529" w14:textId="77777777" w:rsidR="001F7233" w:rsidRDefault="00000000">
      <w:r>
        <w:rPr>
          <w:b/>
        </w:rPr>
        <w:t>Plus: Puffer bei Flugausfall oder zweiter Kontrolle</w:t>
      </w:r>
    </w:p>
    <w:p w14:paraId="6BB35758" w14:textId="77777777" w:rsidR="001F7233" w:rsidRDefault="00000000">
      <w:r>
        <w:rPr>
          <w:b/>
        </w:rPr>
        <w:t xml:space="preserve">Minus: </w:t>
      </w:r>
      <w:r>
        <w:t>Mehr Tage für Unterkunft und Mietwagen</w:t>
      </w:r>
    </w:p>
    <w:p w14:paraId="5A2AC6AD" w14:textId="77777777" w:rsidR="001F7233" w:rsidRDefault="00000000">
      <w:r>
        <w:rPr>
          <w:b/>
        </w:rPr>
        <w:t>Plus: Zeit, den I-94 zu prüfen und Fehler zu korrigieren</w:t>
      </w:r>
    </w:p>
    <w:p w14:paraId="3614B07E" w14:textId="77777777" w:rsidR="001F7233" w:rsidRDefault="00000000">
      <w:r>
        <w:rPr>
          <w:b/>
        </w:rPr>
        <w:t xml:space="preserve">Minus: </w:t>
      </w:r>
      <w:r>
        <w:t>Doppelte Kosten, solange Wohnung und Job in Deutschland laufen</w:t>
      </w:r>
    </w:p>
    <w:p w14:paraId="52C39CDA" w14:textId="77777777" w:rsidR="001F7233" w:rsidRDefault="00000000">
      <w:r>
        <w:rPr>
          <w:b/>
        </w:rPr>
        <w:t>Plus: Wohnung persönlich statt nach Fotos besichtigen (</w:t>
      </w:r>
      <w:hyperlink w:anchor="k13">
        <w:r w:rsidR="001F7233">
          <w:rPr>
            <w:rStyle w:val="Hyperlink"/>
            <w:b/>
          </w:rPr>
          <w:t>Kapitel 13</w:t>
        </w:r>
      </w:hyperlink>
      <w:r>
        <w:rPr>
          <w:b/>
        </w:rPr>
        <w:t>)</w:t>
      </w:r>
    </w:p>
    <w:p w14:paraId="3565312F" w14:textId="77777777" w:rsidR="001F7233" w:rsidRDefault="00000000">
      <w:r>
        <w:rPr>
          <w:b/>
        </w:rPr>
        <w:t xml:space="preserve">Minus: </w:t>
      </w:r>
      <w:r>
        <w:t>Wer den frühesten Landetag verrechnet, riskiert die Zurückweisung</w:t>
      </w:r>
    </w:p>
    <w:p w14:paraId="061CB7B0" w14:textId="77777777" w:rsidR="001F7233" w:rsidRDefault="00000000">
      <w:r>
        <w:rPr>
          <w:b/>
        </w:rPr>
        <w:t>Plus: Kinder erholen sich vor dem Start</w:t>
      </w:r>
    </w:p>
    <w:p w14:paraId="16BF85B9" w14:textId="77777777" w:rsidR="001F7233" w:rsidRDefault="00000000">
      <w:r>
        <w:rPr>
          <w:b/>
        </w:rPr>
        <w:t xml:space="preserve">Minus: </w:t>
      </w:r>
      <w:r>
        <w:t>Leerlauf, wenn die Familie noch getrennt ist</w:t>
      </w:r>
    </w:p>
    <w:p w14:paraId="4C79D92E" w14:textId="77777777" w:rsidR="001F7233" w:rsidRDefault="001F7233">
      <w:pPr>
        <w:spacing w:line="180" w:lineRule="exact"/>
      </w:pPr>
    </w:p>
    <w:p w14:paraId="798DA4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9F77C26" w14:textId="77777777" w:rsidR="001F7233" w:rsidRDefault="00000000">
      <w:pPr>
        <w:spacing w:after="140"/>
      </w:pPr>
      <w:r>
        <w:t>Lege den Landetag anhand des Von-Datums im Genehmigungsbescheid fest, packe die Handgepäckmappe und richte vor dem Abflug die eSIM ein. Am Ankunftstag zählen nur drei Dinge: Einreise, I-94 abrufen, schlafen.</w:t>
      </w:r>
    </w:p>
    <w:p w14:paraId="3662A26F" w14:textId="77777777" w:rsidR="001F7233" w:rsidRDefault="00000000">
      <w:r>
        <w:t>• Landetag festgelegt (frühestens 10 Tage vor dem Von-Datum im Bescheid)</w:t>
      </w:r>
    </w:p>
    <w:p w14:paraId="00FE53FF" w14:textId="77777777" w:rsidR="001F7233" w:rsidRDefault="00000000">
      <w:r>
        <w:t>• Handgepäckmappe gepackt: Pässe mit Visum, Bescheid im Original, Arbeitgeberbrief, Urkunden, Impfausweise</w:t>
      </w:r>
    </w:p>
    <w:p w14:paraId="37E8FEAE" w14:textId="77777777" w:rsidR="001F7233" w:rsidRDefault="00000000">
      <w:r>
        <w:lastRenderedPageBreak/>
        <w:t>• Digitale Kopien in der Cloud, Nummern von Personalabteilung und Anwalt auf Papier</w:t>
      </w:r>
    </w:p>
    <w:p w14:paraId="007F3707" w14:textId="77777777" w:rsidR="001F7233" w:rsidRDefault="00000000">
      <w:r>
        <w:t>• Erste Unterkunft für mindestens fünf Nächte mit Stornierungsoption gebucht, Transfer geplant</w:t>
      </w:r>
    </w:p>
    <w:p w14:paraId="2B6EB001" w14:textId="77777777" w:rsidR="001F7233" w:rsidRDefault="00000000">
      <w:r>
        <w:t>• eSIM oder Prepaid-SIM eingerichtet, deutsche Nummer als Zweit-SIM behalten</w:t>
      </w:r>
    </w:p>
    <w:p w14:paraId="5062F380" w14:textId="77777777" w:rsidR="001F7233" w:rsidRDefault="00000000">
      <w:r>
        <w:t>• Kreditkarte dabei, 200–300 $ Bargeld, insgesamt unter 10.000 $</w:t>
      </w:r>
    </w:p>
    <w:p w14:paraId="7F24525F" w14:textId="77777777" w:rsidR="001F7233" w:rsidRDefault="00000000">
      <w:r>
        <w:t>• Am Ankunftstag den I-94 jedes Familienmitglieds abgerufen, geprüft und gesichert</w:t>
      </w:r>
    </w:p>
    <w:p w14:paraId="2F78F901" w14:textId="77777777" w:rsidR="001F7233" w:rsidRDefault="00000000">
      <w:r>
        <w:t>• 911 und Adresse der Unterkunft im Handy, Auslandskrankenversicherung gilt ab Landung</w:t>
      </w:r>
    </w:p>
    <w:p w14:paraId="4EF563D1" w14:textId="77777777" w:rsidR="001F7233" w:rsidRDefault="00000000">
      <w:r>
        <w:t>• Originale für die Form I-9 und Bankdaten für das Gehalt bereitgelegt</w:t>
      </w:r>
    </w:p>
    <w:p w14:paraId="37033B91" w14:textId="77777777" w:rsidR="001F7233" w:rsidRDefault="00000000">
      <w:r>
        <w:t>• Erste Termine gebucht: Bank, SSN-Antrag, Wohnungsbesichtigungen</w:t>
      </w:r>
    </w:p>
    <w:p w14:paraId="12110012" w14:textId="77777777" w:rsidR="001F7233" w:rsidRDefault="001F7233">
      <w:pPr>
        <w:spacing w:line="220" w:lineRule="exact"/>
      </w:pPr>
    </w:p>
    <w:p w14:paraId="313C76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79DBC8A" w14:textId="77777777" w:rsidR="001F7233" w:rsidRDefault="00000000">
      <w:pPr>
        <w:pStyle w:val="ListParagraph"/>
        <w:numPr>
          <w:ilvl w:val="0"/>
          <w:numId w:val="1"/>
        </w:numPr>
        <w:spacing w:after="60"/>
      </w:pPr>
      <w:r>
        <w:t>CBP — Einreise und Einreisenachweis I-94 (</w:t>
      </w:r>
      <w:hyperlink r:id="rId314">
        <w:r w:rsidR="001F7233">
          <w:rPr>
            <w:color w:val="0563C1"/>
            <w:u w:val="single"/>
          </w:rPr>
          <w:t>cbp.gov/travel/international-visitors/i-94</w:t>
        </w:r>
      </w:hyperlink>
      <w:r>
        <w:t>)</w:t>
      </w:r>
    </w:p>
    <w:p w14:paraId="795703D9" w14:textId="77777777" w:rsidR="001F7233" w:rsidRDefault="00000000">
      <w:pPr>
        <w:pStyle w:val="ListParagraph"/>
        <w:numPr>
          <w:ilvl w:val="0"/>
          <w:numId w:val="1"/>
        </w:numPr>
        <w:spacing w:after="60"/>
      </w:pPr>
      <w:r>
        <w:t>CBP — Abruf des elektronischen I-94 (</w:t>
      </w:r>
      <w:hyperlink r:id="rId315">
        <w:r w:rsidR="001F7233">
          <w:rPr>
            <w:color w:val="0563C1"/>
            <w:u w:val="single"/>
          </w:rPr>
          <w:t>i94.cbp.dhs.gov</w:t>
        </w:r>
      </w:hyperlink>
      <w:r>
        <w:t>)</w:t>
      </w:r>
    </w:p>
    <w:p w14:paraId="1A3B96A4" w14:textId="77777777" w:rsidR="001F7233" w:rsidRDefault="00000000">
      <w:pPr>
        <w:pStyle w:val="ListParagraph"/>
        <w:numPr>
          <w:ilvl w:val="0"/>
          <w:numId w:val="1"/>
        </w:numPr>
        <w:spacing w:after="60"/>
      </w:pPr>
      <w:r>
        <w:t>Federal Register — Biometrieregel bei Ein- und Ausreise, 27. Oktober 2025 (</w:t>
      </w:r>
      <w:hyperlink r:id="rId316">
        <w:r w:rsidR="001F7233">
          <w:rPr>
            <w:color w:val="0563C1"/>
            <w:u w:val="single"/>
          </w:rPr>
          <w:t>federalregister.gov/d/2025-19655</w:t>
        </w:r>
      </w:hyperlink>
      <w:r>
        <w:t>)</w:t>
      </w:r>
    </w:p>
    <w:p w14:paraId="7B0EE053" w14:textId="77777777" w:rsidR="001F7233" w:rsidRDefault="00000000">
      <w:pPr>
        <w:pStyle w:val="ListParagraph"/>
        <w:numPr>
          <w:ilvl w:val="0"/>
          <w:numId w:val="1"/>
        </w:numPr>
        <w:spacing w:after="60"/>
      </w:pPr>
      <w:r>
        <w:t>USCIS — Form I-9 (</w:t>
      </w:r>
      <w:hyperlink r:id="rId317">
        <w:r w:rsidR="001F7233">
          <w:rPr>
            <w:color w:val="0563C1"/>
            <w:u w:val="single"/>
          </w:rPr>
          <w:t>uscis.gov/i-9</w:t>
        </w:r>
      </w:hyperlink>
      <w:r>
        <w:t>)</w:t>
      </w:r>
    </w:p>
    <w:p w14:paraId="04C0CCB0" w14:textId="77777777" w:rsidR="001F7233" w:rsidRDefault="00000000">
      <w:pPr>
        <w:pStyle w:val="ListParagraph"/>
        <w:numPr>
          <w:ilvl w:val="0"/>
          <w:numId w:val="1"/>
        </w:numPr>
        <w:spacing w:after="60"/>
      </w:pPr>
      <w:r>
        <w:t>IRS — Form W-4 (</w:t>
      </w:r>
      <w:hyperlink r:id="rId318">
        <w:r w:rsidR="001F7233">
          <w:rPr>
            <w:color w:val="0563C1"/>
            <w:u w:val="single"/>
          </w:rPr>
          <w:t>irs.gov/forms-pubs/about-form-w-4</w:t>
        </w:r>
      </w:hyperlink>
      <w:r>
        <w:t>)</w:t>
      </w:r>
    </w:p>
    <w:p w14:paraId="73792B37" w14:textId="77777777" w:rsidR="001F7233" w:rsidRDefault="00000000">
      <w:pPr>
        <w:pStyle w:val="ListParagraph"/>
        <w:numPr>
          <w:ilvl w:val="0"/>
          <w:numId w:val="1"/>
        </w:numPr>
        <w:spacing w:after="60"/>
      </w:pPr>
      <w:r>
        <w:t>Federal Trade Commission — Betrug melden (</w:t>
      </w:r>
      <w:hyperlink r:id="rId319">
        <w:r w:rsidR="001F7233">
          <w:rPr>
            <w:color w:val="0563C1"/>
            <w:u w:val="single"/>
          </w:rPr>
          <w:t>reportfraud.ftc.gov</w:t>
        </w:r>
      </w:hyperlink>
      <w:r>
        <w:t>)</w:t>
      </w:r>
    </w:p>
    <w:p w14:paraId="0A7BCE6D" w14:textId="77777777" w:rsidR="001F7233" w:rsidRDefault="00000000">
      <w:pPr>
        <w:pStyle w:val="ListParagraph"/>
        <w:numPr>
          <w:ilvl w:val="0"/>
          <w:numId w:val="1"/>
        </w:numPr>
        <w:spacing w:after="60"/>
      </w:pPr>
      <w:r>
        <w:t>Deutsche Botschaft und Konsulate in den USA — Hilfe im Notfall (</w:t>
      </w:r>
      <w:hyperlink r:id="rId320">
        <w:r w:rsidR="001F7233">
          <w:rPr>
            <w:color w:val="0563C1"/>
            <w:u w:val="single"/>
          </w:rPr>
          <w:t>germany.info</w:t>
        </w:r>
      </w:hyperlink>
      <w:r>
        <w:t>)</w:t>
      </w:r>
    </w:p>
    <w:p w14:paraId="4AAADF5F" w14:textId="77777777" w:rsidR="001F7233" w:rsidRDefault="001F7233">
      <w:pPr>
        <w:spacing w:line="120" w:lineRule="exact"/>
      </w:pPr>
    </w:p>
    <w:p w14:paraId="18482D0F" w14:textId="77777777" w:rsidR="001F7233" w:rsidRDefault="00000000">
      <w:r>
        <w:t xml:space="preserve">• Quellen- und Datenstand: September 2026; Redaktionsschluss: Oktober 2026. Diese Angaben ändern sich schnell: Kontroll- und Biometriepraxis von CBP (Regel seit 26. Dezember 2025, </w:t>
      </w:r>
      <w:r>
        <w:lastRenderedPageBreak/>
        <w:t>Geräterichtlinie seit Januar 2026), Ausgabe der Form I-9 (aktuell 01/20/25, zugelassen bis 31. Mai 2027), Preise für Unterkunft, Mietwagen und Mobilfunk sowie die H-1B-Regeln (</w:t>
      </w:r>
      <w:hyperlink w:anchor="k5">
        <w:r w:rsidR="001F7233">
          <w:t>Kapitel 5</w:t>
        </w:r>
      </w:hyperlink>
      <w:r>
        <w:t xml:space="preserve"> und 11). Prüfe vor dem Abflug cbp.gov und die Reisehinweise des Auswärtigen Amts.</w:t>
      </w:r>
    </w:p>
    <w:p w14:paraId="23F5615B" w14:textId="77777777" w:rsidR="001F7233" w:rsidRDefault="001F7233">
      <w:pPr>
        <w:spacing w:line="220" w:lineRule="exact"/>
      </w:pPr>
    </w:p>
    <w:p w14:paraId="17A4AFC9" w14:textId="77777777" w:rsidR="001F7233" w:rsidRDefault="00000000">
      <w:pPr>
        <w:pStyle w:val="Heading3"/>
      </w:pPr>
      <w:r>
        <w:t>Selective Service und Wahlregistrierung: zwei verschiedene Dinge</w:t>
      </w:r>
    </w:p>
    <w:p w14:paraId="23F86FB0" w14:textId="77777777" w:rsidR="001F7233" w:rsidRDefault="00000000">
      <w:r>
        <w:t xml:space="preserve">In den USA müssen grundsätzlich männliche US-Staatsbürger und männliche Einwanderer mit Wohnsitz in den USA zwischen 18 und 25 Jahren bei Selective Service registriert sein; es gibt Ausnahmen. Wer sich mit einem gültigen Nichteinwanderungsvisum rechtmäßig im Land aufhält, ist laut offizieller Übersicht grundsätzlich ausgenommen; Daueraufenthaltsberechtigte, Geflüchtete und Asylberechtigte in diesem Alter sind dagegen in der Regel registrierungspflichtig. Prüfe die aktuelle offizielle Falltabelle und registriere dich rechtzeitig. Die Registrierung ist keine Einberufung und kein Eintritt in die Streitkräfte. Davon getrennt ist die Wahlregistrierung: Sie ist freiwillig und setzt grundsätzlich Wahlberechtigung voraus. Nicht-US-Staatsbürger dürfen grundsätzlich nicht an Bundes- und Staatswahlen teilnehmen; wenige lokale Ausnahmen können abweichen. Eine Parteizugehörigkeit musst du nicht wählen; ob sie für Vorwahlen wichtig ist, hängt vom Bundesstaat ab. </w:t>
      </w:r>
      <w:hyperlink r:id="rId321">
        <w:r w:rsidR="001F7233">
          <w:rPr>
            <w:color w:val="0563C1"/>
            <w:u w:val="single"/>
          </w:rPr>
          <w:t>Selective Service: Wer registrieren muss</w:t>
        </w:r>
      </w:hyperlink>
      <w:r>
        <w:t xml:space="preserve"> </w:t>
      </w:r>
      <w:hyperlink r:id="rId322">
        <w:r w:rsidR="001F7233">
          <w:rPr>
            <w:color w:val="0563C1"/>
            <w:u w:val="single"/>
          </w:rPr>
          <w:t>Selective Service: FAQ</w:t>
        </w:r>
      </w:hyperlink>
      <w:r>
        <w:t xml:space="preserve"> </w:t>
      </w:r>
      <w:hyperlink r:id="rId323">
        <w:r w:rsidR="001F7233">
          <w:rPr>
            <w:color w:val="0563C1"/>
            <w:u w:val="single"/>
          </w:rPr>
          <w:t>USAGov: Wer wählen darf</w:t>
        </w:r>
      </w:hyperlink>
      <w:r>
        <w:t xml:space="preserve"> </w:t>
      </w:r>
      <w:hyperlink r:id="rId324">
        <w:r w:rsidR="001F7233">
          <w:rPr>
            <w:color w:val="0563C1"/>
            <w:u w:val="single"/>
          </w:rPr>
          <w:t>USAGov: Parteiangabe und Vorwahlen</w:t>
        </w:r>
      </w:hyperlink>
      <w:r>
        <w:br w:type="page"/>
      </w:r>
    </w:p>
    <w:p w14:paraId="0CE17939" w14:textId="77777777" w:rsidR="001F7233" w:rsidRDefault="00000000">
      <w:pPr>
        <w:pStyle w:val="Heading2"/>
        <w:keepNext/>
        <w:spacing w:line="341" w:lineRule="auto"/>
        <w:jc w:val="center"/>
      </w:pPr>
      <w:bookmarkStart w:id="54" w:name="k24"/>
      <w:r>
        <w:rPr>
          <w:rFonts w:ascii="Amazon Ember" w:eastAsia="Amazon Ember" w:hAnsi="Amazon Ember" w:cs="Amazon Ember"/>
          <w:color w:val="0000FF"/>
          <w:sz w:val="36"/>
          <w:szCs w:val="36"/>
        </w:rPr>
        <w:lastRenderedPageBreak/>
        <w:t>Kapitel 24: Die Social Security Number (SSN) und die ITIN</w:t>
      </w:r>
      <w:bookmarkEnd w:id="54"/>
    </w:p>
    <w:p w14:paraId="40F441B8" w14:textId="77777777" w:rsidR="001F7233" w:rsidRDefault="00000000">
      <w:pPr>
        <w:spacing w:after="140"/>
      </w:pPr>
      <w:r>
        <w:rPr>
          <w:i/>
          <w:iCs/>
        </w:rPr>
        <w:t>Am ersten Arbeitstag schiebt dir die Personalabteilung ein Formular hin und fragt nach einer neunstelligen Zahl, die du vielleicht noch gar nicht hast: der Social Security Number (SSN), der Sozialversicherungsnummer. Ohne sie läuft trotzdem schon vieles an – Job, Wohnungssuche, Handyvertrag –, nur eben mit Umwegen. Dieses Kapitel zeigt, wer eine SSN bekommt und wie du sie beantragst. Es zeigt auch, wie du die ersten Wochen ohne sie überstehst und wann stattdessen eine ITIN reicht.</w:t>
      </w:r>
    </w:p>
    <w:p w14:paraId="758A0AA7" w14:textId="77777777" w:rsidR="001F7233" w:rsidRDefault="00000000">
      <w:r>
        <w:rPr>
          <w:b/>
        </w:rPr>
        <w:t xml:space="preserve">KURZ GESAGT: </w:t>
      </w:r>
    </w:p>
    <w:p w14:paraId="4BC7AE90" w14:textId="77777777" w:rsidR="001F7233" w:rsidRDefault="00000000">
      <w:r>
        <w:t>• Die SSN beantragst du mit Formular SS-5, meist persönlich im Büro der Sozialversicherungsbehörde SSA, frühestens 10 Tage nach der Einreise.</w:t>
      </w:r>
    </w:p>
    <w:p w14:paraId="4680BAEE" w14:textId="77777777" w:rsidR="001F7233" w:rsidRDefault="00000000">
      <w:r>
        <w:t>• Ob du eine SSN bekommst, hängt vom Visumstatus ab: Hauptantragsteller bei H-1B, L-1, E-2, O-1 und J-1 ja, mitreisende Familienmitglieder oft nur mit eigener Arbeitserlaubnis.</w:t>
      </w:r>
    </w:p>
    <w:p w14:paraId="53901686" w14:textId="77777777" w:rsidR="001F7233" w:rsidRDefault="00000000">
      <w:r>
        <w:t>• Bank, Handy, Wohnung und Strom funktionieren auch ohne SSN – mit anderen Nachweisen.</w:t>
      </w:r>
    </w:p>
    <w:p w14:paraId="59BCF941" w14:textId="77777777" w:rsidR="001F7233" w:rsidRDefault="00000000">
      <w:r>
        <w:t>• Wer keine SSN bekommt, etwa ein Ehepartner mit H-4 ohne Arbeitserlaubnis, braucht für die Steuererklärung eine ITIN (Formular W-7).</w:t>
      </w:r>
    </w:p>
    <w:p w14:paraId="41B32601" w14:textId="77777777" w:rsidR="001F7233" w:rsidRDefault="00000000">
      <w:r>
        <w:t>• Schütze die SSN wie ein Passwort: Credit Freeze und IRS-Identitätsschutz-PIN verhindern, dass Fremde sie missbrauchen.</w:t>
      </w:r>
    </w:p>
    <w:p w14:paraId="10C5C3B7" w14:textId="77777777" w:rsidR="001F7233" w:rsidRDefault="001F7233">
      <w:pPr>
        <w:spacing w:line="220" w:lineRule="exact"/>
      </w:pPr>
    </w:p>
    <w:p w14:paraId="0DF204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SSN ist und wofür du sie brauchst</w:t>
      </w:r>
    </w:p>
    <w:p w14:paraId="18A9EF03" w14:textId="77777777" w:rsidR="001F7233" w:rsidRDefault="00000000">
      <w:pPr>
        <w:spacing w:after="140"/>
      </w:pPr>
      <w:r>
        <w:rPr>
          <w:i/>
          <w:iCs/>
        </w:rPr>
        <w:t>Die SSN wurde 1936 eingeführt, um Beiträge zur gesetzlichen Rente zu verfolgen. Heute ist sie weit mehr: Arbeitgeber brauchen sie für Lohnsteuer und Meldung an die Sozialversicherung, Banken und Kreditkartenfirmen für die Bonitätsprüfung, Vermieter oft für den Credit Report (die US-Schufa-Auskunft). Ohne sie öffnet außerdem keine Behörde ein Konto bei my Social Security. Kaum ein Formular in den ersten Monaten kommt ohne diese eine Zahl aus. Die Nummer besteht aus neun Ziffern (Format XXX-XX-XXXX), ausgegeben von der SSA.</w:t>
      </w:r>
    </w:p>
    <w:p w14:paraId="4A4306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SSN, Steuer-ID und Rentenversicherungsnummer</w:t>
      </w:r>
    </w:p>
    <w:p w14:paraId="0852CB7F" w14:textId="77777777" w:rsidR="001F7233" w:rsidRDefault="00000000">
      <w:pPr>
        <w:spacing w:after="140"/>
      </w:pPr>
      <w:r>
        <w:rPr>
          <w:i/>
          <w:iCs/>
        </w:rPr>
        <w:t>Verbreiteter Irrtum: Die SSN sei so etwas wie die amerikanische Steuer-ID, nur mit anderem Namen. Tatsächlich steckt mehr dahinter. Für deutsche Neuankömmlinge ist die SSN gewöhnungsbedürftig, weil Deutschland aus Datenschutzgründen bewusst kein einheitliches Personenkennzeichen hat. Die elfstellige Steuerliche Identifikationsnummer (Steuer-ID) und die zwölfstellige Rentenversicherungsnummer sind getrennte Systeme mit getrenntem Zweck. Die SSN vereint beide Rollen und wird auch als praktischer Generalausweis für Kredit, Miete und Handy genutzt. Genau das macht sie in den USA so nützlich und ihren Missbrauch so folgenreich.</w:t>
      </w:r>
    </w:p>
    <w:p w14:paraId="6B55743E" w14:textId="77777777" w:rsidR="001F7233" w:rsidRDefault="00000000">
      <w:r>
        <w:rPr>
          <w:b/>
        </w:rPr>
        <w:t>Vergeben von</w:t>
      </w:r>
    </w:p>
    <w:p w14:paraId="485955B3" w14:textId="77777777" w:rsidR="001F7233" w:rsidRDefault="00000000">
      <w:r>
        <w:rPr>
          <w:b/>
        </w:rPr>
        <w:t xml:space="preserve">SSN (USA): </w:t>
      </w:r>
      <w:r>
        <w:t>Sozialversicherungs</w:t>
      </w:r>
      <w:r>
        <w:t>behörde SSA</w:t>
      </w:r>
    </w:p>
    <w:p w14:paraId="26399284" w14:textId="77777777" w:rsidR="001F7233" w:rsidRDefault="00000000">
      <w:r>
        <w:rPr>
          <w:b/>
        </w:rPr>
        <w:t xml:space="preserve">Steuer-ID (DE): </w:t>
      </w:r>
      <w:r>
        <w:t>Bundeszentralamt für Steuern</w:t>
      </w:r>
    </w:p>
    <w:p w14:paraId="09B6874E" w14:textId="77777777" w:rsidR="001F7233" w:rsidRDefault="00000000">
      <w:r>
        <w:rPr>
          <w:b/>
        </w:rPr>
        <w:t xml:space="preserve">Rentenversicherungsnr. (DE): </w:t>
      </w:r>
      <w:r>
        <w:t>Deutsche Rentenversicherung</w:t>
      </w:r>
    </w:p>
    <w:p w14:paraId="3A717B66" w14:textId="77777777" w:rsidR="001F7233" w:rsidRDefault="00000000">
      <w:r>
        <w:rPr>
          <w:b/>
        </w:rPr>
        <w:t>Zweck</w:t>
      </w:r>
    </w:p>
    <w:p w14:paraId="2E97DD82" w14:textId="77777777" w:rsidR="001F7233" w:rsidRDefault="00000000">
      <w:r>
        <w:rPr>
          <w:b/>
        </w:rPr>
        <w:lastRenderedPageBreak/>
        <w:t xml:space="preserve">SSN (USA): </w:t>
      </w:r>
      <w:r>
        <w:t>Sozialversicherung, Steuer, Arbeitsnachweis, faktisch auch Bonität</w:t>
      </w:r>
    </w:p>
    <w:p w14:paraId="13199BD2" w14:textId="77777777" w:rsidR="001F7233" w:rsidRDefault="00000000">
      <w:r>
        <w:rPr>
          <w:b/>
        </w:rPr>
        <w:t xml:space="preserve">Steuer-ID (DE): </w:t>
      </w:r>
      <w:r>
        <w:t>nur Steuerverfahren</w:t>
      </w:r>
    </w:p>
    <w:p w14:paraId="587B87BA" w14:textId="77777777" w:rsidR="001F7233" w:rsidRDefault="00000000">
      <w:r>
        <w:rPr>
          <w:b/>
        </w:rPr>
        <w:t xml:space="preserve">Rentenversicherungsnr. (DE): </w:t>
      </w:r>
      <w:r>
        <w:t>nur gesetzliche Rentenversicherung</w:t>
      </w:r>
    </w:p>
    <w:p w14:paraId="1612CC81" w14:textId="77777777" w:rsidR="001F7233" w:rsidRDefault="00000000">
      <w:r>
        <w:rPr>
          <w:b/>
        </w:rPr>
        <w:t>Format</w:t>
      </w:r>
    </w:p>
    <w:p w14:paraId="6A3C33D9" w14:textId="77777777" w:rsidR="001F7233" w:rsidRDefault="00000000">
      <w:r>
        <w:rPr>
          <w:b/>
        </w:rPr>
        <w:t xml:space="preserve">SSN (USA): </w:t>
      </w:r>
      <w:r>
        <w:t>neun Ziffern</w:t>
      </w:r>
    </w:p>
    <w:p w14:paraId="229DF482" w14:textId="77777777" w:rsidR="001F7233" w:rsidRDefault="00000000">
      <w:r>
        <w:rPr>
          <w:b/>
        </w:rPr>
        <w:t xml:space="preserve">Steuer-ID (DE): </w:t>
      </w:r>
      <w:r>
        <w:t>elf Ziffern</w:t>
      </w:r>
    </w:p>
    <w:p w14:paraId="20B9EF8D" w14:textId="77777777" w:rsidR="001F7233" w:rsidRDefault="00000000">
      <w:r>
        <w:rPr>
          <w:b/>
        </w:rPr>
        <w:t xml:space="preserve">Rentenversicherungsnr. (DE): </w:t>
      </w:r>
      <w:r>
        <w:t>zwölf Zeichen (Bereich, Geburtsdatum, Buchstabe, Prüfziffern)</w:t>
      </w:r>
    </w:p>
    <w:p w14:paraId="1827C346" w14:textId="77777777" w:rsidR="001F7233" w:rsidRDefault="00000000">
      <w:r>
        <w:rPr>
          <w:b/>
        </w:rPr>
        <w:t>Wird verlangt bei</w:t>
      </w:r>
    </w:p>
    <w:p w14:paraId="487B201B" w14:textId="77777777" w:rsidR="001F7233" w:rsidRDefault="00000000">
      <w:r>
        <w:rPr>
          <w:b/>
        </w:rPr>
        <w:t xml:space="preserve">SSN (USA): </w:t>
      </w:r>
      <w:r>
        <w:t>Job, Bank, Kredit, Miete, Handy, Versicherung</w:t>
      </w:r>
    </w:p>
    <w:p w14:paraId="368B972F" w14:textId="77777777" w:rsidR="001F7233" w:rsidRDefault="00000000">
      <w:r>
        <w:rPr>
          <w:b/>
        </w:rPr>
        <w:t xml:space="preserve">Steuer-ID (DE): </w:t>
      </w:r>
      <w:r>
        <w:t>Finanzamt, Arbeitgeber, Kindergeldkasse</w:t>
      </w:r>
    </w:p>
    <w:p w14:paraId="2433A4B7" w14:textId="77777777" w:rsidR="001F7233" w:rsidRDefault="00000000">
      <w:r>
        <w:rPr>
          <w:b/>
        </w:rPr>
        <w:t xml:space="preserve">Rentenversicherungsnr. (DE): </w:t>
      </w:r>
      <w:r>
        <w:t>nur beim Arbeitgeber für die Rentenversicherung</w:t>
      </w:r>
    </w:p>
    <w:p w14:paraId="6C42D49F" w14:textId="77777777" w:rsidR="001F7233" w:rsidRDefault="001F7233">
      <w:pPr>
        <w:spacing w:line="180" w:lineRule="exact"/>
      </w:pPr>
    </w:p>
    <w:p w14:paraId="5AE3D74A" w14:textId="77777777" w:rsidR="001F7233" w:rsidRDefault="00000000">
      <w:r>
        <w:rPr>
          <w:b/>
        </w:rPr>
        <w:t xml:space="preserve">MERKE: </w:t>
      </w:r>
    </w:p>
    <w:p w14:paraId="71C711B7" w14:textId="77777777" w:rsidR="001F7233" w:rsidRDefault="00000000">
      <w:r>
        <w:t>• Gleiche Behörde bedeutet nicht gleiche Nummer, gleiche Nummer bedeutet nicht gleicher Schutz, weil die SSN so vielseitig verlangt wird, ist ein Datenleck in den USA folgenreicher als der Verlust der deutschen Steuer-ID.</w:t>
      </w:r>
    </w:p>
    <w:p w14:paraId="7CFF7F88" w14:textId="77777777" w:rsidR="001F7233" w:rsidRDefault="001F7233">
      <w:pPr>
        <w:spacing w:line="220" w:lineRule="exact"/>
      </w:pPr>
    </w:p>
    <w:p w14:paraId="70CC6D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bekommt eine SSN – nach Visumtyp</w:t>
      </w:r>
    </w:p>
    <w:p w14:paraId="6D92CE40" w14:textId="77777777" w:rsidR="001F7233" w:rsidRDefault="00000000">
      <w:pPr>
        <w:spacing w:after="140"/>
      </w:pPr>
      <w:r>
        <w:t>Die SSA vergibt eine SSN „mit Arbeitserlaubnis“ nur, wenn der Status das Arbeiten in den USA erlaubt. Du musst das außerdem mit einem passenden Dokument belegen (SSA-Regelwerk POMS RM 10211.420, Stand April 2026). Für Familienmitglieder ohne eigene Arbeitserlaubnis bearbeitet die SSA den Antrag meist nicht.</w:t>
      </w:r>
    </w:p>
    <w:p w14:paraId="33FF50FB" w14:textId="77777777" w:rsidR="001F7233" w:rsidRDefault="00000000">
      <w:r>
        <w:rPr>
          <w:b/>
        </w:rPr>
        <w:t>H-1B, L-1, E-2, O-1 (Hauptantragsteller)</w:t>
      </w:r>
    </w:p>
    <w:p w14:paraId="64D27E08" w14:textId="77777777" w:rsidR="001F7233" w:rsidRDefault="00000000">
      <w:r>
        <w:rPr>
          <w:b/>
        </w:rPr>
        <w:t xml:space="preserve">SSN mit Arbeitserlaubnis: </w:t>
      </w:r>
      <w:r>
        <w:t>Ja, automatisch mit dem Status</w:t>
      </w:r>
    </w:p>
    <w:p w14:paraId="7A39D25E" w14:textId="77777777" w:rsidR="001F7233" w:rsidRDefault="00000000">
      <w:r>
        <w:rPr>
          <w:b/>
        </w:rPr>
        <w:t xml:space="preserve">Nachweis: </w:t>
      </w:r>
      <w:r>
        <w:t>I-94 mit passender Klasse</w:t>
      </w:r>
    </w:p>
    <w:p w14:paraId="17485BB5" w14:textId="77777777" w:rsidR="001F7233" w:rsidRDefault="00000000">
      <w:r>
        <w:rPr>
          <w:b/>
        </w:rPr>
        <w:t>H-4 (Ehepartner/Kinder)</w:t>
      </w:r>
    </w:p>
    <w:p w14:paraId="4DF2F676" w14:textId="77777777" w:rsidR="001F7233" w:rsidRDefault="00000000">
      <w:r>
        <w:rPr>
          <w:b/>
        </w:rPr>
        <w:lastRenderedPageBreak/>
        <w:t xml:space="preserve">SSN mit Arbeitserlaubnis: </w:t>
      </w:r>
      <w:r>
        <w:t>Nur mit eigener Arbeitserlaubnis (EAD, Kategorie C-26)</w:t>
      </w:r>
    </w:p>
    <w:p w14:paraId="7CE5E02F" w14:textId="77777777" w:rsidR="001F7233" w:rsidRDefault="00000000">
      <w:r>
        <w:rPr>
          <w:b/>
        </w:rPr>
        <w:t xml:space="preserve">Nachweis: </w:t>
      </w:r>
      <w:r>
        <w:t>sonst keine SSN</w:t>
      </w:r>
    </w:p>
    <w:p w14:paraId="19D66AAE" w14:textId="77777777" w:rsidR="001F7233" w:rsidRDefault="00000000">
      <w:r>
        <w:rPr>
          <w:b/>
        </w:rPr>
        <w:t>L-2/L-2S, E-2S (Ehepartner)</w:t>
      </w:r>
    </w:p>
    <w:p w14:paraId="51C75593" w14:textId="77777777" w:rsidR="001F7233" w:rsidRDefault="00000000">
      <w:r>
        <w:rPr>
          <w:b/>
        </w:rPr>
        <w:t xml:space="preserve">SSN mit Arbeitserlaubnis: </w:t>
      </w:r>
      <w:r>
        <w:t>Ja, automatisch mit dem Status</w:t>
      </w:r>
    </w:p>
    <w:p w14:paraId="672AC35D" w14:textId="77777777" w:rsidR="001F7233" w:rsidRDefault="00000000">
      <w:r>
        <w:rPr>
          <w:b/>
        </w:rPr>
        <w:t xml:space="preserve">Nachweis: </w:t>
      </w:r>
      <w:r>
        <w:t>I-94 mit L-2/L-2S bzw. E-2S</w:t>
      </w:r>
    </w:p>
    <w:p w14:paraId="6E95B441" w14:textId="77777777" w:rsidR="001F7233" w:rsidRDefault="00000000">
      <w:r>
        <w:rPr>
          <w:b/>
        </w:rPr>
        <w:t>J-1</w:t>
      </w:r>
    </w:p>
    <w:p w14:paraId="003109EB" w14:textId="77777777" w:rsidR="001F7233" w:rsidRDefault="00000000">
      <w:r>
        <w:rPr>
          <w:b/>
        </w:rPr>
        <w:t xml:space="preserve">SSN mit Arbeitserlaubnis: </w:t>
      </w:r>
      <w:r>
        <w:t>Ja, als Teil des Austauschprogramms</w:t>
      </w:r>
    </w:p>
    <w:p w14:paraId="745629DA" w14:textId="77777777" w:rsidR="001F7233" w:rsidRDefault="00000000">
      <w:r>
        <w:rPr>
          <w:b/>
        </w:rPr>
        <w:t xml:space="preserve">Nachweis: </w:t>
      </w:r>
      <w:r>
        <w:t>DS-2019/I-94, bei Studierenden meist Sponsorbrief</w:t>
      </w:r>
    </w:p>
    <w:p w14:paraId="289073DA" w14:textId="77777777" w:rsidR="001F7233" w:rsidRDefault="00000000">
      <w:r>
        <w:rPr>
          <w:b/>
        </w:rPr>
        <w:t>J-2 (Ehepartner/Kinder)</w:t>
      </w:r>
    </w:p>
    <w:p w14:paraId="48B94A63" w14:textId="77777777" w:rsidR="001F7233" w:rsidRDefault="00000000">
      <w:r>
        <w:rPr>
          <w:b/>
        </w:rPr>
        <w:t xml:space="preserve">SSN mit Arbeitserlaubnis: </w:t>
      </w:r>
      <w:r>
        <w:t>Nur mit eigener Arbeitserlaubnis (EAD)</w:t>
      </w:r>
    </w:p>
    <w:p w14:paraId="076789CA" w14:textId="77777777" w:rsidR="001F7233" w:rsidRDefault="00000000">
      <w:r>
        <w:rPr>
          <w:b/>
        </w:rPr>
        <w:t xml:space="preserve">Nachweis: </w:t>
      </w:r>
      <w:r>
        <w:t>sonst keine SSN</w:t>
      </w:r>
    </w:p>
    <w:p w14:paraId="2A1DCB59" w14:textId="77777777" w:rsidR="001F7233" w:rsidRDefault="00000000">
      <w:r>
        <w:rPr>
          <w:b/>
        </w:rPr>
        <w:t>F-1</w:t>
      </w:r>
    </w:p>
    <w:p w14:paraId="540EDB50" w14:textId="77777777" w:rsidR="001F7233" w:rsidRDefault="00000000">
      <w:r>
        <w:rPr>
          <w:b/>
        </w:rPr>
        <w:t xml:space="preserve">SSN mit Arbeitserlaubnis: </w:t>
      </w:r>
      <w:r>
        <w:t>Nur mit Arbeitsnachweis</w:t>
      </w:r>
    </w:p>
    <w:p w14:paraId="59007EED" w14:textId="77777777" w:rsidR="001F7233" w:rsidRDefault="00000000">
      <w:r>
        <w:rPr>
          <w:b/>
        </w:rPr>
        <w:t xml:space="preserve">Nachweis: </w:t>
      </w:r>
      <w:r>
        <w:t>on-campus: I-20 + Jobnachweis; CPT: I-20; OPT: EAD (Kategorie C-3)</w:t>
      </w:r>
    </w:p>
    <w:p w14:paraId="03123566" w14:textId="77777777" w:rsidR="001F7233" w:rsidRDefault="00000000">
      <w:r>
        <w:rPr>
          <w:b/>
        </w:rPr>
        <w:t>Green Card (Immigrant Visa, Einreise)</w:t>
      </w:r>
    </w:p>
    <w:p w14:paraId="6C9741B9" w14:textId="77777777" w:rsidR="001F7233" w:rsidRDefault="00000000">
      <w:r>
        <w:rPr>
          <w:b/>
        </w:rPr>
        <w:t xml:space="preserve">SSN mit Arbeitserlaubnis: </w:t>
      </w:r>
      <w:r>
        <w:t>Ja, automatisch</w:t>
      </w:r>
    </w:p>
    <w:p w14:paraId="01C154D8" w14:textId="77777777" w:rsidR="001F7233" w:rsidRDefault="00000000">
      <w:r>
        <w:rPr>
          <w:b/>
        </w:rPr>
        <w:t xml:space="preserve">Nachweis: </w:t>
      </w:r>
      <w:r>
        <w:t>Antrag im DS-260 (siehe unten)</w:t>
      </w:r>
    </w:p>
    <w:p w14:paraId="70E0859C" w14:textId="77777777" w:rsidR="001F7233" w:rsidRDefault="001F7233">
      <w:pPr>
        <w:spacing w:line="180" w:lineRule="exact"/>
      </w:pPr>
    </w:p>
    <w:p w14:paraId="707292C7" w14:textId="77777777" w:rsidR="001F7233" w:rsidRDefault="00000000">
      <w:pPr>
        <w:spacing w:after="140"/>
      </w:pPr>
      <w:r>
        <w:t xml:space="preserve">Ein Kind mit L-2 oder E-2S ist selbst arbeitsberechtigt und bekommt daher eine SSN. Ein H-4- oder J-2-Kind unter 21 ohne eigene EAD bekommt in der Regel keine (dazu unten mehr). Für Green-Card-Inhaber über </w:t>
      </w:r>
      <w:r>
        <w:rPr>
          <w:i/>
          <w:iCs/>
        </w:rPr>
        <w:t>Adjustment of Status</w:t>
      </w:r>
      <w:r>
        <w:t xml:space="preserve"> (Statuswechsel im Land, Formular I-485, Kapitel </w:t>
      </w:r>
      <w:hyperlink w:anchor="k6">
        <w:r w:rsidR="001F7233">
          <w:t>6</w:t>
        </w:r>
      </w:hyperlink>
      <w:r>
        <w:t>) läuft die SSN-Vergabe weiterhin automatisch über USCIS und SSA.</w:t>
      </w:r>
    </w:p>
    <w:p w14:paraId="7675DC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Antrag: SS-5 Schritt für Schritt</w:t>
      </w:r>
    </w:p>
    <w:p w14:paraId="22A4455E" w14:textId="77777777" w:rsidR="001F7233" w:rsidRDefault="00000000">
      <w:pPr>
        <w:pStyle w:val="ListParagraph"/>
        <w:numPr>
          <w:ilvl w:val="0"/>
          <w:numId w:val="23"/>
        </w:numPr>
        <w:spacing w:after="60"/>
      </w:pPr>
      <w:r>
        <w:rPr>
          <w:b/>
          <w:bCs/>
        </w:rPr>
        <w:t>Warten. Beantrage die SSN frühestens 10 Tage nach der Einreise. CBP übermittelt deine Einreisedaten erst mit Verzögerung an die SSA. Ohne diesen Eintrag im System lehnt die SSA den Antrag ab oder verzögert ihn. Studierende brauchen auch einen aktiven SEVIS-Datensatz.</w:t>
      </w:r>
    </w:p>
    <w:p w14:paraId="1305F71A" w14:textId="77777777" w:rsidR="001F7233" w:rsidRDefault="00000000">
      <w:pPr>
        <w:pStyle w:val="ListParagraph"/>
        <w:numPr>
          <w:ilvl w:val="0"/>
          <w:numId w:val="2"/>
        </w:numPr>
        <w:spacing w:after="60"/>
      </w:pPr>
      <w:r>
        <w:rPr>
          <w:b/>
          <w:bCs/>
        </w:rPr>
        <w:lastRenderedPageBreak/>
        <w:t>Unterlagen zusammenstellen.</w:t>
      </w:r>
      <w:r>
        <w:t xml:space="preserve"> Reisepass im Original, Visum, ausgedruckter I-94 (i94.cbp.dhs.gov, siehe Kapitel </w:t>
      </w:r>
      <w:hyperlink w:anchor="k23">
        <w:r w:rsidR="001F7233">
          <w:t>23</w:t>
        </w:r>
      </w:hyperlink>
      <w:r>
        <w:t>), Genehmigungsbescheid I-797, ausgefülltes Formular SS-5 (Ausgabe 12-2024), bei Studierenden ergänzend I-20 oder DS-2019 mit Bestätigung der Hochschule. Ein Arbeitgeberbrief mit Startdatum ist nicht immer Pflicht. Er wird aber empfohlen und von manchen Büros trotzdem verlangt.</w:t>
      </w:r>
    </w:p>
    <w:p w14:paraId="66E54CA7" w14:textId="77777777" w:rsidR="001F7233" w:rsidRDefault="00000000">
      <w:pPr>
        <w:pStyle w:val="ListParagraph"/>
        <w:numPr>
          <w:ilvl w:val="0"/>
          <w:numId w:val="2"/>
        </w:numPr>
        <w:spacing w:after="60"/>
      </w:pPr>
      <w:r>
        <w:rPr>
          <w:b/>
          <w:bCs/>
        </w:rPr>
        <w:t>Termin im SSA-Büro. Die meisten Büros arbeiten mit Termin; Wartezeiten schwanken stark je nach Standort. Für Nichtbürger läuft der Antrag 2026 weiterhin über den persönlichen Termin oder den Postweg. Die seit Februar 2026 angebotene vollständig digitale Beantragung gilt bislang nur für bestimmte Ersatzkarten- und Namensänderungsfälle von US-Bürgern mit US-Adresse.</w:t>
      </w:r>
    </w:p>
    <w:p w14:paraId="05BA82F4" w14:textId="77777777" w:rsidR="001F7233" w:rsidRDefault="00000000">
      <w:pPr>
        <w:pStyle w:val="ListParagraph"/>
        <w:numPr>
          <w:ilvl w:val="0"/>
          <w:numId w:val="2"/>
        </w:numPr>
        <w:spacing w:after="60"/>
      </w:pPr>
      <w:r>
        <w:rPr>
          <w:b/>
          <w:bCs/>
        </w:rPr>
        <w:t>Bearbeitung abwarten.</w:t>
      </w:r>
      <w:r>
        <w:t xml:space="preserve"> Nach dem Termin dauert es meist 10 bis 14 Tage, bei H-1B-Fällen laut Kanzleien eher 2 bis 3 Wochen, bei zusätzlicher Prüfung 1 bis 3 Monate. Die Karte kommt per Post an deine US-Adresse, nicht sofort am Schalter.</w:t>
      </w:r>
    </w:p>
    <w:p w14:paraId="5F3E8DC6" w14:textId="77777777" w:rsidR="001F7233" w:rsidRDefault="001F7233">
      <w:pPr>
        <w:spacing w:line="120" w:lineRule="exact"/>
      </w:pPr>
    </w:p>
    <w:p w14:paraId="7DD1DB8A" w14:textId="77777777" w:rsidR="001F7233" w:rsidRDefault="00000000">
      <w:pPr>
        <w:spacing w:after="140"/>
      </w:pPr>
      <w:r>
        <w:rPr>
          <w:i/>
          <w:iCs/>
        </w:rPr>
        <w:t>Bei einer Green Card über das Konsulat (Immigrant Visa) läuft es anders: Der SSN-Antrag steckt bereits im Formular DS-260 (Enumeration at Entry). Du musst dafür die SSN-Option ankreuzen und eine gültige US-Adresse angeben. Nach der Einreise übermittelt das Heimatschutzministerium (DHS) die Daten automatisch an die SSA. Die Karte kommt 7 bis 10 Werktage nach der Ankunft, ohne Büro-Besuch.</w:t>
      </w:r>
    </w:p>
    <w:p w14:paraId="76E02B93" w14:textId="77777777" w:rsidR="001F7233" w:rsidRDefault="00000000">
      <w:pPr>
        <w:spacing w:after="140"/>
      </w:pPr>
      <w:r>
        <w:rPr>
          <w:i/>
          <w:iCs/>
        </w:rPr>
        <w:t>Die automatische SSN-Vergabe über USCIS-Anträge (Enumeration Beyond Entry, EBE, etwa bei I-765-Arbeitserlaubnissen oder der Einbürgerung) ist seit dem 19. März 2025 ausgesetzt. Wer betroffen ist, muss weiterhin persönlich zur SSA. Eine Wiederaufnahme war bis zum Stand dieses Kapitels nicht bestätigt. Prüfe den aktuellen Stand vor dem Termin.</w:t>
      </w:r>
    </w:p>
    <w:p w14:paraId="10F49CB8" w14:textId="77777777" w:rsidR="001F7233" w:rsidRDefault="00000000">
      <w:r>
        <w:rPr>
          <w:b/>
        </w:rPr>
        <w:t xml:space="preserve">ACHTUNG: </w:t>
      </w:r>
    </w:p>
    <w:p w14:paraId="132CEB21" w14:textId="77777777" w:rsidR="001F7233" w:rsidRDefault="00000000">
      <w:r>
        <w:lastRenderedPageBreak/>
        <w:t>• Ein zu früher Antrag scheitert. Ohne den I-94-Eintrag im SSA-System wird der Antrag abgelehnt oder verschleppt. Warte die 10 Tage ab, auch wenn Arbeitgeber oder Bank drängen.</w:t>
      </w:r>
    </w:p>
    <w:p w14:paraId="3D4511E0" w14:textId="77777777" w:rsidR="001F7233" w:rsidRDefault="001F7233">
      <w:pPr>
        <w:spacing w:line="220" w:lineRule="exact"/>
      </w:pPr>
    </w:p>
    <w:p w14:paraId="1DCBA3C1" w14:textId="77777777" w:rsidR="001F7233" w:rsidRDefault="00000000">
      <w:r>
        <w:rPr>
          <w:b/>
        </w:rPr>
        <w:t xml:space="preserve">SPARTIPP: </w:t>
      </w:r>
    </w:p>
    <w:p w14:paraId="2855F3BD" w14:textId="77777777" w:rsidR="001F7233" w:rsidRDefault="00000000">
      <w:r>
        <w:t>• Die SSA verlangt für SS-5 und Ersatzkarte keine Gebühr. Websites, die Geld für „schnellere Bearbeitung“ oder das Ausfüllen des Formulars verlangen, sind überteuerte Drittanbieter oder Betrug.</w:t>
      </w:r>
    </w:p>
    <w:p w14:paraId="04745E39" w14:textId="77777777" w:rsidR="001F7233" w:rsidRDefault="001F7233">
      <w:pPr>
        <w:spacing w:line="220" w:lineRule="exact"/>
      </w:pPr>
    </w:p>
    <w:p w14:paraId="7F4F6B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ohne SSN in der Übergangszeit</w:t>
      </w:r>
    </w:p>
    <w:p w14:paraId="24EB436D" w14:textId="77777777" w:rsidR="001F7233" w:rsidRDefault="00000000">
      <w:pPr>
        <w:spacing w:after="140"/>
      </w:pPr>
      <w:r>
        <w:t>Die SSN kommt selten am ersten Tag. Plane die Übergangszeit ein, statt auf sie zu warten.</w:t>
      </w:r>
    </w:p>
    <w:p w14:paraId="70868396" w14:textId="77777777" w:rsidR="001F7233" w:rsidRDefault="00000000">
      <w:pPr>
        <w:pStyle w:val="ListParagraph"/>
        <w:numPr>
          <w:ilvl w:val="0"/>
          <w:numId w:val="1"/>
        </w:numPr>
        <w:spacing w:after="60"/>
      </w:pPr>
      <w:r>
        <w:rPr>
          <w:b/>
          <w:bCs/>
        </w:rPr>
        <w:t>Arbeitgeber:</w:t>
      </w:r>
      <w:r>
        <w:t xml:space="preserve"> Er darf dich ohne SSN beschäftigen. Für die Form I-9 (Kapitel </w:t>
      </w:r>
      <w:hyperlink w:anchor="k23">
        <w:r w:rsidR="001F7233">
          <w:t>23</w:t>
        </w:r>
      </w:hyperlink>
      <w:r>
        <w:t>) ist keine SSN nötig, außer bei bestimmten E-Verify-Feldern. Die Lohnbuchhaltung trägt „Applied For“ ein und korrigiert es, sobald die Karte da ist.</w:t>
      </w:r>
    </w:p>
    <w:p w14:paraId="73730D45" w14:textId="77777777" w:rsidR="001F7233" w:rsidRDefault="00000000">
      <w:pPr>
        <w:pStyle w:val="ListParagraph"/>
        <w:numPr>
          <w:ilvl w:val="0"/>
          <w:numId w:val="1"/>
        </w:numPr>
        <w:spacing w:after="60"/>
      </w:pPr>
      <w:r>
        <w:rPr>
          <w:b/>
          <w:bCs/>
        </w:rPr>
        <w:t>Bank:</w:t>
      </w:r>
      <w:r>
        <w:t xml:space="preserve"> Viele Banken eröffnen ein Konto mit Pass, Visum, I-94 und einer US-Adresse, auch ohne SSN; Details in Kapitel </w:t>
      </w:r>
      <w:hyperlink w:anchor="k25">
        <w:r w:rsidR="001F7233">
          <w:t>25</w:t>
        </w:r>
      </w:hyperlink>
      <w:r>
        <w:t>.</w:t>
      </w:r>
    </w:p>
    <w:p w14:paraId="1FD112F8" w14:textId="77777777" w:rsidR="001F7233" w:rsidRDefault="00000000">
      <w:pPr>
        <w:pStyle w:val="ListParagraph"/>
        <w:numPr>
          <w:ilvl w:val="0"/>
          <w:numId w:val="1"/>
        </w:numPr>
        <w:spacing w:after="60"/>
      </w:pPr>
      <w:r>
        <w:rPr>
          <w:b/>
          <w:bCs/>
        </w:rPr>
        <w:t>Handy:</w:t>
      </w:r>
      <w:r>
        <w:t xml:space="preserve"> Prepaid-Tarife verlangen keine SSN; ein Laufzeitvertrag (</w:t>
      </w:r>
      <w:r>
        <w:rPr>
          <w:i/>
          <w:iCs/>
        </w:rPr>
        <w:t>Postpaid</w:t>
      </w:r>
      <w:r>
        <w:t>) verlangt meist SSN und Bonitätsprüfung oder eine Kaution (Kapitel </w:t>
      </w:r>
      <w:hyperlink w:anchor="k25">
        <w:r w:rsidR="001F7233">
          <w:t>25</w:t>
        </w:r>
      </w:hyperlink>
      <w:r>
        <w:t>).</w:t>
      </w:r>
    </w:p>
    <w:p w14:paraId="32D17429" w14:textId="77777777" w:rsidR="001F7233" w:rsidRDefault="00000000">
      <w:pPr>
        <w:pStyle w:val="ListParagraph"/>
        <w:numPr>
          <w:ilvl w:val="0"/>
          <w:numId w:val="1"/>
        </w:numPr>
        <w:spacing w:after="60"/>
      </w:pPr>
      <w:r>
        <w:rPr>
          <w:b/>
          <w:bCs/>
        </w:rPr>
        <w:t>Wohnung:</w:t>
      </w:r>
      <w:r>
        <w:t xml:space="preserve"> Vermieter akzeptieren oft Arbeitsvertrag, Gehaltsnachweis, eine höhere Kaution oder einen Bürgen anstelle der SSN-gestützten Bonitätsprüfung (Kapitel </w:t>
      </w:r>
      <w:hyperlink w:anchor="k13">
        <w:r w:rsidR="001F7233">
          <w:t>13</w:t>
        </w:r>
      </w:hyperlink>
      <w:r>
        <w:t>).</w:t>
      </w:r>
    </w:p>
    <w:p w14:paraId="286207FC" w14:textId="77777777" w:rsidR="001F7233" w:rsidRDefault="00000000">
      <w:pPr>
        <w:pStyle w:val="ListParagraph"/>
        <w:numPr>
          <w:ilvl w:val="0"/>
          <w:numId w:val="1"/>
        </w:numPr>
        <w:spacing w:after="60"/>
      </w:pPr>
      <w:r>
        <w:rPr>
          <w:b/>
          <w:bCs/>
        </w:rPr>
        <w:t>Strom und Gas: Der Versorger verlangt ohne SSN meist eine Kaution oder akzeptiert ein Letter of Credit (Bonitätsnachweis) des vorherigen Versorgers.</w:t>
      </w:r>
    </w:p>
    <w:p w14:paraId="53D92623" w14:textId="77777777" w:rsidR="001F7233" w:rsidRDefault="00000000">
      <w:pPr>
        <w:pStyle w:val="ListParagraph"/>
        <w:numPr>
          <w:ilvl w:val="0"/>
          <w:numId w:val="1"/>
        </w:numPr>
        <w:spacing w:after="60"/>
      </w:pPr>
      <w:r>
        <w:rPr>
          <w:b/>
          <w:bCs/>
        </w:rPr>
        <w:t>Führerschein (DMV):</w:t>
      </w:r>
      <w:r>
        <w:t xml:space="preserve"> Manche Bundesstaaten verlangen für den Führerschein entweder eine SSN oder ein SSA-Ablehnungsschreiben (</w:t>
      </w:r>
      <w:r>
        <w:rPr>
          <w:i/>
          <w:iCs/>
        </w:rPr>
        <w:t>Letter of Ineligibility</w:t>
      </w:r>
      <w:r>
        <w:t xml:space="preserve">, Formular SSA-L676). Die SSA stellt es kostenlos aus, oft noch am selben Tag – </w:t>
      </w:r>
      <w:r>
        <w:lastRenderedPageBreak/>
        <w:t>aber nur, wenn du tatsächlich keinen Anspruch auf eine SSN hast (Kapitel </w:t>
      </w:r>
      <w:hyperlink w:anchor="k27">
        <w:r w:rsidR="001F7233">
          <w:t>27</w:t>
        </w:r>
      </w:hyperlink>
      <w:r>
        <w:t>).</w:t>
      </w:r>
    </w:p>
    <w:p w14:paraId="4C98F384" w14:textId="77777777" w:rsidR="001F7233" w:rsidRDefault="001F7233">
      <w:pPr>
        <w:spacing w:line="120" w:lineRule="exact"/>
      </w:pPr>
    </w:p>
    <w:p w14:paraId="22C2F0E3" w14:textId="77777777" w:rsidR="001F7233" w:rsidRDefault="00000000">
      <w:r>
        <w:rPr>
          <w:b/>
        </w:rPr>
        <w:t xml:space="preserve">ACHTUNG: </w:t>
      </w:r>
    </w:p>
    <w:p w14:paraId="2B9FF774" w14:textId="77777777" w:rsidR="001F7233" w:rsidRDefault="00000000">
      <w:r>
        <w:t>• Eine SSN „ohne Arbeitserlaubnis“ (Non-work-SSN) gibt es nur in engen Ausnahmefällen: wenn ein Bundes- oder Landesgesetz sie ausdrücklich für eine Sozialleistung verlangt, belegt durch ein Behördenschreiben mit Original-Unterschrift. Bankkonto, Handyvertrag, Miete, Kredit und Führerschein zählen ausdrücklich nicht dazu (SSA-Regelwerk POMS RM 10211.600). Verlass dich stattdessen auf die Übergangslösungen oben.</w:t>
      </w:r>
    </w:p>
    <w:p w14:paraId="32E4DF74" w14:textId="77777777" w:rsidR="001F7233" w:rsidRDefault="001F7233">
      <w:pPr>
        <w:spacing w:line="220" w:lineRule="exact"/>
      </w:pPr>
    </w:p>
    <w:p w14:paraId="115D35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Schutz vor Missbrauch</w:t>
      </w:r>
    </w:p>
    <w:p w14:paraId="3FD8E548" w14:textId="77777777" w:rsidR="001F7233" w:rsidRDefault="00000000">
      <w:pPr>
        <w:spacing w:after="140"/>
      </w:pPr>
      <w:r>
        <w:t>Wer darf deine SSN legal verlangen? Arbeitgeber für I-9 und W-4, Banken und Kreditkartenfirmen zur Identitätsprüfung, Vermieter und Versorger für die Bonitätsprüfung, Behörden wie IRS und SSA. Ein Callcenter, ein Laden an der Kasse oder eine unaufgeforderte SMS gehören nicht dazu.</w:t>
      </w:r>
    </w:p>
    <w:p w14:paraId="7EE0C6D5" w14:textId="77777777" w:rsidR="001F7233" w:rsidRDefault="00000000">
      <w:pPr>
        <w:spacing w:after="140"/>
      </w:pPr>
      <w:r>
        <w:t>Weil die SSN so oft verlangt wird, ist sie ein beliebtes Ziel für Identitätsdiebstahl. Die Bundesverbraucherschutzbehörde FTC zählte 2025 rund 3,0 Millionen Betrugsmeldungen mit 15,9 Milliarden Dollar gemeldetem Schaden, gegen 2,6 Millionen Meldungen und über 12 Milliarden Dollar im Jahr davor. Zwei kostenlose Werkzeuge schützen dich:</w:t>
      </w:r>
    </w:p>
    <w:p w14:paraId="1038C4C1" w14:textId="77777777" w:rsidR="001F7233" w:rsidRDefault="00000000">
      <w:pPr>
        <w:pStyle w:val="ListParagraph"/>
        <w:numPr>
          <w:ilvl w:val="0"/>
          <w:numId w:val="1"/>
        </w:numPr>
        <w:spacing w:after="60"/>
      </w:pPr>
      <w:r>
        <w:rPr>
          <w:b/>
          <w:bCs/>
        </w:rPr>
        <w:t>Credit Freeze (Kontosperre bei den drei großen Auskunfteien Equifax, Experian und TransUnion): kostenlos, gilt bis zur eigenen Aufhebung, hat keinen Einfluss auf den Score. Beantrage ihn bei allen drei Stellen einzeln. Hebe ihn nur kurz auf, wenn du selbst einen Kredit oder Vertrag beantragst. Ein Fraud Alert (Betrugswarnung) reicht kürzer: ein Jahr, in der erweiterten Form sieben Jahre.</w:t>
      </w:r>
    </w:p>
    <w:p w14:paraId="6CE0DED3" w14:textId="77777777" w:rsidR="001F7233" w:rsidRDefault="00000000">
      <w:pPr>
        <w:pStyle w:val="ListParagraph"/>
        <w:numPr>
          <w:ilvl w:val="0"/>
          <w:numId w:val="1"/>
        </w:numPr>
        <w:spacing w:after="60"/>
      </w:pPr>
      <w:r>
        <w:rPr>
          <w:b/>
          <w:bCs/>
        </w:rPr>
        <w:lastRenderedPageBreak/>
        <w:t>IRS Identity Protection PIN (IP PIN): eine jährlich neue, sechsstellige Nummer, die verhindert, dass jemand mit deiner SSN oder ITIN eine falsche Steuererklärung einreicht. Am schnellsten beantragst du sie über das IRS Online Account. Ohne Online-Zugang hilft Formular 15227 (nur bei einem Jahreseinkommen unter 84.000 $ als Einzelperson oder 168.000 $ bei gemeinsamer Veranlagung) oder ein Termin im Taxpayer Assistance Center.</w:t>
      </w:r>
    </w:p>
    <w:p w14:paraId="09D14622" w14:textId="77777777" w:rsidR="001F7233" w:rsidRDefault="001F7233">
      <w:pPr>
        <w:spacing w:line="120" w:lineRule="exact"/>
      </w:pPr>
    </w:p>
    <w:p w14:paraId="3C7C3508" w14:textId="77777777" w:rsidR="001F7233" w:rsidRDefault="00000000">
      <w:r>
        <w:rPr>
          <w:b/>
        </w:rPr>
        <w:t xml:space="preserve">ACHTUNG: </w:t>
      </w:r>
    </w:p>
    <w:p w14:paraId="040B53F8" w14:textId="77777777" w:rsidR="001F7233" w:rsidRDefault="00000000">
      <w:r>
        <w:t xml:space="preserve">• Telefonanrufe angeblicher SSA- oder IRS-Mitarbeiter, die mit Verhaftung, Abschiebung oder einer „gesperrten SSN“ drohen und sofortige Zahlung per Geschenkkarte oder Überweisung verlangen, sind Betrug. Beide Behörden rufen nicht so an. Lege auf, und melde den Anruf auf </w:t>
      </w:r>
      <w:hyperlink r:id="rId325">
        <w:r w:rsidR="001F7233">
          <w:rPr>
            <w:color w:val="0563C1"/>
            <w:u w:val="single"/>
          </w:rPr>
          <w:t>reportfraud.ftc.gov</w:t>
        </w:r>
      </w:hyperlink>
      <w:r>
        <w:t>.</w:t>
      </w:r>
    </w:p>
    <w:p w14:paraId="41A0FF53" w14:textId="77777777" w:rsidR="001F7233" w:rsidRDefault="001F7233">
      <w:pPr>
        <w:spacing w:line="220" w:lineRule="exact"/>
      </w:pPr>
    </w:p>
    <w:p w14:paraId="586FEF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Partner und Neugeborene</w:t>
      </w:r>
    </w:p>
    <w:p w14:paraId="594DF929" w14:textId="77777777" w:rsidR="001F7233" w:rsidRDefault="00000000">
      <w:pPr>
        <w:spacing w:after="140"/>
      </w:pPr>
      <w:r>
        <w:t>Für in den USA geborene Kinder läuft die SSN meist automatisch über das Krankenhaus (</w:t>
      </w:r>
      <w:r>
        <w:rPr>
          <w:i/>
          <w:iCs/>
        </w:rPr>
        <w:t>Enumeration at Birth</w:t>
      </w:r>
      <w:r>
        <w:t>): Du füllst dort ein Formular zusammen mit der Geburtsurkunde aus. Die Karte kommt einige Wochen später per Post. Für ein im Ausland geborenes Kind US-amerikanischer Eltern beantragst du die SSN zusammen mit dem Staatsangehörigkeitsnachweis (</w:t>
      </w:r>
      <w:r>
        <w:rPr>
          <w:i/>
          <w:iCs/>
        </w:rPr>
        <w:t>Consular Report of Birth Abroad</w:t>
      </w:r>
      <w:r>
        <w:t>, Formular DS-2029) beim Konsulat.</w:t>
      </w:r>
    </w:p>
    <w:p w14:paraId="1F5C7443" w14:textId="77777777" w:rsidR="001F7233" w:rsidRDefault="00000000">
      <w:pPr>
        <w:spacing w:after="140"/>
      </w:pPr>
      <w:r>
        <w:t>Für Kinder von Visuminhabern ohne eigene Arbeitserlaubnis – etwa H-4- oder J-2-Kinder – gibt es meist keine SSN. In der Praxis beantragen Eltern für solche Kinder stattdessen eine ITIN, sobald sie in der Steuererklärung als Angehörige auftauchen (siehe unten und Kapitel </w:t>
      </w:r>
      <w:hyperlink w:anchor="k28">
        <w:r w:rsidR="001F7233">
          <w:t>28</w:t>
        </w:r>
      </w:hyperlink>
      <w:r>
        <w:t>). Für Ehepartner gilt dieselbe Logik: Wer mit H-4 oder J-2 keine EAD hat, bleibt ohne SSN, bis die Arbeitserlaubnis kommt (Kapitel </w:t>
      </w:r>
      <w:hyperlink w:anchor="k10">
        <w:r w:rsidR="001F7233">
          <w:t>10</w:t>
        </w:r>
      </w:hyperlink>
      <w:r>
        <w:t>).</w:t>
      </w:r>
    </w:p>
    <w:p w14:paraId="38E4E410" w14:textId="77777777" w:rsidR="001F7233" w:rsidRDefault="001F7233">
      <w:pPr>
        <w:spacing w:line="220" w:lineRule="exact"/>
      </w:pPr>
    </w:p>
    <w:p w14:paraId="400E1C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Ersatzkarte</w:t>
      </w:r>
    </w:p>
    <w:p w14:paraId="78708FB0" w14:textId="77777777" w:rsidR="001F7233" w:rsidRDefault="00000000">
      <w:pPr>
        <w:spacing w:after="140"/>
      </w:pPr>
      <w:r>
        <w:t>Geht die Karte verloren oder ändert sich dein Name, bekommst du eine Ersatzkarte. Begrenzt auf drei pro Kalenderjahr und zehn im gesamten Leben (seit Dezember 2005). Die Behörde traut offenbar niemandem zu, öfter als zehnmal im Leben etwas Wichtiges zu verlieren. Namensänderungen und die Korrektur der Arbeitsberechtigungs-Angabe auf der Karte zählen nicht gegen dieses Limit. Der Online-Ersatz über ein my-Social-Security-Konto steht 2026 nur US-Bürgern mit Führerschein aus einem teilnehmenden Bundesstaat offen. Als Neuankömmling beantragst du die Ersatzkarte im SSA-Büro, wieder mit Formular SS-5.</w:t>
      </w:r>
    </w:p>
    <w:p w14:paraId="114552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ITIN kurz</w:t>
      </w:r>
    </w:p>
    <w:p w14:paraId="2B84FE8C" w14:textId="77777777" w:rsidR="001F7233" w:rsidRDefault="00000000">
      <w:pPr>
        <w:spacing w:after="140"/>
      </w:pPr>
      <w:r>
        <w:rPr>
          <w:i/>
          <w:iCs/>
        </w:rPr>
        <w:t>Wer keinen Anspruch auf eine SSN hat, aber steuerpflichtig ist, braucht eine Individual Taxpayer Identification Number (ITIN), eine neunstellige Steuernummer für Ausländer. Das betrifft vor allem Ehepartner ohne Arbeitserlaubnis, Kinder ohne SSN und Investoren oder Ruheständler mit US-Einkünften.</w:t>
      </w:r>
    </w:p>
    <w:p w14:paraId="2826166E" w14:textId="77777777" w:rsidR="001F7233" w:rsidRDefault="00000000">
      <w:pPr>
        <w:spacing w:after="140"/>
      </w:pPr>
      <w:r>
        <w:t xml:space="preserve">Die ITIN gibt keinen Aufenthaltsstatus, keine Arbeitserlaubnis und keinen Anspruch auf Sozialleistungen. Sie berechtigt auch nicht zum </w:t>
      </w:r>
      <w:r>
        <w:rPr>
          <w:i/>
          <w:iCs/>
        </w:rPr>
        <w:t>Earned Income Tax Credit</w:t>
      </w:r>
      <w:r>
        <w:t xml:space="preserve"> oder zum vollen </w:t>
      </w:r>
      <w:r>
        <w:rPr>
          <w:i/>
          <w:iCs/>
        </w:rPr>
        <w:t>Child Tax Credit</w:t>
      </w:r>
      <w:r>
        <w:t xml:space="preserve"> (Kapitel </w:t>
      </w:r>
      <w:hyperlink w:anchor="k28">
        <w:r w:rsidR="001F7233">
          <w:t>28</w:t>
        </w:r>
      </w:hyperlink>
      <w:r>
        <w:t xml:space="preserve">). Sie öffnet aber andere Steuervergünstigungen wie den </w:t>
      </w:r>
      <w:r>
        <w:rPr>
          <w:i/>
          <w:iCs/>
        </w:rPr>
        <w:t>American Opportunity Tax Credit</w:t>
      </w:r>
      <w:r>
        <w:t xml:space="preserve">, den </w:t>
      </w:r>
      <w:r>
        <w:rPr>
          <w:i/>
          <w:iCs/>
        </w:rPr>
        <w:t>Premium Tax Credit</w:t>
      </w:r>
      <w:r>
        <w:t xml:space="preserve"> und den </w:t>
      </w:r>
      <w:r>
        <w:rPr>
          <w:i/>
          <w:iCs/>
        </w:rPr>
        <w:t>Credit for Other Dependents</w:t>
      </w:r>
      <w:r>
        <w:t>.</w:t>
      </w:r>
    </w:p>
    <w:p w14:paraId="58373E12" w14:textId="77777777" w:rsidR="001F7233" w:rsidRDefault="00000000">
      <w:pPr>
        <w:spacing w:after="140"/>
      </w:pPr>
      <w:r>
        <w:rPr>
          <w:i/>
          <w:iCs/>
        </w:rPr>
        <w:t xml:space="preserve">Du beantragst die ITIN mit Formular W-7 zusammen mit der fristgerechten Steuererklärung, nicht separat. Die Bearbeitung dauert etwa 7 Wochen, zwischen dem 15. Januar und dem 30. April; bei Anträgen aus dem Ausland dauert sie eher 9 bis 11 Wochen. Die Bestätigung kommt als Mitteilung CP565. Einreichen kannst du per Post an das IRS-Servicecenter in Austin, über ein Taxpayer Assistance Center, eine VITA-Beratungsstelle oder einen zugelassenen Acceptance </w:t>
      </w:r>
      <w:r>
        <w:rPr>
          <w:i/>
          <w:iCs/>
        </w:rPr>
        <w:lastRenderedPageBreak/>
        <w:t>Agent (gegen Gebühr, die je nach Anbieter stark schwankt). In der Praxis verfällt eine ITIN, wenn sie drei Steuerjahre in Folge nicht in einer Erklärung auftaucht. Die Erneuerung läuft wieder über Formular W-7.</w:t>
      </w:r>
    </w:p>
    <w:p w14:paraId="5A5516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SSN und Sozialversicherungsansprüche</w:t>
      </w:r>
    </w:p>
    <w:p w14:paraId="0D52BD8B" w14:textId="77777777" w:rsidR="001F7233" w:rsidRDefault="00000000">
      <w:pPr>
        <w:spacing w:after="140"/>
      </w:pPr>
      <w:r>
        <w:rPr>
          <w:i/>
          <w:iCs/>
        </w:rPr>
        <w:t>Für die reguläre US-Rente brauchst du in aller Regel 40 Credits (auch Quarters of Coverage genannt). Vereinfacht: ein Mindesteinkommen in jedem der 40 Kalendervierteljahre, höchstens vier pro Jahr, also rechnerisch etwa 10 Jahre versicherungspflichtige Arbeit. Wer nach wenigen Jahren zurück nach Deutschland geht, erreicht diese Grenze oft nicht allein aus US-Beiträgen.</w:t>
      </w:r>
    </w:p>
    <w:p w14:paraId="3A3E2BCD" w14:textId="77777777" w:rsidR="001F7233" w:rsidRDefault="00000000">
      <w:pPr>
        <w:spacing w:after="140"/>
      </w:pPr>
      <w:r>
        <w:t>Hier greift das deutsch-amerikanische Sozialversicherungsabkommen (in Kraft seit 1979): Es rechnet deutsche und amerikanische Versicherungszeiten zusammen, um die Mindestzeit für eine (dann anteilige) US-Rente zu erreichen. Voraussetzung: Du hast mindestens sechs eigene US-Credits, etwa eineinhalb Jahre Arbeit, gesammelt. Das Abkommen verhindert außerdem, dass du bei einer befristeten Entsendung in beide Systeme gleichzeitig einzahlst. Was das für deine gesetzliche Rente in Deutschland bedeutet, behandelt Kapitel </w:t>
      </w:r>
      <w:hyperlink w:anchor="k17">
        <w:r w:rsidR="001F7233">
          <w:t>17</w:t>
        </w:r>
      </w:hyperlink>
      <w:r>
        <w:t>.</w:t>
      </w:r>
    </w:p>
    <w:p w14:paraId="7E233B0D" w14:textId="77777777" w:rsidR="001F7233" w:rsidRDefault="00000000">
      <w:r>
        <w:rPr>
          <w:b/>
        </w:rPr>
        <w:t xml:space="preserve">MERKE: </w:t>
      </w:r>
    </w:p>
    <w:p w14:paraId="289D4AEC" w14:textId="77777777" w:rsidR="001F7233" w:rsidRDefault="00000000">
      <w:r>
        <w:t>• Die SSN sichert nicht automatisch eine US-Rente. Erst 40 Credits oder das Zusammenrechnen über das Sozialversicherungsabkommen begründen einen Anspruch. Kurze Aufenthalte zählen trotzdem für die spätere Zusammenrechnung.</w:t>
      </w:r>
    </w:p>
    <w:p w14:paraId="35501A79" w14:textId="77777777" w:rsidR="001F7233" w:rsidRDefault="001F7233">
      <w:pPr>
        <w:spacing w:line="220" w:lineRule="exact"/>
      </w:pPr>
    </w:p>
    <w:p w14:paraId="5D146C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Social Security Number (SSN) und die ITIN</w:t>
      </w:r>
    </w:p>
    <w:p w14:paraId="73941EFA" w14:textId="77777777" w:rsidR="001F7233" w:rsidRDefault="00000000">
      <w:r>
        <w:rPr>
          <w:b/>
        </w:rPr>
        <w:t>Plus: Öffnet Bank, Kreditkarte und Handyvertrag zu normalen Konditionen</w:t>
      </w:r>
    </w:p>
    <w:p w14:paraId="147555E8" w14:textId="77777777" w:rsidR="001F7233" w:rsidRDefault="00000000">
      <w:r>
        <w:rPr>
          <w:b/>
        </w:rPr>
        <w:t xml:space="preserve">Minus: </w:t>
      </w:r>
      <w:r>
        <w:t>Ohne SSN dauern viele Alltagsdinge länger oder brauchen Umwege</w:t>
      </w:r>
    </w:p>
    <w:p w14:paraId="746D6D22" w14:textId="77777777" w:rsidR="001F7233" w:rsidRDefault="00000000">
      <w:r>
        <w:rPr>
          <w:b/>
        </w:rPr>
        <w:t>Plus: Baut eine US-Kreditgeschichte auf, die später bei Miete und Hypothek zählt</w:t>
      </w:r>
    </w:p>
    <w:p w14:paraId="2500B8F9" w14:textId="77777777" w:rsidR="001F7233" w:rsidRDefault="00000000">
      <w:r>
        <w:rPr>
          <w:b/>
        </w:rPr>
        <w:t xml:space="preserve">Minus: </w:t>
      </w:r>
      <w:r>
        <w:t>Als Generalschlüssel betrifft ein Datenleck gleich mehrere Lebensbereiche</w:t>
      </w:r>
    </w:p>
    <w:p w14:paraId="27C4F99B" w14:textId="77777777" w:rsidR="001F7233" w:rsidRDefault="00000000">
      <w:r>
        <w:rPr>
          <w:b/>
        </w:rPr>
        <w:t>Plus: Sichert Ansprüche aus dem Sozialversicherungsabkommen (40 Credits, Zusammenrechnung)</w:t>
      </w:r>
    </w:p>
    <w:p w14:paraId="4AA87E48" w14:textId="77777777" w:rsidR="001F7233" w:rsidRDefault="00000000">
      <w:r>
        <w:rPr>
          <w:b/>
        </w:rPr>
        <w:t xml:space="preserve">Minus: </w:t>
      </w:r>
      <w:r>
        <w:t>Antrag nur persönlich mit Termin, Wartezeiten schwanken</w:t>
      </w:r>
    </w:p>
    <w:p w14:paraId="3D017B3B" w14:textId="77777777" w:rsidR="001F7233" w:rsidRDefault="00000000">
      <w:r>
        <w:rPr>
          <w:b/>
        </w:rPr>
        <w:t>Plus: Die ITIN überbrückt die Steuerpflicht auch ohne SSN</w:t>
      </w:r>
    </w:p>
    <w:p w14:paraId="7CE14F8F" w14:textId="77777777" w:rsidR="001F7233" w:rsidRDefault="00000000">
      <w:r>
        <w:rPr>
          <w:b/>
        </w:rPr>
        <w:t xml:space="preserve">Minus: </w:t>
      </w:r>
      <w:r>
        <w:t>ITIN bringt weder Kreditwürdigkeit noch Sozialleistungen</w:t>
      </w:r>
    </w:p>
    <w:p w14:paraId="6AB62BF0" w14:textId="77777777" w:rsidR="001F7233" w:rsidRDefault="001F7233">
      <w:pPr>
        <w:spacing w:line="180" w:lineRule="exact"/>
      </w:pPr>
    </w:p>
    <w:p w14:paraId="69C094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C05CFA0" w14:textId="77777777" w:rsidR="001F7233" w:rsidRDefault="00000000">
      <w:pPr>
        <w:spacing w:after="140"/>
      </w:pPr>
      <w:r>
        <w:t>Buche den SSA-Termin, sobald 10 Tage seit der Einreise vergangen sind, und nimm alle Originale mit. Kläre parallel, ob dein Ehepartner oder deine Kinder eine SSN oder eine ITIN brauchen und richte für die Übergangszeit Bank, Handy und Wohnung mit den Alternativnachweisen ein. Sobald die Karte da ist, sichere sie sofort mit Credit Freeze und IP PIN.</w:t>
      </w:r>
    </w:p>
    <w:p w14:paraId="25FAE074" w14:textId="77777777" w:rsidR="001F7233" w:rsidRDefault="00000000">
      <w:r>
        <w:t>• I-94 ist mindestens 10 Tage alt, bevor du zur SSA gehst</w:t>
      </w:r>
    </w:p>
    <w:p w14:paraId="248185E1" w14:textId="77777777" w:rsidR="001F7233" w:rsidRDefault="00000000">
      <w:r>
        <w:t>• Formular SS-5 ausgefüllt, Pass, Visum, I-94-Ausdruck und I-797 im Original bereitgelegt</w:t>
      </w:r>
    </w:p>
    <w:p w14:paraId="17F9C402" w14:textId="77777777" w:rsidR="001F7233" w:rsidRDefault="00000000">
      <w:r>
        <w:t>• Termin im SSA-Büro vereinbart, wo möglich vorab online</w:t>
      </w:r>
    </w:p>
    <w:p w14:paraId="63E14E33" w14:textId="77777777" w:rsidR="001F7233" w:rsidRDefault="00000000">
      <w:r>
        <w:t>• Arbeitgeber über „Applied For“ informiert, falls der Job vor der SSN beginnt</w:t>
      </w:r>
    </w:p>
    <w:p w14:paraId="5581F3AF" w14:textId="77777777" w:rsidR="001F7233" w:rsidRDefault="00000000">
      <w:r>
        <w:lastRenderedPageBreak/>
        <w:t>• Übergangslösungen für Bank, Handy, Wohnung und Strom geklärt (</w:t>
      </w:r>
      <w:hyperlink w:anchor="k13">
        <w:r w:rsidR="001F7233">
          <w:rPr>
            <w:color w:val="0563C1"/>
            <w:u w:val="single"/>
          </w:rPr>
          <w:t>Kapitel 13</w:t>
        </w:r>
      </w:hyperlink>
      <w:r>
        <w:t>, 25)</w:t>
      </w:r>
    </w:p>
    <w:p w14:paraId="756E75C2" w14:textId="77777777" w:rsidR="001F7233" w:rsidRDefault="00000000">
      <w:r>
        <w:t>• Für Familienmitglieder ohne Arbeitserlaubnis geprüft: SSN oder ITIN (</w:t>
      </w:r>
      <w:hyperlink w:anchor="k10">
        <w:r w:rsidR="001F7233">
          <w:rPr>
            <w:color w:val="0563C1"/>
            <w:u w:val="single"/>
          </w:rPr>
          <w:t>Kapitel 10</w:t>
        </w:r>
      </w:hyperlink>
      <w:r>
        <w:t>)</w:t>
      </w:r>
    </w:p>
    <w:p w14:paraId="29A896FA" w14:textId="77777777" w:rsidR="001F7233" w:rsidRDefault="00000000">
      <w:r>
        <w:t>• Sobald die SSN da ist: Credit Freeze bei allen drei Auskunfteien eingerichtet</w:t>
      </w:r>
    </w:p>
    <w:p w14:paraId="43B4C644" w14:textId="77777777" w:rsidR="001F7233" w:rsidRDefault="00000000">
      <w:r>
        <w:t>• IRS Identity Protection PIN über das IRS Online Account beantragt</w:t>
      </w:r>
    </w:p>
    <w:p w14:paraId="0927098E" w14:textId="77777777" w:rsidR="001F7233" w:rsidRDefault="00000000">
      <w:r>
        <w:t>• Ersatzkarte nur bei echtem Bedarf beantragt, Limit im Kopf (3 pro Jahr, 10 im Leben)</w:t>
      </w:r>
    </w:p>
    <w:p w14:paraId="39A640D0" w14:textId="77777777" w:rsidR="001F7233" w:rsidRDefault="00000000">
      <w:r>
        <w:t>• Bei geplanter Rückkehr: Sozialversicherungsabkommen und Zusammenrechnung im Blick (</w:t>
      </w:r>
      <w:hyperlink w:anchor="k17">
        <w:r w:rsidR="001F7233">
          <w:rPr>
            <w:color w:val="0563C1"/>
            <w:u w:val="single"/>
          </w:rPr>
          <w:t>Kapitel 17</w:t>
        </w:r>
      </w:hyperlink>
      <w:r>
        <w:t>)</w:t>
      </w:r>
    </w:p>
    <w:p w14:paraId="3A113631" w14:textId="77777777" w:rsidR="001F7233" w:rsidRDefault="001F7233">
      <w:pPr>
        <w:spacing w:line="220" w:lineRule="exact"/>
      </w:pPr>
    </w:p>
    <w:p w14:paraId="4158CC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6A41DF2" w14:textId="77777777" w:rsidR="001F7233" w:rsidRDefault="00000000">
      <w:pPr>
        <w:pStyle w:val="ListParagraph"/>
        <w:numPr>
          <w:ilvl w:val="0"/>
          <w:numId w:val="1"/>
        </w:numPr>
        <w:spacing w:after="60"/>
      </w:pPr>
      <w:r>
        <w:t>SSA — Formular SS-5 (</w:t>
      </w:r>
      <w:hyperlink r:id="rId326">
        <w:r w:rsidR="001F7233">
          <w:rPr>
            <w:color w:val="0563C1"/>
            <w:u w:val="single"/>
          </w:rPr>
          <w:t>ssa.gov/forms/ss-5.pdf</w:t>
        </w:r>
      </w:hyperlink>
      <w:r>
        <w:t>)</w:t>
      </w:r>
    </w:p>
    <w:p w14:paraId="611D7573" w14:textId="77777777" w:rsidR="001F7233" w:rsidRDefault="00000000">
      <w:pPr>
        <w:pStyle w:val="ListParagraph"/>
        <w:numPr>
          <w:ilvl w:val="0"/>
          <w:numId w:val="1"/>
        </w:numPr>
        <w:spacing w:after="60"/>
      </w:pPr>
      <w:r>
        <w:t>SSA — Sozialversicherungsabkommen mit Deutschland (</w:t>
      </w:r>
      <w:hyperlink r:id="rId327">
        <w:r w:rsidR="001F7233">
          <w:rPr>
            <w:color w:val="0563C1"/>
            <w:u w:val="single"/>
          </w:rPr>
          <w:t>ssa.gov/international/Agreement_Pamphlets/germany.html</w:t>
        </w:r>
      </w:hyperlink>
      <w:r>
        <w:t>)</w:t>
      </w:r>
    </w:p>
    <w:p w14:paraId="422FA0E2" w14:textId="77777777" w:rsidR="001F7233" w:rsidRDefault="00000000">
      <w:pPr>
        <w:pStyle w:val="ListParagraph"/>
        <w:numPr>
          <w:ilvl w:val="0"/>
          <w:numId w:val="1"/>
        </w:numPr>
        <w:spacing w:after="60"/>
      </w:pPr>
      <w:r>
        <w:t>SSA — Social Security Number und Karte (</w:t>
      </w:r>
      <w:hyperlink r:id="rId328">
        <w:r w:rsidR="001F7233">
          <w:rPr>
            <w:color w:val="0563C1"/>
            <w:u w:val="single"/>
          </w:rPr>
          <w:t>ssa.gov/number-card</w:t>
        </w:r>
      </w:hyperlink>
      <w:r>
        <w:t>)</w:t>
      </w:r>
    </w:p>
    <w:p w14:paraId="383BCB5A" w14:textId="77777777" w:rsidR="001F7233" w:rsidRDefault="00000000">
      <w:pPr>
        <w:pStyle w:val="ListParagraph"/>
        <w:numPr>
          <w:ilvl w:val="0"/>
          <w:numId w:val="1"/>
        </w:numPr>
        <w:spacing w:after="60"/>
      </w:pPr>
      <w:r>
        <w:t>IRS — ITIN beantragen (</w:t>
      </w:r>
      <w:hyperlink r:id="rId329">
        <w:r w:rsidR="001F7233">
          <w:rPr>
            <w:color w:val="0563C1"/>
            <w:u w:val="single"/>
          </w:rPr>
          <w:t>irs.gov/individuals/how-do-i-apply-for-an-itin</w:t>
        </w:r>
      </w:hyperlink>
      <w:r>
        <w:t>)</w:t>
      </w:r>
    </w:p>
    <w:p w14:paraId="68F51FF2" w14:textId="77777777" w:rsidR="001F7233" w:rsidRDefault="00000000">
      <w:pPr>
        <w:pStyle w:val="ListParagraph"/>
        <w:numPr>
          <w:ilvl w:val="0"/>
          <w:numId w:val="1"/>
        </w:numPr>
        <w:spacing w:after="60"/>
      </w:pPr>
      <w:r>
        <w:t>IRS — Identity Protection PIN (</w:t>
      </w:r>
      <w:hyperlink r:id="rId330">
        <w:r w:rsidR="001F7233">
          <w:rPr>
            <w:color w:val="0563C1"/>
            <w:u w:val="single"/>
          </w:rPr>
          <w:t>irs.gov/identity-theft-fraud-scams/get-an-identity-protection-pin</w:t>
        </w:r>
      </w:hyperlink>
      <w:r>
        <w:t>)</w:t>
      </w:r>
    </w:p>
    <w:p w14:paraId="1ED78878" w14:textId="77777777" w:rsidR="001F7233" w:rsidRDefault="00000000">
      <w:pPr>
        <w:pStyle w:val="ListParagraph"/>
        <w:numPr>
          <w:ilvl w:val="0"/>
          <w:numId w:val="1"/>
        </w:numPr>
        <w:spacing w:after="60"/>
      </w:pPr>
      <w:r>
        <w:t>FTC — Credit Freeze und Fraud Alert (</w:t>
      </w:r>
      <w:hyperlink r:id="rId331">
        <w:r w:rsidR="001F7233">
          <w:rPr>
            <w:color w:val="0563C1"/>
            <w:u w:val="single"/>
          </w:rPr>
          <w:t>consumer.ftc.gov/articles/what-know-about-credit-freezes-fraud-alerts</w:t>
        </w:r>
      </w:hyperlink>
      <w:r>
        <w:t>)</w:t>
      </w:r>
    </w:p>
    <w:p w14:paraId="4D9B193E" w14:textId="77777777" w:rsidR="001F7233" w:rsidRDefault="001F7233">
      <w:pPr>
        <w:spacing w:line="120" w:lineRule="exact"/>
      </w:pPr>
    </w:p>
    <w:p w14:paraId="52243B76" w14:textId="77777777" w:rsidR="001F7233" w:rsidRDefault="00000000">
      <w:r>
        <w:t>• Quellen- und Datenstand: September 2026; Redaktionsschluss: Oktober 2026. Diese Angaben ändern sich schnell: ob die automatische SSN-Vergabe über USCIS (Enumeration Beyond Entry) reaktiviert wird, der Umfang der Online-Beantragung für Nichtbürger und die Bearbeitungszeiten einzelner SSA-Büros. Prüfe vor dem Termin ssa.gov und aktuelle Hinweise deines Arbeitgebers oder Anwalts.</w:t>
      </w:r>
    </w:p>
    <w:p w14:paraId="5309F2D6" w14:textId="77777777" w:rsidR="001F7233" w:rsidRDefault="00000000">
      <w:pPr>
        <w:spacing w:line="220" w:lineRule="exact"/>
      </w:pPr>
      <w:r>
        <w:lastRenderedPageBreak/>
        <w:br w:type="page"/>
      </w:r>
    </w:p>
    <w:p w14:paraId="3FB5D4D5" w14:textId="77777777" w:rsidR="001F7233" w:rsidRDefault="00000000">
      <w:pPr>
        <w:pStyle w:val="Heading2"/>
        <w:keepNext/>
        <w:spacing w:line="341" w:lineRule="auto"/>
        <w:jc w:val="center"/>
      </w:pPr>
      <w:bookmarkStart w:id="55" w:name="k25"/>
      <w:r>
        <w:rPr>
          <w:rFonts w:ascii="Amazon Ember" w:eastAsia="Amazon Ember" w:hAnsi="Amazon Ember" w:cs="Amazon Ember"/>
          <w:color w:val="0000FF"/>
          <w:sz w:val="36"/>
          <w:szCs w:val="36"/>
        </w:rPr>
        <w:lastRenderedPageBreak/>
        <w:t>Kapitel 25: Bank, Kredit, Versicherungen: Geld im Alltag</w:t>
      </w:r>
      <w:bookmarkEnd w:id="55"/>
    </w:p>
    <w:p w14:paraId="3DB2C818" w14:textId="77777777" w:rsidR="001F7233" w:rsidRDefault="00000000">
      <w:pPr>
        <w:spacing w:after="140"/>
      </w:pPr>
      <w:r>
        <w:t xml:space="preserve">Du hast in Deutschland nie eine Rechnung zu spät bezahlt, deine Schufa-Auskunft ist makellos. Trotzdem lehnt dich der Mobilfunkanbieter in den USA für einen normalen Vertrag ab oder verlangt eine hohe Kaution. Der Grund ist banal: Für die amerikanischen Auskunfteien existierst du schlicht nicht. Jahrzehnte pünktlicher Zahlungen in Deutschland zählen hier nichts. Du startest bei deiner </w:t>
      </w:r>
      <w:r>
        <w:rPr>
          <w:i/>
          <w:iCs/>
        </w:rPr>
        <w:t>Kreditwürdigkeit</w:t>
      </w:r>
      <w:r>
        <w:t xml:space="preserve"> (</w:t>
      </w:r>
      <w:r>
        <w:rPr>
          <w:i/>
          <w:iCs/>
        </w:rPr>
        <w:t>Credit Score</w:t>
      </w:r>
      <w:r>
        <w:t xml:space="preserve">, meist der </w:t>
      </w:r>
      <w:r>
        <w:rPr>
          <w:i/>
          <w:iCs/>
        </w:rPr>
        <w:t>FICO-Score</w:t>
      </w:r>
      <w:r>
        <w:t>) bei null, nicht bei schlecht. Das betrifft nicht nur Kreditkarten, sondern auch Handyvertrag, Autokredit und manchmal die Miete (Kapitel </w:t>
      </w:r>
      <w:hyperlink w:anchor="k13">
        <w:r w:rsidR="001F7233">
          <w:t>13</w:t>
        </w:r>
      </w:hyperlink>
      <w:r>
        <w:t>). Wer das von Anfang an versteht und gezielt gegensteuert, hat nach sechs bis zwölf Monaten meist einen soliden Score. Wer es ignoriert, zahlt Jahre zu hohe Zinsen.</w:t>
      </w:r>
    </w:p>
    <w:p w14:paraId="0EB31CF5" w14:textId="77777777" w:rsidR="001F7233" w:rsidRDefault="00000000">
      <w:r>
        <w:rPr>
          <w:b/>
        </w:rPr>
        <w:t xml:space="preserve">KURZ GESAGT: </w:t>
      </w:r>
    </w:p>
    <w:p w14:paraId="086AAD7D" w14:textId="77777777" w:rsidR="001F7233" w:rsidRDefault="00000000">
      <w:r>
        <w:t>• Ein US-Bankkonto lässt sich bei vielen Banken auch ohne SSN eröffnen (Pass, Visum, I-94 genügen oft); die SSN vereinfacht vieles (</w:t>
      </w:r>
      <w:hyperlink w:anchor="k24">
        <w:r w:rsidR="001F7233">
          <w:rPr>
            <w:color w:val="0563C1"/>
            <w:u w:val="single"/>
          </w:rPr>
          <w:t>Kapitel 24</w:t>
        </w:r>
      </w:hyperlink>
      <w:r>
        <w:t>).</w:t>
      </w:r>
    </w:p>
    <w:p w14:paraId="7F8E36A6" w14:textId="77777777" w:rsidR="001F7233" w:rsidRDefault="00000000">
      <w:r>
        <w:t>• Schecks, ACH, Zelle und Venmo sind die vier Wege, wie Geld im US-Alltag fließt. Jeder mit eigenen Regeln und Risiken.</w:t>
      </w:r>
    </w:p>
    <w:p w14:paraId="0DD37EE3" w14:textId="77777777" w:rsidR="001F7233" w:rsidRDefault="00000000">
      <w:r>
        <w:t>• Deine deutsche Bonität zählt in den USA nicht: Du baust deine Kreditwürdigkeit über eine gesicherte Kreditkarte, geringe Auslastung und pünktliche Zahlungen neu auf.</w:t>
      </w:r>
    </w:p>
    <w:p w14:paraId="05B77241" w14:textId="77777777" w:rsidR="001F7233" w:rsidRDefault="00000000">
      <w:r>
        <w:t>• Kreditkarten kosten bei Restschuld im Schnitt über 20 % Zinsen im Jahr (Stand 2026). Die eine feste Regel lautet: Rechnung jeden Monat vollständig begleichen.</w:t>
      </w:r>
    </w:p>
    <w:p w14:paraId="69A6EC65" w14:textId="77777777" w:rsidR="001F7233" w:rsidRDefault="00000000">
      <w:r>
        <w:t>• Renters-, Umbrella-, Term-Life- und Disability-Versicherung schließen Lücken, die es in Deutschland in dieser Form nicht gibt.</w:t>
      </w:r>
    </w:p>
    <w:p w14:paraId="43C7D527" w14:textId="77777777" w:rsidR="001F7233" w:rsidRDefault="00000000">
      <w:r>
        <w:t>• Ein Notgroschen von drei bis sechs Monatsausgaben ist in den USA wichtiger als in Deutschland, weil kündigungsschutz und ein dichtes soziales Netz fehlen.</w:t>
      </w:r>
    </w:p>
    <w:p w14:paraId="644919AC" w14:textId="77777777" w:rsidR="001F7233" w:rsidRDefault="001F7233">
      <w:pPr>
        <w:spacing w:line="220" w:lineRule="exact"/>
      </w:pPr>
    </w:p>
    <w:p w14:paraId="636AD9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 Bankkonto eröffnen — mit und ohne SSN</w:t>
      </w:r>
    </w:p>
    <w:p w14:paraId="1535C3B7" w14:textId="77777777" w:rsidR="001F7233" w:rsidRDefault="00000000">
      <w:pPr>
        <w:spacing w:after="140"/>
      </w:pPr>
      <w:r>
        <w:rPr>
          <w:i/>
          <w:iCs/>
        </w:rPr>
        <w:t>Ohne US-Bankkonto geht im Alltag wenig: Gehalt, Miete, die meisten Rechnungen und fast jede App laufen darüber. Die klassische Kombination: ein Checking Account (Girokonto mit Debitkarte für den täglichen Zahlungsverkehr) plus ein Savings Account (Sparkonto, meist mit etwas Zins, aber begrenzten Abhebungen pro Monat). Landesweite Banken wie Chase, Bank of America oder Wells Fargo haben Filialen fast überall. Regionale Banken und Kreditgenossenschaften (Credit Unions) bieten oft bessere Konditionen bei kleinerem Filialnetz.</w:t>
      </w:r>
    </w:p>
    <w:p w14:paraId="4AA20CAF" w14:textId="77777777" w:rsidR="001F7233" w:rsidRDefault="00000000">
      <w:pPr>
        <w:spacing w:after="140"/>
      </w:pPr>
      <w:r>
        <w:t>Für die Eröffnung verlangen die meisten Banken Reisepass, Visum, den I-94-Ausdruck und einen Adressnachweis. Ohne SSN akzeptieren viele Institute stattdessen eine ITIN oder verlangen sie innerhalb einiger Wochen nachzureichen (Kapitel </w:t>
      </w:r>
      <w:hyperlink w:anchor="k24">
        <w:r w:rsidR="001F7233">
          <w:t>24</w:t>
        </w:r>
      </w:hyperlink>
      <w:r>
        <w:t>). Eine erste Einzahlung von meist 25 bis 100 $ eröffnet das Konto. Frag gezielt nach einem Konto ohne monatliche Kontoführungsgebühr (</w:t>
      </w:r>
      <w:r>
        <w:rPr>
          <w:i/>
          <w:iCs/>
        </w:rPr>
        <w:t>Monthly Maintenance Fee</w:t>
      </w:r>
      <w:r>
        <w:t>) — meist vermeidbar durch Mindestbestand oder Gehaltseingang per Direktüberweisung. Die deutsche Girocard funktioniert in den USA praktisch nie (Kapitel </w:t>
      </w:r>
      <w:hyperlink w:anchor="k23">
        <w:r w:rsidR="001F7233">
          <w:t>23</w:t>
        </w:r>
      </w:hyperlink>
      <w:r>
        <w:t>). Für Kaution und Mietwagen brauchst du ohnehin eine Kreditkarte.</w:t>
      </w:r>
    </w:p>
    <w:p w14:paraId="45CD812C" w14:textId="77777777" w:rsidR="001F7233" w:rsidRDefault="00000000">
      <w:pPr>
        <w:spacing w:after="140"/>
      </w:pPr>
      <w:r>
        <w:rPr>
          <w:i/>
          <w:iCs/>
        </w:rPr>
        <w:t>Einlagen sind bei den meisten Banken durch die staatliche Einlagensicherung FDIC (Federal Deposit Insurance Corporation) bis 250.000 $ je Bank und Kontoinhaber abgesichert. Deutlich mehr als die 100.000 € der deutschen Einlagensicherung. Kreditgenossenschaften nutzen mit der NCUA eine vergleichbare Absicherung.</w:t>
      </w:r>
    </w:p>
    <w:p w14:paraId="77E14887" w14:textId="77777777" w:rsidR="001F7233" w:rsidRDefault="00000000">
      <w:r>
        <w:rPr>
          <w:b/>
        </w:rPr>
        <w:t xml:space="preserve">ACHTUNG: </w:t>
      </w:r>
    </w:p>
    <w:p w14:paraId="18A85131" w14:textId="77777777" w:rsidR="001F7233" w:rsidRDefault="00000000">
      <w:r>
        <w:t xml:space="preserve">• Manche Banken sperren ein „Pending“-Konto oder schränken es ein, wenn SSN oder ITIN nicht in der vereinbarten Frist nachgereicht </w:t>
      </w:r>
      <w:r>
        <w:lastRenderedPageBreak/>
        <w:t>werden. Frag bei der Kontoeröffnung ausdrücklich nach dieser Frist und trage sie in deinen Kalender ein.</w:t>
      </w:r>
    </w:p>
    <w:p w14:paraId="0C3F78E1" w14:textId="77777777" w:rsidR="001F7233" w:rsidRDefault="001F7233">
      <w:pPr>
        <w:spacing w:line="220" w:lineRule="exact"/>
      </w:pPr>
    </w:p>
    <w:p w14:paraId="7A0D0C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bewegen: Schecks, ACH, Zelle und Venmo</w:t>
      </w:r>
    </w:p>
    <w:p w14:paraId="61A2B6BE" w14:textId="77777777" w:rsidR="001F7233" w:rsidRDefault="00000000">
      <w:pPr>
        <w:spacing w:after="140"/>
      </w:pPr>
      <w:r>
        <w:rPr>
          <w:i/>
          <w:iCs/>
        </w:rPr>
        <w:t>Der Scheck (Check) ist in den USA lebendiger als in Deutschland: Manche Vermieter, Kautionen und private Zahlungen laufen noch damit. Er braucht Datum, Empfänger, Betrag in Ziffern und Worten sowie deine Unterschrift. Die Bank-App liest ihn per Fotoscan ein (Mobile Deposit). Reicht das Guthaben nicht, platzt der Scheck (Bounced Check). Das löst Gebühren bei dir und beim Empfänger aus, kontrolliere also den Kontostand vorher.</w:t>
      </w:r>
    </w:p>
    <w:p w14:paraId="3A498EAF" w14:textId="77777777" w:rsidR="001F7233" w:rsidRDefault="00000000">
      <w:pPr>
        <w:spacing w:after="140"/>
      </w:pPr>
      <w:r>
        <w:rPr>
          <w:i/>
          <w:iCs/>
        </w:rPr>
        <w:t>ACH (Automated Clearing House, das US-Verrechnungsnetz für Bank-zu-Bank-Zahlungen) transportiert Gehalt, Mieten und Rechnungen im Hintergrund. Du gibst dafür Routing Number (neunstellige Bankkennung) und Account Number (Kontonummer) an. Eine ACH-Zahlung dauert meist ein bis drei Werktage und kostet meist nichts.</w:t>
      </w:r>
    </w:p>
    <w:p w14:paraId="32F3AC7D" w14:textId="77777777" w:rsidR="001F7233" w:rsidRDefault="00000000">
      <w:pPr>
        <w:spacing w:after="140"/>
      </w:pPr>
      <w:r>
        <w:rPr>
          <w:i/>
          <w:iCs/>
        </w:rPr>
        <w:t xml:space="preserve">Zelle ist in die Apps der meisten großen Banken eingebaut und überweist sofort und kostenlos zwischen Bankkonten, sobald du Telefonnummer oder E-Mail des Empfängers kennst. Das macht Zelle beliebt für Miete oder Rückzahlungen unter Freunden – aber auch bei Betrügern, denn wie eine Bargeldzahlung lässt sich eine Zelle-Überweisung so gut wie nicht zurückholen. Venmo (gehört zu PayPal) funktioniert ähnlich, ist aber eine eigene App mit Guthabenfunktion und einem standardmäßig sichtbaren sozialen Feed der Transaktionen. Zahlungen an dein Bankkonto sind kostenlos in ein bis drei Werktagen oder gegen eine kleine Gebühr sofort. Stelle die Sichtbarkeit in den Einstellungen auf privat. Für wiederkehrende Rechnungen wie Strom, Internet oder Versicherung bieten praktisch alle Banken auch Online-Rechnungsversand (Bill Pay) direkt in der App: Du hinterlegst den Empfänger einmal. Danach überweist die </w:t>
      </w:r>
      <w:r>
        <w:rPr>
          <w:i/>
          <w:iCs/>
        </w:rPr>
        <w:lastRenderedPageBreak/>
        <w:t>Bank automatisch oder verschickt sogar selbst einen Scheck an Empfänger ohne elektronischen Zugang.</w:t>
      </w:r>
    </w:p>
    <w:p w14:paraId="492CF3E1" w14:textId="77777777" w:rsidR="001F7233" w:rsidRDefault="00000000">
      <w:pPr>
        <w:spacing w:after="140"/>
      </w:pPr>
      <w:r>
        <w:rPr>
          <w:b/>
        </w:rPr>
        <w:t>PayPal beim Bezahlen</w:t>
      </w:r>
    </w:p>
    <w:p w14:paraId="5C94C89E" w14:textId="77777777" w:rsidR="001F7233" w:rsidRDefault="00000000">
      <w:pPr>
        <w:spacing w:after="140"/>
      </w:pPr>
      <w:r>
        <w:t>PayPal eignet sich bei teilnehmenden Händlern als Online-Wallet, ersetzt aber weder die Kreditkarte noch lokale Banküberweisungen. Ob eine Zahlung Kartenpunkte sammelt, hängt von Kartenvertrag, Händlerkategorie und Zahlungsweg ab. Prüfe die Bedingungen und den Endbetrag samt Währungsumrechnung. Bei dauerhaftem Umzug lässt sich ein PayPal-Konto nicht einfach auf ein anderes Land umstellen: PayPal verlangt grundsaetzlich, das alte Konto zu schließen und im neuen Wohnsitzland ein neues zu eröffnen. Quelle: paypal.com/ca/cshelp/article/can-i-change-the-address-on-my-paypal-account-to-another-country-help210.</w:t>
      </w:r>
    </w:p>
    <w:p w14:paraId="52E132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aus Deutschland überweisen</w:t>
      </w:r>
    </w:p>
    <w:p w14:paraId="246DC25E" w14:textId="77777777" w:rsidR="001F7233" w:rsidRDefault="00000000">
      <w:pPr>
        <w:spacing w:after="140"/>
      </w:pPr>
      <w:r>
        <w:t xml:space="preserve">Eine klassische Auslandsüberweisung über </w:t>
      </w:r>
      <w:r>
        <w:rPr>
          <w:i/>
          <w:iCs/>
        </w:rPr>
        <w:t>SWIFT</w:t>
      </w:r>
      <w:r>
        <w:t xml:space="preserve"> von der deutschen Bank kostet häufig eine feste Gebühr von 25 bis 50 $ auf US-Seite plus einen Aufschlag von 3 bis 5 % auf den Wechselkurs, den die Bank nicht offen ausweist. Bei 1.000 $ Transfersumme kommen so schnell 70 bis 95 $ Gesamtkosten zusammen, bei drei bis fünf Werktagen Laufzeit. Fintech-Anbieter wie Wise arbeiten dagegen mit dem tagesaktuellen Mittelkurs (</w:t>
      </w:r>
      <w:r>
        <w:rPr>
          <w:i/>
          <w:iCs/>
        </w:rPr>
        <w:t>Mid-Market Rate</w:t>
      </w:r>
      <w:r>
        <w:t>) und weisen die Gebühr offen aus. Bei derselben Summe liegen die Gesamtkosten oft nur bei wenigen Dollar, ein großer Teil binnen Minuten da. Bei sehr großen Summen, etwa einer Immobilien-Anzahlung (Kapitel </w:t>
      </w:r>
      <w:hyperlink w:anchor="k14">
        <w:r w:rsidR="001F7233">
          <w:t>14</w:t>
        </w:r>
      </w:hyperlink>
      <w:r>
        <w:t>), kann sich das Bild verschieben. Vergleiche deshalb vor jeder größeren Zahlung die tatsächlichen Gesamtkosten (Gebühr plus Kursaufschlag), nicht nur die genannte Gebühr. Für die Überweisung brauchst du auf deutscher Seite IBAN und BIC deiner Bank, auf US-Seite Routing und Account Number. Wer regelmäßig größere Summen bewegt, sollte außerdem die steuerlichen Meldepflichten aus Kapitel </w:t>
      </w:r>
      <w:hyperlink w:anchor="k28">
        <w:r w:rsidR="001F7233">
          <w:t>28</w:t>
        </w:r>
      </w:hyperlink>
      <w:r>
        <w:t xml:space="preserve"> im Blick behalten. Zur Orientierung: </w:t>
      </w:r>
      <w:r>
        <w:lastRenderedPageBreak/>
        <w:t>1 € entsprach im Herbst 2026 etwa 1,1–1,2 $ (bitte tagesaktuell prüfen).</w:t>
      </w:r>
    </w:p>
    <w:p w14:paraId="21C65B4E" w14:textId="77777777" w:rsidR="001F7233" w:rsidRDefault="00000000">
      <w:r>
        <w:rPr>
          <w:b/>
        </w:rPr>
        <w:t xml:space="preserve">SPARTIPP: </w:t>
      </w:r>
    </w:p>
    <w:p w14:paraId="51A979EE" w14:textId="77777777" w:rsidR="001F7233" w:rsidRDefault="00000000">
      <w:r>
        <w:t>• Wähle, solange du noch deutsche Karten nutzt, eine Kreditkarte ohne Auslandseinsatzentgelt (Foreign Transaction Fee). In der Übergangszeit mit doppeltem Haushalt spart das bei jeder Zahlung in Dollar spürbar Geld.</w:t>
      </w:r>
    </w:p>
    <w:p w14:paraId="6DB77AF2" w14:textId="77777777" w:rsidR="001F7233" w:rsidRDefault="001F7233">
      <w:pPr>
        <w:spacing w:line="220" w:lineRule="exact"/>
      </w:pPr>
    </w:p>
    <w:p w14:paraId="32F48D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FICO-Score und Schufa im Vergleich</w:t>
      </w:r>
    </w:p>
    <w:p w14:paraId="6AF0BCEC" w14:textId="77777777" w:rsidR="001F7233" w:rsidRDefault="00000000">
      <w:pPr>
        <w:spacing w:after="140"/>
      </w:pPr>
      <w:r>
        <w:rPr>
          <w:i/>
          <w:iCs/>
        </w:rPr>
        <w:t>Der FICO-Score reicht von 300 bis 850 Punkten und setzt sich aus fünf Faktoren zusammen: Zahlungshistorie (rund 35 %), Auslastung des verfügbaren Kreditrahmens (rund 30 %), Länge der Kredithistorie (rund 15 %), neu beantragte Kredite (rund 10 %) und Kreditmix (rund 10 %). Ab etwa 670 Punkten gilt ein Score als gut, ab rund 740 als sehr gut. Ohne jede US-Kredithistorie hast du zunächst gar keinen Score – kein schlechter, sondern gar keiner. Genau das ist für Vermieter, Handyanbieter und Kreditgeber das eigentliche Problem. Der Score beeinflusst weit mehr als nur Kredite: Vermieter, Mobilfunkanbieter und in manchen Bundesstaaten sogar Arbeitgeber bei einer Hintergrundprüfung werfen vor Vertragsabschluss einen Blick darauf.</w:t>
      </w:r>
    </w:p>
    <w:p w14:paraId="308CA691" w14:textId="77777777" w:rsidR="001F7233" w:rsidRDefault="00000000">
      <w:r>
        <w:rPr>
          <w:b/>
        </w:rPr>
        <w:t>Skala</w:t>
      </w:r>
    </w:p>
    <w:p w14:paraId="1EDED3D5" w14:textId="77777777" w:rsidR="001F7233" w:rsidRDefault="00000000">
      <w:r>
        <w:rPr>
          <w:b/>
        </w:rPr>
        <w:t xml:space="preserve">Schufa (Deutschland): </w:t>
      </w:r>
      <w:r>
        <w:t>0–100 % (Wahrscheinlichkeit)</w:t>
      </w:r>
    </w:p>
    <w:p w14:paraId="65714CF9" w14:textId="77777777" w:rsidR="001F7233" w:rsidRDefault="00000000">
      <w:r>
        <w:rPr>
          <w:b/>
        </w:rPr>
        <w:t xml:space="preserve">FICO-Score (USA): </w:t>
      </w:r>
      <w:r>
        <w:t>300–850 Punkte</w:t>
      </w:r>
    </w:p>
    <w:p w14:paraId="46A2C7F2" w14:textId="77777777" w:rsidR="001F7233" w:rsidRDefault="00000000">
      <w:r>
        <w:rPr>
          <w:b/>
        </w:rPr>
        <w:t>Auskunfteien</w:t>
      </w:r>
    </w:p>
    <w:p w14:paraId="6DDD606F" w14:textId="77777777" w:rsidR="001F7233" w:rsidRDefault="00000000">
      <w:r>
        <w:rPr>
          <w:b/>
        </w:rPr>
        <w:t xml:space="preserve">Schufa (Deutschland): </w:t>
      </w:r>
      <w:r>
        <w:t>im Kern eine, die Schufa dominiert</w:t>
      </w:r>
    </w:p>
    <w:p w14:paraId="60C97423" w14:textId="77777777" w:rsidR="001F7233" w:rsidRDefault="00000000">
      <w:r>
        <w:rPr>
          <w:b/>
        </w:rPr>
        <w:t xml:space="preserve">FICO-Score (USA): </w:t>
      </w:r>
      <w:r>
        <w:t>drei große Bureaus (Equifax, Experian, TransUnion), oft mit leicht abweichenden Werten</w:t>
      </w:r>
    </w:p>
    <w:p w14:paraId="2B795F9F" w14:textId="77777777" w:rsidR="001F7233" w:rsidRDefault="00000000">
      <w:r>
        <w:rPr>
          <w:b/>
        </w:rPr>
        <w:t>Kostenlose Auskunft</w:t>
      </w:r>
    </w:p>
    <w:p w14:paraId="6A5628BB" w14:textId="77777777" w:rsidR="001F7233" w:rsidRDefault="00000000">
      <w:r>
        <w:rPr>
          <w:b/>
        </w:rPr>
        <w:t xml:space="preserve">Schufa (Deutschland): </w:t>
      </w:r>
      <w:r>
        <w:t>einmal jährlich, Art. 15 DSGVO</w:t>
      </w:r>
    </w:p>
    <w:p w14:paraId="06658333" w14:textId="77777777" w:rsidR="001F7233" w:rsidRDefault="00000000">
      <w:r>
        <w:rPr>
          <w:b/>
        </w:rPr>
        <w:lastRenderedPageBreak/>
        <w:t xml:space="preserve">FICO-Score (USA): </w:t>
      </w:r>
      <w:r>
        <w:t>einmal jährlich je Bureau über annualcreditreport.com</w:t>
      </w:r>
    </w:p>
    <w:p w14:paraId="7F66F944" w14:textId="77777777" w:rsidR="001F7233" w:rsidRDefault="00000000">
      <w:r>
        <w:rPr>
          <w:b/>
        </w:rPr>
        <w:t>Beim Umzug in die USA</w:t>
      </w:r>
    </w:p>
    <w:p w14:paraId="2C759952" w14:textId="77777777" w:rsidR="001F7233" w:rsidRDefault="00000000">
      <w:r>
        <w:rPr>
          <w:b/>
        </w:rPr>
        <w:t xml:space="preserve">Schufa (Deutschland): </w:t>
      </w:r>
      <w:r>
        <w:t>zählt nicht, kein automatischer Import deiner Schufa-Historie</w:t>
      </w:r>
    </w:p>
    <w:p w14:paraId="36879CC1" w14:textId="77777777" w:rsidR="001F7233" w:rsidRDefault="00000000">
      <w:r>
        <w:rPr>
          <w:b/>
        </w:rPr>
        <w:t xml:space="preserve">FICO-Score (USA): </w:t>
      </w:r>
      <w:r>
        <w:t>Start ohne jeden Score, unabhängig von deiner Bonität in Deutschland</w:t>
      </w:r>
    </w:p>
    <w:p w14:paraId="0B957A46" w14:textId="77777777" w:rsidR="001F7233" w:rsidRDefault="001F7233">
      <w:pPr>
        <w:spacing w:line="180" w:lineRule="exact"/>
      </w:pPr>
    </w:p>
    <w:p w14:paraId="008080F6" w14:textId="77777777" w:rsidR="001F7233" w:rsidRDefault="00000000">
      <w:r>
        <w:rPr>
          <w:b/>
        </w:rPr>
        <w:t xml:space="preserve">MERKE: </w:t>
      </w:r>
    </w:p>
    <w:p w14:paraId="5CE01350" w14:textId="77777777" w:rsidR="001F7233" w:rsidRDefault="00000000">
      <w:r>
        <w:t>• Kreditwürdigkeit in den USA ist ein eigenes, vom Schufa-System vollständig getrenntes Verfahren. Niemand kann deine deutsche Bonität „mitnehmen“ – du baust sie neu auf.</w:t>
      </w:r>
    </w:p>
    <w:p w14:paraId="1B51DBE0" w14:textId="77777777" w:rsidR="001F7233" w:rsidRDefault="001F7233">
      <w:pPr>
        <w:spacing w:line="220" w:lineRule="exact"/>
      </w:pPr>
    </w:p>
    <w:p w14:paraId="2E6CF053" w14:textId="77777777" w:rsidR="001F7233" w:rsidRDefault="00000000">
      <w:pPr>
        <w:spacing w:after="140"/>
      </w:pPr>
      <w:r>
        <w:rPr>
          <w:i/>
          <w:iCs/>
        </w:rPr>
        <w:t>Verbreiteter Irrtum: Es gebe längst eine Abkürzung. Eine App, die die deutsche Schufa-Historie einfach in einen FICO-Score übersetzt. Ein Anbieter namens Nova Credit wirbt tatsächlich mit einem Credit Passport, der Kreditdaten aus „mehr als 20 Ländern“ für US-Kreditgeber übersetzen soll. Deutschland tauchte in Vergleichslisten vom März 2026 nicht unter den unterstützten Ländern auf. Eine ältere Partnerschaft betraf lediglich Kontoumsatzdaten, keine Schufa-Werte. Verlass dich nicht darauf, ohne es vorab direkt bei Nova Credit und deinem Wunsch-Kartenanbieter zu prüfen. Manche Kreditgenossenschaften bieten außerdem einen Credit-Builder Loan an: Du „leihst“ dir einen kleinen Betrag, der zunächst auf einem gesperrten Konto liegt und in festen Raten zurückgezahlt wird. Erst danach wird die Summe freigegeben. Auch diese pünktlichen Raten meldet die Bank an die drei Bureaus.</w:t>
      </w:r>
    </w:p>
    <w:p w14:paraId="244C72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gesicherte Kreditkarte: der Einstieg in die US-Bonität</w:t>
      </w:r>
    </w:p>
    <w:p w14:paraId="23DA037E" w14:textId="77777777" w:rsidR="001F7233" w:rsidRDefault="00000000">
      <w:pPr>
        <w:spacing w:after="140"/>
      </w:pPr>
      <w:r>
        <w:t>Der zuverlässigste Weg zum ersten Score ist eine gesicherte Kreditkarte (</w:t>
      </w:r>
      <w:r>
        <w:rPr>
          <w:i/>
          <w:iCs/>
        </w:rPr>
        <w:t>Secured Credit Card</w:t>
      </w:r>
      <w:r>
        <w:t xml:space="preserve">): Du hinterlegst eine Kaution, meist 200 bis 500 $ (bei manchen Anbietern bis zu 3.000 $), die zugleich </w:t>
      </w:r>
      <w:r>
        <w:lastRenderedPageBreak/>
        <w:t>dein Kreditlimit ist. Der Anbieter meldet deine Zahlungen monatlich an alle drei Bureaus. Manche Karten setzen eine SSN voraus. Andere – etwa Angebote ausdrücklich ohne SSN – akzeptieren eine ITIN oder verzichten ganz auf eine Bonitätsprüfung. Nach sechs bis zwölf Monaten pünktlicher Zahlung prüfen viele Anbieter automatisch die Umstellung auf eine reguläre, ungesicherte Karte und zahlen die Kaution zurück.</w:t>
      </w:r>
    </w:p>
    <w:p w14:paraId="7DC4BBE8" w14:textId="77777777" w:rsidR="001F7233" w:rsidRDefault="00000000">
      <w:pPr>
        <w:spacing w:after="140"/>
      </w:pPr>
      <w:r>
        <w:rPr>
          <w:i/>
          <w:iCs/>
        </w:rPr>
        <w:t>Wichtig für den Score ist die Auslastung (Credit Utilization): Halte den genutzten Betrag dauerhaft unter 30 % des Limits, im Idealfall unter 10 %. Eine zweite Möglichkeit, schneller Historie aufzubauen, ist der Status als autorisierter Nutzer (Authorized User) auf der Karte eines Partners oder einer vertrauten Person mit langer, sauberer Zahlungshistorie. Ob und wie stark das den eigenen Score stützt, hängt vom Kartenanbieter ab.</w:t>
      </w:r>
    </w:p>
    <w:p w14:paraId="7F69A9E4" w14:textId="77777777" w:rsidR="001F7233" w:rsidRDefault="00000000">
      <w:pPr>
        <w:spacing w:after="140"/>
      </w:pPr>
      <w:r>
        <w:rPr>
          <w:b/>
        </w:rPr>
        <w:t>Fehler in der US-Kreditauskunft korrigieren</w:t>
      </w:r>
    </w:p>
    <w:p w14:paraId="13A77E5A" w14:textId="77777777" w:rsidR="001F7233" w:rsidRDefault="00000000">
      <w:pPr>
        <w:spacing w:after="140"/>
      </w:pPr>
      <w:r>
        <w:t>Bestelle deine Berichte bei allen drei Auskunfteien und prüfe fremde Konten, falsche Salden und veraltete Einträge. Bestreite einen konkreten Fehler schriftlich sowohl bei der Auskunftei als auch beim Unternehmen, das ihn gemeldet hat. Lege Kopien der Belege bei und bewahre Nachweise auf. Die Untersuchung dauert meist 30 Tage, in einzelnen Fällen bis zu 45. Eine korrekte Schuld lässt sich nicht durch wiederholtes Bestreiten entfernen. Wird dir eine Schuld erlassen, kann der Betrag in den USA meist steuerpflichtiges Einkommen sein. Ausnahmen, etwa bei Insolvenz oder Überschuldung unmittelbar vor dem Erlass, haben eigene Voraussetzungen. Ein Formular 1099-C entscheidet nicht allein über die Steuer. Prüfe die Meldung im selben Steuerjahr und lass eine mögliche Erklärung mit Form 982 fachkundig klären. Quellen: consumerfinance.gov/ask-cfpb/how-do-i-dispute-an-error-on-my-credit-report-en-314/; irs.gov/taxtopics/tc431.</w:t>
      </w:r>
    </w:p>
    <w:p w14:paraId="1BA6F32D" w14:textId="77777777" w:rsidR="001F7233" w:rsidRDefault="00000000">
      <w:pPr>
        <w:spacing w:after="140"/>
      </w:pPr>
      <w:r>
        <w:rPr>
          <w:b/>
        </w:rPr>
        <w:t>Wenn Raten nicht mehr tragbar sind</w:t>
      </w:r>
    </w:p>
    <w:p w14:paraId="6ECBCCD4" w14:textId="77777777" w:rsidR="001F7233" w:rsidRDefault="00000000">
      <w:pPr>
        <w:spacing w:after="140"/>
      </w:pPr>
      <w:r>
        <w:lastRenderedPageBreak/>
        <w:t>Kontaktiere den Kreditgeber, bevor eine Zahlung ausfällt, und bitte um die eigenen Härtefall- oder Zahlungsplanoptionen. Die CFPB warnt vor Entschuldungsfirmen, die Kundinnen und Kunden zum Einstellen der Zahlungen auffordern: Zinsen, Inkasso oder Klagen können folgen und ein Erlass kann auch Steuerfolgen haben. Prüfe eine gemeinnützige Kreditberatung und lies die CFPB-Hinweise, bevor du Gebühren zahlst. Quelle: consumerfinance.gov/ask-cfpb/what-is-a-debt-relief-program-and-how-do-i-know-if-i-should-use-one-en-1457/.</w:t>
      </w:r>
    </w:p>
    <w:p w14:paraId="1B7DC5CC" w14:textId="77777777" w:rsidR="001F7233" w:rsidRDefault="001F7233">
      <w:pPr>
        <w:spacing w:line="220" w:lineRule="exact"/>
      </w:pPr>
    </w:p>
    <w:p w14:paraId="4319E26D" w14:textId="77777777" w:rsidR="001F7233" w:rsidRDefault="00000000">
      <w:r>
        <w:rPr>
          <w:b/>
        </w:rPr>
        <w:t xml:space="preserve">ACHTUNG: </w:t>
      </w:r>
    </w:p>
    <w:p w14:paraId="531035BB" w14:textId="77777777" w:rsidR="001F7233" w:rsidRDefault="00000000">
      <w:r>
        <w:t>• Zu viele Kartenanträge in kurzer Zeit lösen jeweils eine harte Anfrage (Hard Inquiry) aus und senken den Score kurzfristig. Kündige außerdem deine erste Karte nach dem Aufbau nicht vorschnell: Die Karte verlängert die Länge deiner Kredithistorie, die dauerhaft in den Score einfließt.</w:t>
      </w:r>
    </w:p>
    <w:p w14:paraId="2FEA2160" w14:textId="77777777" w:rsidR="001F7233" w:rsidRDefault="001F7233">
      <w:pPr>
        <w:spacing w:line="220" w:lineRule="exact"/>
      </w:pPr>
    </w:p>
    <w:p w14:paraId="440F1C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Kreditkartenkultur: hohe Zinsen, eine klare Regel</w:t>
      </w:r>
    </w:p>
    <w:p w14:paraId="12C7C577" w14:textId="77777777" w:rsidR="001F7233" w:rsidRDefault="00000000">
      <w:pPr>
        <w:spacing w:after="140"/>
      </w:pPr>
      <w:r>
        <w:rPr>
          <w:i/>
          <w:iCs/>
        </w:rPr>
        <w:t>US-Kreditkarten sind fester Alltag – für Miete, Lebensmittel, Cashback und Meilenprogramme, die es in Deutschland kaum gibt. Der Preis dafür ist hoch: Der durchschnittliche effektive Jahreszins (APR, Annual Percentage Rate) lag 2026 bei allen Karten bei rund 21 %, bei Karten mit tatsächlicher Restschuld bei gut 22 % und bei neuen Kartenangeboten bei knapp 24 %. Gesicherte Karten liegen mit rund 26 % noch darüber. Wer nur den Mindestbetrag (Minimum Payment) zahlt, zahlt jahrelang fast nur Zinsen, kaum die eigentliche Schuld ab.</w:t>
      </w:r>
    </w:p>
    <w:p w14:paraId="14EF1118" w14:textId="77777777" w:rsidR="001F7233" w:rsidRDefault="00000000">
      <w:r>
        <w:rPr>
          <w:b/>
        </w:rPr>
        <w:t xml:space="preserve">MERKE: </w:t>
      </w:r>
    </w:p>
    <w:p w14:paraId="326F754D" w14:textId="77777777" w:rsidR="001F7233" w:rsidRDefault="00000000">
      <w:r>
        <w:t xml:space="preserve">• Die einzige verlässliche Regel im US-Kreditkartensystem lautet: Zahle die Rechnung jeden Monat vollständig (Pay in Full). Nur dann </w:t>
      </w:r>
      <w:r>
        <w:lastRenderedPageBreak/>
        <w:t>fallen keine Zinsen an, und Cashback und Meilen sind tatsächlich ein Vorteil statt eines teuren Nebeneffekts.</w:t>
      </w:r>
    </w:p>
    <w:p w14:paraId="78F3CB8F" w14:textId="77777777" w:rsidR="001F7233" w:rsidRDefault="00000000">
      <w:r>
        <w:rPr>
          <w:b/>
        </w:rPr>
        <w:t>Punkte und Meilen: Wert vor Werbeversprechen</w:t>
      </w:r>
    </w:p>
    <w:p w14:paraId="3BD51CD1" w14:textId="77777777" w:rsidR="001F7233" w:rsidRDefault="00000000">
      <w:r>
        <w:t>Vergleiche Jahresgebühr, Willkommensbonus, Mindestausgaben, Fremdwährungsgebühr, Versicherungsbedingungen und den persönlichen Einlösewert. Erfuelle einen Mindestumsatz nur mit Ausgaben, die ohnehin anfallen. Zinsen auf offene Kartenrechnungen übersteigen den Gegenwert der Punkte schnell. Beantrage nicht mehrere Karten nur für Boni: Gebühren, Bonitätsanfragen und deine noch kurze US-Kredithistorie zählen mit. Lies Ablauf- und Einlösebedingungen. Übertrage flexible Punkte erst, wenn verfügbare Prämienplaetze bestätigt sind. Transfers sind oft nicht rückgaengig zu machen. Bezahle jeden Monat den vollen Saldo. Quelle zu Gebühren und Auslandsentgelten: consumerfinance.gov/data-research/credit-card-data/know-you-owe-credit-cards/.</w:t>
      </w:r>
    </w:p>
    <w:p w14:paraId="79BF5F1B" w14:textId="77777777" w:rsidR="001F7233" w:rsidRDefault="001F7233">
      <w:pPr>
        <w:spacing w:line="220" w:lineRule="exact"/>
      </w:pPr>
    </w:p>
    <w:p w14:paraId="3DB07F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Mobilfunk und Internet ohne Kredithistorie</w:t>
      </w:r>
    </w:p>
    <w:p w14:paraId="370CB30D" w14:textId="77777777" w:rsidR="001F7233" w:rsidRDefault="00000000">
      <w:pPr>
        <w:spacing w:after="140"/>
      </w:pPr>
      <w:r>
        <w:t xml:space="preserve">Handyanbieter unterscheiden Prepaid (Vorkasse, keine Bonitätsprüfung, meist etwas teurer pro Minute/GB, aber sofort verfügbar) und Postpaid (Rechnung im Nachhinein, meist günstiger im Monatstarif, aber mit Bonitätsprüfung). Ohne Kredithistorie verlangen Postpaid-Anbieter häufig eine Kaution im Bereich einiger Hundert Dollar oder verweisen dich direkt auf Prepaid. Sobald du drei bis sechs Monate pünktlich gezahlt hast, wird die Kaution meist erstattet und der Wechsel auf Postpaid möglich. Für den Start eignet sich deshalb oft ein Prepaid-Tarif desselben Netzbetreibers, später umgewandelt in Postpaid. Bei Familientarifen reicht häufig eine bonitätsgeprüfte Hauptperson. Weitere Leitungen für Partner oder Kinder lassen sich meist ohne eigene Prüfung ergänzen. </w:t>
      </w:r>
      <w:r>
        <w:lastRenderedPageBreak/>
        <w:t>Internetanbieter für die Wohnung verfahren ähnlich: Kaution statt Bonitätsprüfung ohne Kredithistorie.</w:t>
      </w:r>
    </w:p>
    <w:p w14:paraId="7D3DC6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 im Alltag: was du wirklich brauchst</w:t>
      </w:r>
    </w:p>
    <w:p w14:paraId="45ED43E0" w14:textId="77777777" w:rsidR="001F7233" w:rsidRDefault="00000000">
      <w:pPr>
        <w:spacing w:after="140"/>
      </w:pPr>
      <w:r>
        <w:t>Anders als in Deutschland ist in den USA nichts davon gesetzlich vorgeschrieben außer der Kfz-Haftpflicht in fast jedem Bundesstaat; Vermieter und Kreditgeber verlangen aber oft Nachweise. Wie hoch die vorgeschriebene Mindestdeckung der Kfz-Haftpflicht ausfällt, legt jeder Bundesstaat selbst fest – Details dazu und zum Vergleich zwischen Bundesstaaten stehen in Kapitel </w:t>
      </w:r>
      <w:hyperlink w:anchor="k27">
        <w:r w:rsidR="001F7233">
          <w:t>27</w:t>
        </w:r>
      </w:hyperlink>
      <w:r>
        <w:t>.</w:t>
      </w:r>
    </w:p>
    <w:p w14:paraId="3A51C25D" w14:textId="77777777" w:rsidR="001F7233" w:rsidRDefault="00000000">
      <w:pPr>
        <w:pStyle w:val="ListParagraph"/>
        <w:numPr>
          <w:ilvl w:val="0"/>
          <w:numId w:val="1"/>
        </w:numPr>
        <w:spacing w:after="60"/>
      </w:pPr>
      <w:r>
        <w:rPr>
          <w:b/>
          <w:bCs/>
        </w:rPr>
        <w:t>Renters Insurance</w:t>
      </w:r>
      <w:r>
        <w:t xml:space="preserve"> (Mieterversicherung, bündelt Hausrat und private Haftpflicht) kostet meist 15 bis 25 $ im Monat (180–300 $ im Jahr), je nach Bundesstaat auch 13 bis 36 $. Sie ist oft Vertragsbedingung des Vermieters (Kapitel </w:t>
      </w:r>
      <w:hyperlink w:anchor="k13">
        <w:r w:rsidR="001F7233">
          <w:t>13</w:t>
        </w:r>
      </w:hyperlink>
      <w:r>
        <w:t>). Der eigene Score wirkt sich hier ebenfalls auf den Preis aus: Bei schwacher Bonität kann die Jahresprämie nach Marktanalysen von rund 150 $ auf über 450 $ steigen.</w:t>
      </w:r>
    </w:p>
    <w:p w14:paraId="6D9A4964" w14:textId="77777777" w:rsidR="001F7233" w:rsidRDefault="00000000">
      <w:pPr>
        <w:pStyle w:val="ListParagraph"/>
        <w:numPr>
          <w:ilvl w:val="0"/>
          <w:numId w:val="1"/>
        </w:numPr>
        <w:spacing w:after="60"/>
      </w:pPr>
      <w:r>
        <w:rPr>
          <w:b/>
          <w:bCs/>
        </w:rPr>
        <w:t>Autoversicherung</w:t>
      </w:r>
      <w:r>
        <w:t xml:space="preserve"> kostete 2026 im Schnitt zwischen 2.241 $ und 2.922 $ im Jahr für Vollschutz (</w:t>
      </w:r>
      <w:r>
        <w:rPr>
          <w:i/>
          <w:iCs/>
        </w:rPr>
        <w:t>Full Coverage</w:t>
      </w:r>
      <w:r>
        <w:t>). Die deutsche Schadenfreiheitsklasse zählt meist nicht, und schwache Bonität kann die Prämie in vielen Staaten deutlich erhöhen. Dass ausgerechnet die Zahlungsmoral bei der Kreditkarte etwas über die Fahrtüchtigkeit aussagen soll, leuchtet nicht jedem ein, ist aber in den meisten Bundesstaaten legal einkalkuliert. Details zu Kosten, Finanzierung und Sparmöglichkeiten stehen in Kapitel </w:t>
      </w:r>
      <w:hyperlink w:anchor="k27">
        <w:r w:rsidR="001F7233">
          <w:t>27</w:t>
        </w:r>
      </w:hyperlink>
      <w:r>
        <w:t>.</w:t>
      </w:r>
    </w:p>
    <w:p w14:paraId="52FE78D7" w14:textId="77777777" w:rsidR="001F7233" w:rsidRDefault="00000000">
      <w:pPr>
        <w:pStyle w:val="ListParagraph"/>
        <w:numPr>
          <w:ilvl w:val="0"/>
          <w:numId w:val="1"/>
        </w:numPr>
        <w:spacing w:after="60"/>
      </w:pPr>
      <w:r>
        <w:rPr>
          <w:b/>
          <w:bCs/>
        </w:rPr>
        <w:t>Umbrella Policy</w:t>
      </w:r>
      <w:r>
        <w:t xml:space="preserve"> (Zusatzhaftpflicht über die Grenzen von Wohnungs- und Autoversicherung hinaus) kostet für 1 Million $ Deckung meist 150 bis 400 $ im Jahr, jede weitere Million rund 75 $ zusätzlich. Die Police lohnt sich vor allem, sobald du </w:t>
      </w:r>
      <w:r>
        <w:lastRenderedPageBreak/>
        <w:t>Vermögen, ein Haus (Kapitel </w:t>
      </w:r>
      <w:hyperlink w:anchor="k14">
        <w:r w:rsidR="001F7233">
          <w:t>14</w:t>
        </w:r>
      </w:hyperlink>
      <w:r>
        <w:t>) oder ein erhöhtes Haftungsrisiko hast, etwa durch Hund, Pool oder häufige Gäste.</w:t>
      </w:r>
    </w:p>
    <w:p w14:paraId="076E9F29" w14:textId="77777777" w:rsidR="001F7233" w:rsidRDefault="00000000">
      <w:pPr>
        <w:pStyle w:val="ListParagraph"/>
        <w:numPr>
          <w:ilvl w:val="0"/>
          <w:numId w:val="1"/>
        </w:numPr>
        <w:spacing w:after="60"/>
      </w:pPr>
      <w:r>
        <w:rPr>
          <w:b/>
          <w:bCs/>
        </w:rPr>
        <w:t>Term Life Insurance</w:t>
      </w:r>
      <w:r>
        <w:t xml:space="preserve"> (Risikolebensversicherung, zeitlich befristet, im Gegensatz zur meist erheblich teureren </w:t>
      </w:r>
      <w:r>
        <w:rPr>
          <w:i/>
          <w:iCs/>
        </w:rPr>
        <w:t>Whole Life Insurance</w:t>
      </w:r>
      <w:r>
        <w:t xml:space="preserve"> ohne Sparanteil) kostet für eine gesunde 30-jährige Person bei 500.000 $ Deckung über 20 Jahre je nach Geschlecht etwa 30 bis 38 $ im Monat, über 30 Jahre rund 45 bis 65 $. Sinnvoll vor allem für Eltern mit Kindern und laufender Hypothek. Mehr zur langfristigen Vorsorge in Kapitel </w:t>
      </w:r>
      <w:hyperlink w:anchor="k39">
        <w:r w:rsidR="001F7233">
          <w:t>39</w:t>
        </w:r>
      </w:hyperlink>
      <w:r>
        <w:t>.</w:t>
      </w:r>
    </w:p>
    <w:p w14:paraId="39DC8D36" w14:textId="77777777" w:rsidR="001F7233" w:rsidRDefault="00000000">
      <w:pPr>
        <w:pStyle w:val="ListParagraph"/>
        <w:numPr>
          <w:ilvl w:val="0"/>
          <w:numId w:val="1"/>
        </w:numPr>
        <w:spacing w:after="60"/>
      </w:pPr>
      <w:r>
        <w:rPr>
          <w:b/>
          <w:bCs/>
        </w:rPr>
        <w:t>Disability Insurance (Erwerbsunfähigkeitsschutz) ersetzt bei Krankheit oder Unfall meist 60 bis 70 % des Bruttoeinkommens. Viele Arbeitgeber bieten eine Basisversion, oft mit niedriger Deckungsgrenze. Private Zusatzpolicen kosten etwa 1 bis 3 % des Jahresgehalts, im Schnitt rund 2.200 $ im Jahr. Gerade in den ersten Berufsjahren in den USA lohnt sich ein Blick darauf, weil ein Anspruch auf die staatliche Erwerbsunfähigkeitsrente über Social Security meist erst nach ausreichend eingezahlten Quartalen entsteht. Frisch Zugewanderte haben diese Absicherung meist noch nicht.</w:t>
      </w:r>
    </w:p>
    <w:p w14:paraId="5D2215A0" w14:textId="77777777" w:rsidR="001F7233" w:rsidRDefault="001F7233">
      <w:pPr>
        <w:spacing w:line="120" w:lineRule="exact"/>
      </w:pPr>
    </w:p>
    <w:p w14:paraId="7FA48020" w14:textId="77777777" w:rsidR="001F7233" w:rsidRDefault="00000000">
      <w:r>
        <w:rPr>
          <w:b/>
        </w:rPr>
        <w:t xml:space="preserve">ACHTUNG: </w:t>
      </w:r>
    </w:p>
    <w:p w14:paraId="64D44621" w14:textId="77777777" w:rsidR="001F7233" w:rsidRDefault="00000000">
      <w:r>
        <w:t xml:space="preserve">• Prüfe vor Abschluss jeder Zusatzpolice, was deine Arbeitgeberversicherung bereits abdeckt (Krankenversicherung: </w:t>
      </w:r>
      <w:hyperlink w:anchor="k26">
        <w:r w:rsidR="001F7233">
          <w:rPr>
            <w:color w:val="0563C1"/>
            <w:u w:val="single"/>
          </w:rPr>
          <w:t>Kapitel 26</w:t>
        </w:r>
      </w:hyperlink>
      <w:r>
        <w:t>; Disability oft im Leistungspaket). Doppelter Schutz kostet doppelt, ohne doppelten Nutzen zu bringen.</w:t>
      </w:r>
    </w:p>
    <w:p w14:paraId="3E935F97" w14:textId="77777777" w:rsidR="001F7233" w:rsidRDefault="001F7233">
      <w:pPr>
        <w:spacing w:line="220" w:lineRule="exact"/>
      </w:pPr>
    </w:p>
    <w:p w14:paraId="36C70A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Identitätsdiebstahl: vorbeugen und reagieren</w:t>
      </w:r>
    </w:p>
    <w:p w14:paraId="0CEAF13A" w14:textId="77777777" w:rsidR="001F7233" w:rsidRDefault="00000000">
      <w:pPr>
        <w:spacing w:after="140"/>
      </w:pPr>
      <w:r>
        <w:rPr>
          <w:i/>
          <w:iCs/>
        </w:rPr>
        <w:t xml:space="preserve">Weil so viel über SSN, Kreditkarte und Bankkonto läuft, ist Identitätsdiebstahl in den USA ein reales Risiko. Die Verbraucherschutzbehörde FTC zählte 2025 rund drei Millionen </w:t>
      </w:r>
      <w:r>
        <w:rPr>
          <w:i/>
          <w:iCs/>
        </w:rPr>
        <w:lastRenderedPageBreak/>
        <w:t>Betrugsmeldungen mit gemeldeten Schäden von 15,9 Milliarden $. Ein Credit Freeze (Sperre der Kreditauskunft) ist bei allen drei Bureaus kostenlos, bleibt bis zur Aufhebung bestehen und beeinflusst deinen Score nicht. Beantrage ihn bei Equifax, Experian und TransUnion einzeln und hebe ihn vor einer eigenen Kreditanfrage vorübergehend auf. Ein Fraud Alert ist schwächer, aber schneller eingerichtet: ein Jahr im Basis-, sieben Jahre im erweiterten Fall. Beim IRS schützt eine Identity Protection PIN (IP-PIN), über das IRS Online Account beantragbar für jede Person mit SSN oder ITIN, vor betrügerischen Steuererklärungen auf deinen Namen.</w:t>
      </w:r>
    </w:p>
    <w:p w14:paraId="2C34E2F0" w14:textId="77777777" w:rsidR="001F7233" w:rsidRDefault="00000000">
      <w:r>
        <w:rPr>
          <w:b/>
        </w:rPr>
        <w:t xml:space="preserve">ACHTUNG: </w:t>
      </w:r>
    </w:p>
    <w:p w14:paraId="03F2D2C1" w14:textId="77777777" w:rsidR="001F7233" w:rsidRDefault="00000000">
      <w:r>
        <w:t>• Eine Zelle- oder Drahtüberweisung (Wire Transfer) lässt sich fast nie zurückholen, eine Kreditkartenzahlung dagegen meist per Rückbuchung (Chargeback). Zahle deshalb größere oder unbekannte Beträge nach Möglichkeit mit Kreditkarte, nicht per Zelle oder Überweisung.</w:t>
      </w:r>
    </w:p>
    <w:p w14:paraId="158BE71F" w14:textId="77777777" w:rsidR="001F7233" w:rsidRDefault="00000000">
      <w:r>
        <w:rPr>
          <w:b/>
        </w:rPr>
        <w:t>Fremde Kartenbuchung: sofort melden</w:t>
      </w:r>
    </w:p>
    <w:p w14:paraId="332E3BCC" w14:textId="77777777" w:rsidR="001F7233" w:rsidRDefault="00000000">
      <w:r>
        <w:t>Rufe den Kartenanbieter unter der Nummer auf der Karte oder Abrechnung sofort an, sperre die Karte und notiere Vorgangsnummer und Datum. Bei einer Kreditkarten-Billing-Error-Meldung verlangt das Bundesrecht für den formellen Schutz meist eine schriftliche Mitteilung binnen 60 Kalendertagen ab Abrechnung. Bezahle während der Prüfung die unstrittigen Beträge weiter. Bei Debitkarten und elektronischen Abbuchungen gelten andere, teils kürzere Meldefristen: melde den Verlust oder die Buchung sofort. Quellen: consumerfinance.gov/ask-cfpb/how-do-i-dispute-a-charge-on-my-credit-card-bill-en-61/; consumerfinance.gov/ask-cfpb/how-do-i-get-my-money-back-after-i-discover-an-unauthorized-transaction-or-money-missing-from-my-bank-account-en-1017/.</w:t>
      </w:r>
    </w:p>
    <w:p w14:paraId="0FB8C90B" w14:textId="77777777" w:rsidR="001F7233" w:rsidRDefault="001F7233">
      <w:pPr>
        <w:spacing w:line="220" w:lineRule="exact"/>
      </w:pPr>
    </w:p>
    <w:p w14:paraId="3F056CDC" w14:textId="77777777" w:rsidR="001F7233" w:rsidRDefault="00000000">
      <w:pPr>
        <w:spacing w:after="140"/>
      </w:pPr>
      <w:r>
        <w:t xml:space="preserve">Ist etwas schiefgelaufen, ist IdentityTheft.gov der richtige erste Schritt: Die Seite erstellt einen individuellen Wiederherstellungsplan. Betrugsversuche meldest du zusätzlich auf ReportFraud.ftc.gov. Bewahre deine SSN-Karte deshalb möglichst zu </w:t>
      </w:r>
      <w:r>
        <w:lastRenderedPageBreak/>
        <w:t>Hause auf und trage im Alltag nur die Nummer bei dir, nicht die Karte selbst. Ein gestohlener Geldbeutel mit SSN-Karte ist ein deutlich größeres Risiko als einer mit bloßem Führerschein. Mehr zu Betrug und Sicherheit im weiteren Alltag steht in Kapitel </w:t>
      </w:r>
      <w:hyperlink w:anchor="k40">
        <w:r w:rsidR="001F7233">
          <w:t>40</w:t>
        </w:r>
      </w:hyperlink>
      <w:r>
        <w:t>.</w:t>
      </w:r>
    </w:p>
    <w:p w14:paraId="4E2E00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Notgroschen</w:t>
      </w:r>
    </w:p>
    <w:p w14:paraId="55E179E2" w14:textId="77777777" w:rsidR="001F7233" w:rsidRDefault="00000000">
      <w:pPr>
        <w:spacing w:after="140"/>
      </w:pPr>
      <w:r>
        <w:t>Ein Notgroschen von drei bis sechs Monatsausgaben auf einem separaten, leicht verfügbaren Sparkonto ist in den USA kein Luxus, sondern Grundausstattung – ein Ersatzreifen im Kofferraum: Man hofft, ihn nie zu brauchen, aber ohne ihn steht man bei der ersten Panne am Straßenrand. Kündigungen sind ohne Frist möglich (</w:t>
      </w:r>
      <w:r>
        <w:rPr>
          <w:i/>
          <w:iCs/>
        </w:rPr>
        <w:t>At-will Employment</w:t>
      </w:r>
      <w:r>
        <w:t>, Kapitel </w:t>
      </w:r>
      <w:hyperlink w:anchor="k29">
        <w:r w:rsidR="001F7233">
          <w:t>29</w:t>
        </w:r>
      </w:hyperlink>
      <w:r>
        <w:t xml:space="preserve"> und </w:t>
      </w:r>
      <w:hyperlink w:anchor="k30">
        <w:r w:rsidR="001F7233">
          <w:t>30</w:t>
        </w:r>
      </w:hyperlink>
      <w:r>
        <w:t>). Bis eine neue Krankenversicherung greift, können außerdem Wochen vergehen (Kapitel </w:t>
      </w:r>
      <w:hyperlink w:anchor="k26">
        <w:r w:rsidR="001F7233">
          <w:t>26</w:t>
        </w:r>
      </w:hyperlink>
      <w:r>
        <w:t>). Ein hochverzinstes Sparkonto (</w:t>
      </w:r>
      <w:r>
        <w:rPr>
          <w:i/>
          <w:iCs/>
        </w:rPr>
        <w:t>High-Yield Savings Account</w:t>
      </w:r>
      <w:r>
        <w:t>), getrennt vom Checking Account, verhindert, dass das Polster im Alltag verschwindet, und wirft nebenbei Zins ab. Bei monatlichen Fixkosten von beispielsweise 3.500 $ bedeutet das ein Polster von 10.500 bis 21.000 $. Diese Summe lässt sich über das erste bis zweite Jahr schrittweise aufbauen, nicht auf einen Schlag.</w:t>
      </w:r>
    </w:p>
    <w:p w14:paraId="460DC2E5" w14:textId="77777777" w:rsidR="001F7233" w:rsidRDefault="00000000">
      <w:pPr>
        <w:pStyle w:val="Heading3"/>
      </w:pPr>
      <w:r>
        <w:t>Bankruptcy: rechtlicher Schuldenerlass, kein Umzugstrick</w:t>
      </w:r>
    </w:p>
    <w:p w14:paraId="18FAA555" w14:textId="77777777" w:rsidR="001F7233" w:rsidRDefault="00000000">
      <w:r>
        <w:t>In den USA ist bankruptcy ein formelles Bundesgerichtsverfahren. Chapter 7 kann nicht geschütztes Vermögen verwerten. Chapter 13 ordnet bei regelmäßigem Einkommen typischerweise einen Drei- bis Fünfjahresplan an. Nicht jede Schuld wird erlassen, Sicherungsrechte verschwinden nicht automatisch. Vor dem Umzug zählen Wohnsitz, Vermögen, laufende Verfahren und grenzüberschreitende Gläubiger: Ein US-Antrag löscht nicht einfach jede deutsche Forderung. Erst kostenlose/seriöse Schuldnerberatung und einen zugelassenen Anwalt konsultieren; nicht Vermögen verschieben oder Gläubiger täuschen.</w:t>
      </w:r>
    </w:p>
    <w:p w14:paraId="62A5750F" w14:textId="77777777" w:rsidR="001F7233" w:rsidRDefault="00000000">
      <w:pPr>
        <w:pStyle w:val="Heading3"/>
      </w:pPr>
      <w:r>
        <w:lastRenderedPageBreak/>
        <w:t>Schuldenhilfe und Kartenbetrug: früh handeln</w:t>
      </w:r>
    </w:p>
    <w:p w14:paraId="0088AFB9" w14:textId="77777777" w:rsidR="001F7233" w:rsidRDefault="00000000">
      <w:r>
        <w:t>Bei Kreditkartenschulden zuerst Gläubiger oder seriöse Schuldnerberatung ansprechen. Settlement-Firmen, die sichere Ersparnisse versprechen, Vorauszahlungen verlangen oder zum Einstellen aller Zahlungen raten, können Gebühren, Zinsen, Klagen und schlechtere Bonität hinterlassen. In den USA kann erlassene Schuld meist steuerpflichtiges Einkommen sein, mit gesetzlichen Ausnahmen. Ein 1099-C nicht ungeprüft liegen lassen. Bei unbekannter Buchung Karte über die offizielle Ausstellernummer sperren, sofort reklamieren, Aktenzeichen und Frist notieren. Regeln unterscheiden sich nach Kartentyp und Land. Keine TAN/Einmalcodes an Anrufer weitergeben.</w:t>
      </w:r>
    </w:p>
    <w:p w14:paraId="16C9F5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Bank, Kredit, Versicherungen: Geld im Alltag</w:t>
      </w:r>
    </w:p>
    <w:p w14:paraId="5CDE9FB4" w14:textId="77777777" w:rsidR="001F7233" w:rsidRDefault="00000000">
      <w:r>
        <w:rPr>
          <w:b/>
        </w:rPr>
        <w:t>Plus: Konto und erste Karte lassen sich oft binnen weniger Tage eröffnen, auch ohne SSN</w:t>
      </w:r>
    </w:p>
    <w:p w14:paraId="63A1B489" w14:textId="77777777" w:rsidR="001F7233" w:rsidRDefault="00000000">
      <w:r>
        <w:rPr>
          <w:b/>
        </w:rPr>
        <w:t xml:space="preserve">Minus: </w:t>
      </w:r>
      <w:r>
        <w:t>Kreditwürdigkeit startet trotz makelloser Schufa bei null</w:t>
      </w:r>
    </w:p>
    <w:p w14:paraId="4D97E2C1" w14:textId="77777777" w:rsidR="001F7233" w:rsidRDefault="00000000">
      <w:r>
        <w:rPr>
          <w:b/>
        </w:rPr>
        <w:t>Plus: Mobile Banking, Zelle, Venmo und Fintechs wie Wise sind ausgereift und meist kostenlos</w:t>
      </w:r>
    </w:p>
    <w:p w14:paraId="56E2F109" w14:textId="77777777" w:rsidR="001F7233" w:rsidRDefault="00000000">
      <w:r>
        <w:rPr>
          <w:b/>
        </w:rPr>
        <w:t xml:space="preserve">Minus: </w:t>
      </w:r>
      <w:r>
        <w:t>Ohne Score hohe Zinsen oder Ablehnungen bei Handy, Auto und teils Miete</w:t>
      </w:r>
    </w:p>
    <w:p w14:paraId="5B45C7D3" w14:textId="77777777" w:rsidR="001F7233" w:rsidRDefault="00000000">
      <w:r>
        <w:rPr>
          <w:b/>
        </w:rPr>
        <w:t>Plus: Kreditkarten bieten Cashback und Meilen, die es in Deutschland selten gibt</w:t>
      </w:r>
    </w:p>
    <w:p w14:paraId="1F0FD687" w14:textId="77777777" w:rsidR="001F7233" w:rsidRDefault="00000000">
      <w:r>
        <w:rPr>
          <w:b/>
        </w:rPr>
        <w:t xml:space="preserve">Minus: </w:t>
      </w:r>
      <w:r>
        <w:t>Kreditkartenzinsen von 20 % oder mehr bestrafen jede offene Restschuld hart</w:t>
      </w:r>
    </w:p>
    <w:p w14:paraId="3DA5A999" w14:textId="77777777" w:rsidR="001F7233" w:rsidRDefault="00000000">
      <w:r>
        <w:rPr>
          <w:b/>
        </w:rPr>
        <w:t>Plus: Versicherungen wie Umbrella lassen sich individuell zuschneiden</w:t>
      </w:r>
    </w:p>
    <w:p w14:paraId="17682109" w14:textId="77777777" w:rsidR="001F7233" w:rsidRDefault="00000000">
      <w:r>
        <w:rPr>
          <w:b/>
        </w:rPr>
        <w:t xml:space="preserve">Minus: </w:t>
      </w:r>
      <w:r>
        <w:t>Fast nichts ist gesetzlich vorgeschrieben – die Verantwortung liegt bei dir</w:t>
      </w:r>
    </w:p>
    <w:p w14:paraId="10C81091" w14:textId="77777777" w:rsidR="001F7233" w:rsidRDefault="001F7233">
      <w:pPr>
        <w:spacing w:line="180" w:lineRule="exact"/>
      </w:pPr>
    </w:p>
    <w:p w14:paraId="66304A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59EDAE3" w14:textId="77777777" w:rsidR="001F7233" w:rsidRDefault="00000000">
      <w:pPr>
        <w:spacing w:after="140"/>
      </w:pPr>
      <w:r>
        <w:t>Eröffne dein Bankkonto in den ersten Tagen nach Ankunft (Kapitel </w:t>
      </w:r>
      <w:hyperlink w:anchor="k23">
        <w:r w:rsidR="001F7233">
          <w:t>23</w:t>
        </w:r>
      </w:hyperlink>
      <w:r>
        <w:t>), auch wenn die SSN noch fehlt. Beantrage parallel eine gesicherte Kreditkarte und richte eine Daueranweisung ein, die sie jeden Monat vollständig ausgleicht. Vergleiche für Überweisungen aus Deutschland die Gesamtkosten von Bank und Fintech, bevor die erste größere Summe fließt. Kläre vor der Wohnungsübergabe, ob dein Vermieter eine Renters Insurance verlangt, und richte einen Notgroschen auf einem separaten Sparkonto ein.</w:t>
      </w:r>
    </w:p>
    <w:p w14:paraId="1A4026C9" w14:textId="77777777" w:rsidR="001F7233" w:rsidRDefault="00000000">
      <w:r>
        <w:t>• Bankkonto eröffnet (Pass, Visum, I-94, Adressnachweis dabei)</w:t>
      </w:r>
    </w:p>
    <w:p w14:paraId="2A1CAB36" w14:textId="77777777" w:rsidR="001F7233" w:rsidRDefault="00000000">
      <w:r>
        <w:t>• Frist für Nachreichen von SSN oder ITIN beim Konto notiert</w:t>
      </w:r>
    </w:p>
    <w:p w14:paraId="28E10751" w14:textId="77777777" w:rsidR="001F7233" w:rsidRDefault="00000000">
      <w:r>
        <w:t>• Zelle und Venmo eingerichtet, Datenschutz-Einstellungen bei Venmo geprüft</w:t>
      </w:r>
    </w:p>
    <w:p w14:paraId="5BE279F4" w14:textId="77777777" w:rsidR="001F7233" w:rsidRDefault="00000000">
      <w:r>
        <w:t>• Kosten von Bank-Überweisung und Fintech-Anbieter für Zahlungen aus Deutschland verglichen</w:t>
      </w:r>
    </w:p>
    <w:p w14:paraId="1A6D6314" w14:textId="77777777" w:rsidR="001F7233" w:rsidRDefault="00000000">
      <w:r>
        <w:t>• Gesicherte Kreditkarte beantragt, Kaution hinterlegt</w:t>
      </w:r>
    </w:p>
    <w:p w14:paraId="717EBD25" w14:textId="77777777" w:rsidR="001F7233" w:rsidRDefault="00000000">
      <w:r>
        <w:t>• Daueranweisung zur vollständigen monatlichen Zahlung der Kreditkartenrechnung eingerichtet</w:t>
      </w:r>
    </w:p>
    <w:p w14:paraId="262B2E34" w14:textId="77777777" w:rsidR="001F7233" w:rsidRDefault="00000000">
      <w:r>
        <w:t>• Nova-Credit-Unterstützung für Deutschland direkt beim Kartenanbieter geprüft, nicht vorausgesetzt</w:t>
      </w:r>
    </w:p>
    <w:p w14:paraId="61983ACF" w14:textId="77777777" w:rsidR="001F7233" w:rsidRDefault="00000000">
      <w:r>
        <w:t>• Prepaid- oder Postpaid-Tarif für Handy und Internet gewählt</w:t>
      </w:r>
    </w:p>
    <w:p w14:paraId="281500B3" w14:textId="77777777" w:rsidR="001F7233" w:rsidRDefault="00000000">
      <w:r>
        <w:t>• Renters Insurance abgeschlossen, falls vom Vermieter verlangt oder sinnvoll</w:t>
      </w:r>
    </w:p>
    <w:p w14:paraId="48C8A346" w14:textId="77777777" w:rsidR="001F7233" w:rsidRDefault="00000000">
      <w:r>
        <w:t>• Bedarf an Umbrella-, Term-Life- und Disability-Versicherung geprüft</w:t>
      </w:r>
    </w:p>
    <w:p w14:paraId="542CA2E0" w14:textId="77777777" w:rsidR="001F7233" w:rsidRDefault="00000000">
      <w:r>
        <w:t>• Credit Freeze bei Equifax, Experian und TransUnion eingerichtet oder bewusst offengelassen</w:t>
      </w:r>
    </w:p>
    <w:p w14:paraId="4F713B2C" w14:textId="77777777" w:rsidR="001F7233" w:rsidRDefault="00000000">
      <w:r>
        <w:t>• Notgroschen auf separatem Sparkonto angelegt</w:t>
      </w:r>
    </w:p>
    <w:p w14:paraId="45F7F1FB" w14:textId="77777777" w:rsidR="001F7233" w:rsidRDefault="001F7233">
      <w:pPr>
        <w:spacing w:line="220" w:lineRule="exact"/>
      </w:pPr>
    </w:p>
    <w:p w14:paraId="540B12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D99281" w14:textId="77777777" w:rsidR="001F7233" w:rsidRDefault="001F7233">
      <w:pPr>
        <w:pStyle w:val="ListParagraph"/>
        <w:numPr>
          <w:ilvl w:val="0"/>
          <w:numId w:val="1"/>
        </w:numPr>
        <w:spacing w:after="60"/>
      </w:pPr>
      <w:hyperlink r:id="rId332">
        <w:r>
          <w:rPr>
            <w:color w:val="0563C1"/>
            <w:u w:val="single"/>
          </w:rPr>
          <w:t>myfico.com</w:t>
        </w:r>
      </w:hyperlink>
      <w:r>
        <w:t xml:space="preserve"> – Aufbau und Faktoren des FICO-Scores</w:t>
      </w:r>
    </w:p>
    <w:p w14:paraId="00D63629" w14:textId="77777777" w:rsidR="001F7233" w:rsidRDefault="001F7233">
      <w:pPr>
        <w:pStyle w:val="ListParagraph"/>
        <w:numPr>
          <w:ilvl w:val="0"/>
          <w:numId w:val="1"/>
        </w:numPr>
        <w:spacing w:after="60"/>
      </w:pPr>
      <w:hyperlink r:id="rId333">
        <w:r>
          <w:rPr>
            <w:color w:val="0563C1"/>
            <w:u w:val="single"/>
          </w:rPr>
          <w:t>annualcreditreport.com</w:t>
        </w:r>
      </w:hyperlink>
      <w:r>
        <w:t xml:space="preserve"> – kostenlose Kreditauskunft aller drei Bureaus</w:t>
      </w:r>
    </w:p>
    <w:p w14:paraId="34E86776" w14:textId="77777777" w:rsidR="001F7233" w:rsidRDefault="001F7233">
      <w:pPr>
        <w:pStyle w:val="ListParagraph"/>
        <w:numPr>
          <w:ilvl w:val="0"/>
          <w:numId w:val="1"/>
        </w:numPr>
        <w:spacing w:after="60"/>
      </w:pPr>
      <w:hyperlink r:id="rId334">
        <w:r>
          <w:rPr>
            <w:color w:val="0563C1"/>
            <w:u w:val="single"/>
          </w:rPr>
          <w:t>federalreserve.gov/releases/g19</w:t>
        </w:r>
      </w:hyperlink>
      <w:r>
        <w:t xml:space="preserve"> – offizielle Statistik zu Kreditkartenzinsen</w:t>
      </w:r>
    </w:p>
    <w:p w14:paraId="52D5E5EB" w14:textId="77777777" w:rsidR="001F7233" w:rsidRDefault="001F7233">
      <w:pPr>
        <w:pStyle w:val="ListParagraph"/>
        <w:numPr>
          <w:ilvl w:val="0"/>
          <w:numId w:val="1"/>
        </w:numPr>
        <w:spacing w:after="60"/>
      </w:pPr>
      <w:hyperlink r:id="rId335">
        <w:r>
          <w:rPr>
            <w:color w:val="0563C1"/>
            <w:u w:val="single"/>
          </w:rPr>
          <w:t>consumer.ftc.gov/articles/what-know-about-credit-freezes-fraud-alerts</w:t>
        </w:r>
      </w:hyperlink>
      <w:r>
        <w:t xml:space="preserve"> – Credit Freeze und Fraud Alert</w:t>
      </w:r>
    </w:p>
    <w:p w14:paraId="72E25BB8" w14:textId="77777777" w:rsidR="001F7233" w:rsidRDefault="001F7233">
      <w:pPr>
        <w:pStyle w:val="ListParagraph"/>
        <w:numPr>
          <w:ilvl w:val="0"/>
          <w:numId w:val="1"/>
        </w:numPr>
        <w:spacing w:after="60"/>
      </w:pPr>
      <w:hyperlink r:id="rId336">
        <w:r>
          <w:rPr>
            <w:color w:val="0563C1"/>
            <w:u w:val="single"/>
          </w:rPr>
          <w:t>identitytheft.gov</w:t>
        </w:r>
      </w:hyperlink>
      <w:r>
        <w:t xml:space="preserve"> – Hilfe nach Identitätsdiebstahl</w:t>
      </w:r>
    </w:p>
    <w:p w14:paraId="70E5A737" w14:textId="77777777" w:rsidR="001F7233" w:rsidRDefault="001F7233">
      <w:pPr>
        <w:pStyle w:val="ListParagraph"/>
        <w:numPr>
          <w:ilvl w:val="0"/>
          <w:numId w:val="1"/>
        </w:numPr>
        <w:spacing w:after="60"/>
      </w:pPr>
      <w:hyperlink r:id="rId337">
        <w:r>
          <w:rPr>
            <w:color w:val="0563C1"/>
            <w:u w:val="single"/>
          </w:rPr>
          <w:t>irs.gov/identity-theft-fraud-scams/get-an-identity-protection-pin</w:t>
        </w:r>
      </w:hyperlink>
      <w:r>
        <w:t xml:space="preserve"> – IP-PIN beantragen</w:t>
      </w:r>
    </w:p>
    <w:p w14:paraId="354CCF1C" w14:textId="77777777" w:rsidR="001F7233" w:rsidRDefault="001F7233">
      <w:pPr>
        <w:pStyle w:val="ListParagraph"/>
        <w:numPr>
          <w:ilvl w:val="0"/>
          <w:numId w:val="1"/>
        </w:numPr>
        <w:spacing w:after="60"/>
      </w:pPr>
      <w:hyperlink r:id="rId338">
        <w:r>
          <w:rPr>
            <w:color w:val="0563C1"/>
            <w:u w:val="single"/>
          </w:rPr>
          <w:t>novacredit.com/credit-passport</w:t>
        </w:r>
      </w:hyperlink>
      <w:r>
        <w:t xml:space="preserve"> – Nova Credit / Credit Passport</w:t>
      </w:r>
    </w:p>
    <w:p w14:paraId="5EB22ED3" w14:textId="77777777" w:rsidR="001F7233" w:rsidRDefault="001F7233">
      <w:pPr>
        <w:pStyle w:val="ListParagraph"/>
        <w:numPr>
          <w:ilvl w:val="0"/>
          <w:numId w:val="1"/>
        </w:numPr>
        <w:spacing w:after="60"/>
      </w:pPr>
      <w:hyperlink r:id="rId339">
        <w:r>
          <w:rPr>
            <w:color w:val="0563C1"/>
            <w:u w:val="single"/>
          </w:rPr>
          <w:t>wise.com</w:t>
        </w:r>
      </w:hyperlink>
      <w:r>
        <w:t xml:space="preserve"> – Beispiel für einen Fintech-Anbieter für Auslandsüberweisungen</w:t>
      </w:r>
    </w:p>
    <w:p w14:paraId="74BB43B1" w14:textId="77777777" w:rsidR="001F7233" w:rsidRDefault="001F7233">
      <w:pPr>
        <w:spacing w:line="120" w:lineRule="exact"/>
      </w:pPr>
    </w:p>
    <w:p w14:paraId="4F20E4D8" w14:textId="77777777" w:rsidR="001F7233" w:rsidRDefault="00000000">
      <w:pPr>
        <w:pStyle w:val="ListParagraph"/>
      </w:pPr>
      <w:r>
        <w:t xml:space="preserve">U.S. Courts — Bankruptcy Basics: </w:t>
      </w:r>
      <w:hyperlink r:id="rId340">
        <w:r w:rsidR="001F7233">
          <w:rPr>
            <w:rStyle w:val="Hyperlink"/>
          </w:rPr>
          <w:t>uscourts.gov/court-programs/bankruptcy/bankruptcy-basics</w:t>
        </w:r>
      </w:hyperlink>
    </w:p>
    <w:p w14:paraId="3BF822F0" w14:textId="77777777" w:rsidR="001F7233" w:rsidRDefault="00000000">
      <w:pPr>
        <w:pStyle w:val="ListParagraph"/>
      </w:pPr>
      <w:r>
        <w:t xml:space="preserve">CFPB — debt settlement risks: </w:t>
      </w:r>
      <w:hyperlink r:id="rId341">
        <w:r w:rsidR="001F7233">
          <w:rPr>
            <w:rStyle w:val="Hyperlink"/>
          </w:rPr>
          <w:t>consumerfinance.gov/ask-cfpb/what-is-a-debt-relief-program-and-how-do-i-know-if-i-should-use-one-en-1457/</w:t>
        </w:r>
      </w:hyperlink>
      <w:r>
        <w:t xml:space="preserve">; IRS — canceled debt: </w:t>
      </w:r>
      <w:hyperlink r:id="rId342">
        <w:r w:rsidR="001F7233">
          <w:rPr>
            <w:rStyle w:val="Hyperlink"/>
          </w:rPr>
          <w:t>irs.gov/taxtopics/tc431</w:t>
        </w:r>
      </w:hyperlink>
    </w:p>
    <w:p w14:paraId="39611D51" w14:textId="77777777" w:rsidR="001F7233" w:rsidRDefault="00000000">
      <w:r>
        <w:t>• Quellen- und Datenstand: September 2026; Redaktionsschluss: Oktober 2026. Schnell ändern sich: Kreditkartenzinsen, Versicherungsprämien, Wechselkurse und die Länderliste von Anbietern wie Nova Credit. Prüfe vor jeder Entscheidung die aktuellen Werte bei deiner Bank, deinem Versicherer oder den genannten Quellen.</w:t>
      </w:r>
    </w:p>
    <w:p w14:paraId="5DAE74E1" w14:textId="77777777" w:rsidR="001F7233" w:rsidRDefault="00000000">
      <w:pPr>
        <w:spacing w:line="220" w:lineRule="exact"/>
      </w:pPr>
      <w:r>
        <w:br w:type="page"/>
      </w:r>
    </w:p>
    <w:bookmarkStart w:id="1190" w:name="X56a1db0a3aa1578b51fc04d34c234326b626d22"/>
    <w:bookmarkStart w:id="1189" w:name="X56a1db0a3aa1578b51fc04d34c234326b626d22"/>
    <w:bookmarkStart w:id="1189" w:name="X56a1db0a3aa1578b51fc04d34c234326b626d22"/>
    <w:p>
      <w:pPr>
        <w:pStyle w:val="Heading2"/>
        <w:ind w:left="0" w:firstLine="0"/>
        <w:jc w:val="left"/>
        <w:keepNext/>
      </w:pPr>
      <w:bookmarkStart w:id="173" w:name="k26"/>
      <w:r>
        <w:t xml:space="preserve">Kapitel 26: Das US-Gesundheitssystem für Neuankömmlinge</w:t>
      </w:r>
      <w:bookmarkEnd w:id="173"/>
    </w:p>
    <w:p>
      <w:pPr>
        <w:pStyle w:val="FirstParagraph"/>
      </w:pPr>
      <w:r>
        <w:t xml:space="preserve">Samstagabend, drei Wochen nach deiner Ankunft in den USA: Dein Kind hat hohes Fieber. Du kennst noch keinen Kinderarzt, und die Versicherung deines Arbeitgebers beginnt erst in sieben Wochen. Solche Lücken sind im US-System möglich, weil der Versicherungsschutz oft erst nach dem Arbeitsbeginn einsetzt.</w:t>
      </w:r>
    </w:p>
    <w:p>
      <w:pPr>
        <w:pStyle w:val="BlockText"/>
      </w:pPr>
      <w:r>
        <w:rPr>
          <w:b/>
          <w:bCs/>
        </w:rPr>
        <w:t xml:space="preserve">Kein Rechtsrat:</w:t>
      </w:r>
      <w:r>
        <w:t xml:space="preserve"> </w:t>
      </w:r>
      <w:r>
        <w:t xml:space="preserve">Stand 30. September 2026. Dieses Kapitel bietet eine Orientierung, keine individuelle Beratung. Prämien, Selbstbehalte und Eigenanteile unterscheiden sich je nach Plan; prüfe vor Abschluss oder Kündigung die Leistungsübersicht deines Plans und die aktuellen Angaben der genannten Behörden.</w:t>
      </w:r>
    </w:p>
    <w:p>
      <w:pPr>
        <w:pStyle w:val="BlockText"/>
      </w:pPr>
      <w:r>
        <w:rPr>
          <w:b/>
          <w:bCs/>
        </w:rPr>
        <w:t xml:space="preserve">Kurz gesagt:</w:t>
      </w:r>
    </w:p>
    <w:p>
      <w:pPr>
        <w:pStyle w:val="Compact"/>
        <w:numPr>
          <w:ilvl w:val="0"/>
          <w:numId w:val="72"/>
        </w:numPr>
      </w:pPr>
      <w:r>
        <w:t xml:space="preserve">Als Beschäftigter bist du meist über den Arbeitgeber versichert. Es gibt keine Einheitskasse. Du wählst unter den Plänen, die der Arbeitgeber anbietet.</w:t>
      </w:r>
    </w:p>
    <w:p>
      <w:pPr>
        <w:pStyle w:val="Compact"/>
        <w:numPr>
          <w:ilvl w:val="0"/>
          <w:numId w:val="72"/>
        </w:numPr>
      </w:pPr>
      <w:r>
        <w:t xml:space="preserve">Drei Kostenarten solltest du auseinanderhalten: Beitrag (</w:t>
      </w:r>
      <w:r>
        <w:rPr>
          <w:i/>
          <w:iCs/>
        </w:rPr>
        <w:t xml:space="preserve">Premium</w:t>
      </w:r>
      <w:r>
        <w:t xml:space="preserve">), Selbstbehalt (</w:t>
      </w:r>
      <w:r>
        <w:rPr>
          <w:i/>
          <w:iCs/>
        </w:rPr>
        <w:t xml:space="preserve">Deductible</w:t>
      </w:r>
      <w:r>
        <w:t xml:space="preserve">) und Zuzahlungen (</w:t>
      </w:r>
      <w:r>
        <w:rPr>
          <w:i/>
          <w:iCs/>
        </w:rPr>
        <w:t xml:space="preserve">Copay</w:t>
      </w:r>
      <w:r>
        <w:t xml:space="preserve"> </w:t>
      </w:r>
      <w:r>
        <w:t xml:space="preserve">oder</w:t>
      </w:r>
      <w:r>
        <w:t xml:space="preserve"> </w:t>
      </w:r>
      <w:r>
        <w:rPr>
          <w:i/>
          <w:iCs/>
        </w:rPr>
        <w:t xml:space="preserve">Coinsurance</w:t>
      </w:r>
      <w:r>
        <w:t xml:space="preserve">). Die gedeckten Eigenkosten sind im Netzwerk durch das</w:t>
      </w:r>
      <w:r>
        <w:t xml:space="preserve"> </w:t>
      </w:r>
      <w:r>
        <w:rPr>
          <w:i/>
          <w:iCs/>
        </w:rPr>
        <w:t xml:space="preserve">Out-of-Pocket Maximum</w:t>
      </w:r>
      <w:r>
        <w:t xml:space="preserve"> </w:t>
      </w:r>
      <w:r>
        <w:t xml:space="preserve">begrenzt. Die konkreten Beträge stehen in den Planunterlagen.</w:t>
      </w:r>
    </w:p>
    <w:p>
      <w:pPr>
        <w:pStyle w:val="Compact"/>
        <w:numPr>
          <w:ilvl w:val="0"/>
          <w:numId w:val="72"/>
        </w:numPr>
      </w:pPr>
      <w:r>
        <w:t xml:space="preserve">Die Deckung beginnt oft erst nach einer Wartefrist von bis zu 90 Tagen. Die Einschreibefrist beträgt meist 30 Tage. Plane eine Überbrückung.</w:t>
      </w:r>
    </w:p>
    <w:p>
      <w:pPr>
        <w:pStyle w:val="Compact"/>
        <w:numPr>
          <w:ilvl w:val="0"/>
          <w:numId w:val="72"/>
        </w:numPr>
      </w:pPr>
      <w:r>
        <w:t xml:space="preserve">Bei Fieber, Verstauchung oder Infekt ist meist</w:t>
      </w:r>
      <w:r>
        <w:t xml:space="preserve"> </w:t>
      </w:r>
      <w:r>
        <w:rPr>
          <w:i/>
          <w:iCs/>
        </w:rPr>
        <w:t xml:space="preserve">Urgent Care</w:t>
      </w:r>
      <w:r>
        <w:t xml:space="preserve"> </w:t>
      </w:r>
      <w:r>
        <w:t xml:space="preserve">oder Telemedizin richtig, nicht die Notaufnahme. Bei Lebensgefahr wählst du den Notruf 911.</w:t>
      </w:r>
    </w:p>
    <w:p>
      <w:pPr>
        <w:pStyle w:val="Compact"/>
        <w:numPr>
          <w:ilvl w:val="0"/>
          <w:numId w:val="72"/>
        </w:numPr>
      </w:pPr>
      <w:r>
        <w:t xml:space="preserve">Zahn und Augen sind getrennte Pläne. Rechnungen zahlst du erst nach dem Abgleich mit der Abrechnung deines Versicherers.</w:t>
      </w:r>
    </w:p>
    <w:p>
      <w:pPr>
        <w:pStyle w:val="Compact"/>
        <w:numPr>
          <w:ilvl w:val="0"/>
          <w:numId w:val="72"/>
        </w:numPr>
      </w:pPr>
      <w:r>
        <w:t xml:space="preserve">Ob Marktplatz-Zuschüsse für dein Visum gelten, steht auf healthcare.gov in dem Jahr, in dem du kaufst.</w:t>
      </w:r>
    </w:p>
    <w:bookmarkStart w:id="1160" w:name="X3822169bfeedeba07653c59ae184e7e522a0763"/>
    <w:p>
      <w:pPr>
        <w:pStyle w:val="Heading3"/>
        <w:ind w:left="0" w:firstLine="0"/>
        <w:jc w:val="left"/>
        <w:keepNext/>
      </w:pPr>
      <w:r>
        <w:t xml:space="preserve">Das Prinzip: Versicherung hängt am Arbeitgeber</w:t>
      </w:r>
    </w:p>
    <w:p>
      <w:pPr>
        <w:pStyle w:val="FirstParagraph"/>
      </w:pPr>
      <w:r>
        <w:t xml:space="preserve">Nach Angaben des US Census Bureau waren 2025 rund 53,5 % der Bevölkerung über einen Arbeitgeber versichert. 20,1 % hatten</w:t>
      </w:r>
      <w:r>
        <w:t xml:space="preserve"> </w:t>
      </w:r>
      <w:r>
        <w:rPr>
          <w:i/>
          <w:iCs/>
        </w:rPr>
        <w:t xml:space="preserve">Medicare</w:t>
      </w:r>
      <w:r>
        <w:t xml:space="preserve"> </w:t>
      </w:r>
      <w:r>
        <w:t xml:space="preserve">(meist ab 65, bei bestimmten Behinderungen früher), 17,1 %</w:t>
      </w:r>
      <w:r>
        <w:t xml:space="preserve"> </w:t>
      </w:r>
      <w:r>
        <w:rPr>
          <w:i/>
          <w:iCs/>
        </w:rPr>
        <w:t xml:space="preserve">Medicaid</w:t>
      </w:r>
      <w:r>
        <w:t xml:space="preserve"> </w:t>
      </w:r>
      <w:r>
        <w:t xml:space="preserve">(für Menschen mit geringem Einkommen) und 10,5 % einen selbst gekauften Plan. Mehrfachdeckung ist möglich; deshalb ergeben die Anteile zusammen nicht 100 %. Unversichert waren 7,9 % (26,7 Millionen Menschen). Laut KFF-Arbeitgeberumfrage bieten 61 % der Firmen mit mindestens zehn Beschäftigten eine Versicherung an. Bei Firmen mit mindestens 200 Beschäftigten sind es 97 %, bei kleineren 59 %. Frage im Bewerbungsprozess deshalb nach dem Leistungspaket (</w:t>
      </w:r>
      <w:r>
        <w:rPr>
          <w:i/>
          <w:iCs/>
        </w:rPr>
        <w:t xml:space="preserve">Benefits</w:t>
      </w:r>
      <w:r>
        <w:t xml:space="preserve">), nicht nur nach dem Gehalt.</w:t>
      </w:r>
    </w:p>
    <w:p>
      <w:pPr>
        <w:pStyle w:val="BodyText"/>
      </w:pPr>
      <w:r>
        <w:rPr>
          <w:b/>
          <w:bCs/>
        </w:rPr>
        <w:t xml:space="preserve">Wichtig ab 65:</w:t>
      </w:r>
      <w:r>
        <w:t xml:space="preserve"> </w:t>
      </w:r>
      <w:r>
        <w:t xml:space="preserve">Medicare beginnt nicht automatisch mit dem 65. Geburtstag. Anspruch und Kosten hängen unter anderem von Aufenthaltsstatus und Versicherungszeiten ab. Für die beitragsfreie Krankenhausversicherung Medicare Part A braucht man in der Regel selbst oder über den Ehepartner etwa zehn Jahre Medicare-Beiträge. Fehlen diese Zeiten, musst du die Voraussetzungen für einen kostenpflichtigen Zugang prüfen. Für viele rechtmäßig dauerhaft ansässige Personen gilt außerdem eine fünfjährige ununterbrochene Aufenthaltsfrist. Kläre deinen Anspruch frühzeitig bei Medicare oder der Social Security Administration. Rechne nicht damit, bei der Ankunft bereits über Medicare versichert zu sein.</w:t>
      </w:r>
    </w:p>
    <w:p>
      <w:pPr>
        <w:pStyle w:val="BodyText"/>
      </w:pPr>
      <w:r>
        <w:t xml:space="preserve">Ein verbreiteter Irrtum: „Krankenversicherung“ klinge nach einem System wie der GKV, nur amerikanisch organisiert. Tatsächlich gibt es in den USA, anders als in Deutschland, keinen einheitlichen Träger. Die Versicherer sind private Unternehmen, etwa Blue Cross Blue Shield, UnitedHealthcare, Aetna oder Cigna. Dein Arbeitgeber wählt einige Pläne aus und bietet sie dir an. Was in Deutschland die Kasse organisiert, erledigst du selbst: Plan wählen, Netzwerk prüfen, Rechnungen abgleichen.</w:t>
      </w:r>
    </w:p>
    <w:p>
      <w:pPr>
        <w:pStyle w:val="BodyText"/>
      </w:pPr>
      <w:r>
        <w:t xml:space="preserve">Eine bundesweite Versicherungspflicht mit Strafzahlung gibt es seit 2019 nicht mehr; einzelne Staaten wie Massachusetts und New Jersey haben eigene Vorgaben. Unversichert zu sein bleibt für Neuankömmlinge dennoch riskant. Nach dem Bundesgesetz EMTALA müssen Notaufnahmen von Krankenhäusern mit Medicare-Zulassung dich untersuchen und stabilisieren – unabhängig davon, ob du zahlen kannst. Kostenlos ist die Behandlung nicht; die Rechnung kommt später. Zur Vorbereitung in Deutschland (GKV-Austritt, Anwartschaft): Kapitel 18; zum Weg zurück in die GKV: Kapitel 42.</w:t>
      </w:r>
    </w:p>
    <w:p>
      <w:pPr>
        <w:pStyle w:val="BodyText"/>
      </w:pPr>
      <w:r>
        <w:rPr>
          <w:b/>
          <w:bCs/>
        </w:rPr>
        <w:t xml:space="preserve">Plantypen: HMO, PPO, HDHP und HSA</w:t>
      </w:r>
    </w:p>
    <w:p>
      <w:pPr>
        <w:pStyle w:val="BodyText"/>
      </w:pPr>
      <w:r>
        <w:t xml:space="preserve">Dein Arbeitgeber bietet oft mehrere Pläne an. Sie unterscheiden sich vor allem im Netzwerk (</w:t>
      </w:r>
      <w:r>
        <w:rPr>
          <w:i/>
          <w:iCs/>
        </w:rPr>
        <w:t xml:space="preserve">Network</w:t>
      </w:r>
      <w:r>
        <w:t xml:space="preserve">: die Ärzte und Kliniken, mit denen der Versicherer Preise vereinbart hat) und in der Kostenverteilung. Laut KFF entfielen 2025 diese Anteile der Arbeitgeberpläne auf die vier häufigsten Typen:</w:t>
      </w:r>
    </w:p>
    <w:p>
      <w:pPr>
        <w:pStyle w:val="Compact"/>
        <w:numPr>
          <w:ilvl w:val="0"/>
          <w:numId w:val="73"/>
        </w:numPr>
      </w:pPr>
      <w:r>
        <w:rPr>
          <w:b/>
          <w:bCs/>
          <w:i/>
          <w:iCs/>
        </w:rPr>
        <w:t xml:space="preserve">PPO</w:t>
      </w:r>
      <w:r>
        <w:rPr>
          <w:b/>
          <w:bCs/>
        </w:rPr>
        <w:t xml:space="preserve"> </w:t>
      </w:r>
      <w:r>
        <w:rPr>
          <w:b/>
          <w:bCs/>
        </w:rPr>
        <w:t xml:space="preserve">(Preferred Provider Organization), 46 %:</w:t>
      </w:r>
      <w:r>
        <w:t xml:space="preserve"> </w:t>
      </w:r>
      <w:r>
        <w:t xml:space="preserve">Im Netzwerk günstiger; außerhalb sind Ärzte meist ebenfalls zugänglich, aber teurer. Für Fachärzte brauchst du keine Überweisung.</w:t>
      </w:r>
    </w:p>
    <w:p>
      <w:pPr>
        <w:pStyle w:val="Compact"/>
        <w:numPr>
          <w:ilvl w:val="0"/>
          <w:numId w:val="73"/>
        </w:numPr>
      </w:pPr>
      <w:r>
        <w:rPr>
          <w:b/>
          <w:bCs/>
          <w:i/>
          <w:iCs/>
        </w:rPr>
        <w:t xml:space="preserve">HDHP</w:t>
      </w:r>
      <w:r>
        <w:rPr>
          <w:b/>
          <w:bCs/>
        </w:rPr>
        <w:t xml:space="preserve"> </w:t>
      </w:r>
      <w:r>
        <w:rPr>
          <w:b/>
          <w:bCs/>
        </w:rPr>
        <w:t xml:space="preserve">(High Deductible Health Plan) mit Sparoption, 33 %:</w:t>
      </w:r>
      <w:r>
        <w:t xml:space="preserve"> </w:t>
      </w:r>
      <w:r>
        <w:t xml:space="preserve">Niedrigere Prämie, hoher Selbstbehalt, meist mit HSA.</w:t>
      </w:r>
    </w:p>
    <w:p>
      <w:pPr>
        <w:pStyle w:val="Compact"/>
        <w:numPr>
          <w:ilvl w:val="0"/>
          <w:numId w:val="73"/>
        </w:numPr>
      </w:pPr>
      <w:r>
        <w:rPr>
          <w:b/>
          <w:bCs/>
          <w:i/>
          <w:iCs/>
        </w:rPr>
        <w:t xml:space="preserve">HMO</w:t>
      </w:r>
      <w:r>
        <w:rPr>
          <w:b/>
          <w:bCs/>
        </w:rPr>
        <w:t xml:space="preserve"> </w:t>
      </w:r>
      <w:r>
        <w:rPr>
          <w:b/>
          <w:bCs/>
        </w:rPr>
        <w:t xml:space="preserve">(Health Maintenance Organization), 12 %:</w:t>
      </w:r>
      <w:r>
        <w:t xml:space="preserve"> </w:t>
      </w:r>
      <w:r>
        <w:t xml:space="preserve">Meist auf Netzwerkärzte beschränkt (außer im Notfall); der Hausarzt steuert Überweisungen.</w:t>
      </w:r>
    </w:p>
    <w:p>
      <w:pPr>
        <w:pStyle w:val="Compact"/>
        <w:numPr>
          <w:ilvl w:val="0"/>
          <w:numId w:val="73"/>
        </w:numPr>
      </w:pPr>
      <w:r>
        <w:rPr>
          <w:b/>
          <w:bCs/>
          <w:i/>
          <w:iCs/>
        </w:rPr>
        <w:t xml:space="preserve">POS</w:t>
      </w:r>
      <w:r>
        <w:rPr>
          <w:b/>
          <w:bCs/>
        </w:rPr>
        <w:t xml:space="preserve"> </w:t>
      </w:r>
      <w:r>
        <w:rPr>
          <w:b/>
          <w:bCs/>
        </w:rPr>
        <w:t xml:space="preserve">(Point of Service), 9 %:</w:t>
      </w:r>
      <w:r>
        <w:t xml:space="preserve"> </w:t>
      </w:r>
      <w:r>
        <w:t xml:space="preserve">Mischform: Das Netzwerk ist günstiger; für Fachärzte brauchst du eine Überweisung des Hausarztes.</w:t>
      </w:r>
    </w:p>
    <w:p>
      <w:pPr>
        <w:pStyle w:val="FirstParagraph"/>
      </w:pPr>
      <w:r>
        <w:t xml:space="preserve">Dazu kommt der</w:t>
      </w:r>
      <w:r>
        <w:t xml:space="preserve"> </w:t>
      </w:r>
      <w:r>
        <w:rPr>
          <w:i/>
          <w:iCs/>
        </w:rPr>
        <w:t xml:space="preserve">EPO</w:t>
      </w:r>
      <w:r>
        <w:t xml:space="preserve"> </w:t>
      </w:r>
      <w:r>
        <w:t xml:space="preserve">(Exclusive Provider Organization), der wie ein HMO nur das Netzwerk bezahlt. HMO-Pläne sind meist günstiger, bei 47 % ihrer Versicherten gibt es keinen Selbstbehalt; dafür schränken sie die Arztwahl ein. Beim PPO zahlst du für die Freiheit mehr Prämie.</w:t>
      </w:r>
    </w:p>
    <w:p>
      <w:pPr>
        <w:pStyle w:val="BodyText"/>
      </w:pPr>
      <w:r>
        <w:t xml:space="preserve">Der HDHP verlangt einen hohen Selbstbehalt. Für 2026 muss ein HSA-fähiger Plan einen Selbstbehalt von mindestens 1.700 US-Dollar (Einzeldeckung) oder 3.400 US-Dollar (Familiendeckung) haben; die Eigenkosten dürfen höchstens 8.500 beziehungsweise 17.000 US-Dollar betragen. Auch die jährliche Einzahlungsgrenze setzt der IRS fest. Das Guthaben gehört dir, verfällt nicht und darf für qualifizierte Arzt-, Zahn- und Augenkosten verwendet werden. Viele Arbeitgeber zahlen einen Beitrag ein. Steuerliche Details: Kapitel 28.</w:t>
      </w:r>
    </w:p>
    <w:p>
      <w:pPr>
        <w:pStyle w:val="BodyText"/>
      </w:pPr>
      <w:r>
        <w:t xml:space="preserve">Ein HDHP kann günstiger sein, wenn du voraussichtlich wenig Leistungen brauchst und den Selbstbehalt aus Rücklagen tragen kannst. Bei regelmäßigem Behandlungsbedarf, verordneten Medikamenten oder einem geplanten Eingriff solltest du die erwarteten Gesamtkosten aller verfügbaren Pläne vergleichen – unabhängig von Alter oder Familienstand.</w:t>
      </w:r>
    </w:p>
    <w:p>
      <w:pPr>
        <w:pStyle w:val="BlockText"/>
      </w:pPr>
      <w:r>
        <w:rPr>
          <w:b/>
          <w:bCs/>
        </w:rPr>
        <w:t xml:space="preserve">Merke:</w:t>
      </w:r>
      <w:r>
        <w:t xml:space="preserve"> </w:t>
      </w:r>
      <w:r>
        <w:t xml:space="preserve">Vergleiche Pläne nie nur nach der Prämie. Rechne für jeden Plan das teuerste Jahr (12 × Monatsprämie + Out-of-Pocket-Maximum) und das wahrscheinliche Jahr (12 × Monatsprämie + die Arztkosten, die du erwartest). Prüfe zuerst, ob deine Ärzte im Netzwerk sind.</w:t>
      </w:r>
    </w:p>
    <w:bookmarkEnd w:id="1160"/>
    <w:bookmarkStart w:id="1161" w:name="die-begriffe-im-überblick"/>
    <w:p>
      <w:pPr>
        <w:pStyle w:val="Heading3"/>
        <w:ind w:left="0" w:firstLine="0"/>
        <w:jc w:val="left"/>
        <w:keepNext/>
      </w:pPr>
      <w:r>
        <w:t xml:space="preserve">Die Begriffe im Überblick</w:t>
      </w:r>
    </w:p>
    <w:p>
      <w:pPr>
        <w:pStyle w:val="FirstParagraph"/>
      </w:pPr>
      <w:r>
        <w:t xml:space="preserve">Bei Arztbesuchen begegnen dir immer wieder dieselben acht Begriffe. Die konkreten Beträge unterscheiden sich je nach Arbeitgeber, Tarif und Haushalt. Nutze deshalb die Leistungsübersicht (</w:t>
      </w:r>
      <w:r>
        <w:rPr>
          <w:i/>
          <w:iCs/>
        </w:rPr>
        <w:t xml:space="preserve">Summary of Benefits and Coverage</w:t>
      </w:r>
      <w:r>
        <w:t xml:space="preserve">) deines Plans als Rechengrundlage.</w:t>
      </w:r>
    </w:p>
    <w:p>
      <w:pPr>
        <w:pStyle w:val="Compact"/>
        <w:numPr>
          <w:ilvl w:val="0"/>
          <w:numId w:val="74"/>
        </w:numPr>
      </w:pPr>
      <w:r>
        <w:rPr>
          <w:b/>
          <w:bCs/>
          <w:i/>
          <w:iCs/>
        </w:rPr>
        <w:t xml:space="preserve">Premium</w:t>
      </w:r>
      <w:r>
        <w:rPr>
          <w:b/>
          <w:bCs/>
        </w:rPr>
        <w:t xml:space="preserve">:</w:t>
      </w:r>
      <w:r>
        <w:t xml:space="preserve"> </w:t>
      </w:r>
      <w:r>
        <w:t xml:space="preserve">Der Monatsbeitrag fällt auch dann an, wenn du keine ärztliche Behandlung brauchst. Den Betrag findest du in den Planunterlagen.</w:t>
      </w:r>
    </w:p>
    <w:p>
      <w:pPr>
        <w:pStyle w:val="Compact"/>
        <w:numPr>
          <w:ilvl w:val="0"/>
          <w:numId w:val="74"/>
        </w:numPr>
      </w:pPr>
      <w:r>
        <w:rPr>
          <w:b/>
          <w:bCs/>
          <w:i/>
          <w:iCs/>
        </w:rPr>
        <w:t xml:space="preserve">Deductible</w:t>
      </w:r>
      <w:r>
        <w:rPr>
          <w:b/>
          <w:bCs/>
        </w:rPr>
        <w:t xml:space="preserve">:</w:t>
      </w:r>
      <w:r>
        <w:t xml:space="preserve"> </w:t>
      </w:r>
      <w:r>
        <w:t xml:space="preserve">Der Selbstbehalt, den du pro Jahr zunächst selbst zahlst.</w:t>
      </w:r>
    </w:p>
    <w:p>
      <w:pPr>
        <w:pStyle w:val="Compact"/>
        <w:numPr>
          <w:ilvl w:val="0"/>
          <w:numId w:val="74"/>
        </w:numPr>
      </w:pPr>
      <w:r>
        <w:rPr>
          <w:b/>
          <w:bCs/>
          <w:i/>
          <w:iCs/>
        </w:rPr>
        <w:t xml:space="preserve">Copay</w:t>
      </w:r>
      <w:r>
        <w:rPr>
          <w:b/>
          <w:bCs/>
        </w:rPr>
        <w:t xml:space="preserve">:</w:t>
      </w:r>
      <w:r>
        <w:t xml:space="preserve"> </w:t>
      </w:r>
      <w:r>
        <w:t xml:space="preserve">Ein fester Betrag pro Arztbesuch oder Rezept.</w:t>
      </w:r>
    </w:p>
    <w:p>
      <w:pPr>
        <w:pStyle w:val="Compact"/>
        <w:numPr>
          <w:ilvl w:val="0"/>
          <w:numId w:val="74"/>
        </w:numPr>
      </w:pPr>
      <w:r>
        <w:rPr>
          <w:b/>
          <w:bCs/>
          <w:i/>
          <w:iCs/>
        </w:rPr>
        <w:t xml:space="preserve">Coinsurance</w:t>
      </w:r>
      <w:r>
        <w:rPr>
          <w:b/>
          <w:bCs/>
        </w:rPr>
        <w:t xml:space="preserve">:</w:t>
      </w:r>
      <w:r>
        <w:t xml:space="preserve"> </w:t>
      </w:r>
      <w:r>
        <w:t xml:space="preserve">Dein prozentualer Anteil, nachdem du den Selbstbehalt erreicht hast. Den Satz nennt der Plan.</w:t>
      </w:r>
    </w:p>
    <w:p>
      <w:pPr>
        <w:pStyle w:val="Compact"/>
        <w:numPr>
          <w:ilvl w:val="0"/>
          <w:numId w:val="74"/>
        </w:numPr>
      </w:pPr>
      <w:r>
        <w:rPr>
          <w:b/>
          <w:bCs/>
          <w:i/>
          <w:iCs/>
        </w:rPr>
        <w:t xml:space="preserve">Out-of-Pocket Maximum</w:t>
      </w:r>
      <w:r>
        <w:rPr>
          <w:b/>
          <w:bCs/>
        </w:rPr>
        <w:t xml:space="preserve">:</w:t>
      </w:r>
      <w:r>
        <w:t xml:space="preserve"> </w:t>
      </w:r>
      <w:r>
        <w:t xml:space="preserve">Die jährliche Obergrenze deiner gedeckten Eigenkosten im Netzwerk. Danach übernimmt der Plan diese Kosten; der Beitrag zählt nicht dazu.</w:t>
      </w:r>
    </w:p>
    <w:p>
      <w:pPr>
        <w:pStyle w:val="Compact"/>
        <w:numPr>
          <w:ilvl w:val="0"/>
          <w:numId w:val="74"/>
        </w:numPr>
      </w:pPr>
      <w:r>
        <w:rPr>
          <w:b/>
          <w:bCs/>
          <w:i/>
          <w:iCs/>
        </w:rPr>
        <w:t xml:space="preserve">In-Network</w:t>
      </w:r>
      <w:r>
        <w:rPr>
          <w:b/>
          <w:bCs/>
        </w:rPr>
        <w:t xml:space="preserve"> </w:t>
      </w:r>
      <w:r>
        <w:rPr>
          <w:b/>
          <w:bCs/>
        </w:rPr>
        <w:t xml:space="preserve">/</w:t>
      </w:r>
      <w:r>
        <w:rPr>
          <w:b/>
          <w:bCs/>
        </w:rPr>
        <w:t xml:space="preserve"> </w:t>
      </w:r>
      <w:r>
        <w:rPr>
          <w:b/>
          <w:bCs/>
          <w:i/>
          <w:iCs/>
        </w:rPr>
        <w:t xml:space="preserve">Out-of-Network</w:t>
      </w:r>
      <w:r>
        <w:rPr>
          <w:b/>
          <w:bCs/>
        </w:rPr>
        <w:t xml:space="preserve">:</w:t>
      </w:r>
      <w:r>
        <w:t xml:space="preserve"> </w:t>
      </w:r>
      <w:r>
        <w:t xml:space="preserve">Anbieter innerhalb oder außerhalb des Vertragsnetzes deines Plans. Außerhalb zahlst du mehr oder die Kosten selbst.</w:t>
      </w:r>
    </w:p>
    <w:p>
      <w:pPr>
        <w:pStyle w:val="Compact"/>
        <w:numPr>
          <w:ilvl w:val="0"/>
          <w:numId w:val="74"/>
        </w:numPr>
      </w:pPr>
      <w:r>
        <w:rPr>
          <w:b/>
          <w:bCs/>
          <w:i/>
          <w:iCs/>
        </w:rPr>
        <w:t xml:space="preserve">EOB</w:t>
      </w:r>
      <w:r>
        <w:rPr>
          <w:b/>
          <w:bCs/>
        </w:rPr>
        <w:t xml:space="preserve"> </w:t>
      </w:r>
      <w:r>
        <w:rPr>
          <w:b/>
          <w:bCs/>
        </w:rPr>
        <w:t xml:space="preserve">(</w:t>
      </w:r>
      <w:r>
        <w:rPr>
          <w:b/>
          <w:bCs/>
          <w:i/>
          <w:iCs/>
        </w:rPr>
        <w:t xml:space="preserve">Explanation of Benefits</w:t>
      </w:r>
      <w:r>
        <w:rPr>
          <w:b/>
          <w:bCs/>
        </w:rPr>
        <w:t xml:space="preserve">):</w:t>
      </w:r>
      <w:r>
        <w:t xml:space="preserve"> </w:t>
      </w:r>
      <w:r>
        <w:t xml:space="preserve">Die Abrechnungsübersicht des Versicherers, keine Rechnung. Sie ist oft mit „This is not a bill“ gekennzeichnet.</w:t>
      </w:r>
    </w:p>
    <w:p>
      <w:pPr>
        <w:pStyle w:val="Compact"/>
        <w:numPr>
          <w:ilvl w:val="0"/>
          <w:numId w:val="74"/>
        </w:numPr>
      </w:pPr>
      <w:r>
        <w:rPr>
          <w:b/>
          <w:bCs/>
          <w:i/>
          <w:iCs/>
        </w:rPr>
        <w:t xml:space="preserve">Prior Authorization</w:t>
      </w:r>
      <w:r>
        <w:rPr>
          <w:b/>
          <w:bCs/>
        </w:rPr>
        <w:t xml:space="preserve">:</w:t>
      </w:r>
      <w:r>
        <w:t xml:space="preserve"> </w:t>
      </w:r>
      <w:r>
        <w:t xml:space="preserve">Eine Vorabgenehmigung des Versicherers für bestimmte Leistungen, etwa MRT oder Operation. Fehlt sie, kann der Plan die Zahlung ablehnen.</w:t>
      </w:r>
    </w:p>
    <w:p>
      <w:pPr>
        <w:pStyle w:val="FirstParagraph"/>
      </w:pPr>
      <w:r>
        <w:t xml:space="preserve">Der typische Ablauf: Du zahlst zunächst die Prämie und – je nach Leistung – den Selbstbehalt. Danach übernimmt der Plan einen Teil, während du Copay oder Coinsurance zahlst, bis du die Grenze für gedeckte Eigenkosten erreichst. Die Leistungsübersicht (</w:t>
      </w:r>
      <w:r>
        <w:rPr>
          <w:i/>
          <w:iCs/>
        </w:rPr>
        <w:t xml:space="preserve">Summary of Benefits and Coverage</w:t>
      </w:r>
      <w:r>
        <w:t xml:space="preserve">) nennt die konkreten Werte. Eine EOB („This is not a bill“) ist dagegen nur die Abrechnungsübersicht des Versicherers, keine Zahlungsaufforderung.</w:t>
      </w:r>
    </w:p>
    <w:p>
      <w:pPr>
        <w:pStyle w:val="BodyText"/>
      </w:pPr>
      <w:r>
        <w:t xml:space="preserve">Für ACA-konforme Pläne liegt die gesetzliche Obergrenze für gedeckte Eigenkosten im Netzwerk 2026 bei 10.600 US-Dollar pro Person und 21.200 US-Dollar pro Familie. Beiträge, nicht gedeckte Leistungen und meist auch Kosten außerhalb des Netzwerks zählen nicht dazu.</w:t>
      </w:r>
    </w:p>
    <w:bookmarkEnd w:id="1161"/>
    <w:bookmarkStart w:id="1162" w:name="was-das-kostet-der-vergleich-mit-der-gkv"/>
    <w:p>
      <w:pPr>
        <w:pStyle w:val="Heading3"/>
        <w:ind w:left="0" w:firstLine="0"/>
        <w:jc w:val="left"/>
        <w:keepNext/>
      </w:pPr>
      <w:r>
        <w:t xml:space="preserve">Was das kostet: der Vergleich mit der GKV</w:t>
      </w:r>
    </w:p>
    <w:p>
      <w:pPr>
        <w:pStyle w:val="FirstParagraph"/>
      </w:pPr>
      <w:r>
        <w:t xml:space="preserve">Als Orientierung: Laut KFF-Arbeitgeberumfrage 2025 betrug die durchschnittliche Jahresprämie 9.325 US-Dollar für Einzeldeckung und 26.993 US-Dollar für Familiendeckung. Beschäftigte zahlten davon im Schnitt 1.440 beziehungsweise 6.850 US-Dollar selbst; der Arbeitgeber übernahm den Rest. Bei Plänen mit allgemeinem Selbstbehalt lag dieser für Einzeldeckung im Schnitt bei 1.886 US-Dollar. Das sind Durchschnittswerte, keine Vorhersage für dein Angebot. Vergleiche deshalb Leistungsübersicht und Haushaltskosten, bevor du einen Plan wählst oder in Deutschland kündigst.</w:t>
      </w:r>
    </w:p>
    <w:p>
      <w:pPr>
        <w:pStyle w:val="BodyText"/>
      </w:pPr>
      <w:r>
        <w:t xml:space="preserve">Der Vergleich mit der GKV ist nicht eins zu eins möglich: Die Beiträge der GKV richten sich grundsätzlich nach dem Einkommen, während US-Arbeitgeberpläne je Tarif einen festen Beitrag verlangen und zusätzlich Eigenbeteiligungen vorsehen.</w:t>
      </w:r>
    </w:p>
    <w:p>
      <w:pPr>
        <w:pStyle w:val="Compact"/>
        <w:numPr>
          <w:ilvl w:val="0"/>
          <w:numId w:val="75"/>
        </w:numPr>
      </w:pPr>
      <w:r>
        <w:rPr>
          <w:b/>
          <w:bCs/>
        </w:rPr>
        <w:t xml:space="preserve">Beitrag:</w:t>
      </w:r>
      <w:r>
        <w:t xml:space="preserve"> </w:t>
      </w:r>
      <w:r>
        <w:t xml:space="preserve">In der GKV einkommensabhängig bis zu den geltenden Grenzen; im US-Arbeitgeberplan ein fester Tarifbeitrag, dessen Höhe und Arbeitgeberanteil im Angebot stehen.</w:t>
      </w:r>
    </w:p>
    <w:p>
      <w:pPr>
        <w:pStyle w:val="Compact"/>
        <w:numPr>
          <w:ilvl w:val="0"/>
          <w:numId w:val="75"/>
        </w:numPr>
      </w:pPr>
      <w:r>
        <w:rPr>
          <w:b/>
          <w:bCs/>
        </w:rPr>
        <w:t xml:space="preserve">Selbstbeteiligung:</w:t>
      </w:r>
      <w:r>
        <w:t xml:space="preserve"> </w:t>
      </w:r>
      <w:r>
        <w:t xml:space="preserve">In der GKV meist kleine Zuzahlungen, kein Selbstbehalt; im US-Plan Selbstbehalt, Festbeträge und prozentuale Anteile bis zur jährlichen Eigenkostengrenze.</w:t>
      </w:r>
    </w:p>
    <w:p>
      <w:pPr>
        <w:pStyle w:val="Compact"/>
        <w:numPr>
          <w:ilvl w:val="0"/>
          <w:numId w:val="75"/>
        </w:numPr>
      </w:pPr>
      <w:r>
        <w:rPr>
          <w:b/>
          <w:bCs/>
        </w:rPr>
        <w:t xml:space="preserve">Arztwahl:</w:t>
      </w:r>
      <w:r>
        <w:t xml:space="preserve"> </w:t>
      </w:r>
      <w:r>
        <w:t xml:space="preserve">In der GKV freie Wahl unter den Kassenärzten; im US-Plan ist die Behandlung im Netzwerk günstiger, außerhalb oft teurer oder ungedeckt.</w:t>
      </w:r>
    </w:p>
    <w:p>
      <w:pPr>
        <w:pStyle w:val="Compact"/>
        <w:numPr>
          <w:ilvl w:val="0"/>
          <w:numId w:val="75"/>
        </w:numPr>
      </w:pPr>
      <w:r>
        <w:rPr>
          <w:b/>
          <w:bCs/>
        </w:rPr>
        <w:t xml:space="preserve">Wartezeit auf Termine:</w:t>
      </w:r>
      <w:r>
        <w:t xml:space="preserve"> </w:t>
      </w:r>
      <w:r>
        <w:t xml:space="preserve">In beiden Ländern abhängig von Fachgebiet und Region; beim US-Plan zusätzlich vom Netzwerk.</w:t>
      </w:r>
    </w:p>
    <w:p>
      <w:pPr>
        <w:pStyle w:val="Compact"/>
        <w:numPr>
          <w:ilvl w:val="0"/>
          <w:numId w:val="75"/>
        </w:numPr>
      </w:pPr>
      <w:r>
        <w:rPr>
          <w:b/>
          <w:bCs/>
        </w:rPr>
        <w:t xml:space="preserve">Familie:</w:t>
      </w:r>
      <w:r>
        <w:t xml:space="preserve"> </w:t>
      </w:r>
      <w:r>
        <w:t xml:space="preserve">In der GKV sind Kinder und nicht erwerbstätige Partner beitragsfrei mitversichert; im US-Plan müssen Partner und Kinder im Familientarif angemeldet werden.</w:t>
      </w:r>
    </w:p>
    <w:p>
      <w:pPr>
        <w:pStyle w:val="Compact"/>
        <w:numPr>
          <w:ilvl w:val="0"/>
          <w:numId w:val="75"/>
        </w:numPr>
      </w:pPr>
      <w:r>
        <w:rPr>
          <w:b/>
          <w:bCs/>
        </w:rPr>
        <w:t xml:space="preserve">Bürokratie:</w:t>
      </w:r>
      <w:r>
        <w:t xml:space="preserve"> </w:t>
      </w:r>
      <w:r>
        <w:t xml:space="preserve">In der GKV meist Gesundheitskarte und wenige Rechnungen; im US-Plan EOBs, mehrere Rechnungen, Netzwerkprüfung und Vorabgenehmigungen.</w:t>
      </w:r>
    </w:p>
    <w:p>
      <w:pPr>
        <w:pStyle w:val="Compact"/>
        <w:numPr>
          <w:ilvl w:val="0"/>
          <w:numId w:val="75"/>
        </w:numPr>
      </w:pPr>
      <w:r>
        <w:rPr>
          <w:b/>
          <w:bCs/>
        </w:rPr>
        <w:t xml:space="preserve">Notfallkosten:</w:t>
      </w:r>
      <w:r>
        <w:t xml:space="preserve"> </w:t>
      </w:r>
      <w:r>
        <w:t xml:space="preserve">In der GKV laufen Rettungsdienst und Klinik über die Karte; im US-Plan können Notaufnahme und Krankenwagen erhebliche Eigenkosten verursachen.</w:t>
      </w:r>
    </w:p>
    <w:p>
      <w:pPr>
        <w:pStyle w:val="FirstParagraph"/>
      </w:pPr>
      <w:r>
        <w:t xml:space="preserve">Die Pflegeversicherung kommt in Deutschland hinzu. In den USA hängen Beiträge und Eigenanteile eines Familientarifs vom Arbeitgeber und vom gewählten Plan ab.</w:t>
      </w:r>
    </w:p>
    <w:bookmarkEnd w:id="1162"/>
    <w:bookmarkStart w:id="1163" w:name="X5961267ae97bdfb86e9d93fff41672bbeb8d887"/>
    <w:p>
      <w:pPr>
        <w:pStyle w:val="Heading3"/>
        <w:ind w:left="0" w:firstLine="0"/>
        <w:jc w:val="left"/>
        <w:keepNext/>
      </w:pPr>
      <w:r>
        <w:t xml:space="preserve">Beginn der Deckung: Wartefrist, Einschreibefrist und die Lücke</w:t>
      </w:r>
    </w:p>
    <w:p>
      <w:pPr>
        <w:pStyle w:val="FirstParagraph"/>
      </w:pPr>
      <w:r>
        <w:t xml:space="preserve">Der Arbeitsvertrag beginnt am ersten Arbeitstag; der Versicherungsschutz oft später. Das Gesetz erlaubt Arbeitgebern eine Wartefrist (</w:t>
      </w:r>
      <w:r>
        <w:rPr>
          <w:i/>
          <w:iCs/>
        </w:rPr>
        <w:t xml:space="preserve">Waiting Period</w:t>
      </w:r>
      <w:r>
        <w:t xml:space="preserve">) von höchstens 90 Tagen (45 CFR 147.116). Zusätzlich ist eine Orientierungsphase von bis zu einem Monat möglich. 2025 hatten 68 % der Versicherten eine Wartefrist; im Schnitt dauerte sie 1,8 Monate, bei 15 % mindestens drei Monate. Oft beginnt die Deckung erst am Monatsersten nach 30, 60 oder 90 Tagen. Wer am 15. Januar anfängt und 60 Tage warten muss, ist daher erst ab 1. April versichert.</w:t>
      </w:r>
    </w:p>
    <w:p>
      <w:pPr>
        <w:pStyle w:val="BodyText"/>
      </w:pPr>
      <w:r>
        <w:t xml:space="preserve">Die Einschreibefrist (</w:t>
      </w:r>
      <w:r>
        <w:rPr>
          <w:i/>
          <w:iCs/>
        </w:rPr>
        <w:t xml:space="preserve">Enrollment Window</w:t>
      </w:r>
      <w:r>
        <w:t xml:space="preserve">) legt der Plan fest; üblich sind 30 Tage ab Anspruchsbeginn. Wer sie verpasst, bleibt meist bis zur nächsten</w:t>
      </w:r>
      <w:r>
        <w:t xml:space="preserve"> </w:t>
      </w:r>
      <w:r>
        <w:rPr>
          <w:i/>
          <w:iCs/>
        </w:rPr>
        <w:t xml:space="preserve">Open Enrollment</w:t>
      </w:r>
      <w:r>
        <w:t xml:space="preserve"> </w:t>
      </w:r>
      <w:r>
        <w:t xml:space="preserve">(jährliche Wahlphase, oft im Herbst) ohne Arbeitgeberdeckung. Außerhalb der Wahlphase änderst du den Plan nur bei einem Lebensereignis wie Heirat, Geburt oder Adoption; bei Geburt und Adoption gilt im Arbeitgeberplan ein Sonderfenster von 30 Tagen.</w:t>
      </w:r>
    </w:p>
    <w:p>
      <w:pPr>
        <w:pStyle w:val="BlockText"/>
      </w:pPr>
      <w:r>
        <w:rPr>
          <w:b/>
          <w:bCs/>
        </w:rPr>
        <w:t xml:space="preserve">Achtung:</w:t>
      </w:r>
      <w:r>
        <w:t xml:space="preserve"> </w:t>
      </w:r>
      <w:r>
        <w:t xml:space="preserve">Melde dich und deine Familie in der ersten Arbeitswoche an und notiere die Frist. Ein verpasster Stichtag kostet dich im schlimmsten Fall Monate ohne Arbeitgeberplan.</w:t>
      </w:r>
    </w:p>
    <w:p>
      <w:pPr>
        <w:pStyle w:val="FirstParagraph"/>
      </w:pPr>
      <w:r>
        <w:t xml:space="preserve">Rechne die Lücke ehrlich durch: Landung, Arbeitsbeginn (oft einige Wochen später), Wartefrist und Deckungsbeginn zum Monatsersten können zusammen drei oder vier Monate ohne US-Deckung ergeben. Für Partner und Kinder gelten dieselben Fristen. Viele Pläne laufen zudem im Kalenderjahr. Am 1. Januar beginnen Selbstbehalt und</w:t>
      </w:r>
      <w:r>
        <w:t xml:space="preserve"> </w:t>
      </w:r>
      <w:r>
        <w:rPr>
          <w:i/>
          <w:iCs/>
        </w:rPr>
        <w:t xml:space="preserve">Out-of-Pocket Maximum</w:t>
      </w:r>
      <w:r>
        <w:t xml:space="preserve"> </w:t>
      </w:r>
      <w:r>
        <w:t xml:space="preserve">von vorn. Wer im Oktober startet, kann innerhalb von drei Monaten zweimal den Selbstbehalt zahlen.</w:t>
      </w:r>
    </w:p>
    <w:p>
      <w:pPr>
        <w:pStyle w:val="BodyText"/>
      </w:pPr>
      <w:r>
        <w:t xml:space="preserve">So überbrückst du die Lücke:</w:t>
      </w:r>
    </w:p>
    <w:p>
      <w:pPr>
        <w:pStyle w:val="Compact"/>
        <w:numPr>
          <w:ilvl w:val="0"/>
          <w:numId w:val="76"/>
        </w:numPr>
      </w:pPr>
      <w:r>
        <w:rPr>
          <w:b/>
          <w:bCs/>
        </w:rPr>
        <w:t xml:space="preserve">Auslandskrankenversicherung aus Deutschland:</w:t>
      </w:r>
      <w:r>
        <w:t xml:space="preserve"> </w:t>
      </w:r>
      <w:r>
        <w:t xml:space="preserve">Prüfe, ob sie bei Wohnsitzverlegung greift und wie lange (Kapitel 18).</w:t>
      </w:r>
    </w:p>
    <w:p>
      <w:pPr>
        <w:pStyle w:val="Compact"/>
        <w:numPr>
          <w:ilvl w:val="0"/>
          <w:numId w:val="76"/>
        </w:numPr>
      </w:pPr>
      <w:r>
        <w:rPr>
          <w:b/>
          <w:bCs/>
        </w:rPr>
        <w:t xml:space="preserve">Reiseversicherung für die USA</w:t>
      </w:r>
      <w:r>
        <w:t xml:space="preserve"> </w:t>
      </w:r>
      <w:r>
        <w:t xml:space="preserve">(</w:t>
      </w:r>
      <w:r>
        <w:rPr>
          <w:i/>
          <w:iCs/>
        </w:rPr>
        <w:t xml:space="preserve">Visitor-</w:t>
      </w:r>
      <w:r>
        <w:t xml:space="preserve"> </w:t>
      </w:r>
      <w:r>
        <w:t xml:space="preserve">oder</w:t>
      </w:r>
      <w:r>
        <w:t xml:space="preserve"> </w:t>
      </w:r>
      <w:r>
        <w:rPr>
          <w:i/>
          <w:iCs/>
        </w:rPr>
        <w:t xml:space="preserve">Travel-Medical-Plan</w:t>
      </w:r>
      <w:r>
        <w:t xml:space="preserve">): deckt meist akute Krankheit und Unfall; Vorerkrankungen, Schwangerschaft und Vorsorge sind oft ausgeschlossen.</w:t>
      </w:r>
    </w:p>
    <w:p>
      <w:pPr>
        <w:pStyle w:val="Compact"/>
        <w:numPr>
          <w:ilvl w:val="0"/>
          <w:numId w:val="76"/>
        </w:numPr>
      </w:pPr>
      <w:r>
        <w:rPr>
          <w:b/>
          <w:bCs/>
        </w:rPr>
        <w:t xml:space="preserve">Kurzzeitpläne</w:t>
      </w:r>
      <w:r>
        <w:t xml:space="preserve"> </w:t>
      </w:r>
      <w:r>
        <w:t xml:space="preserve">(</w:t>
      </w:r>
      <w:r>
        <w:rPr>
          <w:i/>
          <w:iCs/>
        </w:rPr>
        <w:t xml:space="preserve">Short-Term Limited Duration Insurance</w:t>
      </w:r>
      <w:r>
        <w:t xml:space="preserve">): günstig, aber ohne den Vollschutz der Marktplatzpläne und meist mit Ausschluss von Vorerkrankungen und Schwangerschaft. Die Laufzeitregeln sind im Fluss: Eine Bundesregel von 2024 begrenzt sie auf vier Monate, die Bundesbehörden wollen sie seit August 2025 aber nicht vorrangig durchsetzen; viele Staaten regeln es selbst.</w:t>
      </w:r>
    </w:p>
    <w:p>
      <w:pPr>
        <w:pStyle w:val="Compact"/>
        <w:numPr>
          <w:ilvl w:val="0"/>
          <w:numId w:val="76"/>
        </w:numPr>
      </w:pPr>
      <w:r>
        <w:rPr>
          <w:b/>
          <w:bCs/>
        </w:rPr>
        <w:t xml:space="preserve">Marktplatz</w:t>
      </w:r>
      <w:r>
        <w:t xml:space="preserve"> </w:t>
      </w:r>
      <w:r>
        <w:t xml:space="preserve">(</w:t>
      </w:r>
      <w:r>
        <w:rPr>
          <w:i/>
          <w:iCs/>
        </w:rPr>
        <w:t xml:space="preserve">Marketplace</w:t>
      </w:r>
      <w:r>
        <w:t xml:space="preserve">): Ein Umzug aus dem Ausland kann ein Sonderfenster von 60 Tagen auslösen. Wähle den Plan innerhalb der Frist; der Marketplace kann Nachweise verlangen. Die Deckung ist erst nutzbar, wenn verlangte Nachweise akzeptiert und die erste Prämie bezahlt sind. Als Visa-Inhaber darfst du kaufen, ab 2027 aber je nach Status ohne Zuschuss (siehe unten). Prüfe die Kündigungsfrist, damit du zum Start der Arbeitgeberdeckung aussteigen kannst.</w:t>
      </w:r>
    </w:p>
    <w:p>
      <w:pPr>
        <w:pStyle w:val="Compact"/>
        <w:numPr>
          <w:ilvl w:val="0"/>
          <w:numId w:val="76"/>
        </w:numPr>
      </w:pPr>
      <w:r>
        <w:rPr>
          <w:b/>
          <w:bCs/>
        </w:rPr>
        <w:t xml:space="preserve">Verhandeln:</w:t>
      </w:r>
      <w:r>
        <w:t xml:space="preserve"> </w:t>
      </w:r>
      <w:r>
        <w:t xml:space="preserve">Frage im Jobangebot nach Deckung ab Tag 1 oder einer kürzeren Wartefrist.</w:t>
      </w:r>
    </w:p>
    <w:p>
      <w:pPr>
        <w:pStyle w:val="BlockText"/>
      </w:pPr>
      <w:r>
        <w:rPr>
          <w:b/>
          <w:bCs/>
        </w:rPr>
        <w:t xml:space="preserve">Praxisbeispiel:</w:t>
      </w:r>
      <w:r>
        <w:t xml:space="preserve"> </w:t>
      </w:r>
      <w:r>
        <w:t xml:space="preserve">Familie Brandt (fiktiv) landet Mitte Juli in der Region Detroit. Markus beginnt am 1. August; laut Benefits-Unterlagen startet die Arbeitgeberdeckung nach 60 Tagen am 1. Oktober. Die Familie überbrückt die elf Wochen bis dahin mit ihrer deutschen Auslandskrankenversicherung, deren Bedingungen sie vor dem Umzug geprüft hat, und meldet alle vier Familienmitglieder in der ersten Arbeitswoche im HR-Portal an (Einschreibefrist: 30 Tage). Ende August bekommt Jonas (5) Ohrenschmerzen. Die Familie lässt ihn in einer</w:t>
      </w:r>
      <w:r>
        <w:t xml:space="preserve"> </w:t>
      </w:r>
      <w:r>
        <w:rPr>
          <w:i/>
          <w:iCs/>
        </w:rPr>
        <w:t xml:space="preserve">Urgent Care</w:t>
      </w:r>
      <w:r>
        <w:t xml:space="preserve"> </w:t>
      </w:r>
      <w:r>
        <w:t xml:space="preserve">behandeln und reicht die Rechnung bei ihrer Versicherung ein.</w:t>
      </w:r>
    </w:p>
    <w:bookmarkEnd w:id="1163"/>
    <w:bookmarkStart w:id="1164" w:name="Xe191ff61e5bf1d118ef3bd30e2d09e6cafd9f69"/>
    <w:p>
      <w:pPr>
        <w:pStyle w:val="Heading3"/>
        <w:ind w:left="0" w:firstLine="0"/>
        <w:jc w:val="left"/>
        <w:keepNext/>
      </w:pPr>
      <w:r>
        <w:t xml:space="preserve">Arzt finden: Netzwerk, Hausarzt, Urgent Care und Notaufnahme</w:t>
      </w:r>
    </w:p>
    <w:p>
      <w:pPr>
        <w:pStyle w:val="FirstParagraph"/>
      </w:pPr>
      <w:r>
        <w:t xml:space="preserve">Suche Ärzte über das Verzeichnis deines Versicherers (</w:t>
      </w:r>
      <w:r>
        <w:rPr>
          <w:i/>
          <w:iCs/>
        </w:rPr>
        <w:t xml:space="preserve">Find a Doctor</w:t>
      </w:r>
      <w:r>
        <w:t xml:space="preserve">), verlasse dich aber nicht allein darauf: Die Listen sind gelegentlich veraltet. Rufe an und frage wörtlich: „Are you in-network with my plan, and are you accepting new patients?“</w:t>
      </w:r>
    </w:p>
    <w:p>
      <w:pPr>
        <w:pStyle w:val="BlockText"/>
      </w:pPr>
      <w:r>
        <w:rPr>
          <w:b/>
          <w:bCs/>
        </w:rPr>
        <w:t xml:space="preserve">Achtung:</w:t>
      </w:r>
      <w:r>
        <w:t xml:space="preserve"> </w:t>
      </w:r>
      <w:r>
        <w:t xml:space="preserve">„We accept your insurance“ heißt nicht, dass die Praxis in deinem Netzwerk ist. Frage nach dem genauen Plannamen und lass dir das „in-network“ bestätigen. Auch in Netzwerk-Krankenhäusern können einzelne Ärzte (Anästhesie, Labor, Radiologie) außerhalb des Netzwerks arbeiten.</w:t>
      </w:r>
    </w:p>
    <w:p>
      <w:pPr>
        <w:pStyle w:val="FirstParagraph"/>
      </w:pPr>
      <w:r>
        <w:t xml:space="preserve">Der Hausarzt (</w:t>
      </w:r>
      <w:r>
        <w:rPr>
          <w:i/>
          <w:iCs/>
        </w:rPr>
        <w:t xml:space="preserve">Primary Care Physician</w:t>
      </w:r>
      <w:r>
        <w:t xml:space="preserve">, PCP) ist die erste Anlaufstelle für Vorsorge, Impfungen, Rezepte und Überweisungen. Im HMO und POS brauchst du ihn, im PPO ist er ratsam. Neupatienten warten oft Wochen — buche früh, auch ohne akuten Anlass. Der jährliche Check-up (</w:t>
      </w:r>
      <w:r>
        <w:rPr>
          <w:i/>
          <w:iCs/>
        </w:rPr>
        <w:t xml:space="preserve">Annual Physical</w:t>
      </w:r>
      <w:r>
        <w:t xml:space="preserve">) zählt zur Vorsorge (</w:t>
      </w:r>
      <w:r>
        <w:rPr>
          <w:i/>
          <w:iCs/>
        </w:rPr>
        <w:t xml:space="preserve">Preventive Care</w:t>
      </w:r>
      <w:r>
        <w:t xml:space="preserve">) und ist im Netzwerk meist ohne Zuzahlung. Viele Pläne bieten Telemedizin (</w:t>
      </w:r>
      <w:r>
        <w:rPr>
          <w:i/>
          <w:iCs/>
        </w:rPr>
        <w:t xml:space="preserve">Telehealth</w:t>
      </w:r>
      <w:r>
        <w:t xml:space="preserve">) als günstigen Erstkontakt.</w:t>
      </w:r>
    </w:p>
    <w:p>
      <w:pPr>
        <w:pStyle w:val="Compact"/>
        <w:numPr>
          <w:ilvl w:val="0"/>
          <w:numId w:val="77"/>
        </w:numPr>
      </w:pPr>
      <w:r>
        <w:rPr>
          <w:b/>
          <w:bCs/>
        </w:rPr>
        <w:t xml:space="preserve">Lebensbedrohlich: Brustschmerz, Atemnot, Schlaganfallzeichen, starke Blutung:</w:t>
      </w:r>
      <w:r>
        <w:t xml:space="preserve"> </w:t>
      </w:r>
      <w:r>
        <w:t xml:space="preserve">Wohin: 911 anrufen, Notaufnahme (</w:t>
      </w:r>
      <w:r>
        <w:rPr>
          <w:i/>
          <w:iCs/>
        </w:rPr>
        <w:t xml:space="preserve">Emergency Room</w:t>
      </w:r>
      <w:r>
        <w:t xml:space="preserve">, ER); Preisrahmen: Notfallversorgung kann teuer sein; Eigenanteil hängt von Plan, Netzwerk und Behandlung ab</w:t>
      </w:r>
    </w:p>
    <w:p>
      <w:pPr>
        <w:pStyle w:val="Compact"/>
        <w:numPr>
          <w:ilvl w:val="0"/>
          <w:numId w:val="77"/>
        </w:numPr>
      </w:pPr>
      <w:r>
        <w:rPr>
          <w:b/>
          <w:bCs/>
        </w:rPr>
        <w:t xml:space="preserve">Akut, nicht lebensbedrohlich: Fieber, Verstauchung, kleine Wunde, Harnwegsinfekt:</w:t>
      </w:r>
      <w:r>
        <w:t xml:space="preserve"> </w:t>
      </w:r>
      <w:r>
        <w:t xml:space="preserve">Wohin: Urgent Care, ohne Termin; Preisrahmen: Eigenanteil hängt vom Plan ab; frage Klinik und Versicherer nach einer Schätzung</w:t>
      </w:r>
    </w:p>
    <w:p>
      <w:pPr>
        <w:pStyle w:val="Compact"/>
        <w:numPr>
          <w:ilvl w:val="0"/>
          <w:numId w:val="77"/>
        </w:numPr>
      </w:pPr>
      <w:r>
        <w:rPr>
          <w:b/>
          <w:bCs/>
        </w:rPr>
        <w:t xml:space="preserve">Beratung, Rezept, leichter Infekt:</w:t>
      </w:r>
      <w:r>
        <w:t xml:space="preserve"> </w:t>
      </w:r>
      <w:r>
        <w:t xml:space="preserve">Wohin: Hausarzt oder Telemedizin; Preisrahmen: Copay oder Coinsurance laut Leistungsübersicht</w:t>
      </w:r>
    </w:p>
    <w:p>
      <w:pPr>
        <w:pStyle w:val="FirstParagraph"/>
      </w:pPr>
      <w:r>
        <w:t xml:space="preserve">Die tatsächliche Rechnung und dein Eigenanteil hängen von Behandlung, Klinik, Netzwerk und Versicherungsplan ab. Frage den Versicherer nach dem geschätzten Eigenanteil, wenn die Behandlung planbar ist. Ohne Versicherung gibt es keine planmäßige Jahreshöchstgrenze; erkundige dich bei der Klinik nach Selbstzahlerpreisen, Zahlungsplan und möglicher Kostenhilfe.</w:t>
      </w:r>
    </w:p>
    <w:bookmarkEnd w:id="1164"/>
    <w:bookmarkStart w:id="1165" w:name="notfall-911-und-die-ersten-minuten"/>
    <w:p>
      <w:pPr>
        <w:pStyle w:val="Heading3"/>
        <w:ind w:left="0" w:firstLine="0"/>
        <w:jc w:val="left"/>
        <w:keepNext/>
      </w:pPr>
      <w:r>
        <w:t xml:space="preserve">Notfall: 911 und die ersten Minuten</w:t>
      </w:r>
    </w:p>
    <w:p>
      <w:pPr>
        <w:pStyle w:val="FirstParagraph"/>
      </w:pPr>
      <w:r>
        <w:t xml:space="preserve">Bei einem Notfall: Bring dich an einen sicheren Ort und ruf 911. Nenne Adresse und Rückrufnummer, beschreibe knapp, was passiert ist, und bleib in der Leitung. Fahre eine instabile Person nicht selbst. Bei weniger dringenden Fragen kann die Nurse Line deiner Versicherung helfen.</w:t>
      </w:r>
    </w:p>
    <w:p>
      <w:pPr>
        <w:pStyle w:val="BlockText"/>
      </w:pPr>
      <w:r>
        <w:rPr>
          <w:b/>
          <w:bCs/>
        </w:rPr>
        <w:t xml:space="preserve">Achtung:</w:t>
      </w:r>
      <w:r>
        <w:t xml:space="preserve"> </w:t>
      </w:r>
      <w:r>
        <w:t xml:space="preserve">Der Krankenwagen ist die Lücke im System. Der No Surprises Act schützt bei Boden-Rettungswagen nicht: 2018 enthielten 51 % der Notfallfahrten in Großarbeitgeberplänen einen Out-of-Network-Anteil. Die Kosten unterscheiden sich stark nach Anbieter, Entfernung und Region; frage bei einer nicht akuten Fahrt vorab nach dem Preis. Über 20 Staaten haben eigene Schutzgesetze (Stand Februar 2026), die nicht für alle Arbeitgeberpläne gelten. Bei Lebensgefahr wählst du trotzdem 911; die Rechnung lässt sich später prüfen und verhandeln.</w:t>
      </w:r>
    </w:p>
    <w:bookmarkEnd w:id="1165"/>
    <w:bookmarkStart w:id="1166" w:name="rezepte-und-apotheken"/>
    <w:p>
      <w:pPr>
        <w:pStyle w:val="Heading3"/>
        <w:ind w:left="0" w:firstLine="0"/>
        <w:jc w:val="left"/>
        <w:keepNext/>
      </w:pPr>
      <w:r>
        <w:t xml:space="preserve">Rezepte und Apotheken</w:t>
      </w:r>
    </w:p>
    <w:p>
      <w:pPr>
        <w:pStyle w:val="FirstParagraph"/>
      </w:pPr>
      <w:r>
        <w:t xml:space="preserve">Medikamente kaufst du in der</w:t>
      </w:r>
      <w:r>
        <w:t xml:space="preserve"> </w:t>
      </w:r>
      <w:r>
        <w:rPr>
          <w:i/>
          <w:iCs/>
        </w:rPr>
        <w:t xml:space="preserve">Pharmacy</w:t>
      </w:r>
      <w:r>
        <w:t xml:space="preserve"> </w:t>
      </w:r>
      <w:r>
        <w:t xml:space="preserve">(Apotheke), die oft in Drogerie- und Supermarktketten steckt. Ein deutsches Rezept löst sie nicht ein; du brauchst eine Verschreibung eines in den USA zugelassenen Arztes (Vorrat und Arztbrief: Kapitel 18). Frei verkäufliche Mittel (</w:t>
      </w:r>
      <w:r>
        <w:rPr>
          <w:i/>
          <w:iCs/>
        </w:rPr>
        <w:t xml:space="preserve">Over-the-Counter</w:t>
      </w:r>
      <w:r>
        <w:t xml:space="preserve">, OTC) gibt es in großer Auswahl.</w:t>
      </w:r>
    </w:p>
    <w:p>
      <w:pPr>
        <w:pStyle w:val="BodyText"/>
      </w:pPr>
      <w:r>
        <w:t xml:space="preserve">Pläne führen eine Arzneimittelliste (</w:t>
      </w:r>
      <w:r>
        <w:rPr>
          <w:i/>
          <w:iCs/>
        </w:rPr>
        <w:t xml:space="preserve">Formulary</w:t>
      </w:r>
      <w:r>
        <w:t xml:space="preserve">) mit Preisstufen. Prüfe vor dem Abschluss, ob deine Medikamente aufgeführt sind und welcher Copay oder Coinsurance-Satz gilt. Generika enthalten denselben Wirkstoff wie entsprechende Markenpräparate und sind häufig günstiger; vergleiche den Planpreis mit dem Barpreis in der Apotheke.</w:t>
      </w:r>
    </w:p>
    <w:p>
      <w:pPr>
        <w:pStyle w:val="BlockText"/>
      </w:pPr>
      <w:r>
        <w:rPr>
          <w:b/>
          <w:bCs/>
        </w:rPr>
        <w:t xml:space="preserve">Spartipp:</w:t>
      </w:r>
      <w:r>
        <w:t xml:space="preserve"> </w:t>
      </w:r>
      <w:r>
        <w:t xml:space="preserve">Rabattkarten und Apps wie GoodRx zeigen Barpreise je Apotheke. Bei billigen Generika liegt der Barpreis oft unter dem Copay. Nachteil: Der Kauf läuft außerhalb der Versicherung und zählt meist nicht auf Deductible und Out-of-Pocket-Maximum. Vergleiche beides vor dem Bezahlen und frage nach 90-Tage-Packungen oder Versandapotheke (</w:t>
      </w:r>
      <w:r>
        <w:rPr>
          <w:i/>
          <w:iCs/>
        </w:rPr>
        <w:t xml:space="preserve">Mail Order</w:t>
      </w:r>
      <w:r>
        <w:t xml:space="preserve">).</w:t>
      </w:r>
    </w:p>
    <w:bookmarkEnd w:id="1166"/>
    <w:bookmarkStart w:id="1167" w:name="X12da208197983b8f49a77af713ebe9d307fb924"/>
    <w:p>
      <w:pPr>
        <w:pStyle w:val="Heading3"/>
        <w:ind w:left="0" w:firstLine="0"/>
        <w:jc w:val="left"/>
        <w:keepNext/>
      </w:pPr>
      <w:r>
        <w:t xml:space="preserve">Schmerzmittel: Wirkstoffnamen, Nutzen und Grenzen</w:t>
      </w:r>
    </w:p>
    <w:p>
      <w:pPr>
        <w:pStyle w:val="FirstParagraph"/>
      </w:pPr>
      <w:r>
        <w:t xml:space="preserve">Paracetamol heißt in den USA</w:t>
      </w:r>
      <w:r>
        <w:t xml:space="preserve"> </w:t>
      </w:r>
      <w:r>
        <w:rPr>
          <w:i/>
          <w:iCs/>
        </w:rPr>
        <w:t xml:space="preserve">acetaminophen</w:t>
      </w:r>
      <w:r>
        <w:t xml:space="preserve"> </w:t>
      </w:r>
      <w:r>
        <w:t xml:space="preserve">(oft APAP). Es lindert Schmerzen und Fieber, aber keine Entzündung; eine Überdosierung kann die Leber schwer schädigen. Viele Erkältungs- und Kombinationsmittel enthalten es ebenfalls: Addiere die Wirkstoffe, statt nur Markennamen zu vergleichen. Ibuprofen, Aspirin und Naproxen sind entzündungshemmende Schmerzmittel (NSAIDs); sie können Magenblutungen und Nierenprobleme begünstigen, besonders bei Flüssigkeitsmangel. Beginne niedrig dosiertes Aspirin zur Herzvorsorge nicht auf eigene Faust. Kindern und Jugendlichen mit Virusinfekt sollte Aspirin nur nach ärztlicher Anweisung gegeben werden. Lies die</w:t>
      </w:r>
      <w:r>
        <w:t xml:space="preserve"> </w:t>
      </w:r>
      <w:r>
        <w:rPr>
          <w:i/>
          <w:iCs/>
        </w:rPr>
        <w:t xml:space="preserve">Drug Facts</w:t>
      </w:r>
      <w:r>
        <w:t xml:space="preserve"> </w:t>
      </w:r>
      <w:r>
        <w:t xml:space="preserve">und frage bei Schwangerschaft, Blutverdünnern, Geschwüren sowie Leber- oder Nierenerkrankungen Arzt oder Apotheke.</w:t>
      </w:r>
    </w:p>
    <w:bookmarkEnd w:id="1167"/>
    <w:bookmarkStart w:id="1168" w:name="zahn-und-augen-getrennte-welten"/>
    <w:p>
      <w:pPr>
        <w:pStyle w:val="Heading3"/>
        <w:ind w:left="0" w:firstLine="0"/>
        <w:jc w:val="left"/>
        <w:keepNext/>
      </w:pPr>
      <w:r>
        <w:t xml:space="preserve">Zahn und Augen: getrennte Welten</w:t>
      </w:r>
    </w:p>
    <w:p>
      <w:pPr>
        <w:pStyle w:val="FirstParagraph"/>
      </w:pPr>
      <w:r>
        <w:t xml:space="preserve">Zahn- und Augenleistungen für Erwachsene sind in der Krankenversicherung meist nicht enthalten. Dafür gibt es eigene Pläne (</w:t>
      </w:r>
      <w:r>
        <w:rPr>
          <w:i/>
          <w:iCs/>
        </w:rPr>
        <w:t xml:space="preserve">Dental</w:t>
      </w:r>
      <w:r>
        <w:t xml:space="preserve"> </w:t>
      </w:r>
      <w:r>
        <w:t xml:space="preserve">und</w:t>
      </w:r>
      <w:r>
        <w:t xml:space="preserve"> </w:t>
      </w:r>
      <w:r>
        <w:rPr>
          <w:i/>
          <w:iCs/>
        </w:rPr>
        <w:t xml:space="preserve">Vision</w:t>
      </w:r>
      <w:r>
        <w:t xml:space="preserve">), oft über den Arbeitgeber gegen einen kleinen Zusatzbeitrag. Dental-Pläne haben eine Jahreshöchstleistung (</w:t>
      </w:r>
      <w:r>
        <w:rPr>
          <w:i/>
          <w:iCs/>
        </w:rPr>
        <w:t xml:space="preserve">Annual Maximum</w:t>
      </w:r>
      <w:r>
        <w:t xml:space="preserve">); darüber zahlst du selbst. Kontrollen und Zahnreinigungen werden häufig voll erstattet, Füllungen und Kronen zu einem geringeren Anteil. Bei Einzelverträgen gilt für größere Leistungen oft eine Wartefrist von sechs bis zwölf Monaten; Kieferorthopädie hat häufig eine lebenslange Leistungsgrenze. Prüfe diese Grenzen vor Vertragsabschluss.</w:t>
      </w:r>
    </w:p>
    <w:p>
      <w:pPr>
        <w:pStyle w:val="BodyText"/>
      </w:pPr>
      <w:r>
        <w:t xml:space="preserve">Ohne Versicherung schwanken die Preise regional stark. Bitte Praxis oder Optiker vorab um einen Kostenvoranschlag und frage nach einem Selbstzahler-Nachlass. Aufwendige Zahnbehandlungen und die Brille erledigst du besser noch in Deutschland (Kapitel 18).</w:t>
      </w:r>
    </w:p>
    <w:bookmarkEnd w:id="1168"/>
    <w:bookmarkStart w:id="1169" w:name="kinder-impfungen-und-vorsorge"/>
    <w:p>
      <w:pPr>
        <w:pStyle w:val="Heading3"/>
        <w:ind w:left="0" w:firstLine="0"/>
        <w:jc w:val="left"/>
        <w:keepNext/>
      </w:pPr>
      <w:r>
        <w:t xml:space="preserve">Kinder, Impfungen und Vorsorge</w:t>
      </w:r>
    </w:p>
    <w:p>
      <w:pPr>
        <w:pStyle w:val="FirstParagraph"/>
      </w:pPr>
      <w:r>
        <w:t xml:space="preserve">Kinder meldest du über den Familientarif an. Vorsorgetermine beim Kinderarzt (</w:t>
      </w:r>
      <w:r>
        <w:rPr>
          <w:i/>
          <w:iCs/>
        </w:rPr>
        <w:t xml:space="preserve">Well-Child Visits</w:t>
      </w:r>
      <w:r>
        <w:t xml:space="preserve">) und empfohlene Impfungen sind im Netzwerk meist ohne Zuzahlung. Suche den</w:t>
      </w:r>
      <w:r>
        <w:t xml:space="preserve"> </w:t>
      </w:r>
      <w:r>
        <w:rPr>
          <w:i/>
          <w:iCs/>
        </w:rPr>
        <w:t xml:space="preserve">Pediatrician</w:t>
      </w:r>
      <w:r>
        <w:t xml:space="preserve"> </w:t>
      </w:r>
      <w:r>
        <w:t xml:space="preserve">früh und bringe Impfpass, Vorsorgeheft und Befunde in englischer Übersetzung mit (Kapitel 19). Ein Neugeborenes meldest du im Arbeitgeberplan binnen 30 Tagen an, die Deckung gilt rückwirkend ab Geburt; beim Marktplatz gelten 60 Tage. Die Kosten einer Geburt hängen stark von Plan, Klinik und Verlauf ab. Prüfe bei Kinderwunsch vorab die Leistungen für Schwangerschaft und Geburt sowie Selbstbehalt und Out-of-Pocket Maximum deines Plans. Schwangerschaft, Geburt und Elternzeit behandelt Kapitel 38. Überbrückungspläne schließen sie oft aus.</w:t>
      </w:r>
    </w:p>
    <w:p>
      <w:pPr>
        <w:pStyle w:val="BodyText"/>
      </w:pPr>
      <w:r>
        <w:t xml:space="preserve">Die Schulimpfpflicht ist Landesrecht: Nach der KFF-Übersicht vom August 2026 verlangen alle 50 Staaten Nachweise für MMR (Masern, Mumps, Röteln), DTaP (Diphtherie, Tetanus, Keuchhusten), Polio und Windpocken, 49 auch Hepatitis B. Medizinische Ausnahmen gibt es überall, nicht-medizinische entfallen in Kalifornien, Connecticut, Maine, New York und West Virginia. Die Dosenzahlen weichen teils von den STIKO-Empfehlungen ab; lass Kinderarzt und Schule den Status abgleichen (Kapitel 36).</w:t>
      </w:r>
    </w:p>
    <w:p>
      <w:pPr>
        <w:pStyle w:val="BodyText"/>
      </w:pPr>
      <w:r>
        <w:t xml:space="preserve">Zur Lage 2026: Der im Januar geänderte Kinder-Impfplan der Gesundheitsbehörde CDC ist seit dem 16. März 2026 gerichtlich ausgesetzt, das Berufungsverfahren läuft. Die Schulpflichten ändern sich dadurch nicht automatisch; frage Kinderarzt und Gesundheitsbehörde deines Staates nach dem Stand.</w:t>
      </w:r>
    </w:p>
    <w:bookmarkEnd w:id="1169"/>
    <w:bookmarkStart w:id="1170" w:name="psychotherapie-und-krisenhilfe"/>
    <w:p>
      <w:pPr>
        <w:pStyle w:val="Heading3"/>
        <w:ind w:left="0" w:firstLine="0"/>
        <w:jc w:val="left"/>
        <w:keepNext/>
      </w:pPr>
      <w:r>
        <w:t xml:space="preserve">Psychotherapie und Krisenhilfe</w:t>
      </w:r>
    </w:p>
    <w:p>
      <w:pPr>
        <w:pStyle w:val="FirstParagraph"/>
      </w:pPr>
      <w:r>
        <w:t xml:space="preserve">Psychotherapie bieten niedergelassene Therapeuten an; nicht alle rechnen direkt mit Versicherern ab. Prüfe deshalb vor dem Termin, ob die Praxis in deinem Netzwerk ist und welchen Eigenanteil dein Plan vorsieht. Ohne Versicherung klärst du das Honorar direkt mit der Praxis. Der Zugang ist nicht überall leicht.</w:t>
      </w:r>
    </w:p>
    <w:p>
      <w:pPr>
        <w:pStyle w:val="BodyText"/>
      </w:pPr>
      <w:r>
        <w:t xml:space="preserve">Viele Arbeitgeber haben ein</w:t>
      </w:r>
      <w:r>
        <w:t xml:space="preserve"> </w:t>
      </w:r>
      <w:r>
        <w:rPr>
          <w:i/>
          <w:iCs/>
        </w:rPr>
        <w:t xml:space="preserve">Employee Assistance Program</w:t>
      </w:r>
      <w:r>
        <w:t xml:space="preserve"> </w:t>
      </w:r>
      <w:r>
        <w:t xml:space="preserve">(EAP) mit einigen kostenlosen Sitzungen; die Zahl steht im Programm. Telehealth ist verbreitet, der Therapeut ist meist im Bundesstaat des Patienten zugelassen. Deutschsprachige Therapeuten findest du über Psychology Today (Sprachfilter „German“) und FindTreatment.gov.</w:t>
      </w:r>
    </w:p>
    <w:p>
      <w:pPr>
        <w:pStyle w:val="BodyText"/>
      </w:pPr>
      <w:r>
        <w:t xml:space="preserve">In akuten Krisen erreichst du die</w:t>
      </w:r>
      <w:r>
        <w:t xml:space="preserve"> </w:t>
      </w:r>
      <w:r>
        <w:rPr>
          <w:i/>
          <w:iCs/>
        </w:rPr>
        <w:t xml:space="preserve">988 Suicide &amp; Crisis Lifeline</w:t>
      </w:r>
      <w:r>
        <w:t xml:space="preserve"> </w:t>
      </w:r>
      <w:r>
        <w:t xml:space="preserve">rund um die Uhr per Anruf, SMS oder Chat, kostenlos, mit Dolmetschern in über 240 Sprachen. Bei Lebensgefahr wählst du 911. Heimweh, Kulturschock und Paare unter Stress: Kapitel 33.</w:t>
      </w:r>
    </w:p>
    <w:bookmarkEnd w:id="1170"/>
    <w:bookmarkStart w:id="1171" w:name="rechnungen-lesen-prüfen-und-verhandeln"/>
    <w:p>
      <w:pPr>
        <w:pStyle w:val="Heading3"/>
        <w:ind w:left="0" w:firstLine="0"/>
        <w:jc w:val="left"/>
        <w:keepNext/>
      </w:pPr>
      <w:r>
        <w:t xml:space="preserve">Rechnungen lesen, prüfen und verhandeln</w:t>
      </w:r>
    </w:p>
    <w:p>
      <w:pPr>
        <w:pStyle w:val="FirstParagraph"/>
      </w:pPr>
      <w:r>
        <w:t xml:space="preserve">Nach einem Arztbesuch kommt zuerst die EOB, sie zeigt, was die Praxis berechnet hat (</w:t>
      </w:r>
      <w:r>
        <w:rPr>
          <w:i/>
          <w:iCs/>
        </w:rPr>
        <w:t xml:space="preserve">Billed</w:t>
      </w:r>
      <w:r>
        <w:t xml:space="preserve">), den mit dem Netzwerk vereinbarten Preis (</w:t>
      </w:r>
      <w:r>
        <w:rPr>
          <w:i/>
          <w:iCs/>
        </w:rPr>
        <w:t xml:space="preserve">Allowed Amount</w:t>
      </w:r>
      <w:r>
        <w:t xml:space="preserve">), was der Plan zahlt und was du schuldest. Erst danach folgt die Rechnung, oft in mehreren Teilen — Klinik, Arzt, Labor, Radiologie und Anästhesie schicken getrennt.</w:t>
      </w:r>
    </w:p>
    <w:p>
      <w:pPr>
        <w:pStyle w:val="Compact"/>
        <w:numPr>
          <w:ilvl w:val="0"/>
          <w:numId w:val="78"/>
        </w:numPr>
      </w:pPr>
      <w:r>
        <w:t xml:space="preserve">Warte auf die EOB und gleiche sie mit jeder Rechnung ab. Zahle nur den Betrag, den die EOB als deinen Anteil ausweist.</w:t>
      </w:r>
    </w:p>
    <w:p>
      <w:pPr>
        <w:pStyle w:val="Compact"/>
        <w:numPr>
          <w:ilvl w:val="0"/>
          <w:numId w:val="78"/>
        </w:numPr>
      </w:pPr>
      <w:r>
        <w:t xml:space="preserve">Fordere bei Unklarheiten eine Einzelaufstellung (</w:t>
      </w:r>
      <w:r>
        <w:rPr>
          <w:i/>
          <w:iCs/>
        </w:rPr>
        <w:t xml:space="preserve">Itemized Bill</w:t>
      </w:r>
      <w:r>
        <w:t xml:space="preserve">) an und prüfe sie auf doppelte Posten und falsche Leistungen.</w:t>
      </w:r>
    </w:p>
    <w:p>
      <w:pPr>
        <w:pStyle w:val="Compact"/>
        <w:numPr>
          <w:ilvl w:val="0"/>
          <w:numId w:val="78"/>
        </w:numPr>
      </w:pPr>
      <w:r>
        <w:t xml:space="preserve">Widersprich Fehlern schriftlich beim Versicherer (</w:t>
      </w:r>
      <w:r>
        <w:rPr>
          <w:i/>
          <w:iCs/>
        </w:rPr>
        <w:t xml:space="preserve">Appeal</w:t>
      </w:r>
      <w:r>
        <w:t xml:space="preserve">). Notiere bei jedem Anruf Datum, Name und Referenznummer.</w:t>
      </w:r>
    </w:p>
    <w:p>
      <w:pPr>
        <w:pStyle w:val="Compact"/>
        <w:numPr>
          <w:ilvl w:val="0"/>
          <w:numId w:val="78"/>
        </w:numPr>
      </w:pPr>
      <w:r>
        <w:t xml:space="preserve">Verhandle: Frage nach zinslosem Zahlungsplan, Selbstzahler-Rabatt oder Nachlass bei Sofortzahlung.</w:t>
      </w:r>
    </w:p>
    <w:p>
      <w:pPr>
        <w:pStyle w:val="Compact"/>
        <w:numPr>
          <w:ilvl w:val="0"/>
          <w:numId w:val="78"/>
        </w:numPr>
      </w:pPr>
      <w:r>
        <w:t xml:space="preserve">Beantrage bei gemeinnützigen Krankenhäusern</w:t>
      </w:r>
      <w:r>
        <w:t xml:space="preserve"> </w:t>
      </w:r>
      <w:r>
        <w:rPr>
          <w:i/>
          <w:iCs/>
        </w:rPr>
        <w:t xml:space="preserve">Financial Assistance</w:t>
      </w:r>
      <w:r>
        <w:t xml:space="preserve"> </w:t>
      </w:r>
      <w:r>
        <w:t xml:space="preserve">(Kostenübernahme nach Einkommen). Nach §501(r) der Bundessteuerbehörde IRS brauchen sie eine schriftliche Richtlinie, müssen sie öffentlich machen und dürfen Berechtigten nicht mehr als die durchschnittlich abgerechneten Beträge berechnen. Die Einkommensgrenzen setzt jede Klinik selbst; der Antrag geht auch nachträglich.</w:t>
      </w:r>
    </w:p>
    <w:p>
      <w:pPr>
        <w:pStyle w:val="BlockText"/>
      </w:pPr>
      <w:r>
        <w:rPr>
          <w:b/>
          <w:bCs/>
        </w:rPr>
        <w:t xml:space="preserve">Achtung:</w:t>
      </w:r>
      <w:r>
        <w:t xml:space="preserve"> </w:t>
      </w:r>
      <w:r>
        <w:t xml:space="preserve">Ignoriere Rechnungen nie: Unbezahlte Beträge gehen an Inkasso. Eine Bundesregel, die Medical Debt aus Kreditberichten verbannt hätte, wurde am 11. Juli 2025 gerichtlich aufgehoben. Die drei großen Auskunfteien melden freiwillig keine bezahlten Forderungen und keine unter einer Schwelle, die sie selbst veröffentlichen. 15 Staaten haben eigene Gesetze. Zur Kreditwürdigkeit siehe Kapitel 25.</w:t>
      </w:r>
    </w:p>
    <w:p>
      <w:pPr>
        <w:pStyle w:val="FirstParagraph"/>
      </w:pPr>
      <w:r>
        <w:t xml:space="preserve">Der</w:t>
      </w:r>
      <w:r>
        <w:t xml:space="preserve"> </w:t>
      </w:r>
      <w:r>
        <w:rPr>
          <w:i/>
          <w:iCs/>
        </w:rPr>
        <w:t xml:space="preserve">No Surprises Act</w:t>
      </w:r>
      <w:r>
        <w:t xml:space="preserve"> </w:t>
      </w:r>
      <w:r>
        <w:t xml:space="preserve">(seit 1. Januar 2022) begrenzt überraschende Zusatzrechnungen (</w:t>
      </w:r>
      <w:r>
        <w:rPr>
          <w:i/>
          <w:iCs/>
        </w:rPr>
        <w:t xml:space="preserve">Balance Billing</w:t>
      </w:r>
      <w:r>
        <w:t xml:space="preserve">) bei Notfallbehandlung, bei bestimmten Leistungen durch Ärzte außerhalb des Netzwerks in einem Netzwerk-Krankenhaus oder einer Netzwerk-Ambulanz sowie bei Luftrettung. Dann zahlst du grundsätzlich den Netzwerk-Anteil. Bei planbaren Leistungen kann dir ein Anbieter ein Formular zum Verzicht auf den Schutz vorlegen; unterschreibe es nicht unter Zeitdruck. Als Selbstzahler hast du bei Terminen ab drei Werktagen Vorlauf Anspruch auf einen Kostenvoranschlag (</w:t>
      </w:r>
      <w:r>
        <w:rPr>
          <w:i/>
          <w:iCs/>
        </w:rPr>
        <w:t xml:space="preserve">Good Faith Estimate</w:t>
      </w:r>
      <w:r>
        <w:t xml:space="preserve">). Liegt die Rechnung mindestens 400 US-Dollar über dem Kostenvoranschlag desselben Anbieters, kannst du ein Streitverfahren einleiten. Beschwerden: CMS-Hotline 1-800-985-3059.</w:t>
      </w:r>
    </w:p>
    <w:p>
      <w:pPr>
        <w:pStyle w:val="BlockText"/>
      </w:pPr>
      <w:r>
        <w:rPr>
          <w:b/>
          <w:bCs/>
        </w:rPr>
        <w:t xml:space="preserve">Praxisbeispiel:</w:t>
      </w:r>
      <w:r>
        <w:t xml:space="preserve"> </w:t>
      </w:r>
      <w:r>
        <w:t xml:space="preserve">Familie Brandt (fiktiv). Im November bricht sich Lena (9) beim Schulsport das Handgelenk: Urgent Care, Röntgen, Schiene. Zwei Wochen später kommen zwei EOBs und zwei Rechnungen. Markus vergleicht jede Rechnung mit der zugehörigen EOB und prüft, ob Netzwerkpreis und Selbstbehalt korrekt berücksichtigt wurden. Erst danach zahlt die Familie den bestätigten Eigenanteil. (Fiktives Beispiel.)</w:t>
      </w:r>
    </w:p>
    <w:bookmarkEnd w:id="1171"/>
    <w:bookmarkStart w:id="1172" w:name="jobverlust-cobra-und-marktplatz"/>
    <w:p>
      <w:pPr>
        <w:pStyle w:val="Heading3"/>
        <w:ind w:left="0" w:firstLine="0"/>
        <w:jc w:val="left"/>
        <w:keepNext/>
      </w:pPr>
      <w:r>
        <w:t xml:space="preserve">Jobverlust: COBRA und Marktplatz</w:t>
      </w:r>
    </w:p>
    <w:p>
      <w:pPr>
        <w:pStyle w:val="FirstParagraph"/>
      </w:pPr>
      <w:r>
        <w:t xml:space="preserve">Endet der Job, endet meist auch die Arbeitgeberdeckung, je nach Firma am letzten Arbeitstag oder zum Monatsende. Es bleiben drei Wege:</w:t>
      </w:r>
    </w:p>
    <w:p>
      <w:pPr>
        <w:pStyle w:val="Compact"/>
        <w:numPr>
          <w:ilvl w:val="0"/>
          <w:numId w:val="79"/>
        </w:numPr>
      </w:pPr>
      <w:r>
        <w:rPr>
          <w:b/>
          <w:bCs/>
        </w:rPr>
        <w:t xml:space="preserve">COBRA:</w:t>
      </w:r>
      <w:r>
        <w:t xml:space="preserve"> </w:t>
      </w:r>
      <w:r>
        <w:t xml:space="preserve">Du führst den bisherigen Plan fort, bei Kündigung oder Stundenkürzung 18 Monate, bei Folgeereignissen wie Scheidung oder Tod des Versicherten bis zu 36 Monate. Das gilt bei Arbeitgebern ab 20 Beschäftigten. Du zahlst die volle Prämie, Arbeitgeber- und Arbeitnehmeranteil, plus den gesetzlichen Aufschlag. Der COBRA-Bescheid nennt den konkreten Beitrag; vergleiche ihn mit einem Marketplace-Plan und einem möglichen Partnerplan.</w:t>
      </w:r>
    </w:p>
    <w:p>
      <w:pPr>
        <w:pStyle w:val="Compact"/>
        <w:numPr>
          <w:ilvl w:val="0"/>
          <w:numId w:val="79"/>
        </w:numPr>
      </w:pPr>
      <w:r>
        <w:rPr>
          <w:b/>
          <w:bCs/>
        </w:rPr>
        <w:t xml:space="preserve">Marktplatz:</w:t>
      </w:r>
      <w:r>
        <w:t xml:space="preserve"> </w:t>
      </w:r>
      <w:r>
        <w:t xml:space="preserve">Der Verlust der Arbeitgeberdeckung löst ein Sonderfenster aus (60 Tage vor bis 60 Tage nach dem Verlust). Ab 2027 für Visa-Inhaber ohne Zuschuss.</w:t>
      </w:r>
    </w:p>
    <w:p>
      <w:pPr>
        <w:pStyle w:val="Compact"/>
        <w:numPr>
          <w:ilvl w:val="0"/>
          <w:numId w:val="79"/>
        </w:numPr>
      </w:pPr>
      <w:r>
        <w:rPr>
          <w:b/>
          <w:bCs/>
        </w:rPr>
        <w:t xml:space="preserve">Partnerplan:</w:t>
      </w:r>
      <w:r>
        <w:t xml:space="preserve"> </w:t>
      </w:r>
      <w:r>
        <w:t xml:space="preserve">Hat dein Partner einen eigenen Arbeitgeberplan, kannst du dort einsteigen; auch das ist ein Sonderfenster.</w:t>
      </w:r>
    </w:p>
    <w:p>
      <w:pPr>
        <w:pStyle w:val="BlockText"/>
      </w:pPr>
      <w:r>
        <w:rPr>
          <w:b/>
          <w:bCs/>
        </w:rPr>
        <w:t xml:space="preserve">Achtung:</w:t>
      </w:r>
      <w:r>
        <w:t xml:space="preserve"> </w:t>
      </w:r>
      <w:r>
        <w:t xml:space="preserve">Die COBRA-Wahlfrist beträgt 60 Tage ab dem Verlust bzw. der Mitteilung, die erste Zahlung ist binnen 45 Tagen nach der Wahl fällig. Die Deckung gilt rückwirkend ab dem Verlust, du kannst COBRA also auch nach einem Notfall in der Wahlfrist noch wählen, musst dann aber alle Beiträge nachzahlen. Verschleppe die Entscheidung trotzdem nicht.</w:t>
      </w:r>
    </w:p>
    <w:p>
      <w:pPr>
        <w:pStyle w:val="FirstParagraph"/>
      </w:pPr>
      <w:r>
        <w:t xml:space="preserve">Der Aufenthaltsstatus läuft nach einer Kündigung nur begrenzt weiter (Kapitel 30); die Versicherungsfristen und die Statusfristen sind zwei getrennte Uhren.</w:t>
      </w:r>
    </w:p>
    <w:bookmarkEnd w:id="1172"/>
    <w:bookmarkStart w:id="1173" w:name="X4361de9b38e8c742ce2ab6c6a3e701be0ce8c2c"/>
    <w:p>
      <w:pPr>
        <w:pStyle w:val="Heading3"/>
        <w:ind w:left="0" w:firstLine="0"/>
        <w:jc w:val="left"/>
        <w:keepNext/>
      </w:pPr>
      <w:r>
        <w:t xml:space="preserve">Versicherungslücke bei laufender Behandlung</w:t>
      </w:r>
    </w:p>
    <w:p>
      <w:pPr>
        <w:pStyle w:val="FirstParagraph"/>
      </w:pPr>
      <w:r>
        <w:t xml:space="preserve">Endet der Versicherungsschutz während einer Krebsbehandlung oder vor einer planbaren Operation, ruf sofort den Versicherer, den Arbeitgeber und die Klinikabrechnung an. Lass dir schriftlich bestätigen, wann der Schutz endete und welche Übergangsdeckung oder Widerspruchsfrist gilt. Nutze auch die unter</w:t>
      </w:r>
      <w:r>
        <w:t xml:space="preserve"> </w:t>
      </w:r>
      <w:r>
        <w:rPr>
          <w:b/>
          <w:bCs/>
        </w:rPr>
        <w:t xml:space="preserve">Jobverlust: COBRA und Marktplatz</w:t>
      </w:r>
      <w:r>
        <w:t xml:space="preserve"> </w:t>
      </w:r>
      <w:r>
        <w:t xml:space="preserve">beschriebenen Optionen.</w:t>
      </w:r>
    </w:p>
    <w:p>
      <w:pPr>
        <w:pStyle w:val="BodyText"/>
      </w:pPr>
      <w:r>
        <w:t xml:space="preserve">Frag die Onkologie nach einem</w:t>
      </w:r>
      <w:r>
        <w:t xml:space="preserve"> </w:t>
      </w:r>
      <w:r>
        <w:rPr>
          <w:i/>
          <w:iCs/>
        </w:rPr>
        <w:t xml:space="preserve">Patient Navigator</w:t>
      </w:r>
      <w:r>
        <w:t xml:space="preserve"> </w:t>
      </w:r>
      <w:r>
        <w:t xml:space="preserve">oder dem Sozialdienst. Erkundige dich bei der Abrechnung nach</w:t>
      </w:r>
      <w:r>
        <w:t xml:space="preserve"> </w:t>
      </w:r>
      <w:r>
        <w:rPr>
          <w:i/>
          <w:iCs/>
        </w:rPr>
        <w:t xml:space="preserve">Financial Assistance</w:t>
      </w:r>
      <w:r>
        <w:t xml:space="preserve"> </w:t>
      </w:r>
      <w:r>
        <w:t xml:space="preserve">(</w:t>
      </w:r>
      <w:r>
        <w:rPr>
          <w:i/>
          <w:iCs/>
        </w:rPr>
        <w:t xml:space="preserve">Charity Care</w:t>
      </w:r>
      <w:r>
        <w:t xml:space="preserve">). Eine Notaufnahme muss medizinische Notfälle untersuchen und stabilisieren; sie übernimmt dadurch aber keine laufende Chemotherapie oder planbare Operation. Lass das Behandlungsteam Dringlichkeit und sichere Überbrückung klären. Bitte vor einer Selbstzahlung um einen schriftlichen Gesamtpreis, der Einrichtung, Operateur, Anästhesie, Pathologie und Nachsorge einschließt.</w:t>
      </w:r>
    </w:p>
    <w:bookmarkEnd w:id="1173"/>
    <w:bookmarkStart w:id="1174" w:name="X6b32af674014c408f099bbc9051c2517d3e09db"/>
    <w:p>
      <w:pPr>
        <w:pStyle w:val="Heading3"/>
        <w:ind w:left="0" w:firstLine="0"/>
        <w:jc w:val="left"/>
        <w:keepNext/>
      </w:pPr>
      <w:r>
        <w:t xml:space="preserve">Marktplatz und Zuschüsse: der Stand für Visa-Inhaber</w:t>
      </w:r>
    </w:p>
    <w:p>
      <w:pPr>
        <w:pStyle w:val="FirstParagraph"/>
      </w:pPr>
      <w:r>
        <w:t xml:space="preserve">Auf dem Marktplatz (</w:t>
      </w:r>
      <w:r>
        <w:rPr>
          <w:i/>
          <w:iCs/>
        </w:rPr>
        <w:t xml:space="preserve">Marketplace</w:t>
      </w:r>
      <w:r>
        <w:t xml:space="preserve">, über healthcare.gov oder das Portal deines Staates) gibt es Pläne in vier Stufen: Bronze, Silber, Gold und Platin. Sie übernehmen im Schnitt etwa 60, 70, 80 beziehungsweise 90 % der Kosten. Kaufen dürfen auch rechtmäßig Anwesende (</w:t>
      </w:r>
      <w:r>
        <w:rPr>
          <w:i/>
          <w:iCs/>
        </w:rPr>
        <w:t xml:space="preserve">Lawfully Present</w:t>
      </w:r>
      <w:r>
        <w:t xml:space="preserve">), darunter Inhaber von Arbeits- und Studentenvisa. Für 2027 läuft die Einschreibung vom 1. November 2026 bis 15. Januar 2027. Wer bis 15. Dezember wählt, kann ab 1. Januar versichert sein; spätere Wahlen starten am 1. Februar.</w:t>
      </w:r>
    </w:p>
    <w:p>
      <w:pPr>
        <w:pStyle w:val="BodyText"/>
      </w:pPr>
      <w:r>
        <w:t xml:space="preserve">Die Anspruchsberechtigung für den Prämienzuschuss (</w:t>
      </w:r>
      <w:r>
        <w:rPr>
          <w:i/>
          <w:iCs/>
        </w:rPr>
        <w:t xml:space="preserve">Premium Tax Credit</w:t>
      </w:r>
      <w:r>
        <w:t xml:space="preserve">) hängt von Einkommen, Haushalt und Aufenthaltsstatus ab. Einkommensgrenzen und Benchmark-Prämien ändern sich jährlich; prüfe sie für dein Steuer- und Versicherungsjahr auf healthcare.gov.</w:t>
      </w:r>
    </w:p>
    <w:p>
      <w:pPr>
        <w:pStyle w:val="BodyText"/>
      </w:pPr>
      <w:r>
        <w:t xml:space="preserve">Das Gesetz „One Big Beautiful Bill Act“ (Juli 2025) ändert die Zuschussregeln ab 1. Januar 2027. Dann können rechtmäßig anwesende Einwanderer Marktplatz-Zuschüsse nur noch erhalten, wenn sie eine Green Card, den gesetzlich definierten Status „Cuban or Haitian entrant“ oder die Staatsangehörigkeit eines Compact-of-Free-Association-Staats (COFA; Marshallinseln, Mikronesien oder Palau) haben. Inhaber von Arbeits- und Studentenvisa (H-1B, L-1, F-1, J-1 u. a.) dürfen weiterhin zum Vollpreis kaufen; diese Visa allein erfüllen die neue Zuschussregel aber nicht. Zu hoch angesetzte Zuschussvorschüsse musst du ab dem Steuerjahr 2026 vollständig zurückzahlen.</w:t>
      </w:r>
    </w:p>
    <w:p>
      <w:pPr>
        <w:pStyle w:val="BlockText"/>
      </w:pPr>
      <w:r>
        <w:rPr>
          <w:b/>
          <w:bCs/>
        </w:rPr>
        <w:t xml:space="preserve">Achtung:</w:t>
      </w:r>
      <w:r>
        <w:t xml:space="preserve"> </w:t>
      </w:r>
      <w:r>
        <w:t xml:space="preserve">Baue ab 2027 nicht auf Marktplatz-Zuschüsse, wenn du keine Green Card hast. Mit einem Arbeitgeberplan bist du kaum betroffen: Zuschüsse gibt es ohnehin nur ohne „erschwingliches“ Angebot (2026: Eigenanteil über 9,96 % des Haushaltseinkommens). Betroffen sind mitreisende Partner ohne eigenen Job-Plan, F-1-Studierende, Selbständige und Menschen nach dem COBRA-Ende.</w:t>
      </w:r>
    </w:p>
    <w:p>
      <w:pPr>
        <w:pStyle w:val="FirstParagraph"/>
      </w:pPr>
      <w:r>
        <w:t xml:space="preserve">Ab 1. Oktober 2026 werden Medicaid und CHIP (staatliche, einkommensabhängige Programme) bundesfinanziert nur noch für Green-Card-Inhaber nach fünfjähriger Wartezeit und wenige andere Gruppen. Kinder und Schwangere bleiben in vielen Staaten über Sonderoptionen abgedeckt. Ob dein Haushalt Anspruch hat, hängt von Aufenthaltsstatus, Einkommen, Bundesstaat und Programm ab. Prüfe die Regeln bei der zuständigen Landesstelle. Wenn du später eine Green Card beantragen willst, kläre mögliche Folgen konkreter Leistungen vorab mit einer Einwanderungsberatung (Kapitel 11).</w:t>
      </w:r>
    </w:p>
    <w:p>
      <w:pPr>
        <w:pStyle w:val="BodyText"/>
      </w:pPr>
      <w:r>
        <w:rPr>
          <w:b/>
          <w:bCs/>
        </w:rPr>
        <w:t xml:space="preserve">Wenn du vorübergehend unversichert bist:</w:t>
      </w:r>
      <w:r>
        <w:t xml:space="preserve"> </w:t>
      </w:r>
      <w:r>
        <w:t xml:space="preserve">HRSA-Gesundheitszentren (</w:t>
      </w:r>
      <w:r>
        <w:rPr>
          <w:i/>
          <w:iCs/>
        </w:rPr>
        <w:t xml:space="preserve">Health Centers</w:t>
      </w:r>
      <w:r>
        <w:t xml:space="preserve">) behandeln auch Menschen ohne Versicherung und staffeln die Gebühren nach Einkommen. Sie bieten vor allem hausärztliche und zahnmedizinische Grundversorgung; sie ersetzen keine umfassende Krankenversicherung und sind keine Garantie für kostenlose Behandlung. Suche ein Zentrum über die HRSA-Seite und frage vor dem Termin nach Kosten, Einkommensnachweis und verfügbaren Leistungen. Prüfe parallel, ob du über ein Sonderfenster in einen Marketplace-Plan wechseln kannst.</w:t>
      </w:r>
    </w:p>
    <w:bookmarkEnd w:id="1174"/>
    <w:bookmarkStart w:id="1175" w:name="studierende-f-1-und-j-1"/>
    <w:p>
      <w:pPr>
        <w:pStyle w:val="Heading3"/>
        <w:ind w:left="0" w:firstLine="0"/>
        <w:jc w:val="left"/>
        <w:keepNext/>
      </w:pPr>
      <w:r>
        <w:t xml:space="preserve">Studierende: F-1 und J-1</w:t>
      </w:r>
    </w:p>
    <w:p>
      <w:pPr>
        <w:pStyle w:val="FirstParagraph"/>
      </w:pPr>
      <w:r>
        <w:t xml:space="preserve">Für J-1-Austauschbesucher und J-2-Angehörige schreibt 22 CFR 62.14 eine Mindestversicherung vor. Die Vorschrift setzt Mindestdeckungsbeträge für Krankheit, Unfall, medizinische Evakuierung und Rückführung sowie einen Höchstbetrag für den Selbstbehalt fest. Vergleiche das konkrete Angebot mit 22 CFR 62.14 und den Anforderungen deiner Hochschule oder deines Sponsors. Für F-1-Studierende gibt es keine Bundespflicht, doch die meisten Hochschulen verlangen den Uni-Plan oder den Nachweis eines gleichwertigen Plans. Den Tarif nennt die Hochschule. Prüfe das Enddatum, bevor du abschließt (Kapitel 8).</w:t>
      </w:r>
    </w:p>
    <w:bookmarkEnd w:id="1175"/>
    <w:bookmarkStart w:id="1176"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80"/>
        </w:numPr>
      </w:pPr>
      <w:r>
        <w:t xml:space="preserve">Der Arbeitgeber übernimmt oft einen Teil der Prämie; die Höhe variiert laut KFF-Umfrage</w:t>
      </w:r>
    </w:p>
    <w:p>
      <w:pPr>
        <w:pStyle w:val="Compact"/>
        <w:numPr>
          <w:ilvl w:val="0"/>
          <w:numId w:val="80"/>
        </w:numPr>
      </w:pPr>
      <w:r>
        <w:t xml:space="preserve">Das Out-of-Pocket-Maximum begrenzt das Jahresrisiko im Netzwerk</w:t>
      </w:r>
    </w:p>
    <w:p>
      <w:pPr>
        <w:pStyle w:val="Compact"/>
        <w:numPr>
          <w:ilvl w:val="0"/>
          <w:numId w:val="80"/>
        </w:numPr>
      </w:pPr>
      <w:r>
        <w:t xml:space="preserve">Vorsorge und empfohlene Impfungen meist ohne Zuzahlung</w:t>
      </w:r>
    </w:p>
    <w:p>
      <w:pPr>
        <w:pStyle w:val="Compact"/>
        <w:numPr>
          <w:ilvl w:val="0"/>
          <w:numId w:val="80"/>
        </w:numPr>
      </w:pPr>
      <w:r>
        <w:t xml:space="preserve">Urgent Care und Telemedizin decken Alltagsfälle ohne Notaufnahmepreis ab</w:t>
      </w:r>
    </w:p>
    <w:p>
      <w:pPr>
        <w:pStyle w:val="Compact"/>
        <w:numPr>
          <w:ilvl w:val="0"/>
          <w:numId w:val="80"/>
        </w:numPr>
      </w:pPr>
      <w:r>
        <w:t xml:space="preserve">HSA: steuerbegünstigtes Gesundheitskonto, das dir gehört</w:t>
      </w:r>
    </w:p>
    <w:p>
      <w:pPr>
        <w:pStyle w:val="Compact"/>
        <w:numPr>
          <w:ilvl w:val="0"/>
          <w:numId w:val="80"/>
        </w:numPr>
      </w:pPr>
      <w:r>
        <w:t xml:space="preserve">Beim PPO Facharzt ohne Überweisung</w:t>
      </w:r>
    </w:p>
    <w:p>
      <w:pPr>
        <w:pStyle w:val="Compact"/>
        <w:numPr>
          <w:ilvl w:val="0"/>
          <w:numId w:val="80"/>
        </w:numPr>
      </w:pPr>
      <w:r>
        <w:t xml:space="preserve">Wahl zwischen mehreren Plänen</w:t>
      </w:r>
    </w:p>
    <w:p>
      <w:pPr>
        <w:pStyle w:val="FirstParagraph"/>
      </w:pPr>
      <w:r>
        <w:rPr>
          <w:b/>
          <w:bCs/>
        </w:rPr>
        <w:t xml:space="preserve">Minus:</w:t>
      </w:r>
    </w:p>
    <w:p>
      <w:pPr>
        <w:pStyle w:val="Compact"/>
        <w:numPr>
          <w:ilvl w:val="0"/>
          <w:numId w:val="81"/>
        </w:numPr>
      </w:pPr>
      <w:r>
        <w:t xml:space="preserve">Deckung hängt am Job. Bei COBRA zahlst du die volle Prämie zuzüglich Verwaltungsaufschlag</w:t>
      </w:r>
    </w:p>
    <w:p>
      <w:pPr>
        <w:pStyle w:val="Compact"/>
        <w:numPr>
          <w:ilvl w:val="0"/>
          <w:numId w:val="81"/>
        </w:numPr>
      </w:pPr>
      <w:r>
        <w:t xml:space="preserve">Lücke zwischen Ankunft und Deckungsbeginn von bis zu drei oder vier Monaten</w:t>
      </w:r>
    </w:p>
    <w:p>
      <w:pPr>
        <w:pStyle w:val="Compact"/>
        <w:numPr>
          <w:ilvl w:val="0"/>
          <w:numId w:val="81"/>
        </w:numPr>
      </w:pPr>
      <w:r>
        <w:t xml:space="preserve">Selbstbehalt und Zuzahlungen kommen zur Prämie hinzu</w:t>
      </w:r>
    </w:p>
    <w:p>
      <w:pPr>
        <w:pStyle w:val="Compact"/>
        <w:numPr>
          <w:ilvl w:val="0"/>
          <w:numId w:val="81"/>
        </w:numPr>
      </w:pPr>
      <w:r>
        <w:t xml:space="preserve">Netzwerkgrenzen, Vorabgenehmigungen, mehrere Rechnungen</w:t>
      </w:r>
    </w:p>
    <w:p>
      <w:pPr>
        <w:pStyle w:val="Compact"/>
        <w:numPr>
          <w:ilvl w:val="0"/>
          <w:numId w:val="81"/>
        </w:numPr>
      </w:pPr>
      <w:r>
        <w:t xml:space="preserve">Zahn und Augen getrennt, mit Jahreshöchstleistung</w:t>
      </w:r>
    </w:p>
    <w:p>
      <w:pPr>
        <w:pStyle w:val="Compact"/>
        <w:numPr>
          <w:ilvl w:val="0"/>
          <w:numId w:val="81"/>
        </w:numPr>
      </w:pPr>
      <w:r>
        <w:t xml:space="preserve">Boden-Rettungswagen nicht durch den No Surprises Act geschützt</w:t>
      </w:r>
    </w:p>
    <w:p>
      <w:pPr>
        <w:pStyle w:val="Compact"/>
        <w:numPr>
          <w:ilvl w:val="0"/>
          <w:numId w:val="81"/>
        </w:numPr>
      </w:pPr>
      <w:r>
        <w:t xml:space="preserve">Plan-Jahr oft ab 1. Januar: Der Selbstbehalt beginnt von vorn</w:t>
      </w:r>
    </w:p>
    <w:p>
      <w:pPr>
        <w:pStyle w:val="BlockText"/>
      </w:pPr>
      <w:r>
        <w:rPr>
          <w:b/>
          <w:bCs/>
        </w:rPr>
        <w:t xml:space="preserve">Checkliste:</w:t>
      </w:r>
    </w:p>
    <w:p>
      <w:pPr>
        <w:pStyle w:val="Compact"/>
        <w:numPr>
          <w:ilvl w:val="0"/>
          <w:numId w:val="82"/>
        </w:numPr>
      </w:pPr>
      <w:r>
        <w:t xml:space="preserve">Vor der Zusage beim HR schriftlich klären: Deckungsbeginn, Wartefrist, Einschreibefrist, Familienprämie, HSA-Beitrag</w:t>
      </w:r>
    </w:p>
    <w:p>
      <w:pPr>
        <w:pStyle w:val="Compact"/>
        <w:numPr>
          <w:ilvl w:val="0"/>
          <w:numId w:val="83"/>
        </w:numPr>
      </w:pPr>
      <w:r>
        <w:t xml:space="preserve">Überbrückung für die Lücke bis zum Deckungsbeginn organisieren (Kapitel 18)</w:t>
      </w:r>
    </w:p>
    <w:p>
      <w:pPr>
        <w:pStyle w:val="Compact"/>
        <w:numPr>
          <w:ilvl w:val="0"/>
          <w:numId w:val="84"/>
        </w:numPr>
      </w:pPr>
      <w:r>
        <w:t xml:space="preserve">Am ersten Arbeitstag die Einschreibefrist notieren und die ganze Familie fristgerecht anmelden</w:t>
      </w:r>
    </w:p>
    <w:p>
      <w:pPr>
        <w:pStyle w:val="Compact"/>
        <w:numPr>
          <w:ilvl w:val="0"/>
          <w:numId w:val="85"/>
        </w:numPr>
      </w:pPr>
      <w:r>
        <w:t xml:space="preserve">Plan wählen: teuerstes Jahr (12 × Prämie + Out-of-Pocket-Maximum) ausrechnen, Netzwerk prüfen</w:t>
      </w:r>
    </w:p>
    <w:p>
      <w:pPr>
        <w:pStyle w:val="Compact"/>
        <w:numPr>
          <w:ilvl w:val="0"/>
          <w:numId w:val="86"/>
        </w:numPr>
      </w:pPr>
      <w:r>
        <w:t xml:space="preserve">Hausarzt und Kinderarzt suchen, „in-network“ telefonisch bestätigen lassen, Termin buchen</w:t>
      </w:r>
    </w:p>
    <w:p>
      <w:pPr>
        <w:pStyle w:val="Compact"/>
        <w:numPr>
          <w:ilvl w:val="0"/>
          <w:numId w:val="87"/>
        </w:numPr>
      </w:pPr>
      <w:r>
        <w:t xml:space="preserve">Nächste Urgent Care, Telemedizin-Zugang und Notaufnahme im Netzwerk notieren</w:t>
      </w:r>
    </w:p>
    <w:p>
      <w:pPr>
        <w:pStyle w:val="Compact"/>
        <w:numPr>
          <w:ilvl w:val="0"/>
          <w:numId w:val="88"/>
        </w:numPr>
      </w:pPr>
      <w:r>
        <w:t xml:space="preserve">Impfpass, Vorsorgeheft und Befunde in englischer Übersetzung bereithalten</w:t>
      </w:r>
    </w:p>
    <w:p>
      <w:pPr>
        <w:pStyle w:val="Compact"/>
        <w:numPr>
          <w:ilvl w:val="0"/>
          <w:numId w:val="89"/>
        </w:numPr>
      </w:pPr>
      <w:r>
        <w:t xml:space="preserve">Dental- und Vision-Plan gesondert prüfen und wählen</w:t>
      </w:r>
    </w:p>
    <w:p>
      <w:pPr>
        <w:pStyle w:val="Compact"/>
        <w:numPr>
          <w:ilvl w:val="0"/>
          <w:numId w:val="90"/>
        </w:numPr>
      </w:pPr>
      <w:r>
        <w:t xml:space="preserve">Jede Rechnung erst nach Abgleich mit der EOB zahlen; Belege und Gesprächsnotizen abheften</w:t>
      </w:r>
    </w:p>
    <w:p>
      <w:pPr>
        <w:pStyle w:val="Compact"/>
        <w:numPr>
          <w:ilvl w:val="0"/>
          <w:numId w:val="91"/>
        </w:numPr>
      </w:pPr>
      <w:r>
        <w:t xml:space="preserve">Fristen für den Jobverlust notieren: COBRA-Wahl 60 Tage, Marktplatz-Sonderfenster, Statusfristen (Kapitel 30)</w:t>
      </w:r>
    </w:p>
    <w:bookmarkEnd w:id="1176"/>
    <w:bookmarkStart w:id="1188" w:name="quellen-und-weiterführende-links"/>
    <w:p>
      <w:pPr>
        <w:pStyle w:val="Heading3"/>
        <w:ind w:left="0" w:firstLine="0"/>
        <w:jc w:val="left"/>
        <w:keepNext/>
      </w:pPr>
      <w:r>
        <w:t xml:space="preserve">Quellen und weiterführende Links</w:t>
      </w:r>
    </w:p>
    <w:p>
      <w:pPr>
        <w:pStyle w:val="Compact"/>
        <w:numPr>
          <w:ilvl w:val="0"/>
          <w:numId w:val="92"/>
        </w:numPr>
      </w:pPr>
      <w:hyperlink r:id="rId1154">
        <w:r>
          <w:rPr>
            <w:rStyle w:val="Hyperlink"/>
          </w:rPr>
          <w:t xml:space="preserve">healthcare.gov</w:t>
        </w:r>
      </w:hyperlink>
      <w:r>
        <w:t xml:space="preserve"> </w:t>
      </w:r>
      <w:r>
        <w:t xml:space="preserve">— Marktplatz, Plantypen, Sonderfenster, Einwanderungsstatus</w:t>
      </w:r>
    </w:p>
    <w:p>
      <w:pPr>
        <w:pStyle w:val="Compact"/>
        <w:numPr>
          <w:ilvl w:val="0"/>
          <w:numId w:val="92"/>
        </w:numPr>
      </w:pPr>
      <w:hyperlink r:id="rId1155">
        <w:r>
          <w:rPr>
            <w:rStyle w:val="Hyperlink"/>
          </w:rPr>
          <w:t xml:space="preserve">healthcare.gov/immigrants/lawfully-present-immigrants</w:t>
        </w:r>
      </w:hyperlink>
      <w:r>
        <w:t xml:space="preserve"> </w:t>
      </w:r>
      <w:r>
        <w:t xml:space="preserve">— Zuschussregeln für rechtmäßig anwesende Einwanderer ab 2027</w:t>
      </w:r>
    </w:p>
    <w:p>
      <w:pPr>
        <w:pStyle w:val="Compact"/>
        <w:numPr>
          <w:ilvl w:val="0"/>
          <w:numId w:val="92"/>
        </w:numPr>
      </w:pPr>
      <w:hyperlink r:id="rId348">
        <w:r>
          <w:rPr>
            <w:rStyle w:val="Hyperlink"/>
          </w:rPr>
          <w:t xml:space="preserve">cms.gov/nosurprises/consumers</w:t>
        </w:r>
      </w:hyperlink>
      <w:r>
        <w:t xml:space="preserve"> </w:t>
      </w:r>
      <w:r>
        <w:t xml:space="preserve">— No Surprises Act, Kostenvoranschlag, Beschwerdestelle</w:t>
      </w:r>
    </w:p>
    <w:p>
      <w:pPr>
        <w:pStyle w:val="Compact"/>
        <w:numPr>
          <w:ilvl w:val="0"/>
          <w:numId w:val="92"/>
        </w:numPr>
      </w:pPr>
      <w:hyperlink r:id="rId349">
        <w:r>
          <w:rPr>
            <w:rStyle w:val="Hyperlink"/>
          </w:rPr>
          <w:t xml:space="preserve">dol.gov/agencies/ebsa</w:t>
        </w:r>
      </w:hyperlink>
      <w:r>
        <w:t xml:space="preserve"> </w:t>
      </w:r>
      <w:r>
        <w:t xml:space="preserve">— COBRA, Wartefristen, Newborns’ Act</w:t>
      </w:r>
    </w:p>
    <w:p>
      <w:pPr>
        <w:pStyle w:val="Compact"/>
        <w:numPr>
          <w:ilvl w:val="0"/>
          <w:numId w:val="92"/>
        </w:numPr>
      </w:pPr>
      <w:hyperlink r:id="rId350">
        <w:r>
          <w:rPr>
            <w:rStyle w:val="Hyperlink"/>
          </w:rPr>
          <w:t xml:space="preserve">irs.gov/publications/p969</w:t>
        </w:r>
      </w:hyperlink>
      <w:r>
        <w:t xml:space="preserve"> </w:t>
      </w:r>
      <w:r>
        <w:t xml:space="preserve">— HSA und HDHP, jährliche Grenzwerte</w:t>
      </w:r>
    </w:p>
    <w:p>
      <w:pPr>
        <w:pStyle w:val="Compact"/>
        <w:numPr>
          <w:ilvl w:val="0"/>
          <w:numId w:val="92"/>
        </w:numPr>
      </w:pPr>
      <w:hyperlink r:id="rId351">
        <w:r>
          <w:rPr>
            <w:rStyle w:val="Hyperlink"/>
          </w:rPr>
          <w:t xml:space="preserve">kff.org/health-costs/2025-employer-health-benefits-survey</w:t>
        </w:r>
      </w:hyperlink>
      <w:r>
        <w:t xml:space="preserve"> </w:t>
      </w:r>
      <w:r>
        <w:t xml:space="preserve">— Prämien, Selbstbehalte, Wartefristen</w:t>
      </w:r>
    </w:p>
    <w:p>
      <w:pPr>
        <w:pStyle w:val="Compact"/>
        <w:numPr>
          <w:ilvl w:val="0"/>
          <w:numId w:val="92"/>
        </w:numPr>
      </w:pPr>
      <w:hyperlink r:id="rId352">
        <w:r>
          <w:rPr>
            <w:rStyle w:val="Hyperlink"/>
          </w:rPr>
          <w:t xml:space="preserve">census.gov/library/publications/2026/demo/p60-291.html</w:t>
        </w:r>
      </w:hyperlink>
      <w:r>
        <w:t xml:space="preserve"> </w:t>
      </w:r>
      <w:r>
        <w:t xml:space="preserve">— Versichertenstatistik 2025</w:t>
      </w:r>
    </w:p>
    <w:p>
      <w:pPr>
        <w:pStyle w:val="Compact"/>
        <w:numPr>
          <w:ilvl w:val="0"/>
          <w:numId w:val="92"/>
        </w:numPr>
      </w:pPr>
      <w:hyperlink r:id="rId1156">
        <w:r>
          <w:rPr>
            <w:rStyle w:val="Hyperlink"/>
          </w:rPr>
          <w:t xml:space="preserve">cms.gov/medicare/enrollment-renewal/original-part-a-b</w:t>
        </w:r>
      </w:hyperlink>
      <w:r>
        <w:t xml:space="preserve"> </w:t>
      </w:r>
      <w:r>
        <w:t xml:space="preserve">— Aufenthalts- und Anspruchsvoraussetzungen für Medicare</w:t>
      </w:r>
    </w:p>
    <w:p>
      <w:pPr>
        <w:pStyle w:val="Compact"/>
        <w:numPr>
          <w:ilvl w:val="0"/>
          <w:numId w:val="92"/>
        </w:numPr>
      </w:pPr>
      <w:hyperlink r:id="rId1157">
        <w:r>
          <w:rPr>
            <w:rStyle w:val="Hyperlink"/>
          </w:rPr>
          <w:t xml:space="preserve">988lifeline.org</w:t>
        </w:r>
      </w:hyperlink>
      <w:r>
        <w:t xml:space="preserve"> </w:t>
      </w:r>
      <w:r>
        <w:t xml:space="preserve">— Krisenhilfe rund um die Uhr</w:t>
      </w:r>
    </w:p>
    <w:p>
      <w:pPr>
        <w:pStyle w:val="Compact"/>
        <w:numPr>
          <w:ilvl w:val="0"/>
          <w:numId w:val="92"/>
        </w:numPr>
      </w:pPr>
      <w:hyperlink r:id="rId1158">
        <w:r>
          <w:rPr>
            <w:rStyle w:val="Hyperlink"/>
          </w:rPr>
          <w:t xml:space="preserve">findtreatment.gov</w:t>
        </w:r>
      </w:hyperlink>
      <w:r>
        <w:t xml:space="preserve"> </w:t>
      </w:r>
      <w:r>
        <w:t xml:space="preserve">— Therapeutensuche der Bundesbehörde SAMHSA</w:t>
      </w:r>
    </w:p>
    <w:p>
      <w:pPr>
        <w:pStyle w:val="Compact"/>
        <w:numPr>
          <w:ilvl w:val="0"/>
          <w:numId w:val="92"/>
        </w:numPr>
      </w:pPr>
      <w:hyperlink r:id="rId1159">
        <w:r>
          <w:rPr>
            <w:rStyle w:val="Hyperlink"/>
          </w:rPr>
          <w:t xml:space="preserve">hrsa.gov/get-health-care</w:t>
        </w:r>
      </w:hyperlink>
      <w:r>
        <w:t xml:space="preserve"> </w:t>
      </w:r>
      <w:r>
        <w:t xml:space="preserve">— Gesundheitszentren mit einkommensabhängiger Gebührenstaffel und Suchfunktion</w:t>
      </w:r>
    </w:p>
    <w:p>
      <w:pPr>
        <w:pStyle w:val="BlockText"/>
      </w:pPr>
      <w:r>
        <w:rPr>
          <w:b/>
          <w:bCs/>
        </w:rPr>
        <w:t xml:space="preserve">Stand:</w:t>
      </w:r>
      <w:r>
        <w:t xml:space="preserve"> </w:t>
      </w:r>
      <w:r>
        <w:t xml:space="preserve">September 2026. Diese Angaben ändern sich schnell: Marktplatz-Zuschüsse und Statusprüfung ab 1. Januar 2027, Medicaid- und CHIP-Regeln ab 1. Oktober 2026, die endgültigen Prämien für 2027 (Herbst 2026), HSA- und Out-of-Pocket-Grenzwerte, Kurzzeitpläne sowie der CDC-Impfplan mit den laufenden Gerichtsverfahren. Kostenangaben sind Durchschnitte aus 2025 und 2026 (KFF, HCCI, Verbraucherportale); dein Plan kann stark abweichen. Prüfe vor jeder Entscheidung healthcare.gov und die Unterlagen deines Arbeitgebers.</w:t>
      </w:r>
    </w:p>
    <w:bookmarkEnd w:id="1188"/>
    <w:bookmarkEnd w:id="1189"/>
    <w:p w14:paraId="4662B8D2" w14:textId="77777777" w:rsidR="001F7233" w:rsidRDefault="00000000">
      <w:pPr>
        <w:pStyle w:val="Heading2"/>
        <w:keepNext/>
        <w:spacing w:line="341" w:lineRule="auto"/>
        <w:jc w:val="center"/>
      </w:pPr>
      <w:bookmarkStart w:id="57" w:name="k27"/>
      <w:r>
        <w:rPr>
          <w:rFonts w:ascii="Amazon Ember" w:eastAsia="Amazon Ember" w:hAnsi="Amazon Ember" w:cs="Amazon Ember"/>
          <w:color w:val="0000FF"/>
          <w:sz w:val="36"/>
          <w:szCs w:val="36"/>
        </w:rPr>
        <w:lastRenderedPageBreak/>
        <w:t>Kapitel 27: Führerschein, Auto und Mobilität</w:t>
      </w:r>
      <w:bookmarkEnd w:id="57"/>
    </w:p>
    <w:p w14:paraId="5459251B" w14: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w14:paraId="7AF16E52" w14:textId="77777777" w:rsidR="001F7233" w:rsidRDefault="00000000">
      <w:pPr>
        <w:spacing w:after="140"/>
      </w:pPr>
      <w:r>
        <w:t>Du bist seit neun Tagen in den USA. Der Mietwagen kostet jeden Tag Geld. Das Autohaus fragt nach einer Kredithistorie, die es nicht gibt und die Versicherung nach einem Führerschein, der noch umgeschrieben werden muss. Führerschein, Versicherung, Kredit und Zulassung hängen hier wie Glieder einer Kette zusammen. Wer die Reihenfolge kennt, spart Wochen und oft mehrere Tausend Dollar.</w:t>
      </w:r>
    </w:p>
    <w:p w14:paraId="1B22471D" w14:textId="77777777" w:rsidR="001F7233" w:rsidRDefault="00000000">
      <w:r>
        <w:rPr>
          <w:b/>
        </w:rPr>
        <w:t xml:space="preserve">KURZ GESAGT: </w:t>
      </w:r>
    </w:p>
    <w:p w14:paraId="0D0ED8D0" w14:textId="77777777" w:rsidR="001F7233" w:rsidRDefault="00000000">
      <w:r>
        <w:t>• Als Besucher darfst du meist bis zu 90 Tage mit dem deutschen Führerschein fahren. Sobald du Einwohner bist, gilt die Frist deines Bundesstaates: zehn Tage in Kalifornien, 30 in Washington, 90 in Texas.</w:t>
      </w:r>
    </w:p>
    <w:p w14:paraId="0DA05CA9" w14:textId="77777777" w:rsidR="001F7233" w:rsidRDefault="00000000">
      <w:r>
        <w:t>• Ob du Prüfungen ablegen musst, entscheidet der Staat. Laut Quellen tauschen u. a. Texas, Washington, Arizona, Colorado, Michigan, Illinois, Massachusetts und Virginia ohne Prüfung; Kalifornien und New York verlangen sie.</w:t>
      </w:r>
    </w:p>
    <w:p w14:paraId="5C0F829B" w14:textId="77777777" w:rsidR="001F7233" w:rsidRDefault="00000000">
      <w:r>
        <w:t>• Die Reihenfolge lautet: SSN, Führerschein, Versicherung, Kauf, Zulassung.</w:t>
      </w:r>
    </w:p>
    <w:p w14:paraId="5A124B86" w14:textId="77777777" w:rsidR="001F7233" w:rsidRDefault="00000000">
      <w:r>
        <w:t>• Neuwagen kosteten im August 2026 im Schnitt 50.089 $, Full Coverage (Haftpflicht plus Kasko) 2.241–2.922 $ im Jahr. Die deutsche SF-Klasse zählt meist nicht, und ohne Kredithistorie sind die Zinsen hoch.</w:t>
      </w:r>
    </w:p>
    <w:p w14:paraId="0AE83E02" w14:textId="77777777" w:rsidR="001F7233" w:rsidRDefault="00000000">
      <w:r>
        <w:t>• Die US-Grenze liegt bei 0,08 % BAC (Blutalkoholkonzentration), das sind 0,8 Promille. Ein DUI (Fahren unter Alkoholeinfluss) kann deinen Aufenthaltsstatus gefährden.</w:t>
      </w:r>
    </w:p>
    <w:p w14:paraId="0A9F7C8A" w14:textId="77777777" w:rsidR="001F7233" w:rsidRDefault="00000000">
      <w:r>
        <w:t>• Ein Auto aus Deutschland mitzubringen lohnt fast nie.</w:t>
      </w:r>
    </w:p>
    <w:p w14:paraId="23797B3F" w14:textId="77777777" w:rsidR="001F7233" w:rsidRDefault="001F7233">
      <w:pPr>
        <w:spacing w:line="220" w:lineRule="exact"/>
      </w:pPr>
    </w:p>
    <w:p w14:paraId="0679F3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dein deutscher Führerschein gilt</w:t>
      </w:r>
    </w:p>
    <w:p w14:paraId="0F8B1076" w14:textId="77777777" w:rsidR="001F7233" w:rsidRDefault="00000000">
      <w:pPr>
        <w:spacing w:after="140"/>
      </w:pPr>
      <w:r>
        <w:t>Den Führerschein regelt nicht der Bund, sondern jeder der 50 Staaten. Verbreiteter Irrtum: Der deutsche Führerschein gelte in den USA quasi so lange wie zu Hause. Tatsächlich ist es nur eine befristete Duldung: Nach den Angaben des Auswärtigen Amts und des Generalkonsulats Chicago (Stand Juni 2025) gilt der deutsche Führerschein nach der Einreise meist 90 Tage, unter Bedingungen bis zu einem Jahr. Danach brauchst du die Lizenz des Staates, in dem du wohnst.</w:t>
      </w:r>
    </w:p>
    <w:p w14:paraId="6503448C" w14:textId="77777777" w:rsidR="001F7233" w:rsidRDefault="00000000">
      <w:pPr>
        <w:spacing w:after="140"/>
      </w:pPr>
      <w:r>
        <w:rPr>
          <w:i/>
          <w:iCs/>
        </w:rPr>
        <w:t>Der Internationale Führerschein (International Driving Permit, IDP) ist eine mehrsprachige Übersetzung des deutschen Führerscheins. Das Auswärtige Amt empfiehlt ihn dringend, in einigen Staaten ist er Pflicht. Er ersetzt den deutschen Führerschein nicht. North Carolina erkennt ihn nach eigener Angabe gar nicht an und verlangt einen gültigen Führerschein deines Landes. Du führst beide Dokumente mit und beantragst ihn vor dem Abflug bei deiner Führerscheinstelle. Gebühr und Gültigkeit erfährst du dort.</w:t>
      </w:r>
    </w:p>
    <w:p w14:paraId="4969AC37" w14:textId="77777777" w:rsidR="001F7233" w:rsidRDefault="00000000">
      <w:pPr>
        <w:spacing w:after="140"/>
      </w:pPr>
      <w:r>
        <w:t>Wichtiger als die 90 Tage ist die Frist für neue Einwohner. Sie beginnt nicht mit der Landung, sondern mit der Wohnsitznahme, die jeder Staat selbst definiert. Im Zweifel zählt der Tag, an dem du dort deinen Wohnsitz begründest.</w:t>
      </w:r>
    </w:p>
    <w:p w14:paraId="76008F65" w14:textId="77777777" w:rsidR="001F7233" w:rsidRDefault="00000000">
      <w:r>
        <w:rPr>
          <w:b/>
        </w:rPr>
        <w:t xml:space="preserve">ACHTUNG: </w:t>
      </w:r>
    </w:p>
    <w:p w14:paraId="0E8A1898" w14:textId="77777777" w:rsidR="001F7233" w:rsidRDefault="00000000">
      <w:r>
        <w:t>• Kalifornien gibt neuen Einwohnern nur zehn Tage. Wer die Frist seines Staates verpasst, fährt ohne gültige Lizenz und riskiert Bußgelder und Ärger mit dem Versicherer. Prüfe die Frist, bevor du fliegst, nicht danach.</w:t>
      </w:r>
    </w:p>
    <w:p w14:paraId="62DE3F48" w14:textId="77777777" w:rsidR="001F7233" w:rsidRDefault="001F7233">
      <w:pPr>
        <w:spacing w:line="220" w:lineRule="exact"/>
      </w:pPr>
    </w:p>
    <w:p w14:paraId="032E92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Umschreiben oder Prüfung: Die Lage nach Bundesstaat</w:t>
      </w:r>
    </w:p>
    <w:p w14:paraId="2CBB4244" w14:textId="77777777" w:rsidR="001F7233" w:rsidRDefault="00000000">
      <w:pPr>
        <w:spacing w:after="140"/>
      </w:pPr>
      <w:r>
        <w:t>Hat ein Staat ein Abkommen (Reciprocity) mit Deutschland, tauschst du den deutschen Führerschein gegen eine US-Lizenz, ohne Wissens- und Fahrprüfung abzulegen. Ohne Abkommen musst du beide Prüfungen bestehen. Die Tabelle fasst zusammen, was Behörden, Konsulate und Ratgeber nennen (Datenstand September 2026; geprüft im Oktober 2026).</w:t>
      </w:r>
    </w:p>
    <w:p w14:paraId="26E9EB25" w14:textId="77777777" w:rsidR="001F7233" w:rsidRDefault="00000000">
      <w:r>
        <w:rPr>
          <w:b/>
        </w:rPr>
        <w:t>Arizona</w:t>
      </w:r>
    </w:p>
    <w:p w14:paraId="76EEBD02" w14:textId="77777777" w:rsidR="001F7233" w:rsidRDefault="00000000">
      <w:r>
        <w:rPr>
          <w:b/>
        </w:rPr>
        <w:t xml:space="preserve">Deutscher Führerschein: </w:t>
      </w:r>
      <w:r>
        <w:t>Umtausch ohne Prüfungen</w:t>
      </w:r>
    </w:p>
    <w:p w14:paraId="3FD5FC5F" w14:textId="77777777" w:rsidR="001F7233" w:rsidRDefault="00000000">
      <w:r>
        <w:rPr>
          <w:b/>
        </w:rPr>
        <w:t xml:space="preserve">Frist ab Wohnsitznahme: </w:t>
      </w:r>
      <w:r>
        <w:t>beim DMV erfragen</w:t>
      </w:r>
    </w:p>
    <w:p w14:paraId="0F3FB217" w14:textId="77777777" w:rsidR="001F7233" w:rsidRDefault="00000000">
      <w:r>
        <w:rPr>
          <w:b/>
        </w:rPr>
        <w:t>Colorado</w:t>
      </w:r>
    </w:p>
    <w:p w14:paraId="199FCD36" w14:textId="77777777" w:rsidR="001F7233" w:rsidRDefault="00000000">
      <w:r>
        <w:rPr>
          <w:b/>
        </w:rPr>
        <w:t xml:space="preserve">Deutscher Führerschein: </w:t>
      </w:r>
      <w:r>
        <w:t>Umtausch ohne Prüfungen</w:t>
      </w:r>
    </w:p>
    <w:p w14:paraId="22905494" w14:textId="77777777" w:rsidR="001F7233" w:rsidRDefault="00000000">
      <w:r>
        <w:rPr>
          <w:b/>
        </w:rPr>
        <w:t xml:space="preserve">Frist ab Wohnsitznahme: </w:t>
      </w:r>
      <w:r>
        <w:t>beim DMV erfragen</w:t>
      </w:r>
    </w:p>
    <w:p w14:paraId="160981F1" w14:textId="77777777" w:rsidR="001F7233" w:rsidRDefault="00000000">
      <w:r>
        <w:rPr>
          <w:b/>
        </w:rPr>
        <w:t>Illinois</w:t>
      </w:r>
    </w:p>
    <w:p w14:paraId="05CABBAB" w14:textId="77777777" w:rsidR="001F7233" w:rsidRDefault="00000000">
      <w:r>
        <w:rPr>
          <w:b/>
        </w:rPr>
        <w:t xml:space="preserve">Deutscher Führerschein: </w:t>
      </w:r>
      <w:r>
        <w:t>im Regelfall ohne Prüfung</w:t>
      </w:r>
    </w:p>
    <w:p w14:paraId="4D8E3CAD" w14:textId="77777777" w:rsidR="001F7233" w:rsidRDefault="00000000">
      <w:r>
        <w:rPr>
          <w:b/>
        </w:rPr>
        <w:t xml:space="preserve">Frist ab Wohnsitznahme: </w:t>
      </w:r>
      <w:r>
        <w:t>beim DMV erfragen</w:t>
      </w:r>
    </w:p>
    <w:p w14:paraId="64BAA378" w14:textId="77777777" w:rsidR="001F7233" w:rsidRDefault="00000000">
      <w:r>
        <w:rPr>
          <w:b/>
        </w:rPr>
        <w:t>Massachusetts</w:t>
      </w:r>
    </w:p>
    <w:p w14:paraId="671E1EA3" w14:textId="77777777" w:rsidR="001F7233" w:rsidRDefault="00000000">
      <w:r>
        <w:rPr>
          <w:b/>
        </w:rPr>
        <w:t xml:space="preserve">Deutscher Führerschein: </w:t>
      </w:r>
      <w:r>
        <w:t>ohne Prüfung, mit Konsulatsbescheinigung</w:t>
      </w:r>
    </w:p>
    <w:p w14:paraId="098A5093" w14:textId="77777777" w:rsidR="001F7233" w:rsidRDefault="00000000">
      <w:r>
        <w:rPr>
          <w:b/>
        </w:rPr>
        <w:t xml:space="preserve">Frist ab Wohnsitznahme: </w:t>
      </w:r>
      <w:r>
        <w:t>beim DMV erfragen</w:t>
      </w:r>
    </w:p>
    <w:p w14:paraId="1A41C676" w14:textId="77777777" w:rsidR="001F7233" w:rsidRDefault="00000000">
      <w:r>
        <w:rPr>
          <w:b/>
        </w:rPr>
        <w:t>Michigan</w:t>
      </w:r>
    </w:p>
    <w:p w14:paraId="6867530A" w14:textId="77777777" w:rsidR="001F7233" w:rsidRDefault="00000000">
      <w:r>
        <w:rPr>
          <w:b/>
        </w:rPr>
        <w:t xml:space="preserve">Deutscher Führerschein: </w:t>
      </w:r>
      <w:r>
        <w:t>im Regelfall ohne Prüfung</w:t>
      </w:r>
    </w:p>
    <w:p w14:paraId="5EE98CFC" w14:textId="77777777" w:rsidR="001F7233" w:rsidRDefault="00000000">
      <w:r>
        <w:rPr>
          <w:b/>
        </w:rPr>
        <w:t xml:space="preserve">Frist ab Wohnsitznahme: </w:t>
      </w:r>
      <w:r>
        <w:t>beim DMV erfragen</w:t>
      </w:r>
    </w:p>
    <w:p w14:paraId="40D27E08" w14:textId="77777777" w:rsidR="001F7233" w:rsidRDefault="00000000">
      <w:r>
        <w:rPr>
          <w:b/>
        </w:rPr>
        <w:t>Texas</w:t>
      </w:r>
    </w:p>
    <w:p w14:paraId="6639D49E" w14:textId="77777777" w:rsidR="001F7233" w:rsidRDefault="00000000">
      <w:r>
        <w:rPr>
          <w:b/>
        </w:rPr>
        <w:t xml:space="preserve">Deutscher Führerschein: </w:t>
      </w:r>
      <w:r>
        <w:t>ohne Prüfungen, evtl. Übersetzung</w:t>
      </w:r>
    </w:p>
    <w:p w14:paraId="539E97D3" w14:textId="77777777" w:rsidR="001F7233" w:rsidRDefault="00000000">
      <w:r>
        <w:rPr>
          <w:b/>
        </w:rPr>
        <w:t xml:space="preserve">Frist ab Wohnsitznahme: </w:t>
      </w:r>
      <w:r>
        <w:t>90 Tage</w:t>
      </w:r>
    </w:p>
    <w:p w14:paraId="06335F1C" w14:textId="77777777" w:rsidR="001F7233" w:rsidRDefault="00000000">
      <w:r>
        <w:rPr>
          <w:b/>
        </w:rPr>
        <w:t>Virginia</w:t>
      </w:r>
    </w:p>
    <w:p w14:paraId="7BD46665" w14:textId="77777777" w:rsidR="001F7233" w:rsidRDefault="00000000">
      <w:r>
        <w:rPr>
          <w:b/>
        </w:rPr>
        <w:t xml:space="preserve">Deutscher Führerschein: </w:t>
      </w:r>
      <w:r>
        <w:t>ohne Fahrprüfung</w:t>
      </w:r>
    </w:p>
    <w:p w14:paraId="1E693DDC" w14:textId="77777777" w:rsidR="001F7233" w:rsidRDefault="00000000">
      <w:r>
        <w:rPr>
          <w:b/>
        </w:rPr>
        <w:t xml:space="preserve">Frist ab Wohnsitznahme: </w:t>
      </w:r>
      <w:r>
        <w:t>beim DMV erfragen</w:t>
      </w:r>
    </w:p>
    <w:p w14:paraId="4676DC7D" w14:textId="77777777" w:rsidR="001F7233" w:rsidRDefault="00000000">
      <w:r>
        <w:rPr>
          <w:b/>
        </w:rPr>
        <w:t>Washington</w:t>
      </w:r>
    </w:p>
    <w:p w14:paraId="58F590C2" w14:textId="77777777" w:rsidR="001F7233" w:rsidRDefault="00000000">
      <w:r>
        <w:rPr>
          <w:b/>
        </w:rPr>
        <w:t xml:space="preserve">Deutscher Führerschein: </w:t>
      </w:r>
      <w:r>
        <w:t>ohne Prüfung</w:t>
      </w:r>
    </w:p>
    <w:p w14:paraId="5FBF4B26" w14:textId="77777777" w:rsidR="001F7233" w:rsidRDefault="00000000">
      <w:r>
        <w:rPr>
          <w:b/>
        </w:rPr>
        <w:lastRenderedPageBreak/>
        <w:t xml:space="preserve">Frist ab Wohnsitznahme: </w:t>
      </w:r>
      <w:r>
        <w:t>30 Tage</w:t>
      </w:r>
    </w:p>
    <w:p w14:paraId="48B2E77E" w14:textId="77777777" w:rsidR="001F7233" w:rsidRDefault="00000000">
      <w:r>
        <w:rPr>
          <w:b/>
        </w:rPr>
        <w:t>Oregon</w:t>
      </w:r>
    </w:p>
    <w:p w14:paraId="12679BD3" w14:textId="77777777" w:rsidR="001F7233" w:rsidRDefault="00000000">
      <w:r>
        <w:rPr>
          <w:b/>
        </w:rPr>
        <w:t xml:space="preserve">Deutscher Führerschein: </w:t>
      </w:r>
      <w:r>
        <w:t>Wissenstest entfällt, Fahrprüfung nur unter Bedingungen</w:t>
      </w:r>
    </w:p>
    <w:p w14:paraId="2BD1B955" w14:textId="77777777" w:rsidR="001F7233" w:rsidRDefault="00000000">
      <w:r>
        <w:rPr>
          <w:b/>
        </w:rPr>
        <w:t xml:space="preserve">Frist ab Wohnsitznahme: </w:t>
      </w:r>
      <w:r>
        <w:t>beim DMV erfragen</w:t>
      </w:r>
    </w:p>
    <w:p w14:paraId="27BFB6E4" w14:textId="77777777" w:rsidR="001F7233" w:rsidRDefault="00000000">
      <w:r>
        <w:rPr>
          <w:b/>
        </w:rPr>
        <w:t>Kalifornien</w:t>
      </w:r>
    </w:p>
    <w:p w14:paraId="00D80779" w14:textId="77777777" w:rsidR="001F7233" w:rsidRDefault="00000000">
      <w:r>
        <w:rPr>
          <w:b/>
        </w:rPr>
        <w:t xml:space="preserve">Deutscher Führerschein: </w:t>
      </w:r>
      <w:r>
        <w:t>Wissens- und Fahrprüfung</w:t>
      </w:r>
    </w:p>
    <w:p w14:paraId="7AA35ABC" w14:textId="77777777" w:rsidR="001F7233" w:rsidRDefault="00000000">
      <w:r>
        <w:rPr>
          <w:b/>
        </w:rPr>
        <w:t xml:space="preserve">Frist ab Wohnsitznahme: </w:t>
      </w:r>
      <w:r>
        <w:t>10 Tage</w:t>
      </w:r>
    </w:p>
    <w:p w14:paraId="67DCDDD3" w14:textId="77777777" w:rsidR="001F7233" w:rsidRDefault="00000000">
      <w:r>
        <w:rPr>
          <w:b/>
        </w:rPr>
        <w:t>New York</w:t>
      </w:r>
    </w:p>
    <w:p w14:paraId="1F36D2E1" w14:textId="77777777" w:rsidR="001F7233" w:rsidRDefault="00000000">
      <w:r>
        <w:rPr>
          <w:b/>
        </w:rPr>
        <w:t xml:space="preserve">Deutscher Führerschein: </w:t>
      </w:r>
      <w:r>
        <w:t>Wissenstest, Fahrprüfung, 5-Stunden-Kurs</w:t>
      </w:r>
    </w:p>
    <w:p w14:paraId="1544B272" w14:textId="77777777" w:rsidR="001F7233" w:rsidRDefault="00000000">
      <w:r>
        <w:rPr>
          <w:b/>
        </w:rPr>
        <w:t xml:space="preserve">Frist ab Wohnsitznahme: </w:t>
      </w:r>
      <w:r>
        <w:t>beim DMV erfragen</w:t>
      </w:r>
    </w:p>
    <w:p w14:paraId="077E7571" w14:textId="77777777" w:rsidR="001F7233" w:rsidRDefault="00000000">
      <w:r>
        <w:rPr>
          <w:b/>
        </w:rPr>
        <w:t>Utah</w:t>
      </w:r>
    </w:p>
    <w:p w14:paraId="196C221B" w14:textId="77777777" w:rsidR="001F7233" w:rsidRDefault="00000000">
      <w:r>
        <w:rPr>
          <w:b/>
        </w:rPr>
        <w:t xml:space="preserve">Deutscher Führerschein: </w:t>
      </w:r>
      <w:r>
        <w:t>Prüfungen (Deutschland nicht gelistet)</w:t>
      </w:r>
    </w:p>
    <w:p w14:paraId="6465262C" w14:textId="77777777" w:rsidR="001F7233" w:rsidRDefault="00000000">
      <w:r>
        <w:rPr>
          <w:b/>
        </w:rPr>
        <w:t xml:space="preserve">Frist ab Wohnsitznahme: </w:t>
      </w:r>
      <w:r>
        <w:t>beim DMV erfragen</w:t>
      </w:r>
    </w:p>
    <w:p w14:paraId="177640F3" w14:textId="77777777" w:rsidR="001F7233" w:rsidRDefault="00000000">
      <w:r>
        <w:rPr>
          <w:b/>
        </w:rPr>
        <w:t>Georgia</w:t>
      </w:r>
    </w:p>
    <w:p w14:paraId="2EA67163" w14:textId="77777777" w:rsidR="001F7233" w:rsidRDefault="00000000">
      <w:r>
        <w:rPr>
          <w:b/>
        </w:rPr>
        <w:t xml:space="preserve">Deutscher Führerschein: </w:t>
      </w:r>
      <w:r>
        <w:t>Prüfungen zu erwarten (Deutschland nicht gelistet)</w:t>
      </w:r>
    </w:p>
    <w:p w14:paraId="4258A4E7" w14:textId="77777777" w:rsidR="001F7233" w:rsidRDefault="00000000">
      <w:r>
        <w:rPr>
          <w:b/>
        </w:rPr>
        <w:t xml:space="preserve">Frist ab Wohnsitznahme: </w:t>
      </w:r>
      <w:r>
        <w:t>beim DMV erfragen</w:t>
      </w:r>
    </w:p>
    <w:p w14:paraId="5DBB05C3" w14:textId="77777777" w:rsidR="001F7233" w:rsidRDefault="00000000">
      <w:r>
        <w:rPr>
          <w:b/>
        </w:rPr>
        <w:t>North Carolina</w:t>
      </w:r>
    </w:p>
    <w:p w14:paraId="6AD8ED7E" w14:textId="77777777" w:rsidR="001F7233" w:rsidRDefault="00000000">
      <w:r>
        <w:rPr>
          <w:b/>
        </w:rPr>
        <w:t xml:space="preserve">Deutscher Führerschein: </w:t>
      </w:r>
      <w:r>
        <w:t>Verzicht nur für US-Lizenzen genannt</w:t>
      </w:r>
    </w:p>
    <w:p w14:paraId="1F1BEAF2" w14:textId="77777777" w:rsidR="001F7233" w:rsidRDefault="00000000">
      <w:r>
        <w:rPr>
          <w:b/>
        </w:rPr>
        <w:t xml:space="preserve">Frist ab Wohnsitznahme: </w:t>
      </w:r>
      <w:r>
        <w:t>60 Tage</w:t>
      </w:r>
    </w:p>
    <w:p w14:paraId="0D10F63F" w14:textId="77777777" w:rsidR="001F7233" w:rsidRDefault="00000000">
      <w:r>
        <w:rPr>
          <w:b/>
        </w:rPr>
        <w:t>Florida</w:t>
      </w:r>
    </w:p>
    <w:p w14:paraId="5EC3886E" w14:textId="77777777" w:rsidR="001F7233" w:rsidRDefault="00000000">
      <w:r>
        <w:rPr>
          <w:b/>
        </w:rPr>
        <w:t xml:space="preserve">Deutscher Führerschein: </w:t>
      </w:r>
      <w:r>
        <w:t>nicht ermittelt</w:t>
      </w:r>
    </w:p>
    <w:p w14:paraId="0E55D0FC" w14:textId="77777777" w:rsidR="001F7233" w:rsidRDefault="00000000">
      <w:r>
        <w:rPr>
          <w:b/>
        </w:rPr>
        <w:t xml:space="preserve">Frist ab Wohnsitznahme: </w:t>
      </w:r>
      <w:r>
        <w:t>30 Tage</w:t>
      </w:r>
    </w:p>
    <w:p w14:paraId="0D3F120A" w14:textId="77777777" w:rsidR="001F7233" w:rsidRDefault="001F7233">
      <w:pPr>
        <w:spacing w:line="180" w:lineRule="exact"/>
      </w:pPr>
    </w:p>
    <w:p w14:paraId="47A3CFD7" w14:textId="77777777" w:rsidR="001F7233" w:rsidRDefault="00000000">
      <w:pPr>
        <w:spacing w:after="140"/>
      </w:pPr>
      <w:r>
        <w:rPr>
          <w:i/>
          <w:iCs/>
        </w:rPr>
        <w:t>Für Maryland nennen Ratgeber ebenfalls den Umtausch ohne Prüfung. Für alle übrigen Staaten und jede Abweichung gilt: Suche auf der Behördenseite nach foreign license, out-of-country oder reciprocity und frage vor dem Termin nach, denn die Listen ändern sich. Die Behörde heißt nicht überall DMV (Department of Motor Vehicles, die Kfz- und Führerscheinbehörde): In Texas ist es die DPS, in Washington die DOL, in Massachusetts die RMV, in Michigan und Illinois das Büro des Secretary of State. Im Buch steht „DMV“ für sie alle.</w:t>
      </w:r>
    </w:p>
    <w:p w14:paraId="72694C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Weg zur US-Lizenz Schritt für Schritt</w:t>
      </w:r>
    </w:p>
    <w:p w14:paraId="4CA91C86" w14:textId="77777777" w:rsidR="001F7233" w:rsidRDefault="00000000">
      <w:pPr>
        <w:pStyle w:val="ListParagraph"/>
        <w:numPr>
          <w:ilvl w:val="0"/>
          <w:numId w:val="25"/>
        </w:numPr>
        <w:spacing w:after="60"/>
      </w:pPr>
      <w:r>
        <w:rPr>
          <w:b/>
          <w:bCs/>
        </w:rPr>
        <w:t>Termin buchen:</w:t>
      </w:r>
      <w:r>
        <w:t xml:space="preserve"> Fast alle Behörden vergeben Termine online, oft mit mehreren Wochen Vorlauf. Buche in der ersten Woche.</w:t>
      </w:r>
    </w:p>
    <w:p w14:paraId="0EB81FEB" w14:textId="77777777" w:rsidR="001F7233" w:rsidRDefault="00000000">
      <w:pPr>
        <w:pStyle w:val="ListParagraph"/>
        <w:numPr>
          <w:ilvl w:val="0"/>
          <w:numId w:val="2"/>
        </w:numPr>
        <w:spacing w:after="60"/>
      </w:pPr>
      <w:r>
        <w:rPr>
          <w:b/>
          <w:bCs/>
        </w:rPr>
        <w:t>SSN klären:</w:t>
      </w:r>
      <w:r>
        <w:t xml:space="preserve"> Viele Staaten verlangen die </w:t>
      </w:r>
      <w:r>
        <w:rPr>
          <w:i/>
          <w:iCs/>
        </w:rPr>
        <w:t>Social Security Number</w:t>
      </w:r>
      <w:r>
        <w:t xml:space="preserve"> oder den Nachweis, dass du keine bekommst (Kapitel </w:t>
      </w:r>
      <w:hyperlink w:anchor="k24">
        <w:r w:rsidR="001F7233">
          <w:t>24</w:t>
        </w:r>
      </w:hyperlink>
      <w:r>
        <w:t>).</w:t>
      </w:r>
    </w:p>
    <w:p w14:paraId="48AD28AD" w14:textId="77777777" w:rsidR="001F7233" w:rsidRDefault="00000000">
      <w:pPr>
        <w:pStyle w:val="ListParagraph"/>
        <w:numPr>
          <w:ilvl w:val="0"/>
          <w:numId w:val="2"/>
        </w:numPr>
        <w:spacing w:after="60"/>
      </w:pPr>
      <w:r>
        <w:rPr>
          <w:b/>
          <w:bCs/>
        </w:rPr>
        <w:t>Unterlagen: Reisepass, Nachweis des legalen Aufenthalts (Visum und I-94 oder Green Card), Wohnsitznachweise, der deutsche Führerschein (er sollte noch mindestens 60 Tage gültig sein) und die Gebühr, die je Staat verschieden ist.</w:t>
      </w:r>
    </w:p>
    <w:p w14:paraId="35FE586E" w14:textId="77777777" w:rsidR="001F7233" w:rsidRDefault="00000000">
      <w:pPr>
        <w:pStyle w:val="ListParagraph"/>
        <w:numPr>
          <w:ilvl w:val="0"/>
          <w:numId w:val="2"/>
        </w:numPr>
        <w:spacing w:after="60"/>
      </w:pPr>
      <w:r>
        <w:rPr>
          <w:b/>
          <w:bCs/>
        </w:rPr>
        <w:t>Vor Ort: Sehtest und falls nötig Wissens- und Fahrprüfung. Für die Fahrprüfung brauchst du ein versichertes Auto und eine Begleitperson mit Führerschein.</w:t>
      </w:r>
    </w:p>
    <w:p w14:paraId="799336CB" w14:textId="77777777" w:rsidR="001F7233" w:rsidRDefault="00000000">
      <w:pPr>
        <w:pStyle w:val="ListParagraph"/>
        <w:numPr>
          <w:ilvl w:val="0"/>
          <w:numId w:val="2"/>
        </w:numPr>
        <w:spacing w:after="60"/>
      </w:pPr>
      <w:r>
        <w:rPr>
          <w:b/>
          <w:bCs/>
        </w:rPr>
        <w:t>Ergebnis:</w:t>
      </w:r>
      <w:r>
        <w:t xml:space="preserve"> Die Lizenz von Nichtbürgern ist meist auf die Dauer des Aufenthalts befristet (</w:t>
      </w:r>
      <w:r>
        <w:rPr>
          <w:i/>
          <w:iCs/>
        </w:rPr>
        <w:t>Limited Term</w:t>
      </w:r>
      <w:r>
        <w:t>), etwa bis zum Ende deines H-1B-Zeitraums.</w:t>
      </w:r>
    </w:p>
    <w:p w14:paraId="1FAA0ADA" w14:textId="77777777" w:rsidR="001F7233" w:rsidRDefault="001F7233">
      <w:pPr>
        <w:spacing w:line="120" w:lineRule="exact"/>
      </w:pPr>
    </w:p>
    <w:p w14:paraId="596EFF79" w14:textId="77777777" w:rsidR="001F7233" w:rsidRDefault="00000000">
      <w:pPr>
        <w:spacing w:after="140"/>
      </w:pPr>
      <w:r>
        <w:rPr>
          <w:i/>
          <w:iCs/>
        </w:rPr>
        <w:t>Einige Staaten verlangen bei vorübergehendem Aufenthalt auch eine Konsularische Führerscheinbescheinigung der deutschen Vertretung. Ob deiner es tut, sagt das DMV. Das Generalkonsulat Chicago braucht dafür Auskünfte des Kraftfahrt-Bundesamts (KBA) aus dem Fahreignungsregister (FAER) und dem Zentralen Fahrerlaubnisregister (ZFER), höchstens vier Wochen alt, dazu Reisepass, Visum, Adressnachweis, SSN und 34,07 € (zahlbar in US-Dollar, Stand Juni 2025). Green-Card-Inhaber gehen direkt zum DMV. Frage außerdem, ob das DMV deine deutsche Karte behält, und mache vorher Kopien.</w:t>
      </w:r>
    </w:p>
    <w:p w14:paraId="124B9A3B" w14:textId="77777777" w:rsidR="001F7233" w:rsidRDefault="001F7233">
      <w:pPr>
        <w:spacing w:line="220" w:lineRule="exact"/>
      </w:pPr>
    </w:p>
    <w:p w14:paraId="796871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REAL ID und Inlandsflüge</w:t>
      </w:r>
    </w:p>
    <w:p w14:paraId="36DD9BB7" w14:textId="77777777" w:rsidR="001F7233" w:rsidRDefault="00000000">
      <w:pPr>
        <w:spacing w:after="140"/>
      </w:pPr>
      <w:r>
        <w:rPr>
          <w:i/>
          <w:iCs/>
        </w:rPr>
        <w:t>REAL ID</w:t>
      </w:r>
      <w:r>
        <w:t xml:space="preserve"> ist ein bundesweiter Sicherheitsstandard für Führerscheine, meist an einem Stern auf der Karte erkennbar. Seit dem 7. Mai 2025 verlangt die Flughafensicherheit TSA für Inlandsflüge eine REAL-ID-konforme Karte oder einen anderen akzeptierten Ausweis. Dein gültiger Reisepass genügt, ebenso die Green Card; ein deutscher Führerschein reicht nicht. Ohne akzeptierten Ausweis kostet das Ersatzverfahren </w:t>
      </w:r>
      <w:r>
        <w:rPr>
          <w:i/>
          <w:iCs/>
        </w:rPr>
        <w:t>TSA ConfirmID</w:t>
      </w:r>
      <w:r>
        <w:t xml:space="preserve"> seit 1. Februar 2026 45 $ und Zeit. Frage beim DMV-Termin nach einer REAL-ID-konformen Karte.</w:t>
      </w:r>
    </w:p>
    <w:p w14:paraId="6EAB99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Preis, Steuer und Gebühren</w:t>
      </w:r>
    </w:p>
    <w:p w14:paraId="4821B5BC" w14:textId="77777777" w:rsidR="001F7233" w:rsidRDefault="00000000">
      <w:pPr>
        <w:spacing w:after="140"/>
      </w:pPr>
      <w:r>
        <w:t>Ein Neuwagen kostete im August 2026 im Schnitt 50.089 $ (Kelley Blue Book, erstmals über 50.000 $): ein Kompaktwagen (</w:t>
      </w:r>
      <w:r>
        <w:rPr>
          <w:i/>
          <w:iCs/>
        </w:rPr>
        <w:t>Compact Car</w:t>
      </w:r>
      <w:r>
        <w:t>) 27.997 $, ein kompakter SUV 37.722 $, ein großer Pickup 67.446 $. Gebrauchtwagen stehen im Schnitt für rund 27.000 $ im Inserat. Der ausgeschriebene Preis ist selten der Endpreis.</w:t>
      </w:r>
    </w:p>
    <w:p w14:paraId="5045D6B8" w14:textId="77777777" w:rsidR="001F7233" w:rsidRDefault="00000000">
      <w:r>
        <w:t>Rostprüfung: In schneereichen US-Staaten können Streusalz und Auftaumittel den Unterboden angreifen; ein Auto aus Arizona oder Florida hat eine andere Wintergeschichte als eines aus dem Nordosten oder Mittleren Westen. Vor dem Kauf Unterboden, Schweller, Bremsleitungen und Fahrwerk auf Rost und frische Abdeckung prüfen lassen. Arizona DOT bestätigt, dass Auftausalze korrosiv auf Fahrzeuge wirken: https://azdot.gov/adot-blog/ask-adot-what-are-those-weird-white-lines-road.</w:t>
      </w:r>
    </w:p>
    <w:p w14:paraId="224B407D" w14:textId="77777777" w:rsidR="001F7233" w:rsidRDefault="00000000">
      <w:r>
        <w:rPr>
          <w:b/>
        </w:rPr>
        <w:t>Sales Tax</w:t>
      </w:r>
    </w:p>
    <w:p w14:paraId="3BF5C79D" w14:textId="77777777" w:rsidR="001F7233" w:rsidRDefault="00000000">
      <w:r>
        <w:rPr>
          <w:b/>
        </w:rPr>
        <w:t xml:space="preserve">Was dahintersteckt: </w:t>
      </w:r>
      <w:r>
        <w:t>Verkaufssteuer des Staates plus lokale Zuschläge</w:t>
      </w:r>
    </w:p>
    <w:p w14:paraId="5EF7A175" w14:textId="77777777" w:rsidR="001F7233" w:rsidRDefault="00000000">
      <w:r>
        <w:rPr>
          <w:b/>
        </w:rPr>
        <w:t xml:space="preserve">Größenordnung: </w:t>
      </w:r>
      <w:r>
        <w:t>0 % bis ca. 10 %; keine allgemeine Sales Tax in Oregon, Montana, New Hampshire</w:t>
      </w:r>
    </w:p>
    <w:p w14:paraId="5CF9F406" w14:textId="77777777" w:rsidR="001F7233" w:rsidRDefault="00000000">
      <w:r>
        <w:rPr>
          <w:b/>
        </w:rPr>
        <w:t>Doc Fee</w:t>
      </w:r>
    </w:p>
    <w:p w14:paraId="7C1360F1" w14:textId="77777777" w:rsidR="001F7233" w:rsidRDefault="00000000">
      <w:r>
        <w:rPr>
          <w:b/>
        </w:rPr>
        <w:t xml:space="preserve">Was dahintersteckt: </w:t>
      </w:r>
      <w:r>
        <w:t>Bearbeitungsgebühr des Händlers</w:t>
      </w:r>
    </w:p>
    <w:p w14:paraId="0E7B0ACB" w14:textId="77777777" w:rsidR="001F7233" w:rsidRDefault="00000000">
      <w:r>
        <w:rPr>
          <w:b/>
        </w:rPr>
        <w:lastRenderedPageBreak/>
        <w:t xml:space="preserve">Größenordnung: </w:t>
      </w:r>
      <w:r>
        <w:t>22 Staaten mit Deckel (Kalifornien 85 $, New York 175 $, Texas 225 $ als Richtwert, Illinois 377,63 $), sonst oft 500–999 $</w:t>
      </w:r>
    </w:p>
    <w:p w14:paraId="2159D05C" w14:textId="77777777" w:rsidR="001F7233" w:rsidRDefault="00000000">
      <w:r>
        <w:rPr>
          <w:b/>
        </w:rPr>
        <w:t>Zulassung</w:t>
      </w:r>
    </w:p>
    <w:p w14:paraId="0D9B1F42" w14:textId="77777777" w:rsidR="001F7233" w:rsidRDefault="00000000">
      <w:r>
        <w:rPr>
          <w:b/>
        </w:rPr>
        <w:t xml:space="preserve">Was dahintersteckt: </w:t>
      </w:r>
      <w:r>
        <w:t>Title, Registration, Kennzeichen</w:t>
      </w:r>
    </w:p>
    <w:p w14:paraId="130AE58B" w14:textId="77777777" w:rsidR="001F7233" w:rsidRDefault="00000000">
      <w:r>
        <w:rPr>
          <w:b/>
        </w:rPr>
        <w:t xml:space="preserve">Größenordnung: </w:t>
      </w:r>
      <w:r>
        <w:t>je Staat verschieden</w:t>
      </w:r>
    </w:p>
    <w:p w14:paraId="2414D2AD" w14:textId="77777777" w:rsidR="001F7233" w:rsidRDefault="00000000">
      <w:r>
        <w:rPr>
          <w:b/>
        </w:rPr>
        <w:t>Zusatzprodukte</w:t>
      </w:r>
    </w:p>
    <w:p w14:paraId="4DE2EDC5" w14:textId="77777777" w:rsidR="001F7233" w:rsidRDefault="00000000">
      <w:r>
        <w:rPr>
          <w:b/>
        </w:rPr>
        <w:t xml:space="preserve">Was dahintersteckt: </w:t>
      </w:r>
      <w:r>
        <w:t>Garantieverlängerung, Schutzpakete</w:t>
      </w:r>
    </w:p>
    <w:p w14:paraId="15C87DE1" w14:textId="77777777" w:rsidR="001F7233" w:rsidRDefault="00000000">
      <w:r>
        <w:rPr>
          <w:b/>
        </w:rPr>
        <w:t xml:space="preserve">Größenordnung: </w:t>
      </w:r>
      <w:r>
        <w:t>meist verzichtbar</w:t>
      </w:r>
    </w:p>
    <w:p w14:paraId="4791D603" w14:textId="77777777" w:rsidR="001F7233" w:rsidRDefault="001F7233">
      <w:pPr>
        <w:spacing w:line="180" w:lineRule="exact"/>
      </w:pPr>
    </w:p>
    <w:p w14:paraId="40CC108C" w14:textId="77777777" w:rsidR="001F7233" w:rsidRDefault="00000000">
      <w:pPr>
        <w:spacing w:after="140"/>
      </w:pPr>
      <w:r>
        <w:rPr>
          <w:i/>
          <w:iCs/>
        </w:rPr>
        <w:t>Ein kompakter SUV für 37.722 $ kostet mit 7 % Sales Tax und 400 $ Doc Fee rund 40.800 $, bevor die Zulassung dazukommt (eigene Rechnung). Verhandle deshalb den Out-the-Door-Preis, den Endpreis mit allen Steuern und Gebühren, und lass ihn schriftlich bestätigen. Bei Gebrauchten prüfst du außerdem die Fahrzeughistorie (z. B. Carfax) auf Vorschäden. Lass das Auto vor dem Kauf von einer unabhängigen Werkstatt ansehen.</w:t>
      </w:r>
    </w:p>
    <w:p w14:paraId="6FA3B46E" w14:textId="77777777" w:rsidR="001F7233" w:rsidRDefault="00000000">
      <w:pPr>
        <w:spacing w:after="140"/>
      </w:pPr>
      <w:r>
        <w:t>Rückgabe, Lemon Law und Reparatur: Ein allgemeines bundesweites Drei-Tage-Rückgaberecht für den Autokauf gibt es nicht. Die Lemon Laws der Bundesstaaten unterscheiden sich nach Fahrzeug, Alter, Frist und Zahl erfolgloser Reparaturversuche. Viele schützen vor allem Neuwagen unter Garantie. Prüfe vor dem Kauf die Regeln des Zielstaats, den Buyers Guide und jede schriftliche Garantie. Bei Werkstattarbeiten verlangst du eine schriftliche Diagnose und Kostenschätzung und gibst Mehrarbeit erst nach deiner Freigabe frei; bewahre Auftrag und Rechnung auf. Sicherheitsrückrufe kannst du mit VIN oder Kennzeichen bei NHTSA prüfen. Quellen: FTC, Buying a Used Car From a Dealer und Auto Repair Basics (consumer.ftc.gov). NHTSA Recalls (nhtsa.gov/recalls); Lemon Law bei der Verbraucherbehörde des jeweiligen Bundesstaats.</w:t>
      </w:r>
    </w:p>
    <w:p w14:paraId="764DDD8A" w14:textId="77777777" w:rsidR="001F7233" w:rsidRDefault="00000000">
      <w:r>
        <w:rPr>
          <w:b/>
        </w:rPr>
        <w:t xml:space="preserve">ACHTUNG: </w:t>
      </w:r>
    </w:p>
    <w:p w14:paraId="2438E175" w14:textId="77777777" w:rsidR="001F7233" w:rsidRDefault="00000000">
      <w:r>
        <w:t xml:space="preserve">• Händler fragen gern zuerst: „Welche Monatsrate darf es sein?“ Damit lassen sich Preis, Laufzeit und Zins verstecken. Nenne keine </w:t>
      </w:r>
      <w:r>
        <w:lastRenderedPageBreak/>
        <w:t>Wunschrate, sondern verhandle zuerst den Out-the-Door-Preis und danach getrennt die Finanzierung.</w:t>
      </w:r>
    </w:p>
    <w:p w14:paraId="352E15C1" w14:textId="77777777" w:rsidR="001F7233" w:rsidRDefault="001F7233">
      <w:pPr>
        <w:spacing w:line="220" w:lineRule="exact"/>
      </w:pPr>
    </w:p>
    <w:p w14:paraId="44055532" w14:textId="77777777" w:rsidR="001F7233" w:rsidRDefault="00000000">
      <w:r>
        <w:rPr>
          <w:b/>
        </w:rPr>
        <w:t xml:space="preserve">MERKE: </w:t>
      </w:r>
    </w:p>
    <w:p w14:paraId="1BA22EF7" w14:textId="77777777" w:rsidR="001F7233" w:rsidRDefault="00000000">
      <w:r>
        <w:t>• Erst SSN und Führerschein, dann Versicherung, dann Kauf, dann Zulassung. Händler und Kreditgeber verlangen vor der Übergabe fast immer einen Versicherungsnachweis, die Zulassung braucht ihn ebenfalls.</w:t>
      </w:r>
    </w:p>
    <w:p w14:paraId="37F07E5E" w14:textId="77777777" w:rsidR="001F7233" w:rsidRDefault="001F7233">
      <w:pPr>
        <w:spacing w:line="220" w:lineRule="exact"/>
      </w:pPr>
    </w:p>
    <w:p w14:paraId="202C9E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ohne Kredithistorie und Leasing</w:t>
      </w:r>
    </w:p>
    <w:p w14:paraId="6AC22572" w14:textId="77777777" w:rsidR="001F7233" w:rsidRDefault="00000000">
      <w:pPr>
        <w:spacing w:after="140"/>
      </w:pPr>
      <w:r>
        <w:t>Als Neuankömmling hast du keine Kreditwürdigkeit im US-Sinn (</w:t>
      </w:r>
      <w:r>
        <w:rPr>
          <w:i/>
          <w:iCs/>
        </w:rPr>
        <w:t>Credit Score</w:t>
      </w:r>
      <w:r>
        <w:t>; wie du sie aufbaust, steht in Kapitel </w:t>
      </w:r>
      <w:hyperlink w:anchor="k25">
        <w:r w:rsidR="001F7233">
          <w:t>25</w:t>
        </w:r>
      </w:hyperlink>
      <w:r>
        <w:t>). Kreditgeber stufen dich deshalb oft niedrig ein; die Zinsen zeigen, was das kostet. Nach Experian (erstes Quartal 2026) lag der Durchschnittszins für Neuwagen bei 6,39 %:</w:t>
      </w:r>
    </w:p>
    <w:p w14:paraId="35238412" w14:textId="77777777" w:rsidR="001F7233" w:rsidRDefault="00000000">
      <w:r>
        <w:rPr>
          <w:b/>
        </w:rPr>
        <w:t>Superprime</w:t>
      </w:r>
    </w:p>
    <w:p w14:paraId="2E8E7178" w14:textId="77777777" w:rsidR="001F7233" w:rsidRDefault="00000000">
      <w:r>
        <w:rPr>
          <w:b/>
        </w:rPr>
        <w:t xml:space="preserve">Zins Neuwagen: </w:t>
      </w:r>
      <w:r>
        <w:t>4,55 %</w:t>
      </w:r>
    </w:p>
    <w:p w14:paraId="29A3D4A6" w14:textId="77777777" w:rsidR="001F7233" w:rsidRDefault="00000000">
      <w:r>
        <w:rPr>
          <w:b/>
        </w:rPr>
        <w:t>Prime</w:t>
      </w:r>
    </w:p>
    <w:p w14:paraId="0D21A5CC" w14:textId="77777777" w:rsidR="001F7233" w:rsidRDefault="00000000">
      <w:r>
        <w:rPr>
          <w:b/>
        </w:rPr>
        <w:t xml:space="preserve">Zins Neuwagen: </w:t>
      </w:r>
      <w:r>
        <w:t>6,23 %</w:t>
      </w:r>
    </w:p>
    <w:p w14:paraId="5EE22D25" w14:textId="77777777" w:rsidR="001F7233" w:rsidRDefault="00000000">
      <w:r>
        <w:rPr>
          <w:b/>
        </w:rPr>
        <w:t>Near-Prime</w:t>
      </w:r>
    </w:p>
    <w:p w14:paraId="25EABA76" w14:textId="77777777" w:rsidR="001F7233" w:rsidRDefault="00000000">
      <w:r>
        <w:rPr>
          <w:b/>
        </w:rPr>
        <w:t xml:space="preserve">Zins Neuwagen: </w:t>
      </w:r>
      <w:r>
        <w:t>9,67 %</w:t>
      </w:r>
    </w:p>
    <w:p w14:paraId="3900086D" w14:textId="77777777" w:rsidR="001F7233" w:rsidRDefault="00000000">
      <w:r>
        <w:rPr>
          <w:b/>
        </w:rPr>
        <w:t>Subprime</w:t>
      </w:r>
    </w:p>
    <w:p w14:paraId="515002FB" w14:textId="77777777" w:rsidR="001F7233" w:rsidRDefault="00000000">
      <w:r>
        <w:rPr>
          <w:b/>
        </w:rPr>
        <w:t xml:space="preserve">Zins Neuwagen: </w:t>
      </w:r>
      <w:r>
        <w:t>13,44 %</w:t>
      </w:r>
    </w:p>
    <w:p w14:paraId="058F38AB" w14:textId="77777777" w:rsidR="001F7233" w:rsidRDefault="00000000">
      <w:r>
        <w:rPr>
          <w:b/>
        </w:rPr>
        <w:t>Deep Subprime</w:t>
      </w:r>
    </w:p>
    <w:p w14:paraId="627DB7A9" w14:textId="77777777" w:rsidR="001F7233" w:rsidRDefault="00000000">
      <w:r>
        <w:rPr>
          <w:b/>
        </w:rPr>
        <w:t xml:space="preserve">Zins Neuwagen: </w:t>
      </w:r>
      <w:r>
        <w:t>16,01 %</w:t>
      </w:r>
    </w:p>
    <w:p w14:paraId="0BFBA970" w14:textId="77777777" w:rsidR="001F7233" w:rsidRDefault="001F7233">
      <w:pPr>
        <w:spacing w:line="180" w:lineRule="exact"/>
      </w:pPr>
    </w:p>
    <w:p w14:paraId="509FD566" w14:textId="77777777" w:rsidR="001F7233" w:rsidRDefault="00000000">
      <w:pPr>
        <w:spacing w:after="140"/>
      </w:pPr>
      <w:r>
        <w:t>Gebrauchtwagen lagen im Schnitt bei 11,43 %, in einer Spanne von 6,30 % bis 21,77 %. Bei 35.000 $ Kredit über 60 Monate ohne Anzahlung zahlst du bei 4,55 % rund 653 $ im Monat, bei 13,44 % rund 804 $. Über die Laufzeit sind das gut 9.000 $ mehr Zinsen (eigene Rechnung). Diese Ausgangslage lässt sich verbessern:</w:t>
      </w:r>
    </w:p>
    <w:p w14:paraId="1ECA8E3C" w14:textId="77777777" w:rsidR="001F7233" w:rsidRDefault="00000000">
      <w:pPr>
        <w:pStyle w:val="ListParagraph"/>
        <w:numPr>
          <w:ilvl w:val="0"/>
          <w:numId w:val="1"/>
        </w:numPr>
        <w:spacing w:after="60"/>
      </w:pPr>
      <w:r>
        <w:rPr>
          <w:b/>
          <w:bCs/>
        </w:rPr>
        <w:lastRenderedPageBreak/>
        <w:t>Anzahlung:</w:t>
      </w:r>
      <w:r>
        <w:t xml:space="preserve"> 10–20 % senken Rate und Zins. Wer bar zahlen kann, umgeht das Problem.</w:t>
      </w:r>
    </w:p>
    <w:p w14:paraId="5BBF6804" w14:textId="77777777" w:rsidR="001F7233" w:rsidRDefault="00000000">
      <w:pPr>
        <w:pStyle w:val="ListParagraph"/>
        <w:numPr>
          <w:ilvl w:val="0"/>
          <w:numId w:val="1"/>
        </w:numPr>
        <w:spacing w:after="60"/>
      </w:pPr>
      <w:r>
        <w:rPr>
          <w:b/>
          <w:bCs/>
        </w:rPr>
        <w:t>Kreditunion oder Bank mit Vorbeziehung:</w:t>
      </w:r>
      <w:r>
        <w:t xml:space="preserve"> Bei der Bank, auf die dein Gehalt geht, holst du dir vor dem Händlerbesuch eine Vorabgenehmigung (</w:t>
      </w:r>
      <w:r>
        <w:rPr>
          <w:i/>
          <w:iCs/>
        </w:rPr>
        <w:t>Pre-Approval</w:t>
      </w:r>
      <w:r>
        <w:t>).</w:t>
      </w:r>
    </w:p>
    <w:p w14:paraId="59064196" w14:textId="77777777" w:rsidR="001F7233" w:rsidRDefault="00000000">
      <w:pPr>
        <w:pStyle w:val="ListParagraph"/>
        <w:numPr>
          <w:ilvl w:val="0"/>
          <w:numId w:val="1"/>
        </w:numPr>
        <w:spacing w:after="60"/>
      </w:pPr>
      <w:r>
        <w:rPr>
          <w:b/>
          <w:bCs/>
        </w:rPr>
        <w:t>Bürge (</w:t>
      </w:r>
      <w:r>
        <w:rPr>
          <w:b/>
          <w:bCs/>
          <w:i/>
          <w:iCs/>
        </w:rPr>
        <w:t>Co-Signer</w:t>
      </w:r>
      <w:r>
        <w:rPr>
          <w:b/>
          <w:bCs/>
        </w:rPr>
        <w:t>):</w:t>
      </w:r>
      <w:r>
        <w:t xml:space="preserve"> Eine Person mit US-Bonität haftet mit.</w:t>
      </w:r>
    </w:p>
    <w:p w14:paraId="600EF30E" w14:textId="77777777" w:rsidR="001F7233" w:rsidRDefault="00000000">
      <w:pPr>
        <w:pStyle w:val="ListParagraph"/>
        <w:numPr>
          <w:ilvl w:val="0"/>
          <w:numId w:val="1"/>
        </w:numPr>
        <w:spacing w:after="60"/>
      </w:pPr>
      <w:r>
        <w:rPr>
          <w:b/>
          <w:bCs/>
        </w:rPr>
        <w:t>Spezialanbieter:</w:t>
      </w:r>
      <w:r>
        <w:t xml:space="preserve"> Manche prüfen Einkommen und Kontoverlauf statt des Scores; vergleiche die Zinsen genau.</w:t>
      </w:r>
    </w:p>
    <w:p w14:paraId="388F3894" w14:textId="77777777" w:rsidR="001F7233" w:rsidRDefault="001F7233">
      <w:pPr>
        <w:spacing w:line="120" w:lineRule="exact"/>
      </w:pPr>
    </w:p>
    <w:p w14:paraId="697A4D18" w14:textId="77777777" w:rsidR="001F7233" w:rsidRDefault="00000000">
      <w:pPr>
        <w:spacing w:after="140"/>
      </w:pPr>
      <w:r>
        <w:t>Verlangt werden meist Reisepass mit Visum, SSN oder ITIN, Adressnachweis, drei Monate Kontoauszüge, zwei bis drei Gehaltsabrechnungen und ein US-Bankkonto. Beim Leasing zahlst du den Wertverlust auf Zeit plus Zinsen, auch dafür brauchst du Bonität. Das Visum sollte die ganze Laufzeit abdecken, eine vorzeitige Beendigung ist teuer und die Jahresmeilen sind begrenzt (oft 10.000–15.000 Meilen, ca. 16.000–24.000 km).</w:t>
      </w:r>
    </w:p>
    <w:p w14:paraId="13EC8EED" w14:textId="77777777" w:rsidR="001F7233" w:rsidRDefault="001F7233">
      <w:pPr>
        <w:spacing w:line="220" w:lineRule="exact"/>
      </w:pPr>
    </w:p>
    <w:p w14:paraId="7533E1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Autoversicherung: Preis, Kredit und die SF-Klasse</w:t>
      </w:r>
    </w:p>
    <w:p w14:paraId="6261CF8B" w14:textId="77777777" w:rsidR="001F7233" w:rsidRDefault="00000000">
      <w:pPr>
        <w:spacing w:after="140"/>
      </w:pPr>
      <w:r>
        <w:rPr>
          <w:i/>
          <w:iCs/>
        </w:rPr>
        <w:t>In fast allen Staaten ist die Haftpflicht (Liability) Pflicht und ohne Versicherungsnachweis gibt es keine Zulassung. Der Vollschutz (Full Coverage) besteht aus Haftpflicht, Collision (Schäden am eigenen Auto nach einem Unfall) und Comprehensive (Diebstahl, Hagel, Wildschaden), entspricht also Haftpflicht plus Voll- und Teilkasko. Dazu wählst du meist die UM/UIM-Deckung (Uninsured/Underinsured Motorist), die greift, wenn der Unfallgegner nicht oder zu niedrig versichert ist. Die Mindesthaftpflicht ist je Staat verschieden und oft niedrig.</w:t>
      </w:r>
    </w:p>
    <w:p w14:paraId="5D63ED2C" w14:textId="77777777" w:rsidR="001F7233" w:rsidRDefault="00000000">
      <w:pPr>
        <w:spacing w:after="140"/>
      </w:pPr>
      <w:r>
        <w:t xml:space="preserve">Full Coverage kostete 2026 im Schnitt 2.241 $ (Insurify), 2.575 $ (MoneyGeek) oder 2.922 $ (Experian) im Jahr, 11,3 % mehr als im Vorjahr. Wohnort, Fahrzeug und Fahrerhistorie wirken auf den </w:t>
      </w:r>
      <w:r>
        <w:lastRenderedPageBreak/>
        <w:t>Preis, in den meisten Staaten auch der Credit Score. Schlechte Bonität kann die Prämie laut Bankrate um bis zu 105 % erhöhen. Einige Staaten verbieten das, u. a. Kalifornien, Hawaii und Massachusetts.</w:t>
      </w:r>
    </w:p>
    <w:p w14:paraId="5D8E9D7B" w14:textId="77777777" w:rsidR="001F7233" w:rsidRDefault="00000000">
      <w:pPr>
        <w:spacing w:after="140"/>
      </w:pPr>
      <w:r>
        <w:t>Die deutsche Schadenfreiheitsklasse (SF-Klasse) zählt meist nicht: US-Versicherer sehen dich als neuen Fahrer ohne US-Historie und das DMV kann keine deutschen Akten abfragen. Einzelne Anbieter beachten Vorversicherungen aus dem Ausland, nach eigenen Angaben etwa State Farm. Lass dir deshalb vom deutschen Versicherer eine englische Bescheinigung über deine schadenfreien Jahre ausstellen (Kündigung und Abmeldung in Deutschland: Deutschland vor dem Abflug) und frage jeden Anbieter danach.</w:t>
      </w:r>
    </w:p>
    <w:p w14:paraId="433C521F" w14:textId="77777777" w:rsidR="001F7233" w:rsidRDefault="00000000">
      <w:r>
        <w:rPr>
          <w:b/>
        </w:rPr>
        <w:t xml:space="preserve">SPARTIPP: </w:t>
      </w:r>
    </w:p>
    <w:p w14:paraId="7C275250" w14:textId="77777777" w:rsidR="001F7233" w:rsidRDefault="00000000">
      <w:r>
        <w:t xml:space="preserve">• Hole mindestens drei Angebote mit identischer Deckung ein, frage nach einem höheren Selbstbehalt (Deductible) und nach Rabatt für ein Paket mit der Mieterversicherung. Mehr zu Versicherungen im Alltag: </w:t>
      </w:r>
      <w:hyperlink w:anchor="k25">
        <w:r w:rsidR="001F7233">
          <w:rPr>
            <w:color w:val="0563C1"/>
            <w:u w:val="single"/>
          </w:rPr>
          <w:t>Kapitel 25</w:t>
        </w:r>
      </w:hyperlink>
      <w:r>
        <w:t>.</w:t>
      </w:r>
    </w:p>
    <w:p w14:paraId="0B8DCC37" w14:textId="77777777" w:rsidR="001F7233" w:rsidRDefault="001F7233">
      <w:pPr>
        <w:spacing w:line="220" w:lineRule="exact"/>
      </w:pPr>
    </w:p>
    <w:p w14:paraId="59E004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Zulassung: Title, Registration, Kennzeichen</w:t>
      </w:r>
    </w:p>
    <w:p w14:paraId="022961EC" w14:textId="77777777" w:rsidR="001F7233" w:rsidRDefault="00000000">
      <w:pPr>
        <w:spacing w:after="140"/>
      </w:pPr>
      <w:r>
        <w:rPr>
          <w:i/>
          <w:iCs/>
        </w:rPr>
        <w:t>Kaufst du beim Händler, erledigt er die Zulassung meist gegen Gebühr. Beim Privatkauf gehst du selbst zum DMV. Der Title ist die Eigentumsurkunde, die Registration die Zulassung mit Kennzeichen (License Plate). Bei einem finanzierten Auto hält der Kreditgeber den Title. Die Frist beträgt je nach Staat 10–30 Tage nach Kauf oder Zuzug. Die Gebühren sind je Staat verschieden, teils abhängig vom Fahrzeugwert. Eine Hauptuntersuchung wie den deutschen TÜV gibt es bundesweit nicht. Je nach Staat und Landkreis sind Sicherheits- oder Abgasprüfungen fällig.</w:t>
      </w:r>
    </w:p>
    <w:p w14:paraId="089E573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Verkehrsregeln, die Deutsche überraschen</w:t>
      </w:r>
    </w:p>
    <w:p w14:paraId="3D842FC6" w14:textId="77777777" w:rsidR="001F7233" w:rsidRDefault="00000000">
      <w:r>
        <w:rPr>
          <w:b/>
        </w:rPr>
        <w:t>Rechtsabbiegen bei Rot</w:t>
      </w:r>
    </w:p>
    <w:p w14:paraId="13298D26" w14:textId="77777777" w:rsidR="001F7233" w:rsidRDefault="00000000">
      <w:r>
        <w:rPr>
          <w:b/>
        </w:rPr>
        <w:t>USA: Nach vollem Halt erlaubt, außer bei „No Turn on Red“. In New York City verboten, sofern nicht beschildert.</w:t>
      </w:r>
    </w:p>
    <w:p w14:paraId="3C18A746" w14:textId="77777777" w:rsidR="001F7233" w:rsidRDefault="00000000">
      <w:r>
        <w:rPr>
          <w:b/>
        </w:rPr>
        <w:t xml:space="preserve">Deutschland: </w:t>
      </w:r>
      <w:r>
        <w:t>Nur mit Grünpfeil-Schild</w:t>
      </w:r>
    </w:p>
    <w:p w14:paraId="18D5F250" w14:textId="77777777" w:rsidR="001F7233" w:rsidRDefault="00000000">
      <w:r>
        <w:rPr>
          <w:b/>
        </w:rPr>
        <w:t>Kreuzung mit vier Stoppschildern</w:t>
      </w:r>
    </w:p>
    <w:p w14:paraId="62BD9E48" w14:textId="77777777" w:rsidR="001F7233" w:rsidRDefault="00000000">
      <w:r>
        <w:rPr>
          <w:b/>
        </w:rPr>
        <w:t xml:space="preserve">USA: </w:t>
      </w:r>
      <w:r>
        <w:t>Wer zuerst hält, fährt zuerst; bei gleichzeitigem Halt hat rechts Vorfahrt</w:t>
      </w:r>
    </w:p>
    <w:p w14:paraId="1F6E2B57" w14:textId="77777777" w:rsidR="001F7233" w:rsidRDefault="00000000">
      <w:r>
        <w:rPr>
          <w:b/>
        </w:rPr>
        <w:t xml:space="preserve">Deutschland: </w:t>
      </w:r>
      <w:r>
        <w:t>Rechts vor links oder Vorfahrtsschilder</w:t>
      </w:r>
    </w:p>
    <w:p w14:paraId="608173C2" w14:textId="77777777" w:rsidR="001F7233" w:rsidRDefault="00000000">
      <w:r>
        <w:rPr>
          <w:b/>
        </w:rPr>
        <w:t>Schulbus mit roten Blinklichtern</w:t>
      </w:r>
    </w:p>
    <w:p w14:paraId="6142BA6F" w14:textId="77777777" w:rsidR="001F7233" w:rsidRDefault="00000000">
      <w:r>
        <w:rPr>
          <w:b/>
        </w:rPr>
        <w:t xml:space="preserve">USA: </w:t>
      </w:r>
      <w:r>
        <w:t>Halt in beide Richtungen; bei getrennten Fahrbahnen je Staat nur der Folgeverkehr</w:t>
      </w:r>
    </w:p>
    <w:p w14:paraId="57F70FCF" w14:textId="77777777" w:rsidR="001F7233" w:rsidRDefault="00000000">
      <w:r>
        <w:rPr>
          <w:b/>
        </w:rPr>
        <w:t xml:space="preserve">Deutschland: </w:t>
      </w:r>
      <w:r>
        <w:t>Kein direktes Gegenstück</w:t>
      </w:r>
    </w:p>
    <w:p w14:paraId="3C267016" w14:textId="77777777" w:rsidR="001F7233" w:rsidRDefault="00000000">
      <w:r>
        <w:rPr>
          <w:b/>
        </w:rPr>
        <w:t>Einsatzfahrzeug am Seitenstreifen (Move Over)</w:t>
      </w:r>
    </w:p>
    <w:p w14:paraId="29A6C772" w14:textId="77777777" w:rsidR="001F7233" w:rsidRDefault="00000000">
      <w:r>
        <w:rPr>
          <w:b/>
        </w:rPr>
        <w:t xml:space="preserve">USA: </w:t>
      </w:r>
      <w:r>
        <w:t>Spur wechseln oder Tempo stark senken; in allen Staaten Pflicht</w:t>
      </w:r>
    </w:p>
    <w:p w14:paraId="7E3E36E1" w14:textId="77777777" w:rsidR="001F7233" w:rsidRDefault="00000000">
      <w:r>
        <w:rPr>
          <w:b/>
        </w:rPr>
        <w:t xml:space="preserve">Deutschland: </w:t>
      </w:r>
      <w:r>
        <w:t>Rettungsgasse im Stau</w:t>
      </w:r>
    </w:p>
    <w:p w14:paraId="33CC471B" w14:textId="77777777" w:rsidR="001F7233" w:rsidRDefault="00000000">
      <w:r>
        <w:rPr>
          <w:b/>
        </w:rPr>
        <w:t>Tempo</w:t>
      </w:r>
    </w:p>
    <w:p w14:paraId="3ED0A9E8" w14:textId="77777777" w:rsidR="001F7233" w:rsidRDefault="00000000">
      <w:r>
        <w:rPr>
          <w:b/>
        </w:rPr>
        <w:t xml:space="preserve">USA: </w:t>
      </w:r>
      <w:r>
        <w:t>Meilen pro Stunde; Highways meist 55–80 mph (ca. 89–129 km/h), teils bis 85 mph (ca. 137 km/h)</w:t>
      </w:r>
    </w:p>
    <w:p w14:paraId="6612ED9D" w14:textId="77777777" w:rsidR="001F7233" w:rsidRDefault="00000000">
      <w:r>
        <w:rPr>
          <w:b/>
        </w:rPr>
        <w:t xml:space="preserve">Deutschland: </w:t>
      </w:r>
      <w:r>
        <w:t>Autobahn ohne allgemeines Limit</w:t>
      </w:r>
    </w:p>
    <w:p w14:paraId="7F32930C" w14:textId="77777777" w:rsidR="001F7233" w:rsidRDefault="00000000">
      <w:r>
        <w:rPr>
          <w:b/>
        </w:rPr>
        <w:t>Alkohol</w:t>
      </w:r>
    </w:p>
    <w:p w14:paraId="52402C98" w14:textId="77777777" w:rsidR="001F7233" w:rsidRDefault="00000000">
      <w:r>
        <w:rPr>
          <w:b/>
        </w:rPr>
        <w:t xml:space="preserve">USA: </w:t>
      </w:r>
      <w:r>
        <w:t>0,08 % BAC = 0,8 Promille; unter 21 praktisch null</w:t>
      </w:r>
    </w:p>
    <w:p w14:paraId="02FB992A" w14:textId="77777777" w:rsidR="001F7233" w:rsidRDefault="00000000">
      <w:r>
        <w:rPr>
          <w:b/>
        </w:rPr>
        <w:t xml:space="preserve">Deutschland: </w:t>
      </w:r>
      <w:r>
        <w:t>0,5 Promille; in der Probezeit 0,0</w:t>
      </w:r>
    </w:p>
    <w:p w14:paraId="092FA0DA" w14:textId="77777777" w:rsidR="001F7233" w:rsidRDefault="00000000">
      <w:r>
        <w:rPr>
          <w:b/>
        </w:rPr>
        <w:t>Getriebe</w:t>
      </w:r>
    </w:p>
    <w:p w14:paraId="033A6E58" w14:textId="77777777" w:rsidR="001F7233" w:rsidRDefault="00000000">
      <w:r>
        <w:rPr>
          <w:b/>
        </w:rPr>
        <w:t xml:space="preserve">USA: </w:t>
      </w:r>
      <w:r>
        <w:t>Automatik ist der Standard</w:t>
      </w:r>
    </w:p>
    <w:p w14:paraId="73A7D157" w14:textId="77777777" w:rsidR="001F7233" w:rsidRDefault="00000000">
      <w:r>
        <w:rPr>
          <w:b/>
        </w:rPr>
        <w:t xml:space="preserve">Deutschland: </w:t>
      </w:r>
      <w:r>
        <w:t>Schaltwagen noch häufig</w:t>
      </w:r>
    </w:p>
    <w:p w14:paraId="0816EE13" w14:textId="77777777" w:rsidR="001F7233" w:rsidRDefault="001F7233">
      <w:pPr>
        <w:spacing w:line="180" w:lineRule="exact"/>
      </w:pPr>
    </w:p>
    <w:p w14:paraId="72B80EF7" w14:textId="77777777" w:rsidR="001F7233" w:rsidRDefault="00000000">
      <w:pPr>
        <w:spacing w:after="140"/>
      </w:pPr>
      <w:r>
        <w:t xml:space="preserve">Wer aus einem Land ohne generelles Tempolimit kommt, gewöhnt sich überraschend schnell an 65 mph – der eigentliche Kulturschock kommt eher andersherum, beim ersten Deutschlandbesuch danach. Auf mehrspurigen Straßen wird oft rechts überholt. Das Handy am </w:t>
      </w:r>
      <w:r>
        <w:lastRenderedPageBreak/>
        <w:t>Steuer regelt jeder Staat selbst, in vielen ist nur Freisprechen erlaubt. Bei einer Polizeikontrolle bleibst du im Auto und hältst die Hände sichtbar (mehr dazu in Kapitel </w:t>
      </w:r>
      <w:hyperlink w:anchor="k40">
        <w:r w:rsidR="001F7233">
          <w:t>40</w:t>
        </w:r>
      </w:hyperlink>
      <w:r>
        <w:t>). Kindersitze und Regeln für Jugendliche behandelt Kapitel </w:t>
      </w:r>
      <w:hyperlink w:anchor="k38">
        <w:r w:rsidR="001F7233">
          <w:t>38</w:t>
        </w:r>
      </w:hyperlink>
      <w:r>
        <w:t>.</w:t>
      </w:r>
    </w:p>
    <w:p w14:paraId="1A22FF30" w14:textId="77777777" w:rsidR="001F7233" w:rsidRDefault="00000000">
      <w:r>
        <w:rPr>
          <w:b/>
        </w:rPr>
        <w:t xml:space="preserve">ACHTUNG: </w:t>
      </w:r>
    </w:p>
    <w:p w14:paraId="4BA485D1" w14:textId="77777777" w:rsidR="001F7233" w:rsidRDefault="00000000">
      <w:r>
        <w:t>• Wer einen haltenden Schulbus mit roten Blinklichtern und ausgeklapptem Stoppschild passiert, riskiert hohe Strafen. Der Fehler passiert Deutschen leicht, weil es hier keine Entsprechung gibt.</w:t>
      </w:r>
    </w:p>
    <w:p w14:paraId="01AE714E" w14:textId="77777777" w:rsidR="001F7233" w:rsidRDefault="001F7233">
      <w:pPr>
        <w:spacing w:line="220" w:lineRule="exact"/>
      </w:pPr>
    </w:p>
    <w:p w14:paraId="1C3D70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Verstöße und DUI</w:t>
      </w:r>
    </w:p>
    <w:p w14:paraId="7C17ED7E" w14:textId="77777777" w:rsidR="001F7233" w:rsidRDefault="00000000">
      <w:pPr>
        <w:spacing w:after="140"/>
      </w:pPr>
      <w:r>
        <w:rPr>
          <w:i/>
          <w:iCs/>
        </w:rPr>
        <w:t>Verstöße kosten ein Bußgeld (Fine) und in den meisten Staaten Punkte im Führerscheinregister. Genug Punkte führen zum Entzug der Lizenz. Einen Strafzettel (Ticket) ignorierst du nicht: Unbezahlte Strafen können weitere Folgen bis zur Sperre haben. Danach steigt meist auch die Versicherungsprämie.</w:t>
      </w:r>
    </w:p>
    <w:p w14:paraId="3CFEF369" w14:textId="77777777" w:rsidR="001F7233" w:rsidRDefault="00000000">
      <w:pPr>
        <w:spacing w:after="140"/>
      </w:pPr>
      <w:r>
        <w:rPr>
          <w:i/>
          <w:iCs/>
        </w:rPr>
        <w:t>DUI (Driving Under the Influence, in manchen Staaten DWI) ist das Fahren unter Alkohol- oder Drogeneinfluss. Die Grenze liegt bei 0,08 % BAC (Blood Alcohol Concentration). Das sind 0,8 Promille, nicht 0,08 Promille, und damit über der deutschen Grenze von 0,5 Promille. Utah setzt sie auf 0,05 %. Bei Fahrern unter 21 gilt de facto null und offene Alkoholbehälter im Fahrgastraum sind verboten (im Kofferraum erlaubt). Gerichte und Behörden können auch unterhalb der Grenze eingreifen, wenn du beeinträchtigt wirkst.</w:t>
      </w:r>
    </w:p>
    <w:p w14:paraId="1BCCC7B5" w14:textId="77777777" w:rsidR="001F7233" w:rsidRDefault="00000000">
      <w:r>
        <w:rPr>
          <w:b/>
        </w:rPr>
        <w:t xml:space="preserve">ACHTUNG: </w:t>
      </w:r>
    </w:p>
    <w:p w14:paraId="1A1625F3" w14:textId="77777777" w:rsidR="001F7233" w:rsidRDefault="00000000">
      <w:r>
        <w:t xml:space="preserve">• Ein DUI kann für Nichtbürger zusätzlich Folgen für Visum und Green Card haben, etwa eine Überprüfung oder einen Widerruf. Die Wirkung hängt von Delikt, Ausgang und Status ab und wird in </w:t>
      </w:r>
      <w:hyperlink w:anchor="k40">
        <w:r w:rsidR="001F7233">
          <w:rPr>
            <w:color w:val="0563C1"/>
            <w:u w:val="single"/>
          </w:rPr>
          <w:t>Kapitel 40</w:t>
        </w:r>
      </w:hyperlink>
      <w:r>
        <w:t xml:space="preserve"> eingeordnet. Die sichere Regel: Trink nichts, wenn du fährst, und nimm ein Taxi oder einen Fahrdienst.</w:t>
      </w:r>
    </w:p>
    <w:p w14:paraId="5EBAA1C9" w14:textId="77777777" w:rsidR="001F7233" w:rsidRDefault="001F7233">
      <w:pPr>
        <w:spacing w:line="220" w:lineRule="exact"/>
      </w:pPr>
    </w:p>
    <w:p w14:paraId="38DD72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Tanken, Maut und Elektroautos</w:t>
      </w:r>
    </w:p>
    <w:p w14:paraId="228F2FA4" w14:textId="77777777" w:rsidR="001F7233" w:rsidRDefault="00000000">
      <w:pPr>
        <w:spacing w:after="140"/>
      </w:pPr>
      <w:r>
        <w:rPr>
          <w:i/>
          <w:iCs/>
        </w:rPr>
        <w:t>Nach der Energiebehörde EIA kostete eine Gallone (Gallon, ca. 3,8 Liter) Regular am 14. September 2026 im Schnitt 4,32 $, gut 1,14 $ pro Liter. Ein Jahr zuvor waren es 3,17 $. Die Preise unterscheiden sich stark: Golfküste 3,85 $, Ostküste 4,19 $, Westküste 5,47 $, Kalifornien 5,83 $. Der Automobilclub AAA meldete am 19. September im Schnitt 4,48 $. Du tankst meist selbst; manche Zapfsäulen verlangen die US-Postleitzahl der Karte (ZIP Code). Mit einer deutschen Karte scheitert das und du stehst ratlos vor dem Kartenleser, bis dir jemand am Nachbarzapfhahn zuruft, dass du drinnen an der Kasse vorab bezahlen musst.</w:t>
      </w:r>
    </w:p>
    <w:p w14:paraId="6A2360DF" w14:textId="77777777" w:rsidR="001F7233" w:rsidRDefault="00000000">
      <w:pPr>
        <w:spacing w:after="140"/>
      </w:pPr>
      <w:r>
        <w:rPr>
          <w:i/>
          <w:iCs/>
        </w:rPr>
        <w:t>Mautstraßen (Toll Roads) sind regional: E-ZPass im Nordosten und Mittleren Westen (rund 19 Staaten), SunPass in Florida, TxTag und TollTag in Texas, FasTrak in Kalifornien, Good To Go in Washington. Viele Straßen sind bargeldlos; die Abrechnung über das Kennzeichen kostet einen Aufschlag. Mietwagen berechnen eine Transpondergebühr.</w:t>
      </w:r>
    </w:p>
    <w:p w14:paraId="6A4830FD" w14:textId="77777777" w:rsidR="001F7233" w:rsidRDefault="00000000">
      <w:pPr>
        <w:spacing w:after="140"/>
      </w:pPr>
      <w:r>
        <w:t>Für Elektroautos wurden die Bundes-Steuergutschriften (bis 7.500 $ für neue, bis 4.000 $ für gebrauchte Fahrzeuge) für Käufe ab dem 1. Oktober 2025 abgeschafft. Ob Staaten oder Kommunen Prämien zahlen und wie die Stromtarife aussehen, prüfst du vor Ort. Als Mieter klärst du vor dem Kauf, wo du laden kannst.</w:t>
      </w:r>
    </w:p>
    <w:p w14:paraId="6E8C3B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ÖPNV: Brauchst du ein Auto?</w:t>
      </w:r>
    </w:p>
    <w:p w14:paraId="14E37054" w14:textId="77777777" w:rsidR="001F7233" w:rsidRDefault="00000000">
      <w:pPr>
        <w:spacing w:after="140"/>
      </w:pPr>
      <w:r>
        <w:t>Ob du ein Auto brauchst, entscheidet die Stadt und mehr noch das Viertel. Prüfe den Nahverkehr, bevor du eine Wohnung mietest (Kapitel </w:t>
      </w:r>
      <w:hyperlink w:anchor="k12">
        <w:r w:rsidR="001F7233">
          <w:t>12</w:t>
        </w:r>
      </w:hyperlink>
      <w:r>
        <w:t xml:space="preserve"> und </w:t>
      </w:r>
      <w:hyperlink w:anchor="k13">
        <w:r w:rsidR="001F7233">
          <w:t>13</w:t>
        </w:r>
      </w:hyperlink>
      <w:r>
        <w:t>).</w:t>
      </w:r>
    </w:p>
    <w:p w14:paraId="745904C7" w14:textId="77777777" w:rsidR="001F7233" w:rsidRDefault="00000000">
      <w:r>
        <w:rPr>
          <w:b/>
        </w:rPr>
        <w:t>Autofrei realistisch</w:t>
      </w:r>
    </w:p>
    <w:p w14:paraId="16194453" w14:textId="77777777" w:rsidR="001F7233" w:rsidRDefault="00000000">
      <w:r>
        <w:rPr>
          <w:b/>
        </w:rPr>
        <w:t xml:space="preserve">Beispiele: </w:t>
      </w:r>
      <w:r>
        <w:t>New York (U-Bahn rund um die Uhr), Boston, Washington, Chicago, Bay Area, Philadelphia, Seattle, Portland</w:t>
      </w:r>
    </w:p>
    <w:p w14:paraId="625EEBB5" w14:textId="77777777" w:rsidR="001F7233" w:rsidRDefault="00000000">
      <w:r>
        <w:rPr>
          <w:b/>
        </w:rPr>
        <w:lastRenderedPageBreak/>
        <w:t xml:space="preserve">Alltag: </w:t>
      </w:r>
      <w:r>
        <w:t>Kernstadt ohne Auto möglich; für Ausflüge Mietwagen oder Carsharing</w:t>
      </w:r>
    </w:p>
    <w:p w14:paraId="6E856A80" w14:textId="77777777" w:rsidR="001F7233" w:rsidRDefault="00000000">
      <w:r>
        <w:rPr>
          <w:b/>
        </w:rPr>
        <w:t>Auto meist nötig</w:t>
      </w:r>
    </w:p>
    <w:p w14:paraId="0F5391FC" w14:textId="77777777" w:rsidR="001F7233" w:rsidRDefault="00000000">
      <w:r>
        <w:rPr>
          <w:b/>
        </w:rPr>
        <w:t xml:space="preserve">Beispiele: </w:t>
      </w:r>
      <w:r>
        <w:t>Texas, Sun-Belt-Metropolen wie Phoenix und Atlanta, die meisten Vorstädte</w:t>
      </w:r>
    </w:p>
    <w:p w14:paraId="1414302A" w14:textId="77777777" w:rsidR="001F7233" w:rsidRDefault="00000000">
      <w:r>
        <w:rPr>
          <w:b/>
        </w:rPr>
        <w:t xml:space="preserve">Alltag: </w:t>
      </w:r>
      <w:r>
        <w:t>Arbeit, Schule und Einkauf nur mit Auto</w:t>
      </w:r>
    </w:p>
    <w:p w14:paraId="658876E6" w14:textId="77777777" w:rsidR="001F7233" w:rsidRDefault="001F7233">
      <w:pPr>
        <w:spacing w:line="180" w:lineRule="exact"/>
      </w:pPr>
    </w:p>
    <w:p w14:paraId="3F4645DF" w14:textId="77777777" w:rsidR="001F7233" w:rsidRDefault="00000000">
      <w:pPr>
        <w:spacing w:after="140"/>
      </w:pPr>
      <w:r>
        <w:t>Auch ohne Auto lohnt sich die Lizenz oder die staatliche ID-Card, denn im Alltag ist sie der Standardausweis.</w:t>
      </w:r>
    </w:p>
    <w:p w14:paraId="05F360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 aus Deutschland mitbringen: Lohnt fast nie</w:t>
      </w:r>
    </w:p>
    <w:p w14:paraId="64CC6B5F" w14:textId="77777777" w:rsidR="001F7233" w:rsidRDefault="00000000">
      <w:pPr>
        <w:spacing w:after="140"/>
      </w:pPr>
      <w:r>
        <w:rPr>
          <w:i/>
          <w:iCs/>
        </w:rPr>
        <w:t>Für die Einfuhr brauchst du die Formulare EPA 3520-1 (Abgas) und DOT HS-7 (Sicherheit). Auf Pkw fallen 2,5 % Zoll an (auf Trucks 25 %). Erfüllt das Fahrzeug die US-Normen nicht und das gilt für viele europäische Modelle, geht es nur über zugelassene Umrüster (Independent Commercial Importer für die EPA, Registered Importer für die DOT), mit Bond und Umbaukosten. Ausnahmen gibt es für die DOT ab 25 Jahren (Datenstand September 2026: Baujahr bis 09/2001) und für die EPA ab 21 Jahren.</w:t>
      </w:r>
    </w:p>
    <w:p w14:paraId="11400D68" w14:textId="77777777" w:rsidR="001F7233" w:rsidRDefault="00000000">
      <w:pPr>
        <w:spacing w:after="140"/>
      </w:pPr>
      <w:r>
        <w:t>Dazu kommen 1.300–3.000 € für die Verschiffung (siehe Kapitel </w:t>
      </w:r>
      <w:hyperlink w:anchor="k20">
        <w:r w:rsidR="001F7233">
          <w:t>20</w:t>
        </w:r>
      </w:hyperlink>
      <w:r>
        <w:t>), Hafengebühren, mögliche Zusatzzölle (Autozölle nach Section 232 gelten weiter, der Satz für EU-Fahrzeuge ist nicht ermittelt), keine US-Garantie und Ersatzteile aus Übersee. Die Regel für Nichtansässige (ein Jahr zollfrei, dann Ausfuhr) hilft dir nicht, wenn du bleibst. Nur bei einem Oldtimer ab 25 Jahren kann sich der Aufwand lohnen. Die übrigen Fahrzeuge verkaufst du besser in Deutschland (Kapitel </w:t>
      </w:r>
      <w:hyperlink w:anchor="k16">
        <w:r w:rsidR="001F7233">
          <w:t>16</w:t>
        </w:r>
      </w:hyperlink>
      <w:r>
        <w:t>); in den USA kaufst du vor Ort.</w:t>
      </w:r>
    </w:p>
    <w:p w14:paraId="614F05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Andere Lizenzen: Angeln, Jagen, Amateurfunk</w:t>
      </w:r>
    </w:p>
    <w:p w14:paraId="2FA06971" w14:textId="77777777" w:rsidR="001F7233" w:rsidRDefault="00000000">
      <w:pPr>
        <w:spacing w:after="140"/>
      </w:pPr>
      <w:r>
        <w:t>Auch abseits vom Auto gilt: Fast jede Freizeit-Lizenz regelt der Bundesstaat, nicht Washington und die Logik ist oft das Gegenteil der deutschen.</w:t>
      </w:r>
    </w:p>
    <w:p w14:paraId="37F9E772" w14:textId="77777777" w:rsidR="001F7233" w:rsidRDefault="00000000">
      <w:pPr>
        <w:spacing w:after="140"/>
      </w:pPr>
      <w:r>
        <w:rPr>
          <w:b/>
          <w:bCs/>
        </w:rPr>
        <w:t>Angeln. Eine Prüfung wie den deutschen Fischereischein gibt es praktisch nirgends. Die Fishing License ist eine reine Gebühren-Sache – Alter und Wohnsitz angeben, online oder beim Department of Fish and Wildlife des Staates bezahlen, oft für einen einzelnen Tag, eine Woche oder ein Jahr, fertig.</w:t>
      </w:r>
    </w:p>
    <w:p w14:paraId="0930E0A0" w14:textId="77777777" w:rsidR="001F7233" w:rsidRDefault="00000000">
      <w:pPr>
        <w:spacing w:after="140"/>
      </w:pPr>
      <w:r>
        <w:rPr>
          <w:b/>
          <w:bCs/>
        </w:rPr>
        <w:t>Jagen. Hier ist es umgekehrt strenger: Fast jeder Staat verlangt vor der ersten Jagdlizenz einen Hunter Education-Kurs mit Prüfung, Sicherheit und Ethik. Der deutsche Jagdschein zählt nicht automatisch. Ob eine ausländische Ausbildung den Kurs ersetzt, legt jeder Staat für sich fest. Frag vor der Anmeldung direkt bei der Wildtierbehörde (Fish and Wildlife Agency) des Zielstaats nach, nicht erst am Schalter.</w:t>
      </w:r>
    </w:p>
    <w:p w14:paraId="3326164B" w14:textId="77777777" w:rsidR="001F7233" w:rsidRDefault="00000000">
      <w:pPr>
        <w:spacing w:after="140"/>
      </w:pPr>
      <w:r>
        <w:rPr>
          <w:b/>
          <w:bCs/>
        </w:rPr>
        <w:t>Amateurfunk. Die deutsche Amateurfunkgenehmigung der Bundesnetzagentur gilt für Einwohner nicht weiter. Das CEPT-Abkommen hilft nur kurzen touristischen Aufenthalten. Wer dauerhaft senden will, braucht eine eigene, von der FCC ausgestellte Lizenz. Die Prüfung (Klassen von Technician bis Extra) läuft ohne Morsecode als Multiple-Choice-Test. Vorbereitungsfragen gibt es online, und lokale Volunteer Examiner-Teams nehmen sie ab.</w:t>
      </w:r>
    </w:p>
    <w:p w14:paraId="57320F9D" w14:textId="77777777" w:rsidR="001F7233" w:rsidRDefault="00000000">
      <w:r>
        <w:t xml:space="preserve">Ein aktiver Radar- oder Laserstörer greift in die Geschwindigkeitsmessung ein. Ein passiver Warner empfängt nur Signale, ist aber je nach Bundesstaat geregelt. Störer sind keine legale Abkürzung: Die FCC verbietet Geräte, die autorisierte Funkdienste samt Polizeiradar stören. Auch Kennzeichen müssen nach dem Recht des jeweiligen Bundesstaats lesbar bleiben. Keine </w:t>
      </w:r>
      <w:r>
        <w:lastRenderedPageBreak/>
        <w:t>Sprays, Folien, abklappbaren Halter oder andere Verschleierung verwenden. Polizeifunk-Apps sind kein verlässlicher Ausweg: Netze können digital oder verschlüsselt sein, und Empfang sowie Weitergabe können rechtlich eingeschränkt sein. Nutze Tempomat, Geschwindigkeitsbegrenzer und Navigationswarnungen; maßgeblich bleiben Verkehrszeichen und aktuelles Tempolimit.</w:t>
      </w:r>
    </w:p>
    <w:p w14:paraId="368DE81B" w14:textId="77777777" w:rsidR="001F7233" w:rsidRDefault="00000000">
      <w:pPr>
        <w:pStyle w:val="Heading3"/>
      </w:pPr>
      <w:r>
        <w:t>Messgeräte stören und Kennzeichen verdecken</w:t>
      </w:r>
    </w:p>
    <w:p w14:paraId="7D0E2720" w14:textId="77777777" w:rsidR="001F7233" w:rsidRDefault="00000000">
      <w:pPr>
        <w:pStyle w:val="Heading3"/>
      </w:pPr>
      <w:r>
        <w:t>TÜV oder DEKRA? Fahrzeugprüfung nach Bundesstaat</w:t>
      </w:r>
    </w:p>
    <w:p w14:paraId="22FFF63B" w14:textId="77777777" w:rsidR="001F7233" w:rsidRDefault="00000000">
      <w:r>
        <w:t>Es gibt in den USA keine landesweite HU für jeden Privatwagen. Sicherheits- und Abgastests hängen von Bundesstaat und teils County ab. Kalifornien verlangt für viele Fahrzeuge einen Smog Check. Frage bei Zulassung nach „vehicle inspection“, „emissions test“ oder „smog check“.</w:t>
      </w:r>
    </w:p>
    <w:p w14:paraId="5095F5CC" w14:textId="77777777" w:rsidR="001F7233" w:rsidRDefault="00000000">
      <w:pPr>
        <w:pStyle w:val="Heading3"/>
      </w:pPr>
      <w:r>
        <w:t>GPS während der Fahrt: montiert, vorher eingestellt, Hände frei</w:t>
      </w:r>
    </w:p>
    <w:p w14:paraId="24036E13" w14:textId="77777777" w:rsidR="001F7233" w:rsidRDefault="00000000">
      <w:r>
        <w:t>Stell die Route vor dem Losfahren ein. Eine montierte Navigation mit Sprachansage ist praktisch. Ein Telefon in der Hand bedienen kann verboten sein, auch an der Ampel. Erlaubte Berührung, Montagehöhe und Ausnahmen unterscheiden sich nach Staat. Halte sicher an, bevor du Ziel, Route oder Nachricht änderst.</w:t>
      </w:r>
    </w:p>
    <w:p w14:paraId="32A29603" w14:textId="77777777" w:rsidR="001F7233" w:rsidRDefault="00000000">
      <w:pPr>
        <w:pStyle w:val="Heading3"/>
      </w:pPr>
      <w:r>
        <w:t>Unfall zu Hause oder im Auto: sichern, dokumentieren, melden</w:t>
      </w:r>
    </w:p>
    <w:p w14:paraId="2261B307" w14:textId="77777777" w:rsidR="001F7233" w:rsidRDefault="00000000">
      <w:r>
        <w:t xml:space="preserve">Bei Verletzten oder Gefahr rufst du 911. Sichere die Stelle, fotografiere Schäden, notiere Zeugen und tausche Fahrzeug- und Versicherungsdaten aus. Melde den Schaden rasch dem Versicherer; unterschreibe kein Schuldanerkenntnis vor Ort. Zu Hause: Gefahr beseitigen lassen, bei Verletzung Hilfe rufen, Belege sichern und Gebäude-/Haftpflichtversicherer informieren. Haftpflicht, Kollision </w:t>
      </w:r>
      <w:r>
        <w:lastRenderedPageBreak/>
        <w:t>und Eigenschaden sind unterschiedliche Deckungen; prüfe Limit, Selbstbehalt und Ausschlüsse.</w:t>
      </w:r>
    </w:p>
    <w:p w14:paraId="191DE764" w14:textId="77777777" w:rsidR="001F7233" w:rsidRDefault="00000000">
      <w:pPr>
        <w:pStyle w:val="Heading3"/>
      </w:pPr>
      <w:r>
        <w:t>Händler und Onlinekauf: auch Carvana unabhängig prüfen</w:t>
      </w:r>
    </w:p>
    <w:p w14:paraId="2B42A49F" w14:textId="77777777" w:rsidR="001F7233" w:rsidRDefault="00000000">
      <w:r>
        <w:t>Carvana und andere Onlinehändler sind nicht automatisch unseriös oder automatisch sicher. Prüfe Händlerzulassung, VIN/Fahrzeughistorie, Titel/Schaden, Rückgabefrist, Garantie, Lieferkosten und Finanzierung schriftlich. Lass einen Gebrauchtwagen unabhängig prüfen, bevor eine Rückgabefrist endet. „As is“ kann Rechte stark einschränken; eine Plattformbewertung ersetzt weder Zustandsprüfung noch lokale Verbraucherbehörde.</w:t>
      </w:r>
    </w:p>
    <w:p w14:paraId="36B231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Führerschein, Auto und Mobilität</w:t>
      </w:r>
    </w:p>
    <w:p w14:paraId="6D245E4A" w14:textId="77777777" w:rsidR="001F7233" w:rsidRDefault="00000000">
      <w:r>
        <w:rPr>
          <w:b/>
        </w:rPr>
        <w:t>Plus: In vielen Staaten tauschst du den deutschen Führerschein ohne Prüfung</w:t>
      </w:r>
    </w:p>
    <w:p w14:paraId="27423C30" w14:textId="77777777" w:rsidR="001F7233" w:rsidRDefault="00000000">
      <w:r>
        <w:rPr>
          <w:b/>
        </w:rPr>
        <w:t xml:space="preserve">Minus: </w:t>
      </w:r>
      <w:r>
        <w:t>In Kalifornien und New York musst du Wissens- und Fahrprüfung ablegen</w:t>
      </w:r>
    </w:p>
    <w:p w14:paraId="330BC84B" w14:textId="77777777" w:rsidR="001F7233" w:rsidRDefault="00000000">
      <w:r>
        <w:rPr>
          <w:b/>
        </w:rPr>
        <w:t>Plus: Automatik, breite Straßen und große Parkplätze machen das Fahren entspannt</w:t>
      </w:r>
    </w:p>
    <w:p w14:paraId="660FAA54" w14:textId="77777777" w:rsidR="001F7233" w:rsidRDefault="00000000">
      <w:r>
        <w:rPr>
          <w:b/>
        </w:rPr>
        <w:t xml:space="preserve">Minus: </w:t>
      </w:r>
      <w:r>
        <w:t>Außerhalb der Großstädte kommst du ohne Auto kaum durch den Alltag</w:t>
      </w:r>
    </w:p>
    <w:p w14:paraId="0206447E" w14:textId="77777777" w:rsidR="001F7233" w:rsidRDefault="00000000">
      <w:r>
        <w:rPr>
          <w:b/>
        </w:rPr>
        <w:t>Plus: Fahrzeughistorie und Marktpreise lassen sich online prüfen</w:t>
      </w:r>
    </w:p>
    <w:p w14:paraId="457E3F6F" w14:textId="77777777" w:rsidR="001F7233" w:rsidRDefault="00000000">
      <w:r>
        <w:rPr>
          <w:b/>
        </w:rPr>
        <w:t xml:space="preserve">Minus: </w:t>
      </w:r>
      <w:r>
        <w:t>Neuwagen im Schnitt über 50.000 $, ohne Kredithistorie hohe Zinsen</w:t>
      </w:r>
    </w:p>
    <w:p w14:paraId="17545EDE" w14:textId="77777777" w:rsidR="001F7233" w:rsidRDefault="00000000">
      <w:r>
        <w:rPr>
          <w:b/>
        </w:rPr>
        <w:t>Plus: Großstädte mit gutem Nahverkehr erlauben ein autofreies Leben</w:t>
      </w:r>
    </w:p>
    <w:p w14:paraId="1AC83774" w14:textId="77777777" w:rsidR="001F7233" w:rsidRDefault="00000000">
      <w:r>
        <w:rPr>
          <w:b/>
        </w:rPr>
        <w:t xml:space="preserve">Minus: </w:t>
      </w:r>
      <w:r>
        <w:t>Full Coverage im Schnitt 2.241–2.922 $ im Jahr, Tendenz steigend</w:t>
      </w:r>
    </w:p>
    <w:p w14:paraId="0E041797" w14:textId="77777777" w:rsidR="001F7233" w:rsidRDefault="00000000">
      <w:r>
        <w:rPr>
          <w:b/>
        </w:rPr>
        <w:lastRenderedPageBreak/>
        <w:t>Plus: Lizenz oder ID-Card dient als Standardausweis im Alltag</w:t>
      </w:r>
    </w:p>
    <w:p w14:paraId="4E09A30B" w14:textId="77777777" w:rsidR="001F7233" w:rsidRDefault="00000000">
      <w:r>
        <w:rPr>
          <w:b/>
        </w:rPr>
        <w:t xml:space="preserve">Minus: </w:t>
      </w:r>
      <w:r>
        <w:t>Deutsche SF-Klasse zählt meist nicht, der Credit Score wirkt auf den Preis</w:t>
      </w:r>
    </w:p>
    <w:p w14:paraId="62C0B6C2" w14:textId="77777777" w:rsidR="001F7233" w:rsidRDefault="00000000">
      <w:r>
        <w:rPr>
          <w:b/>
        </w:rPr>
        <w:t>Plus: Maut fällt vor allem regional an</w:t>
      </w:r>
    </w:p>
    <w:p w14:paraId="1630218C" w14:textId="77777777" w:rsidR="001F7233" w:rsidRDefault="00000000">
      <w:r>
        <w:rPr>
          <w:b/>
        </w:rPr>
        <w:t xml:space="preserve">Minus: </w:t>
      </w:r>
      <w:r>
        <w:t>Alkohol am Steuer: Grenze 0,08 % BAC, harte Folgen bis zum Statusrisiko</w:t>
      </w:r>
    </w:p>
    <w:p w14:paraId="4F83AF02" w14:textId="77777777" w:rsidR="001F7233" w:rsidRDefault="001F7233">
      <w:pPr>
        <w:spacing w:line="180" w:lineRule="exact"/>
      </w:pPr>
    </w:p>
    <w:p w14:paraId="09DDAD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858D60B" w14:textId="77777777" w:rsidR="001F7233" w:rsidRDefault="00000000">
      <w:pPr>
        <w:pStyle w:val="ListParagraph"/>
        <w:numPr>
          <w:ilvl w:val="0"/>
          <w:numId w:val="26"/>
        </w:numPr>
        <w:spacing w:after="60"/>
      </w:pPr>
      <w:r>
        <w:t>Vor dem Abflug: Regel deines Staates prüfen, IDP beantragen, SF-Klassen-Bescheinigung anfordern.</w:t>
      </w:r>
    </w:p>
    <w:p w14:paraId="23181E38" w14:textId="77777777" w:rsidR="001F7233" w:rsidRDefault="00000000">
      <w:pPr>
        <w:pStyle w:val="ListParagraph"/>
        <w:numPr>
          <w:ilvl w:val="0"/>
          <w:numId w:val="2"/>
        </w:numPr>
        <w:spacing w:after="60"/>
      </w:pPr>
      <w:r>
        <w:t>In der ersten Woche: SSN beantragen (Kapitel </w:t>
      </w:r>
      <w:hyperlink w:anchor="k24">
        <w:r w:rsidR="001F7233">
          <w:t>24</w:t>
        </w:r>
      </w:hyperlink>
      <w:r>
        <w:t>) und DMV-Termin buchen.</w:t>
      </w:r>
    </w:p>
    <w:p w14:paraId="6F4C02FD" w14:textId="77777777" w:rsidR="001F7233" w:rsidRDefault="00000000">
      <w:pPr>
        <w:pStyle w:val="ListParagraph"/>
        <w:numPr>
          <w:ilvl w:val="0"/>
          <w:numId w:val="2"/>
        </w:numPr>
        <w:spacing w:after="60"/>
      </w:pPr>
      <w:r>
        <w:t>Vor dem Autokauf: Konto bei einer Kreditunion eröffnen, Versicherungsangebote vergleichen und den Out-the-Door-Preis schriftlich verlangen.</w:t>
      </w:r>
    </w:p>
    <w:p w14:paraId="521B8A09" w14:textId="77777777" w:rsidR="001F7233" w:rsidRDefault="001F7233">
      <w:pPr>
        <w:spacing w:line="120" w:lineRule="exact"/>
      </w:pPr>
    </w:p>
    <w:p w14:paraId="058B6B4B" w14:textId="77777777" w:rsidR="001F7233" w:rsidRDefault="00000000">
      <w:r>
        <w:t>• Frist und Prüfungspflicht deines Bundesstaates auf der DMV-Seite geprüft</w:t>
      </w:r>
    </w:p>
    <w:p w14:paraId="509FBE90" w14:textId="77777777" w:rsidR="001F7233" w:rsidRDefault="00000000">
      <w:r>
        <w:t>• Internationalen Führerschein vor der Abmeldung in Deutschland beantragt</w:t>
      </w:r>
    </w:p>
    <w:p w14:paraId="1B5E7B7F" w14:textId="77777777" w:rsidR="001F7233" w:rsidRDefault="00000000">
      <w:r>
        <w:t>• Deutschen Führerschein (noch mindestens 60 Tage gültig) und Kopien bereit</w:t>
      </w:r>
    </w:p>
    <w:p w14:paraId="12B4812B" w14:textId="77777777" w:rsidR="001F7233" w:rsidRDefault="00000000">
      <w:r>
        <w:t>• Falls verlangt: KBA-Auskünfte (FAER, ZFER, höchstens vier Wochen alt) und Konsulatsbescheinigung geklärt</w:t>
      </w:r>
    </w:p>
    <w:p w14:paraId="31CC13C8" w14:textId="77777777" w:rsidR="001F7233" w:rsidRDefault="00000000">
      <w:r>
        <w:t>• Englische Bescheinigung der schadenfreien Jahre vom deutschen Kfz-Versicherer angefordert</w:t>
      </w:r>
    </w:p>
    <w:p w14:paraId="7D1FAC3B" w14:textId="77777777" w:rsidR="001F7233" w:rsidRDefault="00000000">
      <w:r>
        <w:t>• DMV-Termin gebucht, Unterlagen zusammengestellt (Pass, Visum oder I-94, Wohnsitznachweise, SSN)</w:t>
      </w:r>
    </w:p>
    <w:p w14:paraId="431F45B3" w14:textId="77777777" w:rsidR="001F7233" w:rsidRDefault="00000000">
      <w:r>
        <w:t>• REAL-ID-konforme Karte beantragt oder Reisepass für Inlandsflüge eingeplant</w:t>
      </w:r>
    </w:p>
    <w:p w14:paraId="21C1BE05" w14:textId="77777777" w:rsidR="001F7233" w:rsidRDefault="00000000">
      <w:r>
        <w:t>• Mindestens drei Versicherungsangebote mit identischer Deckung eingeholt</w:t>
      </w:r>
    </w:p>
    <w:p w14:paraId="20A37F10" w14:textId="77777777" w:rsidR="001F7233" w:rsidRDefault="00000000">
      <w:r>
        <w:t>• Finanzierung per Vorabgenehmigung bei einer Kreditunion geklärt</w:t>
      </w:r>
    </w:p>
    <w:p w14:paraId="3B4E59F6" w14:textId="77777777" w:rsidR="001F7233" w:rsidRDefault="00000000">
      <w:r>
        <w:lastRenderedPageBreak/>
        <w:t>• Zulassungsfrist (10–30 Tage je Staat) notiert</w:t>
      </w:r>
    </w:p>
    <w:p w14:paraId="47DE0157" w14:textId="77777777" w:rsidR="001F7233" w:rsidRDefault="00000000">
      <w:r>
        <w:t>• Nahverkehrsanbindung vor der Wohnungswahl geprüft</w:t>
      </w:r>
    </w:p>
    <w:p w14:paraId="2AE651AE" w14:textId="77777777" w:rsidR="001F7233" w:rsidRDefault="00000000">
      <w:r>
        <w:t>• Bei Bedarf: Angel-, Jagd- oder Amateurfunklizenz bei der zuständigen Bundesstaats- bzw. FCC-Stelle erfragt</w:t>
      </w:r>
    </w:p>
    <w:p w14:paraId="60D84957" w14:textId="77777777" w:rsidR="001F7233" w:rsidRDefault="001F7233">
      <w:pPr>
        <w:spacing w:line="220" w:lineRule="exact"/>
      </w:pPr>
    </w:p>
    <w:p w14:paraId="648273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B8B9C76" w14:textId="77777777" w:rsidR="001F7233" w:rsidRDefault="00000000">
      <w:pPr>
        <w:pStyle w:val="ListParagraph"/>
        <w:numPr>
          <w:ilvl w:val="0"/>
          <w:numId w:val="1"/>
        </w:numPr>
        <w:spacing w:after="60"/>
      </w:pPr>
      <w:r>
        <w:t>Generalkonsulate und Auswärtiges Amt — Führerschein in den USA (</w:t>
      </w:r>
      <w:hyperlink r:id="rId377">
        <w:r w:rsidR="001F7233">
          <w:rPr>
            <w:color w:val="0563C1"/>
            <w:u w:val="single"/>
          </w:rPr>
          <w:t>germany.info/us-de</w:t>
        </w:r>
      </w:hyperlink>
      <w:r>
        <w:t>)</w:t>
      </w:r>
    </w:p>
    <w:p w14:paraId="35FE48A3" w14:textId="77777777" w:rsidR="001F7233" w:rsidRDefault="00000000">
      <w:pPr>
        <w:pStyle w:val="ListParagraph"/>
        <w:numPr>
          <w:ilvl w:val="0"/>
          <w:numId w:val="1"/>
        </w:numPr>
        <w:spacing w:after="60"/>
      </w:pPr>
      <w:r>
        <w:t>Führerscheinbehörden der Staaten — Regeln für ausländische Lizenzen (</w:t>
      </w:r>
      <w:hyperlink r:id="rId378">
        <w:r w:rsidR="001F7233">
          <w:rPr>
            <w:color w:val="0563C1"/>
            <w:u w:val="single"/>
          </w:rPr>
          <w:t>dmv.ca.gov</w:t>
        </w:r>
      </w:hyperlink>
      <w:r>
        <w:t xml:space="preserve">, </w:t>
      </w:r>
      <w:hyperlink r:id="rId379">
        <w:r w:rsidR="001F7233">
          <w:rPr>
            <w:color w:val="0563C1"/>
            <w:u w:val="single"/>
          </w:rPr>
          <w:t>dmv.ny.gov</w:t>
        </w:r>
      </w:hyperlink>
      <w:r>
        <w:t xml:space="preserve">, </w:t>
      </w:r>
      <w:hyperlink r:id="rId380">
        <w:r w:rsidR="001F7233">
          <w:rPr>
            <w:color w:val="0563C1"/>
            <w:u w:val="single"/>
          </w:rPr>
          <w:t>dps.texas.gov</w:t>
        </w:r>
      </w:hyperlink>
      <w:r>
        <w:t xml:space="preserve">, </w:t>
      </w:r>
      <w:hyperlink r:id="rId381">
        <w:r w:rsidR="001F7233">
          <w:rPr>
            <w:color w:val="0563C1"/>
            <w:u w:val="single"/>
          </w:rPr>
          <w:t>dol.wa.gov</w:t>
        </w:r>
      </w:hyperlink>
      <w:r>
        <w:t xml:space="preserve">, </w:t>
      </w:r>
      <w:hyperlink r:id="rId382">
        <w:r w:rsidR="001F7233">
          <w:rPr>
            <w:color w:val="0563C1"/>
            <w:u w:val="single"/>
          </w:rPr>
          <w:t>dmv.colorado.gov</w:t>
        </w:r>
      </w:hyperlink>
      <w:r>
        <w:t>)</w:t>
      </w:r>
    </w:p>
    <w:p w14:paraId="77357319" w14:textId="77777777" w:rsidR="001F7233" w:rsidRDefault="00000000">
      <w:pPr>
        <w:pStyle w:val="ListParagraph"/>
        <w:numPr>
          <w:ilvl w:val="0"/>
          <w:numId w:val="1"/>
        </w:numPr>
        <w:spacing w:after="60"/>
      </w:pPr>
      <w:r>
        <w:t xml:space="preserve">Weitere Staaten — </w:t>
      </w:r>
      <w:hyperlink r:id="rId383">
        <w:r w:rsidR="001F7233">
          <w:rPr>
            <w:color w:val="0563C1"/>
            <w:u w:val="single"/>
          </w:rPr>
          <w:t>ncdot.gov/dmv</w:t>
        </w:r>
      </w:hyperlink>
      <w:r>
        <w:t xml:space="preserve">, </w:t>
      </w:r>
      <w:hyperlink r:id="rId384">
        <w:r w:rsidR="001F7233">
          <w:rPr>
            <w:color w:val="0563C1"/>
            <w:u w:val="single"/>
          </w:rPr>
          <w:t>flhsmv.gov</w:t>
        </w:r>
      </w:hyperlink>
      <w:r>
        <w:t xml:space="preserve">, </w:t>
      </w:r>
      <w:hyperlink r:id="rId385">
        <w:r w:rsidR="001F7233">
          <w:rPr>
            <w:color w:val="0563C1"/>
            <w:u w:val="single"/>
          </w:rPr>
          <w:t>oregon.gov/odot/dmv</w:t>
        </w:r>
      </w:hyperlink>
      <w:r>
        <w:t xml:space="preserve">, </w:t>
      </w:r>
      <w:hyperlink r:id="rId386">
        <w:r w:rsidR="001F7233">
          <w:rPr>
            <w:color w:val="0563C1"/>
            <w:u w:val="single"/>
          </w:rPr>
          <w:t>dld.utah.gov</w:t>
        </w:r>
      </w:hyperlink>
    </w:p>
    <w:p w14:paraId="588D76C6" w14:textId="77777777" w:rsidR="001F7233" w:rsidRDefault="00000000">
      <w:pPr>
        <w:pStyle w:val="ListParagraph"/>
        <w:numPr>
          <w:ilvl w:val="0"/>
          <w:numId w:val="1"/>
        </w:numPr>
        <w:spacing w:after="60"/>
      </w:pPr>
      <w:r>
        <w:t>Flughafensicherheit TSA — REAL ID und ConfirmID (</w:t>
      </w:r>
      <w:hyperlink r:id="rId387">
        <w:r w:rsidR="001F7233">
          <w:rPr>
            <w:color w:val="0563C1"/>
            <w:u w:val="single"/>
          </w:rPr>
          <w:t>tsa.gov/real-id</w:t>
        </w:r>
      </w:hyperlink>
      <w:r>
        <w:t>)</w:t>
      </w:r>
    </w:p>
    <w:p w14:paraId="46126AF6" w14:textId="77777777" w:rsidR="001F7233" w:rsidRDefault="00000000">
      <w:pPr>
        <w:pStyle w:val="ListParagraph"/>
        <w:numPr>
          <w:ilvl w:val="0"/>
          <w:numId w:val="1"/>
        </w:numPr>
        <w:spacing w:after="60"/>
      </w:pPr>
      <w:r>
        <w:t>Zoll- und Grenzschutzbehörde CBP — Fahrzeuge einführen (</w:t>
      </w:r>
      <w:hyperlink r:id="rId388">
        <w:r w:rsidR="001F7233">
          <w:rPr>
            <w:color w:val="0563C1"/>
            <w:u w:val="single"/>
          </w:rPr>
          <w:t>cbp.gov/trade/basic-import-export/importing-car</w:t>
        </w:r>
      </w:hyperlink>
      <w:r>
        <w:t>)</w:t>
      </w:r>
    </w:p>
    <w:p w14:paraId="4B9E41D3" w14:textId="77777777" w:rsidR="001F7233" w:rsidRDefault="00000000">
      <w:pPr>
        <w:pStyle w:val="ListParagraph"/>
        <w:numPr>
          <w:ilvl w:val="0"/>
          <w:numId w:val="1"/>
        </w:numPr>
        <w:spacing w:after="60"/>
      </w:pPr>
      <w:r>
        <w:t>Energiebehörde EIA — Benzinpreise (</w:t>
      </w:r>
      <w:hyperlink r:id="rId389">
        <w:r w:rsidR="001F7233">
          <w:rPr>
            <w:color w:val="0563C1"/>
            <w:u w:val="single"/>
          </w:rPr>
          <w:t>eia.gov/petroleum/gasdiesel</w:t>
        </w:r>
      </w:hyperlink>
      <w:r>
        <w:t>)</w:t>
      </w:r>
    </w:p>
    <w:p w14:paraId="1150090E" w14:textId="77777777" w:rsidR="001F7233" w:rsidRDefault="001F7233">
      <w:pPr>
        <w:spacing w:line="120" w:lineRule="exact"/>
      </w:pPr>
    </w:p>
    <w:p w14:paraId="467829EA" w14:textId="77777777" w:rsidR="001F7233" w:rsidRDefault="00000000">
      <w:pPr>
        <w:pStyle w:val="ListParagraph"/>
      </w:pPr>
      <w:r>
        <w:t xml:space="preserve">FCC — Information About GPS Jamming (verbietet auch Störungen autorisierter Funkdienste): </w:t>
      </w:r>
      <w:hyperlink r:id="rId390">
        <w:r w:rsidR="001F7233">
          <w:rPr>
            <w:rStyle w:val="Hyperlink"/>
          </w:rPr>
          <w:t>gps.gov/information-about-gps-jamming</w:t>
        </w:r>
      </w:hyperlink>
    </w:p>
    <w:p w14:paraId="0AECC8F5" w14:textId="77777777" w:rsidR="001F7233" w:rsidRDefault="00000000">
      <w:pPr>
        <w:pStyle w:val="ListParagraph"/>
      </w:pPr>
      <w:r>
        <w:t xml:space="preserve">California DMV — License Plates: display and visibility (state-specific example): </w:t>
      </w:r>
      <w:hyperlink r:id="rId391">
        <w:r w:rsidR="001F7233">
          <w:rPr>
            <w:rStyle w:val="Hyperlink"/>
          </w:rPr>
          <w:t>dmv.ca.gov/portal/vehicle-registration/license-plates-decals-and-placards/</w:t>
        </w:r>
      </w:hyperlink>
    </w:p>
    <w:p w14:paraId="38E61567" w14:textId="77777777" w:rsidR="001F7233" w:rsidRDefault="00000000">
      <w:pPr>
        <w:pStyle w:val="ListParagraph"/>
      </w:pPr>
      <w:r>
        <w:t xml:space="preserve">California DMV — Smog Check (state example): </w:t>
      </w:r>
      <w:hyperlink r:id="rId392">
        <w:r w:rsidR="001F7233">
          <w:rPr>
            <w:rStyle w:val="Hyperlink"/>
          </w:rPr>
          <w:t>dmv.ca.gov/portal/vehicle-registration/smog-inspections/</w:t>
        </w:r>
      </w:hyperlink>
      <w:r>
        <w:t xml:space="preserve">; CA Insurance Department — accident steps: </w:t>
      </w:r>
      <w:hyperlink r:id="rId393">
        <w:r w:rsidR="001F7233">
          <w:rPr>
            <w:rStyle w:val="Hyperlink"/>
          </w:rPr>
          <w:t>insurance.ca.gov/01-consumers/105-type/95-guides/01-auto/hadaccident.cfm</w:t>
        </w:r>
      </w:hyperlink>
    </w:p>
    <w:p w14:paraId="6DCFE54F" w14:textId="77777777" w:rsidR="001F7233" w:rsidRDefault="00000000">
      <w:r>
        <w:t xml:space="preserve">• Quellen- und Datenstand: September 2026; Redaktionsschluss: Oktober 2026. Schnell ändern sich: die Reziprozitätslisten, Fristen und Gebühren der Bundesstaaten, TSA-Regeln, Auto- und </w:t>
      </w:r>
      <w:r>
        <w:lastRenderedPageBreak/>
        <w:t>Benzinpreise, Kreditzinsen, Versicherungsprämien, die Zölle auf Fahrzeuge und die Förderung von Elektroautos in den Staaten. Prüfe vor jeder Entscheidung die Seite deiner DMV.</w:t>
      </w:r>
    </w:p>
    <w:p w14:paraId="5B9D002F" w14:textId="77777777" w:rsidR="001F7233" w:rsidRDefault="00000000">
      <w:pPr>
        <w:spacing w:line="220" w:lineRule="exact"/>
      </w:pPr>
      <w:r>
        <w:br w:type="page"/>
      </w:r>
    </w:p>
    <w:p w14:paraId="311CE7E9" w14:textId="77777777" w:rsidR="001F7233" w:rsidRDefault="00000000">
      <w:pPr>
        <w:pStyle w:val="Heading2"/>
        <w:keepNext/>
        <w:spacing w:line="341" w:lineRule="auto"/>
        <w:jc w:val="center"/>
      </w:pPr>
      <w:bookmarkStart w:id="58" w:name="k28"/>
      <w:r>
        <w:rPr>
          <w:rFonts w:ascii="Amazon Ember" w:eastAsia="Amazon Ember" w:hAnsi="Amazon Ember" w:cs="Amazon Ember"/>
          <w:color w:val="0000FF"/>
          <w:sz w:val="36"/>
          <w:szCs w:val="36"/>
        </w:rPr>
        <w:lastRenderedPageBreak/>
        <w:t>Kapitel 28: Steuern in den USA verständlich erklärt</w:t>
      </w:r>
      <w:bookmarkEnd w:id="58"/>
    </w:p>
    <w:p w14:paraId="3CF9B182" w14:textId="77777777" w:rsidR="001F7233" w:rsidRDefault="00000000">
      <w:pPr>
        <w:spacing w:after="140"/>
      </w:pPr>
      <w:r>
        <w:t>Im ersten April nach deinem Umzug liegt eine Aufgabe vor dir, die es in Deutschland für viele Beschäftigte nicht gibt: Niemand schickt dir einen Steuerbescheid. In den USA rechnest du selbst, erklärst selbst und haftest selbst. Dazu kommt eine Besonderheit, die viele Zugezogene erst spät bemerken: Als steuerlicher Einwohner schuldest du den USA Steuern auf dein weltweites Einkommen. Du musst außerdem deutsche Konten melden, auch wenn darauf kaum Zinsen anfallen. Dieses Kapitel ordnet das System, rechnet ein Beispiel durch und zeigt die teuren Fallen.</w:t>
      </w:r>
    </w:p>
    <w:p w14:paraId="521B963A" w14:textId="77777777" w:rsidR="001F7233" w:rsidRDefault="00000000">
      <w:r>
        <w:rPr>
          <w:b/>
        </w:rPr>
        <w:t xml:space="preserve">KURZ GESAGT: </w:t>
      </w:r>
    </w:p>
    <w:p w14:paraId="075F0C49" w14:textId="77777777" w:rsidR="001F7233" w:rsidRDefault="00000000">
      <w:r>
        <w:t>• Steuern erheben der Bund (Einkommensteuer, Sozialabgaben), der Bundesstaat (Einkommen- und Verkaufssteuer) und die Kommune (vor allem Grundsteuer). Steuerjahr ist das Kalenderjahr; die Erklärung für 2026 ist am 15. April 2027 fällig.</w:t>
      </w:r>
    </w:p>
    <w:p w14:paraId="6466FE7F" w14:textId="77777777" w:rsidR="001F7233" w:rsidRDefault="00000000">
      <w:r>
        <w:t>• Bund 2026: Standardabzug 16.100 $ (Einzelperson) bzw. 32.200 $ (Ehepaar), Sätze von 10 bis 37 %. Statt Kindergeld gibt es eine Gutschrift von 2.200 $ je Kind. Sie setzt eine Sozialversicherungsnummer (Social Security Number, SSN) mit Arbeitserlaubnis voraus.</w:t>
      </w:r>
    </w:p>
    <w:p w14:paraId="5E3E2DE5" w14:textId="77777777" w:rsidR="001F7233" w:rsidRDefault="00000000">
      <w:r>
        <w:t>• Steuerlich ansässig wirst du durch die Green Card oder den Tage-Test (Substantial Presence Test), nicht durch das Visum. Dann gilt dein weltweites Einkommen.</w:t>
      </w:r>
    </w:p>
    <w:p w14:paraId="12738947" w14:textId="77777777" w:rsidR="001F7233" w:rsidRDefault="00000000">
      <w:r>
        <w:t>• Die großen Fallen sind Meldepflichten: Auslandskonten über 10.000 $ (FBAR), Auslandsvermögen (Form 8938) und deutsche Fonds (PFIC). Die Strafen reichen bis in den sechsstelligen Bereich.</w:t>
      </w:r>
    </w:p>
    <w:p w14:paraId="75662F86" w14:textId="77777777" w:rsidR="001F7233" w:rsidRDefault="00000000">
      <w:r>
        <w:t>• Näherung 2026: Von 120.000 $ brutto bleiben einer Einzelperson in Texas etwa 78 %, in Kalifornien etwa 71 % (ohne Krankenversicherung und 401(k)).</w:t>
      </w:r>
    </w:p>
    <w:p w14:paraId="6C3A1380" w14:textId="77777777" w:rsidR="001F7233" w:rsidRDefault="00000000">
      <w:r>
        <w:lastRenderedPageBreak/>
        <w:t>• Im Einreisejahr lohnt sich ein zugelassener Steuerexperte (CPA oder Enrolled Agent); das kostet meist 800–2.500 $.</w:t>
      </w:r>
    </w:p>
    <w:p w14:paraId="0B0AFE07" w14:textId="77777777" w:rsidR="001F7233" w:rsidRDefault="001F7233">
      <w:pPr>
        <w:spacing w:line="220" w:lineRule="exact"/>
      </w:pPr>
    </w:p>
    <w:p w14:paraId="3FC015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Ebenen, eine Selbstveranlagung</w:t>
      </w:r>
    </w:p>
    <w:p w14:paraId="46F2A59F" w14:textId="77777777" w:rsidR="001F7233" w:rsidRDefault="00000000">
      <w:pPr>
        <w:spacing w:after="140"/>
      </w:pPr>
      <w:r>
        <w:rPr>
          <w:i/>
          <w:iCs/>
        </w:rPr>
        <w:t>Der Bund erhebt die Einkommensteuer (Federal Income Tax) und die Sozialabgaben, zuständig ist die Bundessteuerbehörde IRS. Die meisten Bundesstaaten erheben eine eigene Einkommensteuer. Alaska, Florida, Nevada, New Hampshire, South Dakota, Tennessee, Texas, Washington und Wyoming besteuern Löhne nicht. Städte und Landkreise erheben vor allem die Grundsteuer (Property Tax), einzelne auch eine Stadt-Einkommensteuer, dazu die Verkaufssteuer (Sales Tax), die anders als die deutsche Mehrwertsteuer nicht im Preis steht.</w:t>
      </w:r>
    </w:p>
    <w:p w14:paraId="65C8B1EE" w14:textId="77777777" w:rsidR="001F7233" w:rsidRDefault="00000000">
      <w:pPr>
        <w:spacing w:after="140"/>
      </w:pPr>
      <w:r>
        <w:t>Der Ablauf ist überall gleich: Dein Arbeitgeber behält während des Jahres Steuern vom Gehalt ein (</w:t>
      </w:r>
      <w:r>
        <w:rPr>
          <w:i/>
          <w:iCs/>
        </w:rPr>
        <w:t>Withholding</w:t>
      </w:r>
      <w:r>
        <w:t xml:space="preserve">), maßgeblich ist das Formular </w:t>
      </w:r>
      <w:r>
        <w:rPr>
          <w:i/>
          <w:iCs/>
        </w:rPr>
        <w:t>W-4</w:t>
      </w:r>
      <w:r>
        <w:t xml:space="preserve">. Bis 31. Januar schickt er dir das Formular </w:t>
      </w:r>
      <w:r>
        <w:rPr>
          <w:i/>
          <w:iCs/>
        </w:rPr>
        <w:t>W-2</w:t>
      </w:r>
      <w:r>
        <w:t>, die Jahreslohnbescheinigung. Damit erstellst du bis 15. April die Erklärung (</w:t>
      </w:r>
      <w:r>
        <w:rPr>
          <w:i/>
          <w:iCs/>
        </w:rPr>
        <w:t>Tax Return</w:t>
      </w:r>
      <w:r>
        <w:t>, Bundesformular 1040). Dann zeigt sich, ob du zu viel gezahlt hast (Erstattung, bei E-Filing mit Direktüberweisung meist nach wenigen Wochen) oder nachzahlen musst. Steuerklassen gibt es nicht. Die Familiensituation wirkt über den Veranlagungsstatus (</w:t>
      </w:r>
      <w:r>
        <w:rPr>
          <w:i/>
          <w:iCs/>
        </w:rPr>
        <w:t>Filing Status</w:t>
      </w:r>
      <w:r>
        <w:t>).</w:t>
      </w:r>
    </w:p>
    <w:p w14:paraId="5F5EEA40" w14:textId="77777777" w:rsidR="001F7233" w:rsidRDefault="00000000">
      <w:r>
        <w:t>• Dieses Kapitel erklärt das System und rechnet Beispiele. Es ist keine Rechts- oder Steuerberatung. Bei Auslandsvermögen, Einreisejahr, Aktienvergütung und Erbschaften entscheiden Einzelheiten. Lass diese Fälle von einem Steuerexperten prüfen, der auch die deutsche Seite kennt.</w:t>
      </w:r>
    </w:p>
    <w:p w14:paraId="574D7D94" w14:textId="77777777" w:rsidR="001F7233" w:rsidRDefault="001F7233">
      <w:pPr>
        <w:spacing w:line="220" w:lineRule="exact"/>
      </w:pPr>
    </w:p>
    <w:p w14:paraId="52D778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Bundeseinkommensteuer 2026</w:t>
      </w:r>
    </w:p>
    <w:p w14:paraId="2F46CDA0" w14:textId="77777777" w:rsidR="001F7233" w:rsidRDefault="00000000">
      <w:pPr>
        <w:spacing w:after="140"/>
      </w:pPr>
      <w:r>
        <w:t>Die Rechnung ist einfacher als in Deutschland. Vom Bruttoeinkommen ziehst du den Standardabzug (</w:t>
      </w:r>
      <w:r>
        <w:rPr>
          <w:i/>
          <w:iCs/>
        </w:rPr>
        <w:t xml:space="preserve">Standard </w:t>
      </w:r>
      <w:r>
        <w:rPr>
          <w:i/>
          <w:iCs/>
        </w:rPr>
        <w:lastRenderedPageBreak/>
        <w:t>Deduction</w:t>
      </w:r>
      <w:r>
        <w:t>) ab: 2026 sind das 16.100 $ für Einzelpersonen, 32.200 $ für Ehepaare und 24.150 $ für Alleinerziehende (</w:t>
      </w:r>
      <w:r>
        <w:rPr>
          <w:i/>
          <w:iCs/>
        </w:rPr>
        <w:t>Head of Household</w:t>
      </w:r>
      <w:r>
        <w:t>). Nur wenn deine Einzelabzüge (</w:t>
      </w:r>
      <w:r>
        <w:rPr>
          <w:i/>
          <w:iCs/>
        </w:rPr>
        <w:t>Itemized Deductions</w:t>
      </w:r>
      <w:r>
        <w:t>) höher ausfallen, etwa durch Hypothekenzinsen und Grundsteuer, lohnt sich der Einzelnachweis (Kapitel </w:t>
      </w:r>
      <w:hyperlink w:anchor="k14">
        <w:r w:rsidR="001F7233">
          <w:t>14</w:t>
        </w:r>
      </w:hyperlink>
      <w:r>
        <w:t>). Auf den Rest wendest du gestaffelte Sätze an. Einen Freibetrag pro Kopf gibt es nicht. Ehepaare veranlagen sich meist gemeinsam (</w:t>
      </w:r>
      <w:r>
        <w:rPr>
          <w:i/>
          <w:iCs/>
        </w:rPr>
        <w:t>Married Filing Jointly</w:t>
      </w:r>
      <w:r>
        <w:t>, MFJ), auch bei nur einem Einkommen.</w:t>
      </w:r>
    </w:p>
    <w:p w14:paraId="4A4B4F70" w14:textId="77777777" w:rsidR="001F7233" w:rsidRDefault="00000000">
      <w:r>
        <w:rPr>
          <w:b/>
        </w:rPr>
        <w:t>10 %</w:t>
      </w:r>
    </w:p>
    <w:p w14:paraId="46334D22" w14:textId="77777777" w:rsidR="001F7233" w:rsidRDefault="00000000">
      <w:r>
        <w:rPr>
          <w:b/>
        </w:rPr>
        <w:t xml:space="preserve">Einzelperson: zu versteuerndes Einkommen bis (in $): </w:t>
      </w:r>
      <w:r>
        <w:t>12.400</w:t>
      </w:r>
    </w:p>
    <w:p w14:paraId="3922FC33" w14:textId="77777777" w:rsidR="001F7233" w:rsidRDefault="00000000">
      <w:r>
        <w:rPr>
          <w:b/>
        </w:rPr>
        <w:t xml:space="preserve">Ehepaar (MFJ): bis (in $): </w:t>
      </w:r>
      <w:r>
        <w:t>24.800</w:t>
      </w:r>
    </w:p>
    <w:p w14:paraId="0E320B1E" w14:textId="77777777" w:rsidR="001F7233" w:rsidRDefault="00000000">
      <w:r>
        <w:rPr>
          <w:b/>
        </w:rPr>
        <w:t>12 %</w:t>
      </w:r>
    </w:p>
    <w:p w14:paraId="30E14887" w14:textId="77777777" w:rsidR="001F7233" w:rsidRDefault="00000000">
      <w:r>
        <w:rPr>
          <w:b/>
        </w:rPr>
        <w:t xml:space="preserve">Einzelperson: zu versteuerndes Einkommen bis (in $): </w:t>
      </w:r>
      <w:r>
        <w:t>50.400</w:t>
      </w:r>
    </w:p>
    <w:p w14:paraId="4DA83996" w14:textId="77777777" w:rsidR="001F7233" w:rsidRDefault="00000000">
      <w:r>
        <w:rPr>
          <w:b/>
        </w:rPr>
        <w:t xml:space="preserve">Ehepaar (MFJ): bis (in $): </w:t>
      </w:r>
      <w:r>
        <w:t>100.800</w:t>
      </w:r>
    </w:p>
    <w:p w14:paraId="49B60177" w14:textId="77777777" w:rsidR="001F7233" w:rsidRDefault="00000000">
      <w:r>
        <w:rPr>
          <w:b/>
        </w:rPr>
        <w:t>22 %</w:t>
      </w:r>
    </w:p>
    <w:p w14:paraId="66630121" w14:textId="77777777" w:rsidR="001F7233" w:rsidRDefault="00000000">
      <w:r>
        <w:rPr>
          <w:b/>
        </w:rPr>
        <w:t xml:space="preserve">Einzelperson: zu versteuerndes Einkommen bis (in $): </w:t>
      </w:r>
      <w:r>
        <w:t>105.700</w:t>
      </w:r>
    </w:p>
    <w:p w14:paraId="7F2F3317" w14:textId="77777777" w:rsidR="001F7233" w:rsidRDefault="00000000">
      <w:r>
        <w:rPr>
          <w:b/>
        </w:rPr>
        <w:t xml:space="preserve">Ehepaar (MFJ): bis (in $): </w:t>
      </w:r>
      <w:r>
        <w:t>211.400</w:t>
      </w:r>
    </w:p>
    <w:p w14:paraId="50C7ECF8" w14:textId="77777777" w:rsidR="001F7233" w:rsidRDefault="00000000">
      <w:r>
        <w:rPr>
          <w:b/>
        </w:rPr>
        <w:t>24 %</w:t>
      </w:r>
    </w:p>
    <w:p w14:paraId="20DACA6D" w14:textId="77777777" w:rsidR="001F7233" w:rsidRDefault="00000000">
      <w:r>
        <w:rPr>
          <w:b/>
        </w:rPr>
        <w:t xml:space="preserve">Einzelperson: zu versteuerndes Einkommen bis (in $): </w:t>
      </w:r>
      <w:r>
        <w:t>201.775</w:t>
      </w:r>
    </w:p>
    <w:p w14:paraId="04947365" w14:textId="77777777" w:rsidR="001F7233" w:rsidRDefault="00000000">
      <w:r>
        <w:rPr>
          <w:b/>
        </w:rPr>
        <w:t xml:space="preserve">Ehepaar (MFJ): bis (in $): </w:t>
      </w:r>
      <w:r>
        <w:t>403.550</w:t>
      </w:r>
    </w:p>
    <w:p w14:paraId="4E1B9B38" w14:textId="77777777" w:rsidR="001F7233" w:rsidRDefault="00000000">
      <w:r>
        <w:rPr>
          <w:b/>
        </w:rPr>
        <w:t>32 %</w:t>
      </w:r>
    </w:p>
    <w:p w14:paraId="141E8FA9" w14:textId="77777777" w:rsidR="001F7233" w:rsidRDefault="00000000">
      <w:r>
        <w:rPr>
          <w:b/>
        </w:rPr>
        <w:t xml:space="preserve">Einzelperson: zu versteuerndes Einkommen bis (in $): </w:t>
      </w:r>
      <w:r>
        <w:t>256.225</w:t>
      </w:r>
    </w:p>
    <w:p w14:paraId="7379F17A" w14:textId="77777777" w:rsidR="001F7233" w:rsidRDefault="00000000">
      <w:r>
        <w:rPr>
          <w:b/>
        </w:rPr>
        <w:t xml:space="preserve">Ehepaar (MFJ): bis (in $): </w:t>
      </w:r>
      <w:r>
        <w:t>512.450</w:t>
      </w:r>
    </w:p>
    <w:p w14:paraId="2831C02B" w14:textId="77777777" w:rsidR="001F7233" w:rsidRDefault="00000000">
      <w:r>
        <w:rPr>
          <w:b/>
        </w:rPr>
        <w:t>35 %</w:t>
      </w:r>
    </w:p>
    <w:p w14:paraId="17A60C5D" w14:textId="77777777" w:rsidR="001F7233" w:rsidRDefault="00000000">
      <w:r>
        <w:rPr>
          <w:b/>
        </w:rPr>
        <w:t xml:space="preserve">Einzelperson: zu versteuerndes Einkommen bis (in $): </w:t>
      </w:r>
      <w:r>
        <w:t>640.600</w:t>
      </w:r>
    </w:p>
    <w:p w14:paraId="5834FDFC" w14:textId="77777777" w:rsidR="001F7233" w:rsidRDefault="00000000">
      <w:r>
        <w:rPr>
          <w:b/>
        </w:rPr>
        <w:t xml:space="preserve">Ehepaar (MFJ): bis (in $): </w:t>
      </w:r>
      <w:r>
        <w:t>768.700</w:t>
      </w:r>
    </w:p>
    <w:p w14:paraId="0400A137" w14:textId="77777777" w:rsidR="001F7233" w:rsidRDefault="00000000">
      <w:r>
        <w:rPr>
          <w:b/>
        </w:rPr>
        <w:t>37 %</w:t>
      </w:r>
    </w:p>
    <w:p w14:paraId="27356757" w14:textId="77777777" w:rsidR="001F7233" w:rsidRDefault="00000000">
      <w:r>
        <w:rPr>
          <w:b/>
        </w:rPr>
        <w:t xml:space="preserve">Einzelperson: zu versteuerndes Einkommen bis (in $): </w:t>
      </w:r>
      <w:r>
        <w:t>darüber</w:t>
      </w:r>
    </w:p>
    <w:p w14:paraId="46CA3C76" w14:textId="77777777" w:rsidR="001F7233" w:rsidRDefault="001F7233">
      <w:pPr>
        <w:spacing w:line="180" w:lineRule="exact"/>
      </w:pPr>
    </w:p>
    <w:p w14:paraId="577E5C1F" w14:textId="77777777" w:rsidR="001F7233" w:rsidRDefault="00000000">
      <w:pPr>
        <w:spacing w:after="140"/>
      </w:pPr>
      <w:r>
        <w:t>Jeder Satz gilt nur für den Teil des Einkommens in seiner Stufe: Wer 120.000 $ verdient, zahlt nicht 22 % auf alles. Gewinne aus Wertpapieren, die du länger als ein Jahr hältst, werden niedriger besteuert (Einzelperson: 0 % bis 49.450 $, 15 % bis 545.500 $, darüber 20 %).</w:t>
      </w:r>
    </w:p>
    <w:p w14:paraId="25A108A0" w14:textId="77777777" w:rsidR="001F7233" w:rsidRDefault="00000000">
      <w:pPr>
        <w:spacing w:after="140"/>
      </w:pPr>
      <w:r>
        <w:lastRenderedPageBreak/>
        <w:t>Für Kinder gibt es die Kinder-Steuergutschrift (</w:t>
      </w:r>
      <w:r>
        <w:rPr>
          <w:i/>
          <w:iCs/>
        </w:rPr>
        <w:t>Child Tax Credit</w:t>
      </w:r>
      <w:r>
        <w:t>, CTC): 2.200 $ je Kind unter 17 Jahren (2025 und 2026). Bis zu 1.700 $ davon werden auch erstattet, wenn du weniger Steuer schuldest (ab 2.500 $ Erwerbseinkommen). Die volle Höhe gilt bis 200.000 $ Einkommen, für Ehepaare bis 400.000 $. Das Kind muss mehr als ein halbes Jahr bei dir wohnen. Kindergeld im deutschen Sinn ist das nicht. Du erhältst die Gutschrift mit der Erklärung.</w:t>
      </w:r>
    </w:p>
    <w:p w14:paraId="2DD4A32A" w14:textId="77777777" w:rsidR="001F7233" w:rsidRDefault="00000000">
      <w:r>
        <w:rPr>
          <w:b/>
        </w:rPr>
        <w:t xml:space="preserve">ACHTUNG: </w:t>
      </w:r>
    </w:p>
    <w:p w14:paraId="51844F35" w14:textId="77777777" w:rsidR="001F7233" w:rsidRDefault="00000000">
      <w:r>
        <w:t>• Für die Gutschrift brauchen der Steuerzahler und jedes Kind eine SSN, die zur Arbeit berechtigt und vor Fristende ausgestellt wurde; bei gemeinsamer Veranlagung genügt für die Eltern die SSN eines Ehegatten. Kinder von H-1B- und L-1-Beschäftigten (Status H-4 bzw. L-2) erhalten meist nur eine ITIN, die Steuernummer für Ausländer ohne SSN. Für sie gibt es nur 500 $ (Credit for Other Dependents). Bei zwei Kindern fehlen 3.400 $ pro Jahr. Plane die Gutschrift erst ein, wenn die SSN feststeht (</w:t>
      </w:r>
      <w:hyperlink w:anchor="k24">
        <w:r w:rsidR="001F7233">
          <w:rPr>
            <w:color w:val="0563C1"/>
            <w:u w:val="single"/>
          </w:rPr>
          <w:t>Kapitel 24</w:t>
        </w:r>
      </w:hyperlink>
      <w:r>
        <w:t>).</w:t>
      </w:r>
    </w:p>
    <w:p w14:paraId="5BDF92FF" w14:textId="77777777" w:rsidR="001F7233" w:rsidRDefault="001F7233">
      <w:pPr>
        <w:spacing w:line="220" w:lineRule="exact"/>
      </w:pPr>
    </w:p>
    <w:p w14:paraId="2B172C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Gehaltsabrechnung lesen</w:t>
      </w:r>
    </w:p>
    <w:p w14:paraId="330BAD37" w14:textId="77777777" w:rsidR="001F7233" w:rsidRDefault="00000000">
      <w:pPr>
        <w:spacing w:after="140"/>
      </w:pPr>
      <w:r>
        <w:t>Auf der Abrechnung (</w:t>
      </w:r>
      <w:r>
        <w:rPr>
          <w:i/>
          <w:iCs/>
        </w:rPr>
        <w:t>Pay Stub</w:t>
      </w:r>
      <w:r>
        <w:t>) stehen vom Brutto (</w:t>
      </w:r>
      <w:r>
        <w:rPr>
          <w:i/>
          <w:iCs/>
        </w:rPr>
        <w:t>Gross Pay</w:t>
      </w:r>
      <w:r>
        <w:t>) bis zur Auszahlung (</w:t>
      </w:r>
      <w:r>
        <w:rPr>
          <w:i/>
          <w:iCs/>
        </w:rPr>
        <w:t>Net Pay</w:t>
      </w:r>
      <w:r>
        <w:t xml:space="preserve">) alle Abzüge. Die Sozialabgaben heißen </w:t>
      </w:r>
      <w:r>
        <w:rPr>
          <w:i/>
          <w:iCs/>
        </w:rPr>
        <w:t>FICA</w:t>
      </w:r>
      <w:r>
        <w:t xml:space="preserve"> (nach dem Gesetz </w:t>
      </w:r>
      <w:r>
        <w:rPr>
          <w:i/>
          <w:iCs/>
        </w:rPr>
        <w:t>Federal Insurance Contributions Act</w:t>
      </w:r>
      <w:r>
        <w:t>).</w:t>
      </w:r>
    </w:p>
    <w:p w14:paraId="6200DAA4" w14:textId="77777777" w:rsidR="001F7233" w:rsidRDefault="00000000">
      <w:r>
        <w:rPr>
          <w:b/>
        </w:rPr>
        <w:t>Pre-Tax Deductions</w:t>
      </w:r>
    </w:p>
    <w:p w14:paraId="55D0A03E" w14:textId="77777777" w:rsidR="001F7233" w:rsidRDefault="00000000">
      <w:r>
        <w:rPr>
          <w:b/>
        </w:rPr>
        <w:t xml:space="preserve">Bedeutung: </w:t>
      </w:r>
      <w:r>
        <w:t>Abzüge vor der Steuer: 401(k), Krankenversicherung, HSA/FSA</w:t>
      </w:r>
    </w:p>
    <w:p w14:paraId="3FA03C1F" w14:textId="77777777" w:rsidR="001F7233" w:rsidRDefault="00000000">
      <w:r>
        <w:rPr>
          <w:b/>
        </w:rPr>
        <w:t xml:space="preserve">2026: </w:t>
      </w:r>
      <w:r>
        <w:t>mindern das steuerpflichtige Gehalt</w:t>
      </w:r>
    </w:p>
    <w:p w14:paraId="012F43B0" w14:textId="77777777" w:rsidR="001F7233" w:rsidRDefault="00000000">
      <w:r>
        <w:rPr>
          <w:b/>
        </w:rPr>
        <w:t>Federal Income Tax</w:t>
      </w:r>
    </w:p>
    <w:p w14:paraId="0D4462ED" w14:textId="77777777" w:rsidR="001F7233" w:rsidRDefault="00000000">
      <w:r>
        <w:rPr>
          <w:b/>
        </w:rPr>
        <w:t xml:space="preserve">Bedeutung: </w:t>
      </w:r>
      <w:r>
        <w:t>Einbehalt nach deinem W-4</w:t>
      </w:r>
    </w:p>
    <w:p w14:paraId="1393C31E" w14:textId="77777777" w:rsidR="001F7233" w:rsidRDefault="00000000">
      <w:r>
        <w:rPr>
          <w:b/>
        </w:rPr>
        <w:t xml:space="preserve">2026: </w:t>
      </w:r>
      <w:r>
        <w:t>Vorschuss auf die Jahressteuer</w:t>
      </w:r>
    </w:p>
    <w:p w14:paraId="26B10A8A" w14:textId="77777777" w:rsidR="001F7233" w:rsidRDefault="00000000">
      <w:r>
        <w:rPr>
          <w:b/>
        </w:rPr>
        <w:t>Social Security</w:t>
      </w:r>
    </w:p>
    <w:p w14:paraId="70EE078A" w14:textId="77777777" w:rsidR="001F7233" w:rsidRDefault="00000000">
      <w:r>
        <w:rPr>
          <w:b/>
        </w:rPr>
        <w:t xml:space="preserve">Bedeutung: </w:t>
      </w:r>
      <w:r>
        <w:t>Rentenversicherung</w:t>
      </w:r>
    </w:p>
    <w:p w14:paraId="76A4328D" w14:textId="77777777" w:rsidR="001F7233" w:rsidRDefault="00000000">
      <w:r>
        <w:rPr>
          <w:b/>
        </w:rPr>
        <w:t xml:space="preserve">2026: </w:t>
      </w:r>
      <w:r>
        <w:t>6,2 % bis 184.500 $</w:t>
      </w:r>
    </w:p>
    <w:p w14:paraId="143445BC" w14:textId="77777777" w:rsidR="001F7233" w:rsidRDefault="00000000">
      <w:r>
        <w:rPr>
          <w:b/>
        </w:rPr>
        <w:t>Medicare</w:t>
      </w:r>
    </w:p>
    <w:p w14:paraId="3463F02D" w14:textId="77777777" w:rsidR="001F7233" w:rsidRDefault="00000000">
      <w:r>
        <w:rPr>
          <w:b/>
        </w:rPr>
        <w:lastRenderedPageBreak/>
        <w:t xml:space="preserve">Bedeutung: </w:t>
      </w:r>
      <w:r>
        <w:t>Krankenversicherung für Ältere</w:t>
      </w:r>
    </w:p>
    <w:p w14:paraId="7901AEA2" w14:textId="77777777" w:rsidR="001F7233" w:rsidRDefault="00000000">
      <w:r>
        <w:rPr>
          <w:b/>
        </w:rPr>
        <w:t xml:space="preserve">2026: </w:t>
      </w:r>
      <w:r>
        <w:t>1,45 % ohne Grenze; ab 200.000 $ Lohn zusätzlich 0,9 %</w:t>
      </w:r>
    </w:p>
    <w:p w14:paraId="50957735" w14:textId="77777777" w:rsidR="001F7233" w:rsidRDefault="00000000">
      <w:r>
        <w:rPr>
          <w:b/>
        </w:rPr>
        <w:t>State Income Tax</w:t>
      </w:r>
    </w:p>
    <w:p w14:paraId="110B1DEC" w14:textId="77777777" w:rsidR="001F7233" w:rsidRDefault="00000000">
      <w:r>
        <w:rPr>
          <w:b/>
        </w:rPr>
        <w:t xml:space="preserve">Bedeutung: </w:t>
      </w:r>
      <w:r>
        <w:t>Einkommensteuer des Staats</w:t>
      </w:r>
    </w:p>
    <w:p w14:paraId="7287AF43" w14:textId="77777777" w:rsidR="001F7233" w:rsidRDefault="00000000">
      <w:r>
        <w:rPr>
          <w:b/>
        </w:rPr>
        <w:t xml:space="preserve">2026: </w:t>
      </w:r>
      <w:r>
        <w:t>je Staat 0 % bis rund 10 %</w:t>
      </w:r>
    </w:p>
    <w:p w14:paraId="5A5B96F2" w14:textId="77777777" w:rsidR="001F7233" w:rsidRDefault="00000000">
      <w:r>
        <w:rPr>
          <w:b/>
        </w:rPr>
        <w:t>Staatsumlagen</w:t>
      </w:r>
    </w:p>
    <w:p w14:paraId="06BABAA1" w14:textId="77777777" w:rsidR="001F7233" w:rsidRDefault="00000000">
      <w:r>
        <w:rPr>
          <w:b/>
        </w:rPr>
        <w:t xml:space="preserve">Bedeutung: </w:t>
      </w:r>
      <w:r>
        <w:t>Kalifornien SDI (Lohnersatz bei Krankheit); Washington Paid Family &amp; Medical Leave</w:t>
      </w:r>
    </w:p>
    <w:p w14:paraId="44965781" w14:textId="77777777" w:rsidR="001F7233" w:rsidRDefault="00000000">
      <w:r>
        <w:rPr>
          <w:b/>
        </w:rPr>
        <w:t xml:space="preserve">2026: </w:t>
      </w:r>
      <w:r>
        <w:t>CA 1,3 % ohne Deckel; WA 1,13 % bis 184.500 $, davon trägst du etwa 71 %</w:t>
      </w:r>
    </w:p>
    <w:p w14:paraId="56A7BF5C" w14:textId="77777777" w:rsidR="001F7233" w:rsidRDefault="001F7233">
      <w:pPr>
        <w:spacing w:line="180" w:lineRule="exact"/>
      </w:pPr>
    </w:p>
    <w:p w14:paraId="7C6521E8" w14:textId="77777777" w:rsidR="001F7233" w:rsidRDefault="00000000">
      <w:pPr>
        <w:spacing w:after="140"/>
      </w:pPr>
      <w:r>
        <w:t>Der Arbeitgeber zahlt die FICA-Sätze noch einmal. Die Krankenversicherung steckt nicht in FICA, ihre Prämie steht als eigener Abzug (Kapitel </w:t>
      </w:r>
      <w:hyperlink w:anchor="k26">
        <w:r w:rsidR="001F7233">
          <w:t>26</w:t>
        </w:r>
      </w:hyperlink>
      <w:r>
        <w:t>). Die deutschen Sozialabgaben von rund 20–22 % (bis zur Bemessungsgrenze) enthalten dagegen Kranken-, Pflege-, Renten- und Arbeitslosenversicherung. In den USA zahlt stattdessen die Arbeitslosenversicherung der Arbeitgeber. Wer von einem deutschen Arbeitgeber entsandt wird, kann über das Sozialversicherungsabkommen von der US-Sozialversicherung befreit sein (Kapitel </w:t>
      </w:r>
      <w:hyperlink w:anchor="k17">
        <w:r w:rsidR="001F7233">
          <w:t>17</w:t>
        </w:r>
      </w:hyperlink>
      <w:r>
        <w:t xml:space="preserve"> und </w:t>
      </w:r>
      <w:hyperlink w:anchor="k39">
        <w:r w:rsidR="001F7233">
          <w:t>39</w:t>
        </w:r>
      </w:hyperlink>
      <w:r>
        <w:t>).</w:t>
      </w:r>
    </w:p>
    <w:p w14:paraId="4ED2BA4A" w14:textId="77777777" w:rsidR="001F7233" w:rsidRDefault="00000000">
      <w:pPr>
        <w:spacing w:after="140"/>
      </w:pPr>
      <w:r>
        <w:t>Drei Stellen, an denen es Neulinge erwischt:</w:t>
      </w:r>
    </w:p>
    <w:p w14:paraId="05419036" w14:textId="77777777" w:rsidR="001F7233" w:rsidRDefault="00000000">
      <w:pPr>
        <w:pStyle w:val="ListParagraph"/>
        <w:numPr>
          <w:ilvl w:val="0"/>
          <w:numId w:val="1"/>
        </w:numPr>
        <w:spacing w:after="60"/>
      </w:pPr>
      <w:r>
        <w:rPr>
          <w:b/>
          <w:bCs/>
        </w:rPr>
        <w:t>Einbehalt im ersten Jahr:</w:t>
      </w:r>
      <w:r>
        <w:t xml:space="preserve"> Arbeitgeber wenden bei Zugezogenen mitunter die Regeln für Nichtansässige an. Prüfe deinen W-4 und die Sonderregeln dafür (IRS Notice 1392).</w:t>
      </w:r>
    </w:p>
    <w:p w14:paraId="3F462D9A" w14:textId="77777777" w:rsidR="001F7233" w:rsidRDefault="00000000">
      <w:pPr>
        <w:pStyle w:val="ListParagraph"/>
        <w:numPr>
          <w:ilvl w:val="0"/>
          <w:numId w:val="1"/>
        </w:numPr>
        <w:spacing w:after="60"/>
      </w:pPr>
      <w:r>
        <w:rPr>
          <w:b/>
          <w:bCs/>
        </w:rPr>
        <w:t>Bonus und RSUs:</w:t>
      </w:r>
      <w:r>
        <w:t xml:space="preserve"> Auf Sonderzahlungen behält der Arbeitgeber pauschal 22 % Bundessteuer ein. Bei hohem Einkommen ist das zu wenig; die Differenz zahlst du im April. Passe den W-4 an oder zahle vierteljährlich Vorauszahlungen (Form 1040-ES: 15. April, 15. Juni, 15. September, 15. Januar). Zur Aktienvergütung siehe Kapitel </w:t>
      </w:r>
      <w:hyperlink w:anchor="k29">
        <w:r w:rsidR="001F7233">
          <w:t>29</w:t>
        </w:r>
      </w:hyperlink>
      <w:r>
        <w:t>.</w:t>
      </w:r>
    </w:p>
    <w:p w14:paraId="02503974" w14:textId="77777777" w:rsidR="001F7233" w:rsidRDefault="00000000">
      <w:pPr>
        <w:pStyle w:val="ListParagraph"/>
        <w:numPr>
          <w:ilvl w:val="0"/>
          <w:numId w:val="1"/>
        </w:numPr>
        <w:spacing w:after="60"/>
      </w:pPr>
      <w:r>
        <w:rPr>
          <w:b/>
          <w:bCs/>
        </w:rPr>
        <w:t>Umzugskosten:</w:t>
      </w:r>
      <w:r>
        <w:t xml:space="preserve"> Du kannst sie nicht abziehen. Erstattet der Arbeitgeber sie, ist das steuerpflichtiger Lohn, auch wenn er die Steuer darauf übernimmt (</w:t>
      </w:r>
      <w:r>
        <w:rPr>
          <w:i/>
          <w:iCs/>
        </w:rPr>
        <w:t>Gross-up</w:t>
      </w:r>
      <w:r>
        <w:t>).</w:t>
      </w:r>
    </w:p>
    <w:p w14:paraId="5AB8B5B6" w14:textId="77777777" w:rsidR="001F7233" w:rsidRDefault="001F7233">
      <w:pPr>
        <w:spacing w:line="120" w:lineRule="exact"/>
      </w:pPr>
    </w:p>
    <w:p w14:paraId="7B1FE527" w14:textId="77777777" w:rsidR="001F7233" w:rsidRDefault="00000000">
      <w:r>
        <w:rPr>
          <w:b/>
        </w:rPr>
        <w:lastRenderedPageBreak/>
        <w:t xml:space="preserve">SPARTIPP: </w:t>
      </w:r>
    </w:p>
    <w:p w14:paraId="11A6F871" w14:textId="77777777" w:rsidR="001F7233" w:rsidRDefault="00000000">
      <w:r>
        <w:t>• Beiträge zum klassischen 401(k) (2026: bis 24.500 $) und zum HSA (4.400 $ Einzelperson, 8.750 $ Familie) mindern dein steuerpflichtiges Gehalt. Im 22-%-Bereich spart ein Beitrag von 10.000 $ rund 2.200 $ Bundessteuer, dazu kommt die Staatssteuer. Ein Arbeitgeberzuschuss (Match) ist zusätzliches Gehalt (</w:t>
      </w:r>
      <w:hyperlink w:anchor="k29">
        <w:r w:rsidR="001F7233">
          <w:rPr>
            <w:color w:val="0563C1"/>
            <w:u w:val="single"/>
          </w:rPr>
          <w:t>Kapitel 29</w:t>
        </w:r>
      </w:hyperlink>
      <w:r>
        <w:t xml:space="preserve">). Kalifornien und New Jersey besteuern HSA-Beiträge weiterhin auf Staatsebene. Die Konten im Detail: </w:t>
      </w:r>
      <w:hyperlink w:anchor="k39">
        <w:r w:rsidR="001F7233">
          <w:rPr>
            <w:color w:val="0563C1"/>
            <w:u w:val="single"/>
          </w:rPr>
          <w:t>Kapitel 39</w:t>
        </w:r>
      </w:hyperlink>
      <w:r>
        <w:t xml:space="preserve">; die HSA-Regeln: </w:t>
      </w:r>
      <w:hyperlink w:anchor="k26">
        <w:r w:rsidR="001F7233">
          <w:rPr>
            <w:color w:val="0563C1"/>
            <w:u w:val="single"/>
          </w:rPr>
          <w:t>Kapitel 26</w:t>
        </w:r>
      </w:hyperlink>
      <w:r>
        <w:t>.</w:t>
      </w:r>
    </w:p>
    <w:p w14:paraId="4D95B07C" w14:textId="77777777" w:rsidR="001F7233" w:rsidRDefault="001F7233">
      <w:pPr>
        <w:spacing w:line="220" w:lineRule="exact"/>
      </w:pPr>
    </w:p>
    <w:p w14:paraId="02A070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Wann du in den USA steuerpflichtig wirst</w:t>
      </w:r>
    </w:p>
    <w:p w14:paraId="5FF73E85" w14:textId="77777777" w:rsidR="001F7233" w:rsidRDefault="00000000">
      <w:pPr>
        <w:spacing w:after="140"/>
      </w:pPr>
      <w:r>
        <w:t>Verbreiteter Irrtum: Wer nur ein Arbeitsvisum hat, bleibe steuerlich Ausländer und damit von der US-Steuer auf sein Auslandseinkommen verschont. Tatsächlich zählt für die Steuer nicht dein Visum, sondern deine Ansässigkeit. Visum und Status regeln nur, ob du einreisen und arbeiten darfst. Die IRS unterscheidet steuerlich zwei Gruppen.</w:t>
      </w:r>
    </w:p>
    <w:p w14:paraId="2B265D12" w14:textId="77777777" w:rsidR="001F7233" w:rsidRDefault="00000000">
      <w:pPr>
        <w:pStyle w:val="ListParagraph"/>
        <w:numPr>
          <w:ilvl w:val="0"/>
          <w:numId w:val="1"/>
        </w:numPr>
        <w:spacing w:after="60"/>
      </w:pPr>
      <w:r>
        <w:rPr>
          <w:b/>
          <w:bCs/>
        </w:rPr>
        <w:t>Ansässig</w:t>
      </w:r>
      <w:r>
        <w:t xml:space="preserve"> (</w:t>
      </w:r>
      <w:r>
        <w:rPr>
          <w:i/>
          <w:iCs/>
        </w:rPr>
        <w:t>Resident Alien</w:t>
      </w:r>
      <w:r>
        <w:t>): weltweites Einkommen, Form 1040, Standardabzug, Frist 15. April.</w:t>
      </w:r>
    </w:p>
    <w:p w14:paraId="79CD4378" w14:textId="77777777" w:rsidR="001F7233" w:rsidRDefault="00000000">
      <w:pPr>
        <w:pStyle w:val="ListParagraph"/>
        <w:numPr>
          <w:ilvl w:val="0"/>
          <w:numId w:val="1"/>
        </w:numPr>
        <w:spacing w:after="60"/>
      </w:pPr>
      <w:r>
        <w:rPr>
          <w:b/>
          <w:bCs/>
        </w:rPr>
        <w:t>Nichtansässig</w:t>
      </w:r>
      <w:r>
        <w:t xml:space="preserve"> (</w:t>
      </w:r>
      <w:r>
        <w:rPr>
          <w:i/>
          <w:iCs/>
        </w:rPr>
        <w:t>Nonresident Alien</w:t>
      </w:r>
      <w:r>
        <w:t>): nur US-Einkünfte, Form 1040-NR. Löhne werden zu den normalen Sätzen besteuert, Dividenden pauschal mit 30 % oder dem Vertragssatz. Frist: 15. April mit Lohn, 15. Juni ohne Lohn.</w:t>
      </w:r>
    </w:p>
    <w:p w14:paraId="52A23AD1" w14:textId="77777777" w:rsidR="001F7233" w:rsidRDefault="001F7233">
      <w:pPr>
        <w:spacing w:line="120" w:lineRule="exact"/>
      </w:pPr>
    </w:p>
    <w:p w14:paraId="34B7573E" w14:textId="77777777" w:rsidR="001F7233" w:rsidRDefault="00000000">
      <w:pPr>
        <w:spacing w:after="140"/>
      </w:pPr>
      <w:r>
        <w:rPr>
          <w:i/>
          <w:iCs/>
        </w:rPr>
        <w:t xml:space="preserve">Ansässig bist du bei einer von zwei Bedingungen: Der Green-Card-Test macht dich ab dem ersten Tag als Green-Card-Inhaber (LPR) ansässig. Der Substantial Presence Test prüft etwas anderes: Du warst mindestens 31 Tage im laufenden Jahr in den USA und erreichst mindestens 183 gewichtete Tage, nämlich laufendes Jahr × 1 + Vorjahr × ⅓ + Vorvorjahr × ⅙. Beispiele für das Einreisejahr (eigene </w:t>
      </w:r>
      <w:r>
        <w:rPr>
          <w:i/>
          <w:iCs/>
        </w:rPr>
        <w:lastRenderedPageBreak/>
        <w:t>Rechnung): Wer am 1. Juli 2026 einreist, kommt auf 184 Tage und ist ab 1. Juli ansässig. Wer am 1. Oktober 2026 einreist, kommt auf 92 Tage. Diese Person ist 2026 nichtansässig und ab 2027 ansässig.</w:t>
      </w:r>
    </w:p>
    <w:p w14:paraId="789AADE7" w14:textId="77777777" w:rsidR="001F7233" w:rsidRDefault="00000000">
      <w:pPr>
        <w:spacing w:after="140"/>
      </w:pPr>
      <w:r>
        <w:rPr>
          <w:i/>
          <w:iCs/>
        </w:rPr>
        <w:t>Im Jahr der Einreise ergibt sich häufig ein Doppelstatus (Dual-Status): ein Teil des Jahres nichtansässig, ein Teil ansässig. Dann gibt es keinen Standardabzug und meist keine gemeinsame Veranlagung. Unter Bedingungen kannst du wählen, schon ab Einreise als ansässig zu gelten (First-Year Choice). Ob das nützt, rechnet ein Steuerexperte durch.</w:t>
      </w:r>
    </w:p>
    <w:p w14:paraId="610E6297" w14:textId="77777777" w:rsidR="001F7233" w:rsidRDefault="00000000">
      <w:r>
        <w:rPr>
          <w:b/>
        </w:rPr>
        <w:t xml:space="preserve">MERKE: </w:t>
      </w:r>
    </w:p>
    <w:p w14:paraId="7FE91571" w14:textId="77777777" w:rsidR="001F7233" w:rsidRDefault="00000000">
      <w:r>
        <w:t>• Steuerlich zählen Green Card und gezählte Tage, nicht das Visum. Wer ansässig ist, meldet Einkommen und Vermögen weltweit, auch wenn die Steuerlast klein ausfällt.</w:t>
      </w:r>
    </w:p>
    <w:p w14:paraId="2BE8810B" w14:textId="77777777" w:rsidR="001F7233" w:rsidRDefault="001F7233">
      <w:pPr>
        <w:spacing w:line="220" w:lineRule="exact"/>
      </w:pPr>
    </w:p>
    <w:p w14:paraId="11AB598B" w14:textId="77777777" w:rsidR="001F7233" w:rsidRDefault="001F7233">
      <w:pPr>
        <w:spacing w:line="220" w:lineRule="exact"/>
      </w:pPr>
    </w:p>
    <w:p w14:paraId="7596D51A" w14:textId="77777777" w:rsidR="001F7233" w:rsidRDefault="00000000">
      <w:r>
        <w:rPr>
          <w:b/>
        </w:rPr>
        <w:t xml:space="preserve">ACHTUNG: </w:t>
      </w:r>
    </w:p>
    <w:p w14:paraId="367A3BB6" w14:textId="77777777" w:rsidR="001F7233" w:rsidRDefault="00000000">
      <w:r>
        <w:t>• Im Einreisejahr fällt die Steuer oft höher aus als gedacht: kein Standardabzug bei Doppelstatus, falscher Einbehalt im ersten Jahr, komplizierteres Formular. Lege für eine Nachzahlung im April Geld zurück und buche den Steuerexperten früh. Führe außerdem ab dem ersten Tag einen Kalender aller Ein- und Ausreisen, auch von Kurzreisen nach Deutschland.</w:t>
      </w:r>
    </w:p>
    <w:p w14:paraId="0A5172F0" w14:textId="77777777" w:rsidR="001F7233" w:rsidRDefault="001F7233">
      <w:pPr>
        <w:spacing w:line="220" w:lineRule="exact"/>
      </w:pPr>
    </w:p>
    <w:p w14:paraId="71B30F0A" w14:textId="77777777" w:rsidR="001F7233" w:rsidRDefault="00000000">
      <w:pPr>
        <w:spacing w:after="140"/>
      </w:pPr>
      <w:r>
        <w:t>Green-Card-Inhaber bleiben steuerlich ansässig, bis sie den Status aufgeben oder verlieren, auch wenn sie wieder in Deutschland leben (Kapitel </w:t>
      </w:r>
      <w:hyperlink w:anchor="k41">
        <w:r w:rsidR="001F7233">
          <w:t>41</w:t>
        </w:r>
      </w:hyperlink>
      <w:r>
        <w:t xml:space="preserve"> und </w:t>
      </w:r>
      <w:hyperlink w:anchor="k42">
        <w:r w:rsidR="001F7233">
          <w:t>42</w:t>
        </w:r>
      </w:hyperlink>
      <w:r>
        <w:t>). Die Bundesstaaten haben eigene Ansässigkeitsregeln und verlangen bei Zu- oder Wegzug im Jahr oft Teiljahreserklärungen.</w:t>
      </w:r>
    </w:p>
    <w:p w14:paraId="7D54F9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Weltweites Einkommen, Abkommen und Anrechnung</w:t>
      </w:r>
    </w:p>
    <w:p w14:paraId="3FE642A0" w14:textId="77777777" w:rsidR="001F7233" w:rsidRDefault="00000000">
      <w:pPr>
        <w:spacing w:after="140"/>
      </w:pPr>
      <w:r>
        <w:t>Als Ansässiger versteuerst du, was du weltweit verdienst: deutsche Mieten, Zinsen, Dividenden, Kapitalgewinne, Renten. Zwei Bausteine verhindern eine doppelte Belastung.</w:t>
      </w:r>
    </w:p>
    <w:p w14:paraId="7F96D3A8" w14:textId="77777777" w:rsidR="001F7233" w:rsidRDefault="00000000">
      <w:pPr>
        <w:spacing w:after="140"/>
      </w:pPr>
      <w:r>
        <w:rPr>
          <w:i/>
          <w:iCs/>
        </w:rPr>
        <w:t>Der erste ist das Doppelbesteuerungsabkommen (DBA) Deutschland–USA von 1989 (Änderungsprotokoll 2006). Bei doppelter Ansässigkeit entscheidet es nach fester Reihenfolge (Tie-Breaker, Artikel 4): ständige Wohnstätte, Mittelpunkt der Lebensinteressen, gewöhnlicher Aufenthalt, Staatsangehörigkeit, zuletzt eine Verständigung der Behörden. Die Saving Clause (Artikel 1) erlaubt den USA aber, ihre Ansässigen und Bürger trotz Abkommen zu besteuern. Praktisch hilft das DBA vor allem bei Quellensteuern: Dividenden dürfen im Quellenstaat mit höchstens 15 % belegt werden, Zinsen mit 0 %. Private und gesetzliche Renten (Artikel 18) besteuert nur der Wohnsitzstaat.</w:t>
      </w:r>
    </w:p>
    <w:p w14:paraId="5842C493" w14:textId="77777777" w:rsidR="001F7233" w:rsidRDefault="00000000">
      <w:pPr>
        <w:spacing w:after="140"/>
      </w:pPr>
      <w:r>
        <w:t>Der zweite Baustein ist die Anrechnung ausländischer Steuern (</w:t>
      </w:r>
      <w:r>
        <w:rPr>
          <w:i/>
          <w:iCs/>
        </w:rPr>
        <w:t>Foreign Tax Credit</w:t>
      </w:r>
      <w:r>
        <w:t xml:space="preserve">, Form 1116): Bereits gezahlte deutsche Einkommensteuer wird auf die US-Steuer auf dieselben Einkünfte angerechnet, höchstens bis zu deren Höhe. Nicht genutzte Beträge lassen sich ein Jahr zurück- und zehn Jahre vortragen. Der Auslandseinkommen-Ausschluss (132.900 $) gilt nur für Personen mit Wohnsitz im Ausland und hilft dir in den USA nicht. Wer eine deutsche Wohnung vermietet, erklärt die Miete auch in den USA (Formularteil </w:t>
      </w:r>
      <w:r>
        <w:rPr>
          <w:i/>
          <w:iCs/>
        </w:rPr>
        <w:t>Schedule E</w:t>
      </w:r>
      <w:r>
        <w:t>, mit Abschreibung); die deutsche Steuer wird dabei angerechnet. Deutsche Kapitalertragsteuer über dem Abkommenssatz lässt sich beim Bundeszentralamt für Steuern (BZSt) zurückfordern. Wegzug, Kapitalerträge und Immobilien aus deutscher Sicht: Kapitel </w:t>
      </w:r>
      <w:hyperlink w:anchor="k17">
        <w:r w:rsidR="001F7233">
          <w:t>17</w:t>
        </w:r>
      </w:hyperlink>
      <w:r>
        <w:t>.</w:t>
      </w:r>
    </w:p>
    <w:p w14:paraId="147C0E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Meldepflichten für Auslandsvermögen</w:t>
      </w:r>
    </w:p>
    <w:p w14:paraId="764AC893" w14:textId="77777777" w:rsidR="001F7233" w:rsidRDefault="00000000">
      <w:pPr>
        <w:spacing w:after="140"/>
      </w:pPr>
      <w:r>
        <w:t>Neben der Steuer verlangen die USA Meldungen über Vermögen im Ausland, auch wenn darauf keine Steuer anfällt. Ein vergessenes Sparbuch aus Kindertagen mit ein paar hundert Euro Restguthaben zählt dabei genauso wie das Aktiendepot. Die Regel fragt nicht nach der Höhe der Zinsen, sondern nach der bloßen Existenz des Kontos. Vier Meldungen betreffen typische Zuzügler.</w:t>
      </w:r>
    </w:p>
    <w:p w14:paraId="2DFD9A2D" w14:textId="77777777" w:rsidR="001F7233" w:rsidRDefault="00000000">
      <w:r>
        <w:rPr>
          <w:b/>
        </w:rPr>
        <w:t>FBAR (FinCEN 114)</w:t>
      </w:r>
    </w:p>
    <w:p w14:paraId="7510840A" w14:textId="77777777" w:rsidR="001F7233" w:rsidRDefault="00000000">
      <w:r>
        <w:rPr>
          <w:b/>
        </w:rPr>
        <w:t xml:space="preserve">Schwelle: </w:t>
      </w:r>
      <w:r>
        <w:t>Auslandskonten zusammen über 10.000 $ zu irgendeinem Zeitpunkt</w:t>
      </w:r>
    </w:p>
    <w:p w14:paraId="15A66FB8" w14:textId="77777777" w:rsidR="001F7233" w:rsidRDefault="00000000">
      <w:r>
        <w:rPr>
          <w:b/>
        </w:rPr>
        <w:t xml:space="preserve">Frist: </w:t>
      </w:r>
      <w:r>
        <w:t>15. April, automatisch bis 15. Oktober</w:t>
      </w:r>
    </w:p>
    <w:p w14:paraId="2D189187" w14:textId="77777777" w:rsidR="001F7233" w:rsidRDefault="00000000">
      <w:r>
        <w:rPr>
          <w:b/>
        </w:rPr>
        <w:t xml:space="preserve">Strafe (Start): </w:t>
      </w:r>
      <w:r>
        <w:t>nicht vorsätzlich bis 16.536 $; vorsätzlich der höhere Betrag aus 165.353 $ und 50 % des Kontos</w:t>
      </w:r>
    </w:p>
    <w:p w14:paraId="2293BDEA" w14:textId="77777777" w:rsidR="001F7233" w:rsidRDefault="00000000">
      <w:r>
        <w:rPr>
          <w:b/>
        </w:rPr>
        <w:t>Form 8938 (FATCA)</w:t>
      </w:r>
    </w:p>
    <w:p w14:paraId="18E973A1" w14:textId="77777777" w:rsidR="001F7233" w:rsidRDefault="00000000">
      <w:r>
        <w:rPr>
          <w:b/>
        </w:rPr>
        <w:t xml:space="preserve">Schwelle: </w:t>
      </w:r>
      <w:r>
        <w:t>Einzelperson: über 50.000 $ am Jahresende oder 75.000 $ jederzeit; Ehepaar 100.000 $ bzw. 150.000 $</w:t>
      </w:r>
    </w:p>
    <w:p w14:paraId="4F05B51D" w14:textId="77777777" w:rsidR="001F7233" w:rsidRDefault="00000000">
      <w:r>
        <w:rPr>
          <w:b/>
        </w:rPr>
        <w:t xml:space="preserve">Frist: </w:t>
      </w:r>
      <w:r>
        <w:t>mit der Steuererklärung</w:t>
      </w:r>
    </w:p>
    <w:p w14:paraId="2901FA45" w14:textId="77777777" w:rsidR="001F7233" w:rsidRDefault="00000000">
      <w:r>
        <w:rPr>
          <w:b/>
        </w:rPr>
        <w:t xml:space="preserve">Strafe (Start): </w:t>
      </w:r>
      <w:r>
        <w:t>10.000 $, dazu bis 50.000 $</w:t>
      </w:r>
    </w:p>
    <w:p w14:paraId="4BEAEFA6" w14:textId="77777777" w:rsidR="001F7233" w:rsidRDefault="00000000">
      <w:r>
        <w:rPr>
          <w:b/>
        </w:rPr>
        <w:t>Form 8621 (PFIC)</w:t>
      </w:r>
    </w:p>
    <w:p w14:paraId="0EF89131" w14:textId="77777777" w:rsidR="001F7233" w:rsidRDefault="00000000">
      <w:r>
        <w:rPr>
          <w:b/>
        </w:rPr>
        <w:t xml:space="preserve">Schwelle: </w:t>
      </w:r>
      <w:r>
        <w:t>jeder ausländische Fonds; entfällt bis 25.000 $ (Ehepaar 50.000 $) ohne Verkauf</w:t>
      </w:r>
    </w:p>
    <w:p w14:paraId="70E6CF21" w14:textId="77777777" w:rsidR="001F7233" w:rsidRDefault="00000000">
      <w:r>
        <w:rPr>
          <w:b/>
        </w:rPr>
        <w:t xml:space="preserve">Frist: </w:t>
      </w:r>
      <w:r>
        <w:t>mit der Steuererklärung</w:t>
      </w:r>
    </w:p>
    <w:p w14:paraId="61A50605" w14:textId="77777777" w:rsidR="001F7233" w:rsidRDefault="00000000">
      <w:r>
        <w:rPr>
          <w:b/>
        </w:rPr>
        <w:t xml:space="preserve">Strafe (Start): </w:t>
      </w:r>
      <w:r>
        <w:t>Steuer zum Höchstsatz plus Zinsen</w:t>
      </w:r>
    </w:p>
    <w:p w14:paraId="12E4D05A" w14:textId="77777777" w:rsidR="001F7233" w:rsidRDefault="00000000">
      <w:r>
        <w:rPr>
          <w:b/>
        </w:rPr>
        <w:t>Form 3520</w:t>
      </w:r>
    </w:p>
    <w:p w14:paraId="6F19BAB3" w14:textId="77777777" w:rsidR="001F7233" w:rsidRDefault="00000000">
      <w:r>
        <w:rPr>
          <w:b/>
        </w:rPr>
        <w:t xml:space="preserve">Schwelle: </w:t>
      </w:r>
      <w:r>
        <w:t>Erbschaft oder Schenkung von Ausländern über 100.000 $ im Jahr</w:t>
      </w:r>
    </w:p>
    <w:p w14:paraId="491C5319" w14:textId="77777777" w:rsidR="001F7233" w:rsidRDefault="00000000">
      <w:r>
        <w:rPr>
          <w:b/>
        </w:rPr>
        <w:t xml:space="preserve">Frist: </w:t>
      </w:r>
      <w:r>
        <w:t>mit der Steuererklärung</w:t>
      </w:r>
    </w:p>
    <w:p w14:paraId="5EACB97A" w14:textId="77777777" w:rsidR="001F7233" w:rsidRDefault="00000000">
      <w:r>
        <w:rPr>
          <w:b/>
        </w:rPr>
        <w:t xml:space="preserve">Strafe (Start): </w:t>
      </w:r>
      <w:r>
        <w:t>5 % je Monat, höchstens 25 %</w:t>
      </w:r>
    </w:p>
    <w:p w14:paraId="23545D88" w14:textId="77777777" w:rsidR="001F7233" w:rsidRDefault="001F7233">
      <w:pPr>
        <w:spacing w:line="180" w:lineRule="exact"/>
      </w:pPr>
    </w:p>
    <w:p w14:paraId="7694E692" w14:textId="77777777" w:rsidR="001F7233" w:rsidRDefault="00000000">
      <w:pPr>
        <w:spacing w:after="140"/>
      </w:pPr>
      <w:r>
        <w:t>Die FBAR-Beträge stammen von Januar 2025 und gelten nach einer Vorgabe des Weißen Hauses auch für 2026 unverändert.</w:t>
      </w:r>
    </w:p>
    <w:p w14:paraId="495E69C5" w14:textId="77777777" w:rsidR="001F7233" w:rsidRDefault="00000000">
      <w:r>
        <w:rPr>
          <w:b/>
        </w:rPr>
        <w:t xml:space="preserve">ACHTUNG: </w:t>
      </w:r>
    </w:p>
    <w:p w14:paraId="460C98C9" w14:textId="77777777" w:rsidR="001F7233" w:rsidRDefault="00000000">
      <w:r>
        <w:lastRenderedPageBreak/>
        <w:t>• Die FBAR ist keine Steuererklärung, sondern eine eigene elektronische Meldung an die Behörde FinCEN. Gezählt wird die Summe der Höchststände aller Auslandskonten: Girokonto, Tagesgeld, Depot, Bausparvertrag, oft auch Versicherungen mit Barwert. Schon 6.000 € auf dem Giro- und 5.000 € auf dem Tagesgeldkonto liegen über der Grenze. Melde jedes Jahr, auch bei winzigen Zinsen. Nach dem Urteil Bittner v. United States (2023) gilt die Strafe für nicht vorsätzliche Fehler je Bericht, nicht je Konto. Wer Versäumnisse entdeckt, holt deshalb vor einer Nachmeldung Rat bei einem auf Auslandsfälle spezialisierten Steuerexperten oder Anwalt.</w:t>
      </w:r>
    </w:p>
    <w:p w14:paraId="6C4E3846" w14:textId="77777777" w:rsidR="001F7233" w:rsidRDefault="001F7233">
      <w:pPr>
        <w:spacing w:line="220" w:lineRule="exact"/>
      </w:pPr>
    </w:p>
    <w:p w14:paraId="0FD1CCCB" w14:textId="77777777" w:rsidR="001F7233" w:rsidRDefault="00000000">
      <w:r>
        <w:rPr>
          <w:b/>
        </w:rPr>
        <w:t xml:space="preserve">ACHTUNG: </w:t>
      </w:r>
    </w:p>
    <w:p w14:paraId="7EAA48DB" w14:textId="77777777" w:rsidR="001F7233" w:rsidRDefault="00000000">
      <w:r>
        <w:t>• FATCA wirkt in zwei Richtungen. Deutsche Banken melden Konten von US-Personen über das BZSt an die IRS und fragen dafür nach deiner Steuer-Identifikationsnummer, in den USA der SSN. Ergänzend reichst du Form 8938 mit der Steuererklärung ein. Sie ersetzt die FBAR nicht, beide können gleichzeitig nötig sein. Erfasst sind Konten, Wertpapiere und Versicherungen mit Barwert, nicht aber eine direkt gehaltene Immobilie in Deutschland. Fehlt ein Formular, kann die Verjährung für die gesamte Erklärung offen bleiben.</w:t>
      </w:r>
    </w:p>
    <w:p w14:paraId="65B9F3D7" w14:textId="77777777" w:rsidR="001F7233" w:rsidRDefault="001F7233">
      <w:pPr>
        <w:spacing w:line="220" w:lineRule="exact"/>
      </w:pPr>
    </w:p>
    <w:p w14:paraId="29CC69BB" w14:textId="77777777" w:rsidR="001F7233" w:rsidRDefault="00000000">
      <w:r>
        <w:rPr>
          <w:b/>
        </w:rPr>
        <w:t xml:space="preserve">ACHTUNG: </w:t>
      </w:r>
    </w:p>
    <w:p w14:paraId="2200F09E" w14:textId="77777777" w:rsidR="001F7233" w:rsidRDefault="00000000">
      <w:r>
        <w:t>• Deutsche Fonds und ETFs gelten für US-Steuerpflichtige in der Regel als PFIC (Passive Foreign Investment Company, passive ausländische Kapitalgesellschaft). Im Standardregime werden Gewinne und Ausschüttungen auf die Haltejahre verteilt und ältere Jahre zum Höchstsatz plus Zinsen besteuert. Der günstige Kapitalgewinnsatz entfällt dabei. Die Alternativen (laufende Versteuerung per QEF-Wahl, jährliche Bewertung per Mark-to-Market) scheitern bei deutschen Fonds oft an fehlenden Unterlagen oder der Börsenzulassung. Kläre deshalb vor dem Zuzug, ob du Fonds verkaufst (deutsche Steuer vorher prüfen), und kaufe danach nur in den USA aufgelegte ETFs (</w:t>
      </w:r>
      <w:hyperlink w:anchor="k17">
        <w:r w:rsidR="001F7233">
          <w:rPr>
            <w:color w:val="0563C1"/>
            <w:u w:val="single"/>
          </w:rPr>
          <w:t>Kapitel 17</w:t>
        </w:r>
      </w:hyperlink>
      <w:r>
        <w:t xml:space="preserve"> und 39).</w:t>
      </w:r>
    </w:p>
    <w:p w14:paraId="191BB465" w14:textId="77777777" w:rsidR="001F7233" w:rsidRDefault="001F7233">
      <w:pPr>
        <w:spacing w:line="220" w:lineRule="exact"/>
      </w:pPr>
    </w:p>
    <w:p w14:paraId="56E435BF" w14:textId="77777777" w:rsidR="001F7233" w:rsidRDefault="00000000">
      <w:pPr>
        <w:spacing w:after="140"/>
      </w:pPr>
      <w:r>
        <w:lastRenderedPageBreak/>
        <w:t>Bei Form 3520 fällt meist keine US-Steuer an; die Meldung ist trotzdem Pflicht. Für Riester, Rürup, Kapitallebensversicherung und Bausparvertrag gibt es keine eindeutige IRS-Leitlinie: Behandle sie als Einzelfall für einen Berater mit Auslandserfahrung.</w:t>
      </w:r>
    </w:p>
    <w:p w14:paraId="0BEEBC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Bundesstaaten und Kommunen: Was du zusätzlich zahlst</w:t>
      </w:r>
    </w:p>
    <w:p w14:paraId="60D29016" w14:textId="77777777" w:rsidR="001F7233" w:rsidRDefault="00000000">
      <w:pPr>
        <w:spacing w:after="140"/>
      </w:pPr>
      <w:r>
        <w:t>Das regelt jeder Bundesstaat selbst. Die Tabelle zeigt neun Beispiele (2026). Die Sales Tax ist der Durchschnitt aus Staats- und Ortssätzen (Stand 1. Juli 2026), die Grundsteuer der effektive Jahressatz in Prozent des Hauswerts (Spannen aus Census-Daten 2024).</w:t>
      </w:r>
    </w:p>
    <w:p w14:paraId="08EE7A7B" w14:textId="77777777" w:rsidR="001F7233" w:rsidRDefault="00000000">
      <w:r>
        <w:rPr>
          <w:b/>
        </w:rPr>
        <w:t>Texas</w:t>
      </w:r>
    </w:p>
    <w:p w14:paraId="3FDD7608" w14:textId="77777777" w:rsidR="001F7233" w:rsidRDefault="00000000">
      <w:r>
        <w:rPr>
          <w:b/>
        </w:rPr>
        <w:t xml:space="preserve">Einkommensteuer: </w:t>
      </w:r>
      <w:r>
        <w:t>keine</w:t>
      </w:r>
    </w:p>
    <w:p w14:paraId="2E05F756" w14:textId="77777777" w:rsidR="001F7233" w:rsidRDefault="00000000">
      <w:r>
        <w:rPr>
          <w:b/>
        </w:rPr>
        <w:t xml:space="preserve">Sales Tax: </w:t>
      </w:r>
      <w:r>
        <w:t>8,20 %</w:t>
      </w:r>
    </w:p>
    <w:p w14:paraId="35EE5D55" w14:textId="77777777" w:rsidR="001F7233" w:rsidRDefault="00000000">
      <w:r>
        <w:rPr>
          <w:b/>
        </w:rPr>
        <w:t xml:space="preserve">Grundsteuer: </w:t>
      </w:r>
      <w:r>
        <w:t>1,2–1,5 %</w:t>
      </w:r>
    </w:p>
    <w:p w14:paraId="147F5D79" w14:textId="77777777" w:rsidR="001F7233" w:rsidRDefault="00000000">
      <w:r>
        <w:rPr>
          <w:b/>
        </w:rPr>
        <w:t>Washington</w:t>
      </w:r>
    </w:p>
    <w:p w14:paraId="7531AB64" w14:textId="77777777" w:rsidR="001F7233" w:rsidRDefault="00000000">
      <w:r>
        <w:rPr>
          <w:b/>
        </w:rPr>
        <w:t xml:space="preserve">Einkommensteuer: </w:t>
      </w:r>
      <w:r>
        <w:t>keine auf Löhne</w:t>
      </w:r>
    </w:p>
    <w:p w14:paraId="0D8923A0" w14:textId="77777777" w:rsidR="001F7233" w:rsidRDefault="00000000">
      <w:r>
        <w:rPr>
          <w:b/>
        </w:rPr>
        <w:t xml:space="preserve">Sales Tax: </w:t>
      </w:r>
      <w:r>
        <w:t>9,57 %</w:t>
      </w:r>
    </w:p>
    <w:p w14:paraId="6128742F" w14:textId="77777777" w:rsidR="001F7233" w:rsidRDefault="00000000">
      <w:r>
        <w:rPr>
          <w:b/>
        </w:rPr>
        <w:t xml:space="preserve">Grundsteuer: </w:t>
      </w:r>
      <w:r>
        <w:t>0,7–0,8 %</w:t>
      </w:r>
    </w:p>
    <w:p w14:paraId="67FE1EB7" w14:textId="77777777" w:rsidR="001F7233" w:rsidRDefault="00000000">
      <w:r>
        <w:rPr>
          <w:b/>
        </w:rPr>
        <w:t>Florida</w:t>
      </w:r>
    </w:p>
    <w:p w14:paraId="1AED450C" w14:textId="77777777" w:rsidR="001F7233" w:rsidRDefault="00000000">
      <w:r>
        <w:rPr>
          <w:b/>
        </w:rPr>
        <w:t xml:space="preserve">Einkommensteuer: </w:t>
      </w:r>
      <w:r>
        <w:t>keine</w:t>
      </w:r>
    </w:p>
    <w:p w14:paraId="1B7EACC9" w14:textId="77777777" w:rsidR="001F7233" w:rsidRDefault="00000000">
      <w:r>
        <w:rPr>
          <w:b/>
        </w:rPr>
        <w:t xml:space="preserve">Sales Tax: </w:t>
      </w:r>
      <w:r>
        <w:t>6,98 %</w:t>
      </w:r>
    </w:p>
    <w:p w14:paraId="65B7632C" w14:textId="77777777" w:rsidR="001F7233" w:rsidRDefault="00000000">
      <w:r>
        <w:rPr>
          <w:b/>
        </w:rPr>
        <w:t xml:space="preserve">Grundsteuer: </w:t>
      </w:r>
      <w:r>
        <w:t>0,8 %</w:t>
      </w:r>
    </w:p>
    <w:p w14:paraId="47648C1D" w14:textId="77777777" w:rsidR="001F7233" w:rsidRDefault="00000000">
      <w:r>
        <w:rPr>
          <w:b/>
        </w:rPr>
        <w:t>Arizona</w:t>
      </w:r>
    </w:p>
    <w:p w14:paraId="77601B69" w14:textId="77777777" w:rsidR="001F7233" w:rsidRDefault="00000000">
      <w:r>
        <w:rPr>
          <w:b/>
        </w:rPr>
        <w:t xml:space="preserve">Einkommensteuer: </w:t>
      </w:r>
      <w:r>
        <w:t>2,5 % flach</w:t>
      </w:r>
    </w:p>
    <w:p w14:paraId="3D08740B" w14:textId="77777777" w:rsidR="001F7233" w:rsidRDefault="00000000">
      <w:r>
        <w:rPr>
          <w:b/>
        </w:rPr>
        <w:t xml:space="preserve">Sales Tax: </w:t>
      </w:r>
      <w:r>
        <w:t>8,54 %</w:t>
      </w:r>
    </w:p>
    <w:p w14:paraId="0858AF3A" w14:textId="77777777" w:rsidR="001F7233" w:rsidRDefault="00000000">
      <w:r>
        <w:rPr>
          <w:b/>
        </w:rPr>
        <w:t xml:space="preserve">Grundsteuer: </w:t>
      </w:r>
      <w:r>
        <w:t>0,4 %</w:t>
      </w:r>
    </w:p>
    <w:p w14:paraId="4D4706C2" w14:textId="77777777" w:rsidR="001F7233" w:rsidRDefault="00000000">
      <w:r>
        <w:rPr>
          <w:b/>
        </w:rPr>
        <w:t>North Carolina</w:t>
      </w:r>
    </w:p>
    <w:p w14:paraId="38DB0D47" w14:textId="77777777" w:rsidR="001F7233" w:rsidRDefault="00000000">
      <w:r>
        <w:rPr>
          <w:b/>
        </w:rPr>
        <w:t xml:space="preserve">Einkommensteuer: </w:t>
      </w:r>
      <w:r>
        <w:t>3,99 % flach</w:t>
      </w:r>
    </w:p>
    <w:p w14:paraId="46993D9A" w14:textId="77777777" w:rsidR="001F7233" w:rsidRDefault="00000000">
      <w:r>
        <w:rPr>
          <w:b/>
        </w:rPr>
        <w:t xml:space="preserve">Sales Tax: </w:t>
      </w:r>
      <w:r>
        <w:t>7,10 %</w:t>
      </w:r>
    </w:p>
    <w:p w14:paraId="7FDD0A7E" w14:textId="77777777" w:rsidR="001F7233" w:rsidRDefault="00000000">
      <w:r>
        <w:rPr>
          <w:b/>
        </w:rPr>
        <w:t xml:space="preserve">Grundsteuer: </w:t>
      </w:r>
      <w:r>
        <w:t>0,6 %</w:t>
      </w:r>
    </w:p>
    <w:p w14:paraId="5DE883E6" w14:textId="77777777" w:rsidR="001F7233" w:rsidRDefault="00000000">
      <w:r>
        <w:rPr>
          <w:b/>
        </w:rPr>
        <w:t>Michigan</w:t>
      </w:r>
    </w:p>
    <w:p w14:paraId="3C18FFC6" w14:textId="77777777" w:rsidR="001F7233" w:rsidRDefault="00000000">
      <w:r>
        <w:rPr>
          <w:b/>
        </w:rPr>
        <w:lastRenderedPageBreak/>
        <w:t xml:space="preserve">Einkommensteuer: </w:t>
      </w:r>
      <w:r>
        <w:t>4,25 % flach, dazu Stadtsteuern</w:t>
      </w:r>
    </w:p>
    <w:p w14:paraId="26191404" w14:textId="77777777" w:rsidR="001F7233" w:rsidRDefault="00000000">
      <w:r>
        <w:rPr>
          <w:b/>
        </w:rPr>
        <w:t xml:space="preserve">Sales Tax: </w:t>
      </w:r>
      <w:r>
        <w:t>6,00 %</w:t>
      </w:r>
    </w:p>
    <w:p w14:paraId="2B21A310" w14:textId="77777777" w:rsidR="001F7233" w:rsidRDefault="00000000">
      <w:r>
        <w:rPr>
          <w:b/>
        </w:rPr>
        <w:t xml:space="preserve">Grundsteuer: </w:t>
      </w:r>
      <w:r>
        <w:t>1,1–1,2 %</w:t>
      </w:r>
    </w:p>
    <w:p w14:paraId="44796CD6" w14:textId="77777777" w:rsidR="001F7233" w:rsidRDefault="00000000">
      <w:r>
        <w:rPr>
          <w:b/>
        </w:rPr>
        <w:t>Illinois</w:t>
      </w:r>
    </w:p>
    <w:p w14:paraId="01512749" w14:textId="77777777" w:rsidR="001F7233" w:rsidRDefault="00000000">
      <w:r>
        <w:rPr>
          <w:b/>
        </w:rPr>
        <w:t xml:space="preserve">Einkommensteuer: </w:t>
      </w:r>
      <w:r>
        <w:t>4,95 % flach</w:t>
      </w:r>
    </w:p>
    <w:p w14:paraId="215CD152" w14:textId="77777777" w:rsidR="001F7233" w:rsidRDefault="00000000">
      <w:r>
        <w:rPr>
          <w:b/>
        </w:rPr>
        <w:t xml:space="preserve">Sales Tax: </w:t>
      </w:r>
      <w:r>
        <w:t>8,98 %</w:t>
      </w:r>
    </w:p>
    <w:p w14:paraId="00D6FA4E" w14:textId="77777777" w:rsidR="001F7233" w:rsidRDefault="00000000">
      <w:r>
        <w:rPr>
          <w:b/>
        </w:rPr>
        <w:t xml:space="preserve">Grundsteuer: </w:t>
      </w:r>
      <w:r>
        <w:t>1,8–2,0 %</w:t>
      </w:r>
    </w:p>
    <w:p w14:paraId="524D3433" w14:textId="77777777" w:rsidR="001F7233" w:rsidRDefault="00000000">
      <w:r>
        <w:rPr>
          <w:b/>
        </w:rPr>
        <w:t>New Jersey</w:t>
      </w:r>
    </w:p>
    <w:p w14:paraId="76D87103" w14:textId="77777777" w:rsidR="001F7233" w:rsidRDefault="00000000">
      <w:r>
        <w:rPr>
          <w:b/>
        </w:rPr>
        <w:t xml:space="preserve">Einkommensteuer: </w:t>
      </w:r>
      <w:r>
        <w:t>bis 10,75 %</w:t>
      </w:r>
    </w:p>
    <w:p w14:paraId="68748409" w14:textId="77777777" w:rsidR="001F7233" w:rsidRDefault="00000000">
      <w:r>
        <w:rPr>
          <w:b/>
        </w:rPr>
        <w:t xml:space="preserve">Sales Tax: </w:t>
      </w:r>
      <w:r>
        <w:t>6,60 %</w:t>
      </w:r>
    </w:p>
    <w:p w14:paraId="58FA4886" w14:textId="77777777" w:rsidR="001F7233" w:rsidRDefault="00000000">
      <w:r>
        <w:rPr>
          <w:b/>
        </w:rPr>
        <w:t xml:space="preserve">Grundsteuer: </w:t>
      </w:r>
      <w:r>
        <w:t>1,7–1,9 %</w:t>
      </w:r>
    </w:p>
    <w:p w14:paraId="14BD352B" w14:textId="77777777" w:rsidR="001F7233" w:rsidRDefault="00000000">
      <w:r>
        <w:rPr>
          <w:b/>
        </w:rPr>
        <w:t>Kalifornien</w:t>
      </w:r>
    </w:p>
    <w:p w14:paraId="39AD6918" w14:textId="77777777" w:rsidR="001F7233" w:rsidRDefault="00000000">
      <w:r>
        <w:rPr>
          <w:b/>
        </w:rPr>
        <w:t xml:space="preserve">Einkommensteuer: </w:t>
      </w:r>
      <w:r>
        <w:t>1–12,3 % (+1 % ab 1 Mio. $), dazu SDI 1,3 %</w:t>
      </w:r>
    </w:p>
    <w:p w14:paraId="4CA59995" w14:textId="77777777" w:rsidR="001F7233" w:rsidRDefault="00000000">
      <w:r>
        <w:rPr>
          <w:b/>
        </w:rPr>
        <w:t xml:space="preserve">Sales Tax: </w:t>
      </w:r>
      <w:r>
        <w:t>9,03 %</w:t>
      </w:r>
    </w:p>
    <w:p w14:paraId="0801B722" w14:textId="77777777" w:rsidR="001F7233" w:rsidRDefault="00000000">
      <w:r>
        <w:rPr>
          <w:b/>
        </w:rPr>
        <w:t xml:space="preserve">Grundsteuer: </w:t>
      </w:r>
      <w:r>
        <w:t>0,7–0,8 %</w:t>
      </w:r>
    </w:p>
    <w:p w14:paraId="44DB4A33" w14:textId="77777777" w:rsidR="001F7233" w:rsidRDefault="001F7233">
      <w:pPr>
        <w:spacing w:line="180" w:lineRule="exact"/>
      </w:pPr>
    </w:p>
    <w:p w14:paraId="2BBA5EDF" w14:textId="77777777" w:rsidR="001F7233" w:rsidRDefault="00000000">
      <w:pPr>
        <w:spacing w:after="140"/>
      </w:pPr>
      <w:r>
        <w:t>Ohne Einkommensteuer heißt nicht steuerfrei. Texas gleicht das über hohe Grundsteuern aus. Washington hat eine der höchsten Verkaufssteuern, seit 1. Oktober 2025 auch auf viele Dienstleistungen. Zudem besteuert Washington Kapitalgewinne (7 %, über 1 Mio. $ Gewinn 9,9 %; Immobilien und Altersvorsorge ausgenommen). Eine Einkommensteuer von 9,9 % auf Einkommen über 1 Mio. $ ab 2028 ist beschlossen; eine Klage wird erwartet, der Ausgang ist offen.</w:t>
      </w:r>
    </w:p>
    <w:p w14:paraId="27D64A69" w14:textId="77777777" w:rsidR="001F7233" w:rsidRDefault="00000000">
      <w:pPr>
        <w:spacing w:after="140"/>
      </w:pPr>
      <w:r>
        <w:t xml:space="preserve">Die </w:t>
      </w:r>
      <w:r>
        <w:rPr>
          <w:i/>
          <w:iCs/>
        </w:rPr>
        <w:t>Sales Tax</w:t>
      </w:r>
      <w:r>
        <w:t xml:space="preserve"> steht nicht im Preis: Die Kasse rechnet sie obendrauf. Die Sätze reichen von 0 % (Delaware, Montana, New Hampshire, Oregon) bis gut 10 % (Louisiana im Durchschnitt 10,13 %). Ob Lebensmittel und Medikamente ermäßigt sind, entscheidet der Staat. Bei den Ortssteuern lohnt der Blick auf Stadt und Landkreis: Michigan erlaubt Städten eine Einkommensteuer, Einwohner zahlen 1–2,4 % (Detroit 2,4 %), Pendler etwa die Hälfte. Ähnliches gilt in Ohio (meist 1–3 %, oft am Arbeitsort), Pennsylvania, Maryland und Indiana. New York City erhebt grob 3–4 %. Die Grundsteuer hängt von Landkreis, Bewertung und Freibeträgen ab; Neukäufer zahlen </w:t>
      </w:r>
      <w:r>
        <w:lastRenderedPageBreak/>
        <w:t>oft mehr als langjährige Nachbarn (Kapitel </w:t>
      </w:r>
      <w:hyperlink w:anchor="k14">
        <w:r w:rsidR="001F7233">
          <w:t>14</w:t>
        </w:r>
      </w:hyperlink>
      <w:r>
        <w:t>). Ein Steuervorteil kann durch höhere Wohnkosten aufgezehrt werden (Kapitel </w:t>
      </w:r>
      <w:hyperlink w:anchor="k12">
        <w:r w:rsidR="001F7233">
          <w:t>12</w:t>
        </w:r>
      </w:hyperlink>
      <w:r>
        <w:t>).</w:t>
      </w:r>
    </w:p>
    <w:p w14:paraId="62F156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Beispielrechnung: Von brutto zu netto</w:t>
      </w:r>
    </w:p>
    <w:p w14:paraId="5F9E4961" w14:textId="77777777" w:rsidR="001F7233" w:rsidRDefault="00000000">
      <w:pPr>
        <w:spacing w:after="140"/>
      </w:pPr>
      <w:r>
        <w:t>Die Rechnung ist eine Näherung für 2026. Annahmen: ein ganzes Jahr ansässig, nur Standardabzug, kein 401(k), kein HSA, keine Prämie für die Krankenversicherung, keine Miete, keine Kinderbetreuung.</w:t>
      </w:r>
    </w:p>
    <w:p w14:paraId="5671FA0F" w14:textId="77777777" w:rsidR="001F7233" w:rsidRDefault="00000000">
      <w:pPr>
        <w:spacing w:after="140"/>
      </w:pPr>
      <w:r>
        <w:rPr>
          <w:b/>
          <w:bCs/>
        </w:rPr>
        <w:t>Einzelperson mit 120.000 $.</w:t>
      </w:r>
      <w:r>
        <w:t xml:space="preserve"> Bund: 120.000 − 16.100 = 103.900 $ zu versteuern. 10 % auf 12.400 $ (1.240 $) + 12 % auf 38.000 $ (4.560 $) + 22 % auf 53.500 $ (11.770 $) ergeben 17.570 $. FICA: 7,65 % = 9.180 $. Staat: Texas 0 $. Washington nur Umlagen: Pflegeabgabe </w:t>
      </w:r>
      <w:r>
        <w:rPr>
          <w:i/>
          <w:iCs/>
        </w:rPr>
        <w:t>WA Cares</w:t>
      </w:r>
      <w:r>
        <w:t xml:space="preserve"> 696 $ + Family Leave 969 $. Michigan: (120.000 − 5.800 $ Freibetrag) × 4,25 % = 4.854 $. Kalifornien: 6.915 $ Steuer nach Abzügen plus 1.560 $ SDI.</w:t>
      </w:r>
    </w:p>
    <w:p w14:paraId="6D92F9E6" w14:textId="77777777" w:rsidR="001F7233" w:rsidRDefault="00000000">
      <w:r>
        <w:rPr>
          <w:b/>
        </w:rPr>
        <w:t>Texas</w:t>
      </w:r>
    </w:p>
    <w:p w14:paraId="3A89CE56" w14:textId="77777777" w:rsidR="001F7233" w:rsidRDefault="00000000">
      <w:r>
        <w:rPr>
          <w:b/>
        </w:rPr>
        <w:t xml:space="preserve">Bund + FICA (in $): </w:t>
      </w:r>
      <w:r>
        <w:t>26.750</w:t>
      </w:r>
    </w:p>
    <w:p w14:paraId="53BD94BB" w14:textId="77777777" w:rsidR="001F7233" w:rsidRDefault="00000000">
      <w:r>
        <w:rPr>
          <w:b/>
        </w:rPr>
        <w:t xml:space="preserve">Staat (in $): </w:t>
      </w:r>
      <w:r>
        <w:t>0</w:t>
      </w:r>
    </w:p>
    <w:p w14:paraId="2AFF9B75" w14:textId="77777777" w:rsidR="001F7233" w:rsidRDefault="00000000">
      <w:r>
        <w:rPr>
          <w:b/>
        </w:rPr>
        <w:t xml:space="preserve">Netto (in $, Anteil): </w:t>
      </w:r>
      <w:r>
        <w:t>93.250 (77,7 %)</w:t>
      </w:r>
    </w:p>
    <w:p w14:paraId="2AFBA2F5" w14:textId="77777777" w:rsidR="001F7233" w:rsidRDefault="00000000">
      <w:r>
        <w:rPr>
          <w:b/>
        </w:rPr>
        <w:t>Washington</w:t>
      </w:r>
    </w:p>
    <w:p w14:paraId="12A76779" w14:textId="77777777" w:rsidR="001F7233" w:rsidRDefault="00000000">
      <w:r>
        <w:rPr>
          <w:b/>
        </w:rPr>
        <w:t xml:space="preserve">Bund + FICA (in $): </w:t>
      </w:r>
      <w:r>
        <w:t>26.750</w:t>
      </w:r>
    </w:p>
    <w:p w14:paraId="3B3957F6" w14:textId="77777777" w:rsidR="001F7233" w:rsidRDefault="00000000">
      <w:r>
        <w:rPr>
          <w:b/>
        </w:rPr>
        <w:t xml:space="preserve">Staat (in $): </w:t>
      </w:r>
      <w:r>
        <w:t>1.665</w:t>
      </w:r>
    </w:p>
    <w:p w14:paraId="21F04B64" w14:textId="77777777" w:rsidR="001F7233" w:rsidRDefault="00000000">
      <w:r>
        <w:rPr>
          <w:b/>
        </w:rPr>
        <w:t xml:space="preserve">Netto (in $, Anteil): </w:t>
      </w:r>
      <w:r>
        <w:t>91.585 (76,3 %)</w:t>
      </w:r>
    </w:p>
    <w:p w14:paraId="1A88F8B2" w14:textId="77777777" w:rsidR="001F7233" w:rsidRDefault="00000000">
      <w:r>
        <w:rPr>
          <w:b/>
        </w:rPr>
        <w:t>Michigan</w:t>
      </w:r>
    </w:p>
    <w:p w14:paraId="13B99571" w14:textId="77777777" w:rsidR="001F7233" w:rsidRDefault="00000000">
      <w:r>
        <w:rPr>
          <w:b/>
        </w:rPr>
        <w:t xml:space="preserve">Bund + FICA (in $): </w:t>
      </w:r>
      <w:r>
        <w:t>26.750</w:t>
      </w:r>
    </w:p>
    <w:p w14:paraId="51A6BC2F" w14:textId="77777777" w:rsidR="001F7233" w:rsidRDefault="00000000">
      <w:r>
        <w:rPr>
          <w:b/>
        </w:rPr>
        <w:t xml:space="preserve">Staat (in $): </w:t>
      </w:r>
      <w:r>
        <w:t>4.854</w:t>
      </w:r>
    </w:p>
    <w:p w14:paraId="048E3065" w14:textId="77777777" w:rsidR="001F7233" w:rsidRDefault="00000000">
      <w:r>
        <w:rPr>
          <w:b/>
        </w:rPr>
        <w:t xml:space="preserve">Netto (in $, Anteil): </w:t>
      </w:r>
      <w:r>
        <w:t>88.396 (73,7 %)</w:t>
      </w:r>
    </w:p>
    <w:p w14:paraId="5DE33395" w14:textId="77777777" w:rsidR="001F7233" w:rsidRDefault="00000000">
      <w:r>
        <w:rPr>
          <w:b/>
        </w:rPr>
        <w:t>Kalifornien</w:t>
      </w:r>
    </w:p>
    <w:p w14:paraId="703ED15D" w14:textId="77777777" w:rsidR="001F7233" w:rsidRDefault="00000000">
      <w:r>
        <w:rPr>
          <w:b/>
        </w:rPr>
        <w:t xml:space="preserve">Bund + FICA (in $): </w:t>
      </w:r>
      <w:r>
        <w:t>26.750</w:t>
      </w:r>
    </w:p>
    <w:p w14:paraId="34F2CEC1" w14:textId="77777777" w:rsidR="001F7233" w:rsidRDefault="00000000">
      <w:r>
        <w:rPr>
          <w:b/>
        </w:rPr>
        <w:t xml:space="preserve">Staat (in $): </w:t>
      </w:r>
      <w:r>
        <w:t>8.475</w:t>
      </w:r>
    </w:p>
    <w:p w14:paraId="61F2803A" w14:textId="77777777" w:rsidR="001F7233" w:rsidRDefault="00000000">
      <w:r>
        <w:rPr>
          <w:b/>
        </w:rPr>
        <w:t xml:space="preserve">Netto (in $, Anteil): </w:t>
      </w:r>
      <w:r>
        <w:t>84.775 (70,6 %)</w:t>
      </w:r>
    </w:p>
    <w:p w14:paraId="2F2E212A" w14:textId="77777777" w:rsidR="001F7233" w:rsidRDefault="001F7233">
      <w:pPr>
        <w:spacing w:line="180" w:lineRule="exact"/>
      </w:pPr>
    </w:p>
    <w:p w14:paraId="17BB17E9" w14:textId="77777777" w:rsidR="001F7233" w:rsidRDefault="00000000">
      <w:pPr>
        <w:spacing w:after="140"/>
      </w:pPr>
      <w:r>
        <w:lastRenderedPageBreak/>
        <w:t xml:space="preserve">Inhaber eines Nichteinwanderervisums wie H-1B sind seit 1. Januar 2026 von </w:t>
      </w:r>
      <w:r>
        <w:rPr>
          <w:i/>
          <w:iCs/>
        </w:rPr>
        <w:t>WA Cares</w:t>
      </w:r>
      <w:r>
        <w:t xml:space="preserve"> befreit; in Washington bleiben ihnen dann 92.281 $ (76,9 %).</w:t>
      </w:r>
    </w:p>
    <w:p w14:paraId="7F90FC57" w14:textId="77777777" w:rsidR="001F7233" w:rsidRDefault="00000000">
      <w:pPr>
        <w:spacing w:after="140"/>
      </w:pPr>
      <w:r>
        <w:rPr>
          <w:b/>
          <w:bCs/>
        </w:rPr>
        <w:t>Ehepaar mit 150.000 $, ein Einkommen, zwei Kinder unter 17.</w:t>
      </w:r>
      <w:r>
        <w:t xml:space="preserve"> Bund: 150.000 − 32.200 = 117.800 $. 10 % auf 24.800 $ (2.480 $) + 12 % auf 76.000 $ (9.120 $) + 22 % auf 17.000 $ (3.740 $) ergeben 15.340 $. Davon ziehst du die Gutschrift ab: 2 × 2.200 $ bei Kindern mit SSN (10.940 $) oder 2 × 500 $ bei Kindern mit ITIN (14.340 $). FICA: 11.475 $.</w:t>
      </w:r>
    </w:p>
    <w:p w14:paraId="782D865F" w14:textId="77777777" w:rsidR="001F7233" w:rsidRDefault="00000000">
      <w:r>
        <w:rPr>
          <w:b/>
        </w:rPr>
        <w:t>Texas</w:t>
      </w:r>
    </w:p>
    <w:p w14:paraId="0588D297" w14:textId="77777777" w:rsidR="001F7233" w:rsidRDefault="00000000">
      <w:r>
        <w:rPr>
          <w:b/>
        </w:rPr>
        <w:t xml:space="preserve">Staatssteuer (in $): </w:t>
      </w:r>
      <w:r>
        <w:t>0</w:t>
      </w:r>
    </w:p>
    <w:p w14:paraId="6D03A9DE" w14:textId="77777777" w:rsidR="001F7233" w:rsidRDefault="00000000">
      <w:r>
        <w:rPr>
          <w:b/>
        </w:rPr>
        <w:t xml:space="preserve">Netto mit Gutschrift (in $): </w:t>
      </w:r>
      <w:r>
        <w:t>127.585 (85,1 %)</w:t>
      </w:r>
    </w:p>
    <w:p w14:paraId="4098A0A3" w14:textId="77777777" w:rsidR="001F7233" w:rsidRDefault="00000000">
      <w:r>
        <w:rPr>
          <w:b/>
        </w:rPr>
        <w:t xml:space="preserve">Netto bei ITIN-Kindern (in $): </w:t>
      </w:r>
      <w:r>
        <w:t>124.185 (82,8 %)</w:t>
      </w:r>
    </w:p>
    <w:p w14:paraId="3A5751C6" w14:textId="77777777" w:rsidR="001F7233" w:rsidRDefault="00000000">
      <w:r>
        <w:rPr>
          <w:b/>
        </w:rPr>
        <w:t>Washington</w:t>
      </w:r>
    </w:p>
    <w:p w14:paraId="42E8FA7D" w14:textId="77777777" w:rsidR="001F7233" w:rsidRDefault="00000000">
      <w:r>
        <w:rPr>
          <w:b/>
        </w:rPr>
        <w:t xml:space="preserve">Staatssteuer (in $): </w:t>
      </w:r>
      <w:r>
        <w:t>2.081</w:t>
      </w:r>
    </w:p>
    <w:p w14:paraId="7EDE53EA" w14:textId="77777777" w:rsidR="001F7233" w:rsidRDefault="00000000">
      <w:r>
        <w:rPr>
          <w:b/>
        </w:rPr>
        <w:t xml:space="preserve">Netto mit Gutschrift (in $): </w:t>
      </w:r>
      <w:r>
        <w:t>125.504 (83,7 %)</w:t>
      </w:r>
    </w:p>
    <w:p w14:paraId="3246354A" w14:textId="77777777" w:rsidR="001F7233" w:rsidRDefault="00000000">
      <w:r>
        <w:rPr>
          <w:b/>
        </w:rPr>
        <w:t xml:space="preserve">Netto bei ITIN-Kindern (in $): </w:t>
      </w:r>
      <w:r>
        <w:t>122.104 (81,4 %)</w:t>
      </w:r>
    </w:p>
    <w:p w14:paraId="4A772655" w14:textId="77777777" w:rsidR="001F7233" w:rsidRDefault="00000000">
      <w:r>
        <w:rPr>
          <w:b/>
        </w:rPr>
        <w:t>Michigan</w:t>
      </w:r>
    </w:p>
    <w:p w14:paraId="58066B89" w14:textId="77777777" w:rsidR="001F7233" w:rsidRDefault="00000000">
      <w:r>
        <w:rPr>
          <w:b/>
        </w:rPr>
        <w:t xml:space="preserve">Staatssteuer (in $): </w:t>
      </w:r>
      <w:r>
        <w:t>5.389</w:t>
      </w:r>
    </w:p>
    <w:p w14:paraId="09584CC0" w14:textId="77777777" w:rsidR="001F7233" w:rsidRDefault="00000000">
      <w:r>
        <w:rPr>
          <w:b/>
        </w:rPr>
        <w:t xml:space="preserve">Netto mit Gutschrift (in $): </w:t>
      </w:r>
      <w:r>
        <w:t>122.196 (81,5 %)</w:t>
      </w:r>
    </w:p>
    <w:p w14:paraId="1B851D65" w14:textId="77777777" w:rsidR="001F7233" w:rsidRDefault="00000000">
      <w:r>
        <w:rPr>
          <w:b/>
        </w:rPr>
        <w:t xml:space="preserve">Netto bei ITIN-Kindern (in $): </w:t>
      </w:r>
      <w:r>
        <w:t>118.796 (79,2 %)</w:t>
      </w:r>
    </w:p>
    <w:p w14:paraId="5CC575A5" w14:textId="77777777" w:rsidR="001F7233" w:rsidRDefault="00000000">
      <w:r>
        <w:rPr>
          <w:b/>
        </w:rPr>
        <w:t>Kalifornien</w:t>
      </w:r>
    </w:p>
    <w:p w14:paraId="1E3F1F7F" w14:textId="77777777" w:rsidR="001F7233" w:rsidRDefault="00000000">
      <w:r>
        <w:rPr>
          <w:b/>
        </w:rPr>
        <w:t xml:space="preserve">Staatssteuer (in $): </w:t>
      </w:r>
      <w:r>
        <w:t>6.549</w:t>
      </w:r>
    </w:p>
    <w:p w14:paraId="76A81BD5" w14:textId="77777777" w:rsidR="001F7233" w:rsidRDefault="00000000">
      <w:r>
        <w:rPr>
          <w:b/>
        </w:rPr>
        <w:t xml:space="preserve">Netto mit Gutschrift (in $): </w:t>
      </w:r>
      <w:r>
        <w:t>121.036 (80,7 %)</w:t>
      </w:r>
    </w:p>
    <w:p w14:paraId="2A40AC46" w14:textId="77777777" w:rsidR="001F7233" w:rsidRDefault="00000000">
      <w:r>
        <w:rPr>
          <w:b/>
        </w:rPr>
        <w:t xml:space="preserve">Netto bei ITIN-Kindern (in $): </w:t>
      </w:r>
      <w:r>
        <w:t>117.636 (78,4 %)</w:t>
      </w:r>
    </w:p>
    <w:p w14:paraId="0E1DB081" w14:textId="77777777" w:rsidR="001F7233" w:rsidRDefault="001F7233">
      <w:pPr>
        <w:spacing w:line="180" w:lineRule="exact"/>
      </w:pPr>
    </w:p>
    <w:p w14:paraId="24090BBF" w14:textId="77777777" w:rsidR="001F7233" w:rsidRDefault="001F7233">
      <w:pPr>
        <w:spacing w:line="220" w:lineRule="exact"/>
      </w:pPr>
    </w:p>
    <w:p w14:paraId="0A1471C9" w14:textId="77777777" w:rsidR="001F7233" w:rsidRDefault="00000000">
      <w:pPr>
        <w:spacing w:after="140"/>
      </w:pPr>
      <w:r>
        <w:t>Was an der Rechnung Näherung ist: Kalifornien rechnet mit Tarif und Abzügen von 2025; die Indexierung senkt die Steuer für 2026 voraussichtlich um 50–150 $. Für Michigan gilt der Freibetrag von 2025. Stadtsteuern fehlen (Detroit: bei 120.000 $ zusätzlich 2.880 $). Ebenfalls nicht enthalten: Krankenversicherung (Arbeitnehmeranteil 2025 im Schnitt 1.440 $ für Einzelpersonen, 6.850 $ für Familien; Kapitel </w:t>
      </w:r>
      <w:hyperlink w:anchor="k26">
        <w:r w:rsidR="001F7233">
          <w:t>26</w:t>
        </w:r>
      </w:hyperlink>
      <w:r>
        <w:t xml:space="preserve">), 401(k), Einzelabzüge, Kinderbetreuung. In Washington </w:t>
      </w:r>
      <w:r>
        <w:lastRenderedPageBreak/>
        <w:t>ist die Family-Leave-Umlage mit dem Arbeitnehmeranteil von 71,43 % angesetzt.</w:t>
      </w:r>
    </w:p>
    <w:p w14:paraId="4D5DE5DD" w14:textId="77777777" w:rsidR="001F7233" w:rsidRDefault="00000000">
      <w:pPr>
        <w:spacing w:after="140"/>
      </w:pPr>
      <w:r>
        <w:t>Zum Vergleich mit Deutschland (grobe eigene Rechnung, Steuerklasse I, ledig, ohne Kirchensteuer): Bei 120.000 € brutto betragen die Sozialabgaben rund 18.500 € (15 %) und die Steuern samt Solidaritätszuschlag rund 33.000 € (27,5 %). Netto bleiben rund 57 %. Bei 60.000 € brutto liegen die Sozialabgaben bei etwa 22 %. Zur groben Orientierung: 1 € entsprach im Herbst 2026 etwa 1,1–1,2 $ (EZB-Kurs 18. September 2026: 1,1460 $; bitte tagesaktuell prüfen). 120.000 $ sind demnach rund 104.700 €, von denen in Deutschland etwa 58 % bleiben. Der Vergleich hinkt: Die deutschen Abgaben schließen Kranken-, Pflege- und Arbeitslosenversicherung ein, in den USA kommen Prämie und Eigenbeteiligung der Krankenversicherung hinzu. Eine beitragsfreie Familienmitversicherung gibt es dort nicht. Dem Kindergeld entspricht die Kindergutschrift.</w:t>
      </w:r>
    </w:p>
    <w:p w14:paraId="264831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Studierende: Nichtansässig mit Form 8843</w:t>
      </w:r>
    </w:p>
    <w:p w14:paraId="3AABF34C" w14:textId="77777777" w:rsidR="001F7233" w:rsidRDefault="00000000">
      <w:pPr>
        <w:spacing w:after="140"/>
      </w:pPr>
      <w:r>
        <w:t xml:space="preserve">Wer mit F-1-, J-1-, M-1- oder Q-Visum studiert, hat eine Sonderregel: Die Anwesenheitstage zählen fünf Kalenderjahre lang nicht für den </w:t>
      </w:r>
      <w:r>
        <w:rPr>
          <w:i/>
          <w:iCs/>
        </w:rPr>
        <w:t>Substantial Presence Test</w:t>
      </w:r>
      <w:r>
        <w:t>, wobei jedes angefangene Kalenderjahr zählt. Für J- und Q-Lehrende und Forschende gilt die Ausnahme höchstens in zwei von sechs Jahren. In dieser Zeit bist du meist nichtansässig. Du erklärst nur US-Einkünfte (Stipendium, Assistenzstelle, Nebenjob) mit Form 1040-NR und reichst jedes Jahr Form 8843 ein, auch ohne Einkommen. Beginnt dein Studium im August, ist schon dieses Jahr das erste. Ab dem sechsten Kalenderjahr kannst du ansässig sein, etwa beim Wechsel in den H-1B-Status (Kapitel </w:t>
      </w:r>
      <w:hyperlink w:anchor="k8">
        <w:r w:rsidR="001F7233">
          <w:t>8</w:t>
        </w:r>
      </w:hyperlink>
      <w:r>
        <w:t>).</w:t>
      </w:r>
    </w:p>
    <w:p w14:paraId="71A17250" w14:textId="77777777" w:rsidR="001F7233" w:rsidRDefault="00000000">
      <w:pPr>
        <w:spacing w:after="140"/>
      </w:pPr>
      <w:r>
        <w:t xml:space="preserve">Zwei Erleichterungen gibt es: Nichtansässige Studierende mit erlaubter Arbeit sind von FICA befreit (Angehörige mit F-2 oder J-2 </w:t>
      </w:r>
      <w:r>
        <w:lastRenderedPageBreak/>
        <w:t>nicht). Das DBA (Artikel 20) stellt zudem Unterhaltszahlungen aus Deutschland steuerfrei sowie bis zu vier Jahre lang Arbeitseinkommen bis 9.000 $ pro Jahr. Das gilt nicht für US-Bürger und Green-Card-Inhaber. Gängige Software wie TurboTax kann kein Form 1040-NR. Nutze stattdessen Software für Nichtansässige wie Sprintax oder einen Steuerexperten.</w:t>
      </w:r>
    </w:p>
    <w:p w14:paraId="59AB60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Steuerexperten, Software und Kosten</w:t>
      </w:r>
    </w:p>
    <w:p w14:paraId="1EAB58A1" w14:textId="77777777" w:rsidR="001F7233" w:rsidRDefault="00000000">
      <w:pPr>
        <w:spacing w:after="140"/>
      </w:pPr>
      <w:r>
        <w:rPr>
          <w:i/>
          <w:iCs/>
        </w:rPr>
        <w:t>Im einfachen Fall (nur Lohn laut W-2, Standardabzug, keine Auslandskonten) genügt Software. Die IRS bietet kostenlose Software bis 89.000 $ Einkommen (Wert für 2025) und ausfüllbare Formulare für alle (Free File). Im Einreisejahr, bei Auslandsvermögen oder Aktienvergütung lohnt ein Profi. Ein CPA (Certified Public Accountant) ist ein staatlich zugelassener Wirtschafts- und Steuerexperte, ein Enrolled Agent (EA) einnerhalb von der IRS geprüfter Steuerspezialist. Einfache Steuerersteller (Unenrolled Preparer) brauchen dagegen nur eine Registriernummer (PTIN), aber keine Mindestqualifikation.</w:t>
      </w:r>
    </w:p>
    <w:p w14:paraId="2E73D8C7" w14:textId="77777777" w:rsidR="001F7233" w:rsidRDefault="00000000">
      <w:r>
        <w:rPr>
          <w:b/>
        </w:rPr>
        <w:t>Einfacher Fall</w:t>
      </w:r>
    </w:p>
    <w:p w14:paraId="2D501E4A" w14:textId="77777777" w:rsidR="001F7233" w:rsidRDefault="00000000">
      <w:r>
        <w:rPr>
          <w:b/>
        </w:rPr>
        <w:t xml:space="preserve">Wer: </w:t>
      </w:r>
      <w:r>
        <w:t>Software</w:t>
      </w:r>
    </w:p>
    <w:p w14:paraId="75A6C81C" w14:textId="77777777" w:rsidR="001F7233" w:rsidRDefault="00000000">
      <w:r>
        <w:rPr>
          <w:b/>
        </w:rPr>
        <w:t xml:space="preserve">Grobe Kosten: </w:t>
      </w:r>
      <w:r>
        <w:t>0–150 $ (Bund) plus Staat</w:t>
      </w:r>
    </w:p>
    <w:p w14:paraId="1A57C21A" w14:textId="77777777" w:rsidR="001F7233" w:rsidRDefault="00000000">
      <w:r>
        <w:rPr>
          <w:b/>
        </w:rPr>
        <w:t>Einfacher Fall</w:t>
      </w:r>
    </w:p>
    <w:p w14:paraId="33BE1086" w14:textId="77777777" w:rsidR="001F7233" w:rsidRDefault="00000000">
      <w:r>
        <w:rPr>
          <w:b/>
        </w:rPr>
        <w:t xml:space="preserve">Wer: </w:t>
      </w:r>
      <w:r>
        <w:t>CPA oder EA</w:t>
      </w:r>
    </w:p>
    <w:p w14:paraId="1D8CBD8C" w14:textId="77777777" w:rsidR="001F7233" w:rsidRDefault="00000000">
      <w:r>
        <w:rPr>
          <w:b/>
        </w:rPr>
        <w:t xml:space="preserve">Grobe Kosten: </w:t>
      </w:r>
      <w:r>
        <w:t>300–800 $</w:t>
      </w:r>
    </w:p>
    <w:p w14:paraId="3B5067AC" w14:textId="77777777" w:rsidR="001F7233" w:rsidRDefault="00000000">
      <w:r>
        <w:rPr>
          <w:b/>
        </w:rPr>
        <w:t>Erstjahr mit Doppelstatus, FBAR, Form 8938</w:t>
      </w:r>
    </w:p>
    <w:p w14:paraId="16A5F3B9" w14:textId="77777777" w:rsidR="001F7233" w:rsidRDefault="00000000">
      <w:r>
        <w:rPr>
          <w:b/>
        </w:rPr>
        <w:t xml:space="preserve">Wer: </w:t>
      </w:r>
      <w:r>
        <w:t>CPA oder EA mit Auslandserfahrung</w:t>
      </w:r>
    </w:p>
    <w:p w14:paraId="7783C98F" w14:textId="77777777" w:rsidR="001F7233" w:rsidRDefault="00000000">
      <w:r>
        <w:rPr>
          <w:b/>
        </w:rPr>
        <w:t xml:space="preserve">Grobe Kosten: </w:t>
      </w:r>
      <w:r>
        <w:t>800–2.500 $</w:t>
      </w:r>
    </w:p>
    <w:p w14:paraId="15D86C7C" w14:textId="77777777" w:rsidR="001F7233" w:rsidRDefault="00000000">
      <w:r>
        <w:rPr>
          <w:b/>
        </w:rPr>
        <w:t>Deutsche Immobilie, Fonds, Nachmeldung</w:t>
      </w:r>
    </w:p>
    <w:p w14:paraId="2AC69C80" w14:textId="77777777" w:rsidR="001F7233" w:rsidRDefault="00000000">
      <w:r>
        <w:rPr>
          <w:b/>
        </w:rPr>
        <w:t xml:space="preserve">Wer: </w:t>
      </w:r>
      <w:r>
        <w:t>Berater für grenzüberschreitende Fälle</w:t>
      </w:r>
    </w:p>
    <w:p w14:paraId="206EB0F8" w14:textId="77777777" w:rsidR="001F7233" w:rsidRDefault="00000000">
      <w:r>
        <w:rPr>
          <w:b/>
        </w:rPr>
        <w:t xml:space="preserve">Grobe Kosten: </w:t>
      </w:r>
      <w:r>
        <w:t>1.500–4.000 $ und mehr</w:t>
      </w:r>
    </w:p>
    <w:p w14:paraId="5187E519" w14:textId="77777777" w:rsidR="001F7233" w:rsidRDefault="001F7233">
      <w:pPr>
        <w:spacing w:line="180" w:lineRule="exact"/>
      </w:pPr>
    </w:p>
    <w:p w14:paraId="656CC31A" w14:textId="77777777" w:rsidR="001F7233" w:rsidRDefault="00000000">
      <w:pPr>
        <w:spacing w:after="140"/>
      </w:pPr>
      <w:r>
        <w:rPr>
          <w:i/>
          <w:iCs/>
        </w:rPr>
        <w:t xml:space="preserve">Das sind grobe Erfahrungswerte, keine amtlichen Zahlen; jedes Form 8621 kostet meist 100–300 $ extra. Hole Angebote ein und frage nach Erfahrung mit dem DBA Deutschland–USA, PFIC und Form 3520. </w:t>
      </w:r>
      <w:r>
        <w:rPr>
          <w:i/>
          <w:iCs/>
        </w:rPr>
        <w:lastRenderedPageBreak/>
        <w:t>Warnzeichen sind ein Honorar als Prozentsatz der Erstattung und Steuerersteller ohne PTIN oder Unterschrift (Ghost Preparer). Wer beim Erstgespräch mehr Fragen zu deiner erhofften Erstattung stellt als zu deinen tatsächlichen Einkünften, verfolgt andere Interessen als du. Prüfe Zulassungen im IRS-Verzeichnis; frage im Vertragsgespräch, ob die Relocation-Leistung eine Steuerberatung einschließt.</w:t>
      </w:r>
    </w:p>
    <w:p w14:paraId="1885A0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Fristen, Strafen und Betrug</w:t>
      </w:r>
    </w:p>
    <w:p w14:paraId="595EAF1E" w14:textId="77777777" w:rsidR="001F7233" w:rsidRDefault="00000000">
      <w:pPr>
        <w:pStyle w:val="ListParagraph"/>
        <w:numPr>
          <w:ilvl w:val="0"/>
          <w:numId w:val="1"/>
        </w:numPr>
        <w:spacing w:after="60"/>
      </w:pPr>
      <w:r>
        <w:rPr>
          <w:b/>
          <w:bCs/>
        </w:rPr>
        <w:t>31. Januar:</w:t>
      </w:r>
      <w:r>
        <w:t xml:space="preserve"> Der Arbeitgeber stellt das W-2 aus.</w:t>
      </w:r>
    </w:p>
    <w:p w14:paraId="20710AC3" w14:textId="77777777" w:rsidR="001F7233" w:rsidRDefault="00000000">
      <w:pPr>
        <w:pStyle w:val="ListParagraph"/>
        <w:numPr>
          <w:ilvl w:val="0"/>
          <w:numId w:val="1"/>
        </w:numPr>
        <w:spacing w:after="60"/>
      </w:pPr>
      <w:r>
        <w:rPr>
          <w:b/>
          <w:bCs/>
        </w:rPr>
        <w:t>15. April 2027:</w:t>
      </w:r>
      <w:r>
        <w:t xml:space="preserve"> Erklärung für 2026 und Zahlung fällig. Mit Form 4868 verlängerst du die Erklärung bis 15. Oktober 2027; gezahlt wird trotzdem am 15. April, sonst laufen Zinsen.</w:t>
      </w:r>
    </w:p>
    <w:p w14:paraId="2BB68DCB" w14:textId="77777777" w:rsidR="001F7233" w:rsidRDefault="00000000">
      <w:pPr>
        <w:pStyle w:val="ListParagraph"/>
        <w:numPr>
          <w:ilvl w:val="0"/>
          <w:numId w:val="1"/>
        </w:numPr>
        <w:spacing w:after="60"/>
      </w:pPr>
      <w:r>
        <w:rPr>
          <w:b/>
          <w:bCs/>
        </w:rPr>
        <w:t>15. Juni: Frist für Nichtansässige ohne Lohn; wer am 15. April außer der USA lebt, hat automatisch bis 15. Juni.</w:t>
      </w:r>
    </w:p>
    <w:p w14:paraId="156A6C01" w14:textId="77777777" w:rsidR="001F7233" w:rsidRDefault="00000000">
      <w:pPr>
        <w:pStyle w:val="ListParagraph"/>
        <w:numPr>
          <w:ilvl w:val="0"/>
          <w:numId w:val="1"/>
        </w:numPr>
        <w:spacing w:after="60"/>
      </w:pPr>
      <w:r>
        <w:rPr>
          <w:b/>
          <w:bCs/>
        </w:rPr>
        <w:t>15. Oktober:</w:t>
      </w:r>
      <w:r>
        <w:t xml:space="preserve"> FBAR automatisch verlängert. Für 2025 endet die verlängerte Steuerfrist am 15. Oktober 2026.</w:t>
      </w:r>
    </w:p>
    <w:p w14:paraId="2EBE323D" w14:textId="77777777" w:rsidR="001F7233" w:rsidRDefault="001F7233">
      <w:pPr>
        <w:spacing w:line="120" w:lineRule="exact"/>
      </w:pPr>
    </w:p>
    <w:p w14:paraId="519A19C3" w14:textId="77777777" w:rsidR="001F7233" w:rsidRDefault="00000000">
      <w:pPr>
        <w:spacing w:after="140"/>
      </w:pPr>
      <w:r>
        <w:rPr>
          <w:i/>
          <w:iCs/>
        </w:rPr>
        <w:t>Bei verspäteter Erklärung fallen 5 % der offenen Steuer je Monat an, höchstens 25 %. Bei mehr als 60 Tagen Verzug mindestens 525 $ (oder die Steuerschuld, wenn sie kleiner ist). Verspätete Zahlung kostet 0,5 % je Monat, dazu Zinsen von 7 % (viertes Quartal 2026). Bei zu niedriger Steuer droht oft ein Zuschlag von 20 %. Erleichterung ist aber bei nachvollziehbarem Grund (Reasonable Cause) oder als Erstverstoß (First-Time Abatement) möglich.</w:t>
      </w:r>
    </w:p>
    <w:p w14:paraId="1FDB323F" w14:textId="77777777" w:rsidR="001F7233" w:rsidRDefault="00000000">
      <w:r>
        <w:rPr>
          <w:b/>
        </w:rPr>
        <w:t xml:space="preserve">ACHTUNG: </w:t>
      </w:r>
    </w:p>
    <w:p w14:paraId="37235DA6" w14:textId="77777777" w:rsidR="001F7233" w:rsidRDefault="00000000">
      <w:r>
        <w:t xml:space="preserve">• Betrüger geben sich am Telefon als IRS aus, drohen mit Verhaftung oder Abschiebung und verlangen sofortige Zahlung. Neuankömmlinge sind beliebte Ziele. Die IRS meldet sich zuerst per Post, droht nicht und lässt Rückfragen zu. Lege auf, prüfe den Vorgang auf </w:t>
      </w:r>
      <w:hyperlink r:id="rId394">
        <w:r w:rsidR="001F7233">
          <w:rPr>
            <w:color w:val="0563C1"/>
            <w:u w:val="single"/>
          </w:rPr>
          <w:t>irs.gov</w:t>
        </w:r>
      </w:hyperlink>
      <w:r>
        <w:t xml:space="preserve"> und melde Phishing an phishing@irs.gov.</w:t>
      </w:r>
    </w:p>
    <w:p w14:paraId="62CC7D13" w14:textId="77777777" w:rsidR="001F7233" w:rsidRDefault="001F7233">
      <w:pPr>
        <w:spacing w:line="220" w:lineRule="exact"/>
      </w:pPr>
    </w:p>
    <w:p w14:paraId="59E71E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Steuern in den USA verständlich erklärt</w:t>
      </w:r>
    </w:p>
    <w:p w14:paraId="128D54C9" w14:textId="77777777" w:rsidR="001F7233" w:rsidRDefault="00000000">
      <w:r>
        <w:rPr>
          <w:b/>
        </w:rPr>
        <w:t>Plus: Hoher Standardabzug und niedrige Einstiegssätze: von 120.000 $ bleiben je nach Staat 71–78 % (vor Krankenversicherung)</w:t>
      </w:r>
    </w:p>
    <w:p w14:paraId="52FA52E6" w14:textId="77777777" w:rsidR="001F7233" w:rsidRDefault="00000000">
      <w:r>
        <w:rPr>
          <w:b/>
        </w:rPr>
        <w:t xml:space="preserve">Minus: </w:t>
      </w:r>
      <w:r>
        <w:t>Selbstveranlagung: Rechnung, Fristen und Fehler liegen bei dir</w:t>
      </w:r>
    </w:p>
    <w:p w14:paraId="684B1E04" w14:textId="77777777" w:rsidR="001F7233" w:rsidRDefault="00000000">
      <w:r>
        <w:rPr>
          <w:b/>
        </w:rPr>
        <w:t>Plus: Staaten ohne Einkommensteuer wie Texas, Florida und Washington (auf Löhne)</w:t>
      </w:r>
    </w:p>
    <w:p w14:paraId="24CB5ED7" w14:textId="77777777" w:rsidR="001F7233" w:rsidRDefault="00000000">
      <w:r>
        <w:rPr>
          <w:b/>
        </w:rPr>
        <w:t xml:space="preserve">Minus: </w:t>
      </w:r>
      <w:r>
        <w:t>Weltweites Einkommen und Meldepflichten (FBAR, Form 8938, PFIC) mit hohen Strafen</w:t>
      </w:r>
    </w:p>
    <w:p w14:paraId="29021A59" w14:textId="77777777" w:rsidR="001F7233" w:rsidRDefault="00000000">
      <w:r>
        <w:rPr>
          <w:b/>
        </w:rPr>
        <w:t>Plus: Rentenversicherung und Medicare zusammen nur 7,65 %</w:t>
      </w:r>
    </w:p>
    <w:p w14:paraId="50B9A3AB" w14:textId="77777777" w:rsidR="001F7233" w:rsidRDefault="00000000">
      <w:r>
        <w:rPr>
          <w:b/>
        </w:rPr>
        <w:t xml:space="preserve">Minus: </w:t>
      </w:r>
      <w:r>
        <w:t>Krankenversicherung, Sales Tax und Grundsteuer kommen obendrauf; Preise stehen ohne Steuer im Regal</w:t>
      </w:r>
    </w:p>
    <w:p w14:paraId="7CC8C111" w14:textId="77777777" w:rsidR="001F7233" w:rsidRDefault="00000000">
      <w:r>
        <w:rPr>
          <w:b/>
        </w:rPr>
        <w:t>Plus: 401(k) und HSA senken die Steuer, der Arbeitgeber-Match ist Zusatzgehalt</w:t>
      </w:r>
    </w:p>
    <w:p w14:paraId="3CA3A33C" w14:textId="77777777" w:rsidR="001F7233" w:rsidRDefault="00000000">
      <w:r>
        <w:rPr>
          <w:b/>
        </w:rPr>
        <w:t xml:space="preserve">Minus: </w:t>
      </w:r>
      <w:r>
        <w:t>Kinder ohne SSN: nur 500 statt 2.200 $ Gutschrift je Kind</w:t>
      </w:r>
    </w:p>
    <w:p w14:paraId="6CBA0A96" w14:textId="77777777" w:rsidR="001F7233" w:rsidRDefault="00000000">
      <w:r>
        <w:rPr>
          <w:b/>
        </w:rPr>
        <w:t>Plus: Anrechnung und Abkommen verhindern Doppelbesteuerung</w:t>
      </w:r>
    </w:p>
    <w:p w14:paraId="38351BDF" w14:textId="77777777" w:rsidR="001F7233" w:rsidRDefault="00000000">
      <w:r>
        <w:rPr>
          <w:b/>
        </w:rPr>
        <w:t xml:space="preserve">Minus: </w:t>
      </w:r>
      <w:r>
        <w:t>Einreisejahr und Steuerexperte kosten Zeit und 800–2.500 $</w:t>
      </w:r>
    </w:p>
    <w:p w14:paraId="687B0BC2" w14:textId="77777777" w:rsidR="001F7233" w:rsidRDefault="00000000">
      <w:r>
        <w:rPr>
          <w:b/>
        </w:rPr>
        <w:t>Plus: Erstattung per E-Filing oft nach wenigen Wochen</w:t>
      </w:r>
    </w:p>
    <w:p w14:paraId="537EF1D5" w14:textId="77777777" w:rsidR="001F7233" w:rsidRDefault="00000000">
      <w:r>
        <w:rPr>
          <w:b/>
        </w:rPr>
        <w:t xml:space="preserve">Minus: </w:t>
      </w:r>
      <w:r>
        <w:t>Zusätzliche Staatserklärung, teils Stadtsteuern</w:t>
      </w:r>
    </w:p>
    <w:p w14:paraId="481068D9" w14:textId="77777777" w:rsidR="001F7233" w:rsidRDefault="001F7233">
      <w:pPr>
        <w:spacing w:line="180" w:lineRule="exact"/>
      </w:pPr>
    </w:p>
    <w:p w14:paraId="389318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E315DD2" w14:textId="77777777" w:rsidR="001F7233" w:rsidRDefault="00000000">
      <w:pPr>
        <w:spacing w:after="140"/>
      </w:pPr>
      <w:r>
        <w:t>Vor dem Abflug listest du alle deutschen Konten, Depots, Fonds und Versicherungen mit den Höchstständen und klärst die Fonds mit einem Berater beider Länder. Nach der Landung füllst du den W-4 aus, zählst Tage, klärst die SSN für die ganze Familie (Kapitel </w:t>
      </w:r>
      <w:hyperlink w:anchor="k24">
        <w:r w:rsidR="001F7233">
          <w:t>24</w:t>
        </w:r>
      </w:hyperlink>
      <w:r>
        <w:t xml:space="preserve">) und bildest eine Rücklage für die erste Nachzahlung. Im Frühjahr folgen Erklärung, FBAR und Formulare. Konto und Kredit baust du nach </w:t>
      </w:r>
      <w:r>
        <w:lastRenderedPageBreak/>
        <w:t>Kapitel </w:t>
      </w:r>
      <w:hyperlink w:anchor="k25">
        <w:r w:rsidR="001F7233">
          <w:t>25</w:t>
        </w:r>
      </w:hyperlink>
      <w:r>
        <w:t xml:space="preserve"> auf, die Vorsorge steht in Kapitel </w:t>
      </w:r>
      <w:hyperlink w:anchor="k39">
        <w:r w:rsidR="001F7233">
          <w:t>39</w:t>
        </w:r>
      </w:hyperlink>
      <w:r>
        <w:t>, die Rückkehr in Kapitel </w:t>
      </w:r>
      <w:hyperlink w:anchor="k42">
        <w:r w:rsidR="001F7233">
          <w:t>42</w:t>
        </w:r>
      </w:hyperlink>
      <w:r>
        <w:t>.</w:t>
      </w:r>
    </w:p>
    <w:p w14:paraId="46E933EE" w14:textId="77777777" w:rsidR="001F7233" w:rsidRDefault="00000000">
      <w:r>
        <w:t>• Vor dem Abflug alle deutschen Konten, Depots, Fonds, Bausparverträge und Versicherungen mit Höchstständen auflisten (Grundlage für FBAR und Form 8938).</w:t>
      </w:r>
    </w:p>
    <w:p w14:paraId="7B7A0800" w14:textId="77777777" w:rsidR="001F7233" w:rsidRDefault="00000000">
      <w:r>
        <w:t>• Deutsche Fonds und ETFs vor dem Zuzug mit einem Berater beider Länder klären (PFIC).</w:t>
      </w:r>
    </w:p>
    <w:p w14:paraId="1391E056" w14:textId="77777777" w:rsidR="001F7233" w:rsidRDefault="00000000">
      <w:r>
        <w:t>• Ab dem ersten Tag einen Kalender mit Einreisen und Ausreisen führen; Green-Card-Datum notieren.</w:t>
      </w:r>
    </w:p>
    <w:p w14:paraId="5E58124A" w14:textId="77777777" w:rsidR="001F7233" w:rsidRDefault="00000000">
      <w:r>
        <w:t>• Arbeitgeber fragen: Steuerberatung im Relocation-Paket? Gross-up für Umzugskosten?</w:t>
      </w:r>
    </w:p>
    <w:p w14:paraId="73C292EC" w14:textId="77777777" w:rsidR="001F7233" w:rsidRDefault="00000000">
      <w:r>
        <w:t>• Form W-4 am ersten Arbeitstag ausfüllen und nach Bonus, RSUs oder Jobwechsel prüfen.</w:t>
      </w:r>
    </w:p>
    <w:p w14:paraId="0A8B531C" w14:textId="77777777" w:rsidR="001F7233" w:rsidRDefault="00000000">
      <w:r>
        <w:t>• Klären, ob die Kinder eine SSN mit Arbeitserlaubnis erhalten können (Kinder-Steuergutschrift).</w:t>
      </w:r>
    </w:p>
    <w:p w14:paraId="1E0017E4" w14:textId="77777777" w:rsidR="001F7233" w:rsidRDefault="00000000">
      <w:r>
        <w:t>• Rücklage für eine Nachzahlung im ersten April bilden.</w:t>
      </w:r>
    </w:p>
    <w:p w14:paraId="04A13A95" w14:textId="77777777" w:rsidR="001F7233" w:rsidRDefault="00000000">
      <w:r>
        <w:t>• Steuerexperten (CPA oder EA) mit Auslandserfahrung früh buchen und die Zulassung im IRS-Verzeichnis prüfen.</w:t>
      </w:r>
    </w:p>
    <w:p w14:paraId="385114CF" w14:textId="77777777" w:rsidR="001F7233" w:rsidRDefault="00000000">
      <w:r>
        <w:t>• Bis 15. April erklären oder Form 4868 einreichen und trotzdem zahlen.</w:t>
      </w:r>
    </w:p>
    <w:p w14:paraId="19982943" w14:textId="77777777" w:rsidR="001F7233" w:rsidRDefault="00000000">
      <w:r>
        <w:t>• Jedes Jahr FBAR (15. April, automatisch 15. Oktober) und bei Bedarf Form 8938, 8621 und 3520 abgeben.</w:t>
      </w:r>
    </w:p>
    <w:p w14:paraId="7D739D91" w14:textId="77777777" w:rsidR="001F7233" w:rsidRDefault="00000000">
      <w:r>
        <w:t>• Studierende: Form 8843 jährlich einreichen, auch ohne Einkommen.</w:t>
      </w:r>
    </w:p>
    <w:p w14:paraId="5770C6A6" w14:textId="77777777" w:rsidR="001F7233" w:rsidRDefault="001F7233">
      <w:pPr>
        <w:spacing w:line="220" w:lineRule="exact"/>
      </w:pPr>
    </w:p>
    <w:p w14:paraId="1C81BB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807C37D" w14:textId="77777777" w:rsidR="001F7233" w:rsidRDefault="00000000">
      <w:pPr>
        <w:pStyle w:val="ListParagraph"/>
        <w:numPr>
          <w:ilvl w:val="0"/>
          <w:numId w:val="1"/>
        </w:numPr>
        <w:spacing w:after="60"/>
      </w:pPr>
      <w:r>
        <w:t>IRS — Besteuerung von Nichtansässigen (</w:t>
      </w:r>
      <w:hyperlink r:id="rId395">
        <w:r w:rsidR="001F7233">
          <w:rPr>
            <w:color w:val="0563C1"/>
            <w:u w:val="single"/>
          </w:rPr>
          <w:t>irs.gov/individuals/international-taxpayers/taxation-of-nonresident-aliens</w:t>
        </w:r>
      </w:hyperlink>
      <w:r>
        <w:t>)</w:t>
      </w:r>
    </w:p>
    <w:p w14:paraId="1CE36E80" w14:textId="77777777" w:rsidR="001F7233" w:rsidRDefault="00000000">
      <w:pPr>
        <w:pStyle w:val="ListParagraph"/>
        <w:numPr>
          <w:ilvl w:val="0"/>
          <w:numId w:val="1"/>
        </w:numPr>
        <w:spacing w:after="60"/>
      </w:pPr>
      <w:r>
        <w:t>IRS — Publication 519, Steuerleitfaden für Ausländer (</w:t>
      </w:r>
      <w:hyperlink r:id="rId396">
        <w:r w:rsidR="001F7233">
          <w:rPr>
            <w:color w:val="0563C1"/>
            <w:u w:val="single"/>
          </w:rPr>
          <w:t>irs.gov/publications/p519</w:t>
        </w:r>
      </w:hyperlink>
      <w:r>
        <w:t>)</w:t>
      </w:r>
    </w:p>
    <w:p w14:paraId="5C12E10A" w14:textId="77777777" w:rsidR="001F7233" w:rsidRDefault="00000000">
      <w:pPr>
        <w:pStyle w:val="ListParagraph"/>
        <w:numPr>
          <w:ilvl w:val="0"/>
          <w:numId w:val="1"/>
        </w:numPr>
        <w:spacing w:after="60"/>
      </w:pPr>
      <w:r>
        <w:lastRenderedPageBreak/>
        <w:t>IRS — Child Tax Credit (</w:t>
      </w:r>
      <w:hyperlink r:id="rId397">
        <w:r w:rsidR="001F7233">
          <w:rPr>
            <w:color w:val="0563C1"/>
            <w:u w:val="single"/>
          </w:rPr>
          <w:t>irs.gov/credits-deductions/individuals/child-tax-credit</w:t>
        </w:r>
      </w:hyperlink>
      <w:r>
        <w:t>)</w:t>
      </w:r>
    </w:p>
    <w:p w14:paraId="5B5033D8" w14:textId="77777777" w:rsidR="001F7233" w:rsidRDefault="00000000">
      <w:pPr>
        <w:pStyle w:val="ListParagraph"/>
        <w:numPr>
          <w:ilvl w:val="0"/>
          <w:numId w:val="1"/>
        </w:numPr>
        <w:spacing w:after="60"/>
      </w:pPr>
      <w:r>
        <w:t>IRS — FBAR (</w:t>
      </w:r>
      <w:hyperlink r:id="rId398">
        <w:r w:rsidR="001F7233">
          <w:rPr>
            <w:color w:val="0563C1"/>
            <w:u w:val="single"/>
          </w:rPr>
          <w:t>irs.gov/businesses/small-businesses-self-employed/report-of-foreign-bank-and-financial-accounts-fbar</w:t>
        </w:r>
      </w:hyperlink>
      <w:r>
        <w:t>)</w:t>
      </w:r>
    </w:p>
    <w:p w14:paraId="2EE1BEEF" w14:textId="77777777" w:rsidR="001F7233" w:rsidRDefault="00000000">
      <w:pPr>
        <w:pStyle w:val="ListParagraph"/>
        <w:numPr>
          <w:ilvl w:val="0"/>
          <w:numId w:val="1"/>
        </w:numPr>
        <w:spacing w:after="60"/>
      </w:pPr>
      <w:r>
        <w:t>IRS — Vergleich Form 8938 und FBAR (</w:t>
      </w:r>
      <w:hyperlink r:id="rId399">
        <w:r w:rsidR="001F7233">
          <w:rPr>
            <w:color w:val="0563C1"/>
            <w:u w:val="single"/>
          </w:rPr>
          <w:t>irs.gov/businesses/comparison-of-form-8938-and-fbar-requirements</w:t>
        </w:r>
      </w:hyperlink>
      <w:r>
        <w:t>)</w:t>
      </w:r>
    </w:p>
    <w:p w14:paraId="2566AC05" w14:textId="77777777" w:rsidR="001F7233" w:rsidRDefault="00000000">
      <w:pPr>
        <w:pStyle w:val="ListParagraph"/>
        <w:numPr>
          <w:ilvl w:val="0"/>
          <w:numId w:val="1"/>
        </w:numPr>
        <w:spacing w:after="60"/>
      </w:pPr>
      <w:r>
        <w:t>IRS — Doppelbesteuerungsabkommen Deutschland–USA (</w:t>
      </w:r>
      <w:hyperlink r:id="rId400">
        <w:r w:rsidR="001F7233">
          <w:rPr>
            <w:color w:val="0563C1"/>
            <w:u w:val="single"/>
          </w:rPr>
          <w:t>irs.gov/pub/irs-trty/germany.pdf</w:t>
        </w:r>
      </w:hyperlink>
      <w:r>
        <w:t>)</w:t>
      </w:r>
    </w:p>
    <w:p w14:paraId="6EE20372" w14:textId="77777777" w:rsidR="001F7233" w:rsidRDefault="00000000">
      <w:pPr>
        <w:pStyle w:val="ListParagraph"/>
        <w:numPr>
          <w:ilvl w:val="0"/>
          <w:numId w:val="1"/>
        </w:numPr>
        <w:spacing w:after="60"/>
      </w:pPr>
      <w:r>
        <w:t>IRS — Strafen bei verspäteter Erklärung (</w:t>
      </w:r>
      <w:hyperlink r:id="rId401">
        <w:r w:rsidR="001F7233">
          <w:rPr>
            <w:color w:val="0563C1"/>
            <w:u w:val="single"/>
          </w:rPr>
          <w:t>irs.gov/payments/failure-to-file-penalty</w:t>
        </w:r>
      </w:hyperlink>
      <w:r>
        <w:t>)</w:t>
      </w:r>
    </w:p>
    <w:p w14:paraId="6FAB1F20" w14:textId="77777777" w:rsidR="001F7233" w:rsidRDefault="00000000">
      <w:pPr>
        <w:pStyle w:val="ListParagraph"/>
        <w:numPr>
          <w:ilvl w:val="0"/>
          <w:numId w:val="1"/>
        </w:numPr>
        <w:spacing w:after="60"/>
      </w:pPr>
      <w:r>
        <w:t>IRS — Steuerexperten und Betrugswarnungen (</w:t>
      </w:r>
      <w:hyperlink r:id="rId402">
        <w:r w:rsidR="001F7233">
          <w:rPr>
            <w:color w:val="0563C1"/>
            <w:u w:val="single"/>
          </w:rPr>
          <w:t>irs.gov/tax-professionals/choosing-a-tax-professional</w:t>
        </w:r>
      </w:hyperlink>
      <w:r>
        <w:t xml:space="preserve"> und </w:t>
      </w:r>
      <w:hyperlink r:id="rId403">
        <w:r w:rsidR="001F7233">
          <w:rPr>
            <w:color w:val="0563C1"/>
            <w:u w:val="single"/>
          </w:rPr>
          <w:t>irs.gov/newsroom/tax-scams-consumer-alerts</w:t>
        </w:r>
      </w:hyperlink>
      <w:r>
        <w:t>)</w:t>
      </w:r>
    </w:p>
    <w:p w14:paraId="12D6126D" w14:textId="77777777" w:rsidR="001F7233" w:rsidRDefault="001F7233">
      <w:pPr>
        <w:spacing w:line="120" w:lineRule="exact"/>
      </w:pPr>
    </w:p>
    <w:p w14:paraId="398DA68E" w14:textId="77777777" w:rsidR="001F7233" w:rsidRDefault="00000000">
      <w:r>
        <w:t>• Quellen- und Datenstand: September 2026; Redaktionsschluss: Oktober 2026. Alle Beträge gelten für das Steuerjahr 2026, sofern nicht anders genannt; die IRS veröffentlicht die Werte für 2027 meist im Oktober oder November. Schnell ändern sich Staatssätze (Georgia, Colorado), der Rechtsstand der geplanten Einkommensteuer in Washington, die Abzüge für Trinkgelder und Überstunden (befristet bis 2028) und die Strafbeträge. Prüfe vor jeder Entscheidung irs.gov und die Steuerbehörde deines Bundesstaats.</w:t>
      </w:r>
    </w:p>
    <w:p w14:paraId="0A3B6FF4" w14:textId="77777777" w:rsidR="001F7233" w:rsidRDefault="001F7233">
      <w:pPr>
        <w:spacing w:line="220" w:lineRule="exact"/>
      </w:pPr>
    </w:p>
    <w:p w14:paraId="2542995E" w14:textId="77777777" w:rsidR="001F7233" w:rsidRDefault="00000000">
      <w:r>
        <w:br w:type="page"/>
      </w:r>
    </w:p>
    <w:p w14:paraId="070267B2" w14:textId="77777777" w:rsidR="001F7233" w:rsidRDefault="00000000">
      <w:pPr>
        <w:pStyle w:val="Heading1"/>
        <w:keepNext/>
        <w:spacing w:line="341" w:lineRule="auto"/>
        <w:jc w:val="center"/>
      </w:pPr>
      <w:bookmarkStart w:id="59" w:name="rev73h2012"/>
      <w:r>
        <w:rPr>
          <w:rFonts w:ascii="Amazon Ember" w:eastAsia="Amazon Ember" w:hAnsi="Amazon Ember" w:cs="Amazon Ember"/>
          <w:color w:val="0000FF"/>
        </w:rPr>
        <w:lastRenderedPageBreak/>
        <w:t>TEIL VII — Arbeiten in den USA</w:t>
      </w:r>
      <w:bookmarkEnd w:id="59"/>
    </w:p>
    <w:p w14:paraId="0250C227" w14:textId="77777777" w:rsidR="001F7233" w:rsidRDefault="00000000">
      <w:pPr>
        <w:spacing w:after="160" w:line="300" w:lineRule="auto"/>
        <w:ind w:left="400" w:right="400"/>
        <w:jc w:val="center"/>
      </w:pPr>
      <w:r>
        <w:rPr>
          <w:i/>
          <w:iCs/>
          <w:sz w:val="24"/>
          <w:szCs w:val="24"/>
        </w:rPr>
        <w:t>Anderes Arbeitsrecht, andere Regeln, anderes Selbstverständnis. Was du wissen musst, wenn du Karriere machst und wenn der Job wechselt.</w:t>
      </w:r>
    </w:p>
    <w:p w14:paraId="6F350544" w14:textId="77777777" w:rsidR="001F7233" w:rsidRDefault="00000000">
      <w:r>
        <w:br w:type="page"/>
      </w:r>
    </w:p>
    <w:p w14:paraId="6017FD43" w14:textId="77777777" w:rsidR="001F7233" w:rsidRDefault="00000000">
      <w:pPr>
        <w:pStyle w:val="Heading2"/>
        <w:keepNext/>
        <w:spacing w:line="341" w:lineRule="auto"/>
        <w:jc w:val="center"/>
      </w:pPr>
      <w:bookmarkStart w:id="60" w:name="k29"/>
      <w:r>
        <w:rPr>
          <w:rFonts w:ascii="Amazon Ember" w:eastAsia="Amazon Ember" w:hAnsi="Amazon Ember" w:cs="Amazon Ember"/>
          <w:color w:val="0000FF"/>
          <w:sz w:val="36"/>
          <w:szCs w:val="36"/>
        </w:rPr>
        <w:lastRenderedPageBreak/>
        <w:t>Kapitel 29: Die Arbeitswelt in den USA: Recht, Kultur, Gehalt</w:t>
      </w:r>
      <w:bookmarkEnd w:id="60"/>
    </w:p>
    <w:p w14:paraId="135BD1FA" w14: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w14:paraId="4493271B" w14:textId="77777777" w:rsidR="001F7233" w:rsidRDefault="00000000">
      <w:pPr>
        <w:spacing w:after="140"/>
      </w:pPr>
      <w:r>
        <w:t>Das Angebot passt auf zwei Seiten: Grundgehalt, Bonus, Aktien, Startdatum und der Satz „Employment with the Company is at-will“. Kein Tarifvertrag, keine Kündigungsfrist, kein Betriebsrat, kein Wort zu Urlaubstagen. Es fehlt nichts. Was in Deutschland Gesetz oder Tarifvertrag regelt, steht in den USA im Recht des Bundesstaats, in der Firmenrichtlinie und in dem, was du verhandelst.</w:t>
      </w:r>
    </w:p>
    <w:p w14:paraId="5C5014FE" w14:textId="77777777" w:rsidR="001F7233" w:rsidRDefault="00000000">
      <w:r>
        <w:rPr>
          <w:b/>
        </w:rPr>
        <w:t xml:space="preserve">KURZ GESAGT: </w:t>
      </w:r>
    </w:p>
    <w:p w14:paraId="07423A7B" w14:textId="77777777" w:rsidR="001F7233" w:rsidRDefault="00000000">
      <w:r>
        <w:t>• Fast überall gilt At-will Employment (Kündigung ohne Grund, für beide Seiten). Ausnahmen betreffen vor allem Diskriminierung, Vergeltung und Vertragsbruch.</w:t>
      </w:r>
    </w:p>
    <w:p w14:paraId="12CA2ADF" w14:textId="77777777" w:rsidR="001F7233" w:rsidRDefault="00000000">
      <w:r>
        <w:t>• Urlaub, Krankheitstage und Kündigungsfrist regeln Offer Letter und Firmenrichtlinie: im Schnitt 11 bezahlte Urlaubstage im ersten Jahr (BLS, 2025).</w:t>
      </w:r>
    </w:p>
    <w:p w14:paraId="70DB6A9A" w14:textId="77777777" w:rsidR="001F7233" w:rsidRDefault="00000000">
      <w:r>
        <w:t>• Verhandle die Gesamtvergütung: Bonus, Aktien, 401(k)-Match und Sign-on-Bonus machen im Rechenbeispiel bis zu 41 % des Grundgehalts aus.</w:t>
      </w:r>
    </w:p>
    <w:p w14:paraId="2C957BA0" w14:textId="77777777" w:rsidR="001F7233" w:rsidRDefault="00000000">
      <w:r>
        <w:t>• Ein bundesweites Verbot von Wettbewerbsverboten gibt es nicht (Datenstand September 2026, geprüft im Oktober 2026): Kalifornien erklärt sie für nichtig, Michigan erlaubt sie im Grundsatz.</w:t>
      </w:r>
    </w:p>
    <w:p w14:paraId="7DB46F54" w14:textId="77777777" w:rsidR="001F7233" w:rsidRDefault="00000000">
      <w:r>
        <w:t>• Ein US-Resume ist kurz, ohne Foto und Geburtsdatum und zählt Ergebnisse statt Aufgaben; deutsche Bescheidenheit kostet Gehalt.</w:t>
      </w:r>
    </w:p>
    <w:p w14:paraId="0E1FF14A" w14:textId="77777777" w:rsidR="001F7233" w:rsidRDefault="00000000">
      <w:r>
        <w:t>• Ein PIP (Verbesserungsplan) ist für Visa-Inhaber ein Alarmsignal.</w:t>
      </w:r>
    </w:p>
    <w:p w14:paraId="7A785C73" w14:textId="77777777" w:rsidR="001F7233" w:rsidRDefault="001F7233">
      <w:pPr>
        <w:spacing w:line="220" w:lineRule="exact"/>
      </w:pPr>
    </w:p>
    <w:p w14:paraId="767FAD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At-will Employment: Kündigung ohne Grund, mit Ausnahmen</w:t>
      </w:r>
    </w:p>
    <w:p w14:paraId="1B2830D3" w14:textId="77777777" w:rsidR="001F7233" w:rsidRDefault="00000000">
      <w:pPr>
        <w:spacing w:after="140"/>
      </w:pPr>
      <w:r>
        <w:rPr>
          <w:i/>
          <w:iCs/>
        </w:rPr>
        <w:t>In 49 Bundesstaaten und Washington, D.C. gilt At-will Employment: Ein Arbeitsverhältnis ohne feste Laufzeit kann jede Seite jederzeit beenden, mit oder ohne Begründung. Nur Montana verlangt nach der Probezeit einen guten Grund. Der Arbeitgeber braucht keine Sozialauswahl, keine Betriebsratsanhörung und keine gesetzliche Kündigungsfrist, üblich sind zwei Wochen aus Höflichkeit. Dieselbe Freiheit hast du. In Deutschland greift dagegen das Kündigungsschutzgesetz in Betrieben ab zehn Beschäftigten nach sechs Monaten. Betriebsräte nach deutschem Muster gibt es nicht, nur etwa jeder zehnte Beschäftigte ist gewerkschaftlich organisiert.</w:t>
      </w:r>
    </w:p>
    <w:p w14:paraId="6FE5DE00" w14:textId="77777777" w:rsidR="001F7233" w:rsidRDefault="00000000">
      <w:pPr>
        <w:spacing w:after="140"/>
      </w:pPr>
      <w:r>
        <w:t>Verbreiteter Irrtum: Ohne Kündigungsschutzgesetz braucht es zumindest einen nachvollziehbaren Grund, denkt man aus deutscher Gewohnheit. Tatsächlich reicht im Kündigungsgespräch ein Satz wie „it’s not a good fit“. Mehr Begründung schuldet dir niemand, und du schuldest sie umgekehrt auch nicht.</w:t>
      </w:r>
    </w:p>
    <w:p w14:paraId="60828D8D" w14:textId="77777777" w:rsidR="001F7233" w:rsidRDefault="00000000">
      <w:pPr>
        <w:spacing w:after="140"/>
      </w:pPr>
      <w:r>
        <w:t>Verboten ist die Kündigung nur aus bestimmten Gründen:</w:t>
      </w:r>
    </w:p>
    <w:p w14:paraId="0B7D3544" w14:textId="77777777" w:rsidR="001F7233" w:rsidRDefault="00000000">
      <w:pPr>
        <w:pStyle w:val="ListParagraph"/>
        <w:numPr>
          <w:ilvl w:val="0"/>
          <w:numId w:val="1"/>
        </w:numPr>
        <w:spacing w:after="60"/>
      </w:pPr>
      <w:r>
        <w:rPr>
          <w:b/>
          <w:bCs/>
        </w:rPr>
        <w:t>Diskriminierung</w:t>
      </w:r>
      <w:r>
        <w:t xml:space="preserve"> wegen Hautfarbe, nationaler Herkunft, Religion, Geschlecht (auch Schwangerschaft), Behinderung oder eines Lebensalters ab 40 Jahren.</w:t>
      </w:r>
    </w:p>
    <w:p w14:paraId="5D71196A" w14:textId="77777777" w:rsidR="001F7233" w:rsidRDefault="00000000">
      <w:pPr>
        <w:pStyle w:val="ListParagraph"/>
        <w:numPr>
          <w:ilvl w:val="0"/>
          <w:numId w:val="1"/>
        </w:numPr>
        <w:spacing w:after="60"/>
      </w:pPr>
      <w:r>
        <w:rPr>
          <w:b/>
          <w:bCs/>
        </w:rPr>
        <w:t>Vergeltung</w:t>
      </w:r>
      <w:r>
        <w:t xml:space="preserve"> (</w:t>
      </w:r>
      <w:r>
        <w:rPr>
          <w:i/>
          <w:iCs/>
        </w:rPr>
        <w:t>Retaliation</w:t>
      </w:r>
      <w:r>
        <w:t>), weil du dich über Diskriminierung, Lohnverstöße oder Sicherheitsmängel beschwert hast.</w:t>
      </w:r>
    </w:p>
    <w:p w14:paraId="56E8DBB0" w14:textId="77777777" w:rsidR="001F7233" w:rsidRDefault="00000000">
      <w:pPr>
        <w:pStyle w:val="ListParagraph"/>
        <w:numPr>
          <w:ilvl w:val="0"/>
          <w:numId w:val="1"/>
        </w:numPr>
        <w:spacing w:after="60"/>
      </w:pPr>
      <w:r>
        <w:rPr>
          <w:b/>
          <w:bCs/>
        </w:rPr>
        <w:t>Geschützte Rechte, etwa Familienurlaub nach der FMLA (siehe unten), Wehrdienst oder ein Antrag nach einem Arbeitsunfall.</w:t>
      </w:r>
    </w:p>
    <w:p w14:paraId="3E40C328" w14:textId="77777777" w:rsidR="001F7233" w:rsidRDefault="00000000">
      <w:pPr>
        <w:pStyle w:val="ListParagraph"/>
        <w:numPr>
          <w:ilvl w:val="0"/>
          <w:numId w:val="1"/>
        </w:numPr>
        <w:spacing w:after="60"/>
      </w:pPr>
      <w:r>
        <w:rPr>
          <w:b/>
          <w:bCs/>
        </w:rPr>
        <w:t>Vertragsbruch: Ein Vertrag mit fester Laufzeit oder Kündigung nur aus wichtigem Grund (For Cause) gilt; auch Tarifverträge setzen Grenzen.</w:t>
      </w:r>
    </w:p>
    <w:p w14:paraId="558BB5AA" w14:textId="77777777" w:rsidR="001F7233" w:rsidRDefault="00000000">
      <w:pPr>
        <w:pStyle w:val="ListParagraph"/>
        <w:numPr>
          <w:ilvl w:val="0"/>
          <w:numId w:val="1"/>
        </w:numPr>
        <w:spacing w:after="60"/>
      </w:pPr>
      <w:r>
        <w:rPr>
          <w:b/>
          <w:bCs/>
        </w:rPr>
        <w:lastRenderedPageBreak/>
        <w:t>Verstoß gegen die öffentliche Ordnung, etwa eine Kündigung, weil du dich weigerst, ein Gesetz zu brechen.</w:t>
      </w:r>
    </w:p>
    <w:p w14:paraId="6BC51651" w14:textId="77777777" w:rsidR="001F7233" w:rsidRDefault="001F7233">
      <w:pPr>
        <w:spacing w:line="120" w:lineRule="exact"/>
      </w:pPr>
    </w:p>
    <w:p w14:paraId="02F62049" w14:textId="77777777" w:rsidR="001F7233" w:rsidRDefault="00000000">
      <w:pPr>
        <w:spacing w:after="140"/>
      </w:pPr>
      <w:r>
        <w:t>Die Beweislast liegt bei dir, geklagt wird erst nach der Kündigung. Bei Diskriminierung ist die Bundesbehörde EEOC (</w:t>
      </w:r>
      <w:r>
        <w:rPr>
          <w:i/>
          <w:iCs/>
        </w:rPr>
        <w:t>Equal Employment Opportunity Commission</w:t>
      </w:r>
      <w:r>
        <w:t>) erste Adresse, meist binnen 180 bis 300 Tagen. Eine Abfindung gibt es nicht per Gesetz; sie wird verhandelt (Kapitel </w:t>
      </w:r>
      <w:hyperlink w:anchor="k30">
        <w:r w:rsidR="001F7233">
          <w:t>30</w:t>
        </w:r>
      </w:hyperlink>
      <w:r>
        <w:t>).</w:t>
      </w:r>
    </w:p>
    <w:p w14:paraId="37413190" w14:textId="77777777" w:rsidR="001F7233" w:rsidRDefault="00000000">
      <w:r>
        <w:rPr>
          <w:b/>
        </w:rPr>
        <w:t xml:space="preserve">ACHTUNG: </w:t>
      </w:r>
    </w:p>
    <w:p w14:paraId="5B173F20" w14:textId="77777777" w:rsidR="001F7233" w:rsidRDefault="00000000">
      <w:r>
        <w:t>• At-will gilt schon vor dem ersten Arbeitstag: Ein Arbeitgeber kann sein Angebot zurückziehen, etwa bei Einstellungsstopp oder nicht bestandenem Background Check (Überprüfung der Vorgeschichte). Kündige den deutschen Job erst, wenn Visum und Startdatum feststehen (</w:t>
      </w:r>
      <w:hyperlink w:anchor="k15">
        <w:r w:rsidR="001F7233">
          <w:rPr>
            <w:color w:val="0563C1"/>
            <w:u w:val="single"/>
          </w:rPr>
          <w:t>Kapitel 15</w:t>
        </w:r>
      </w:hyperlink>
      <w:r>
        <w:t>).</w:t>
      </w:r>
    </w:p>
    <w:p w14:paraId="25DD88FE" w14:textId="77777777" w:rsidR="001F7233" w:rsidRDefault="001F7233">
      <w:pPr>
        <w:spacing w:line="220" w:lineRule="exact"/>
      </w:pPr>
    </w:p>
    <w:p w14:paraId="3EDD2D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Offer Letter und Arbeitsvertrag: was drinsteht, was fehlt</w:t>
      </w:r>
    </w:p>
    <w:p w14:paraId="463A728B" w14:textId="77777777" w:rsidR="001F7233" w:rsidRDefault="00000000">
      <w:pPr>
        <w:spacing w:after="140"/>
      </w:pPr>
      <w:r>
        <w:t xml:space="preserve">Der </w:t>
      </w:r>
      <w:r>
        <w:rPr>
          <w:i/>
          <w:iCs/>
        </w:rPr>
        <w:t>Offer Letter</w:t>
      </w:r>
      <w:r>
        <w:t xml:space="preserve"> (Angebotsschreiben) umfasst meist ein bis drei Seiten: Position, Standort, Startdatum, Grundgehalt, Bonus- und Aktienzusagen, Verweis auf die Benefits, At-will-Klausel. Bedingungen sind die Überprüfung der Vorgeschichte, der Nachweis der Arbeitsberechtigung (</w:t>
      </w:r>
      <w:r>
        <w:rPr>
          <w:i/>
          <w:iCs/>
        </w:rPr>
        <w:t>Form I-9</w:t>
      </w:r>
      <w:r>
        <w:t>) und bei dir die Genehmigung der H-1B-Petition (Kapitel </w:t>
      </w:r>
      <w:hyperlink w:anchor="k5">
        <w:r w:rsidR="001F7233">
          <w:t>5</w:t>
        </w:r>
      </w:hyperlink>
      <w:r>
        <w:t>). Oft kommen weitere Papiere dazu: die Bestätigung des Firmenhandbuchs (</w:t>
      </w:r>
      <w:r>
        <w:rPr>
          <w:i/>
          <w:iCs/>
        </w:rPr>
        <w:t>Employee Handbook</w:t>
      </w:r>
      <w:r>
        <w:t>), das die Firma einseitig ändern darf, sowie eine Schiedsvereinbarung (</w:t>
      </w:r>
      <w:r>
        <w:rPr>
          <w:i/>
          <w:iCs/>
        </w:rPr>
        <w:t>Arbitration Agreement</w:t>
      </w:r>
      <w:r>
        <w:t>), die Streit vor ein privates statt ein staatliches Gericht bringt. Dazu kommen Geheimhaltung, Erfindungszuweisung und Wettbewerbsverbot (nächster Abschnitt).</w:t>
      </w:r>
    </w:p>
    <w:p w14:paraId="4B490F58" w14:textId="77777777" w:rsidR="001F7233" w:rsidRDefault="00000000">
      <w:pPr>
        <w:spacing w:after="140"/>
      </w:pPr>
      <w:r>
        <w:t xml:space="preserve">Kündigungsfrist, Urlaubstage, Lohnfortzahlung bei Krankheit und Probezeit stehen meist nur als „nach Firmenrichtlinie“ darin. Lass dir schriftlich bestätigen: Titel und Level, Bonusziel und </w:t>
      </w:r>
      <w:r>
        <w:lastRenderedPageBreak/>
        <w:t>Auszahlungsregeln, Aktienmenge und Zuteilungsplan, 401(k)-Match, Beginn der Krankenversicherung (Kapitel </w:t>
      </w:r>
      <w:hyperlink w:anchor="k26">
        <w:r w:rsidR="001F7233">
          <w:t>26</w:t>
        </w:r>
      </w:hyperlink>
      <w:r>
        <w:t>), Sign-on und Umzugspaket samt Rückzahlungsklausel (Kapitel </w:t>
      </w:r>
      <w:hyperlink w:anchor="k20">
        <w:r w:rsidR="001F7233">
          <w:t>20</w:t>
        </w:r>
      </w:hyperlink>
      <w:r>
        <w:t>), wer die Visa- und Green-Card-Kosten trägt und wann das Verfahren startet (Kapitel </w:t>
      </w:r>
      <w:hyperlink w:anchor="k5">
        <w:r w:rsidR="001F7233">
          <w:t>5</w:t>
        </w:r>
      </w:hyperlink>
      <w:r>
        <w:t xml:space="preserve"> bis </w:t>
      </w:r>
      <w:hyperlink w:anchor="k7">
        <w:r w:rsidR="001F7233">
          <w:t>7</w:t>
        </w:r>
      </w:hyperlink>
      <w:r>
        <w:t>). Bei Führungsposten, Aktienzusagen oder Wettbewerbsverbot lohnt die Prüfung durch eine Fachanwältin für Arbeitsrecht (</w:t>
      </w:r>
      <w:r>
        <w:rPr>
          <w:i/>
          <w:iCs/>
        </w:rPr>
        <w:t>Employment Attorney</w:t>
      </w:r>
      <w:r>
        <w:t>); vereinbare das Honorar vorab.</w:t>
      </w:r>
    </w:p>
    <w:p w14:paraId="4CDE7C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Wettbewerbsverbot, NDA und Erfindungen</w:t>
      </w:r>
    </w:p>
    <w:p w14:paraId="0E588385" w14:textId="77777777" w:rsidR="001F7233" w:rsidRDefault="00000000">
      <w:pPr>
        <w:spacing w:after="140"/>
      </w:pPr>
      <w:r>
        <w:t>Ein Wettbewerbsverbot (</w:t>
      </w:r>
      <w:r>
        <w:rPr>
          <w:i/>
          <w:iCs/>
        </w:rPr>
        <w:t>Non-compete Agreement</w:t>
      </w:r>
      <w:r>
        <w:t>) untersagt dir nach dem Ausscheiden für begrenzte Zeit, meist in einem Gebiet, die Arbeit bei einem Konkurrenten. In Deutschland gilt es nur mit Karenzentschädigung (mindestens die Hälfte der letzten Bezüge) und höchstens zwei Jahre (§§ 74 ff. HGB); das US-Recht schreibt keine Entschädigung vor.</w:t>
      </w:r>
    </w:p>
    <w:p w14:paraId="74BA4CF2" w14:textId="77777777" w:rsidR="001F7233" w:rsidRDefault="00000000">
      <w:pPr>
        <w:spacing w:after="140"/>
      </w:pPr>
      <w:r>
        <w:t>Auf Bundesebene beschloss die Handelsbehörde FTC im April 2024 ein Verbot. Ein Gericht in Texas stoppte es im August 2024. Die FTC nahm ihre Berufung im September 2025 zurück und strich die Regel am 12. Februar 2026 aus den Bundesvorschriften. Von Verkündung bis Streichung hielt das bundesweite Verbot keine zwei Jahre. Für eine Bundesregel fast schon eine Eintagsfliege. Sie geht nur noch einzelne Fälle an. Es entscheidet also der Bundesstaat (Datenstand September 2026; geprüft im Oktober 2026):</w:t>
      </w:r>
    </w:p>
    <w:p w14:paraId="2A26D2A2" w14:textId="77777777" w:rsidR="001F7233" w:rsidRDefault="00000000">
      <w:pPr>
        <w:pStyle w:val="ListParagraph"/>
        <w:numPr>
          <w:ilvl w:val="0"/>
          <w:numId w:val="1"/>
        </w:numPr>
        <w:spacing w:after="60"/>
      </w:pPr>
      <w:r>
        <w:rPr>
          <w:b/>
          <w:bCs/>
        </w:rPr>
        <w:t>Verboten, mit engen Ausnahmen (etwa beim Firmenverkauf):</w:t>
      </w:r>
      <w:r>
        <w:t xml:space="preserve"> Kalifornien, Minnesota (Verträge ab 1. Juli 2023), North Dakota, Oklahoma, Wyoming (ab 1. Juli 2025).</w:t>
      </w:r>
    </w:p>
    <w:p w14:paraId="2E6B47ED" w14:textId="77777777" w:rsidR="001F7233" w:rsidRDefault="00000000">
      <w:pPr>
        <w:pStyle w:val="ListParagraph"/>
        <w:numPr>
          <w:ilvl w:val="0"/>
          <w:numId w:val="1"/>
        </w:numPr>
        <w:spacing w:after="60"/>
      </w:pPr>
      <w:r>
        <w:rPr>
          <w:b/>
          <w:bCs/>
        </w:rPr>
        <w:t>Nur oberhalb einer Gehaltsschwelle oder mit Auflagen:</w:t>
      </w:r>
      <w:r>
        <w:t xml:space="preserve"> Illinois (75.000 $, ab 1. Januar 2027 80.000 $), Colorado, Oregon und Washington. Für Washington nennen Kanzleiübersichten vom Juli 2026 ein Totalverbot ab 30. Juni 2027.</w:t>
      </w:r>
    </w:p>
    <w:p w14:paraId="64B315FA" w14:textId="77777777" w:rsidR="001F7233" w:rsidRDefault="00000000">
      <w:pPr>
        <w:pStyle w:val="ListParagraph"/>
        <w:numPr>
          <w:ilvl w:val="0"/>
          <w:numId w:val="1"/>
        </w:numPr>
        <w:spacing w:after="60"/>
      </w:pPr>
      <w:r>
        <w:rPr>
          <w:b/>
          <w:bCs/>
        </w:rPr>
        <w:lastRenderedPageBreak/>
        <w:t>Meist durchsetzbar, wenn angemessen: Michigan, Texas und die meisten übrigen Staaten. Florida stärkt sie seit 1. Juli 2025 für Beschäftigte mit mehr als dem Doppelten des durchschnittlichen Jahreslohns im County (CHOICE Act, bis zu vier Jahre).</w:t>
      </w:r>
    </w:p>
    <w:p w14:paraId="455F1194" w14:textId="77777777" w:rsidR="001F7233" w:rsidRDefault="001F7233">
      <w:pPr>
        <w:spacing w:line="120" w:lineRule="exact"/>
      </w:pPr>
    </w:p>
    <w:p w14:paraId="6B323AF9" w14:textId="77777777" w:rsidR="001F7233" w:rsidRDefault="00000000">
      <w:pPr>
        <w:spacing w:after="140"/>
      </w:pPr>
      <w:r>
        <w:rPr>
          <w:i/>
          <w:iCs/>
        </w:rPr>
        <w:t>Eine Geheimhaltungsvereinbarung (NDA, Non-Disclosure Agreement) ist Standard und unproblematisch, solange sie Betriebsgeheimnisse und Kundendaten schützt. Bei der Erfindungszuweisung (Invention Assignment) gehört der Firma, was du im Job oder mit Firmenmitteln entwickelst. Kalifornien und einige weitere Staaten schützen private Erfindungen außer des Geschäftsfelds. Trage eigene Projekte, Open-Source-Beiträge und Patente vor der Unterschrift als Ausnahme ein (Prior Inventions).</w:t>
      </w:r>
    </w:p>
    <w:p w14:paraId="010D44FE" w14:textId="77777777" w:rsidR="001F7233" w:rsidRDefault="00000000">
      <w:r>
        <w:rPr>
          <w:b/>
        </w:rPr>
        <w:t xml:space="preserve">ACHTUNG: </w:t>
      </w:r>
    </w:p>
    <w:p w14:paraId="751C725A" w14:textId="77777777" w:rsidR="001F7233" w:rsidRDefault="00000000">
      <w:r>
        <w:t>• Ein Wettbewerbsverbot kann den Wechsel im 60-Tage-Fenster nach einer Entlassung blockieren (</w:t>
      </w:r>
      <w:hyperlink w:anchor="k30">
        <w:r w:rsidR="001F7233">
          <w:rPr>
            <w:color w:val="0563C1"/>
            <w:u w:val="single"/>
          </w:rPr>
          <w:t>Kapitel 30</w:t>
        </w:r>
      </w:hyperlink>
      <w:r>
        <w:t>). Verhandle Dauer, Gebiet und die Definition des Wettbewerbers, bevor du unterschreibst.</w:t>
      </w:r>
    </w:p>
    <w:p w14:paraId="5F5BDBBC" w14:textId="77777777" w:rsidR="001F7233" w:rsidRDefault="001F7233">
      <w:pPr>
        <w:spacing w:line="220" w:lineRule="exact"/>
      </w:pPr>
    </w:p>
    <w:p w14:paraId="62099609" w14:textId="77777777" w:rsidR="001F7233" w:rsidRDefault="00000000">
      <w:r>
        <w:t>• Das ist keine Rechtsberatung. Arbeitsrecht ist überwiegend Landesrecht und ändert sich. Lass Verträge mit Wettbewerbsverbot, Aktienzusagen oder Schiedsklausel anwaltlich prüfen.</w:t>
      </w:r>
    </w:p>
    <w:p w14:paraId="24CDAFD6" w14:textId="77777777" w:rsidR="001F7233" w:rsidRDefault="001F7233">
      <w:pPr>
        <w:spacing w:line="220" w:lineRule="exact"/>
      </w:pPr>
    </w:p>
    <w:p w14:paraId="01DF73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Gesamtvergütung: Gehalt, Bonus, RSUs, 401(k), Sign-on</w:t>
      </w:r>
    </w:p>
    <w:p w14:paraId="744D3FB7" w14:textId="77777777" w:rsidR="001F7233" w:rsidRDefault="00000000">
      <w:pPr>
        <w:spacing w:after="140"/>
      </w:pPr>
      <w:r>
        <w:t>Angebote nennen das Jahresbrutto; ausgezahlt wird alle zwei Wochen (26 Zahlungen) oder zweimal im Monat (24). Ein 13. Gehalt gibt es nicht. Wer im Dezember darauf wartet, wartet auf einen Zug, der in diesem Land nie fährt. Die Gesamtvergütung (</w:t>
      </w:r>
      <w:r>
        <w:rPr>
          <w:i/>
          <w:iCs/>
        </w:rPr>
        <w:t>Total Compensation</w:t>
      </w:r>
      <w:r>
        <w:t>) besteht aus Bausteinen:</w:t>
      </w:r>
    </w:p>
    <w:p w14:paraId="52923DB4" w14:textId="77777777" w:rsidR="001F7233" w:rsidRDefault="00000000">
      <w:pPr>
        <w:pStyle w:val="ListParagraph"/>
        <w:numPr>
          <w:ilvl w:val="0"/>
          <w:numId w:val="1"/>
        </w:numPr>
        <w:spacing w:after="60"/>
      </w:pPr>
      <w:r>
        <w:rPr>
          <w:b/>
          <w:bCs/>
        </w:rPr>
        <w:lastRenderedPageBreak/>
        <w:t>Grundgehalt</w:t>
      </w:r>
      <w:r>
        <w:t xml:space="preserve"> (</w:t>
      </w:r>
      <w:r>
        <w:rPr>
          <w:i/>
          <w:iCs/>
        </w:rPr>
        <w:t>Base Salary</w:t>
      </w:r>
      <w:r>
        <w:t>): der planbare Kern.</w:t>
      </w:r>
    </w:p>
    <w:p w14:paraId="4F55F449" w14:textId="77777777" w:rsidR="001F7233" w:rsidRDefault="00000000">
      <w:pPr>
        <w:pStyle w:val="ListParagraph"/>
        <w:numPr>
          <w:ilvl w:val="0"/>
          <w:numId w:val="1"/>
        </w:numPr>
        <w:spacing w:after="60"/>
      </w:pPr>
      <w:r>
        <w:rPr>
          <w:b/>
          <w:bCs/>
        </w:rPr>
        <w:t>Bonus: meist ein Zielwert in Prozent des Grundgehalts. Die Auszahlung folgt Firmenergebnis und Bewertung, oft nur bei Anstellung am Stichtag.</w:t>
      </w:r>
    </w:p>
    <w:p w14:paraId="2F8982D1" w14:textId="77777777" w:rsidR="001F7233" w:rsidRDefault="00000000">
      <w:pPr>
        <w:pStyle w:val="ListParagraph"/>
        <w:numPr>
          <w:ilvl w:val="0"/>
          <w:numId w:val="1"/>
        </w:numPr>
        <w:spacing w:after="60"/>
      </w:pPr>
      <w:r>
        <w:rPr>
          <w:b/>
          <w:bCs/>
        </w:rPr>
        <w:t>Sign-on-Bonus:</w:t>
      </w:r>
      <w:r>
        <w:t xml:space="preserve"> Einmalzahlung zum Start, meist mit Rückzahlung bei eigener Kündigung binnen zwölf bis 24 Monaten (Kapitel </w:t>
      </w:r>
      <w:hyperlink w:anchor="k20">
        <w:r w:rsidR="001F7233">
          <w:t>20</w:t>
        </w:r>
      </w:hyperlink>
      <w:r>
        <w:t>).</w:t>
      </w:r>
    </w:p>
    <w:p w14:paraId="496C4DCA" w14:textId="77777777" w:rsidR="001F7233" w:rsidRDefault="00000000">
      <w:pPr>
        <w:pStyle w:val="ListParagraph"/>
        <w:numPr>
          <w:ilvl w:val="0"/>
          <w:numId w:val="1"/>
        </w:numPr>
        <w:spacing w:after="60"/>
      </w:pPr>
      <w:r>
        <w:rPr>
          <w:b/>
          <w:bCs/>
        </w:rPr>
        <w:t>RSUs</w:t>
      </w:r>
      <w:r>
        <w:t xml:space="preserve"> (</w:t>
      </w:r>
      <w:r>
        <w:rPr>
          <w:i/>
          <w:iCs/>
        </w:rPr>
        <w:t>Restricted Stock Units</w:t>
      </w:r>
      <w:r>
        <w:t>, Aktienzuteilung): Zusage auf Firmenaktien, die meist über vier Jahre zufließen (</w:t>
      </w:r>
      <w:r>
        <w:rPr>
          <w:i/>
          <w:iCs/>
        </w:rPr>
        <w:t>Vesting</w:t>
      </w:r>
      <w:r>
        <w:t>), oft nach einem Jahr Sperrfrist. Mit dem Zufluss zählt der Aktienwert als Lohn und wird versteuert (Kapitel </w:t>
      </w:r>
      <w:hyperlink w:anchor="k28">
        <w:r w:rsidR="001F7233">
          <w:t>28</w:t>
        </w:r>
      </w:hyperlink>
      <w:r>
        <w:t>). Noch nicht zugeflossene Aktien verfallen, wenn du gehst; ihr Wert schwankt mit dem Kurs.</w:t>
      </w:r>
    </w:p>
    <w:p w14:paraId="5AF10B42" w14:textId="77777777" w:rsidR="001F7233" w:rsidRDefault="00000000">
      <w:pPr>
        <w:pStyle w:val="ListParagraph"/>
        <w:numPr>
          <w:ilvl w:val="0"/>
          <w:numId w:val="1"/>
        </w:numPr>
        <w:spacing w:after="60"/>
      </w:pPr>
      <w:r>
        <w:rPr>
          <w:b/>
          <w:bCs/>
        </w:rPr>
        <w:t>Aktienoptionen (Stock Options) und ESPP (Aktienkauf mit Rabatt bis 15 %): vor allem bei Start-ups und Konzernen; Wert ungewiss, Besteuerung kompliziert.</w:t>
      </w:r>
    </w:p>
    <w:p w14:paraId="6C49CAC0" w14:textId="77777777" w:rsidR="001F7233" w:rsidRDefault="001F7233">
      <w:pPr>
        <w:spacing w:line="120" w:lineRule="exact"/>
      </w:pPr>
    </w:p>
    <w:p w14:paraId="65F4178B" w14:textId="77777777" w:rsidR="001F7233" w:rsidRDefault="00000000">
      <w:pPr>
        <w:spacing w:after="140"/>
      </w:pPr>
      <w:r>
        <w:t xml:space="preserve">Das </w:t>
      </w:r>
      <w:r>
        <w:rPr>
          <w:i/>
          <w:iCs/>
        </w:rPr>
        <w:t>401(k)</w:t>
      </w:r>
      <w:r>
        <w:t xml:space="preserve"> ist die betriebliche Altersvorsorge: Du zahlst vom Bruttolohn ein (2026 bis 24.500 $), der Arbeitgeber legt einen Zuschuss dazu (</w:t>
      </w:r>
      <w:r>
        <w:rPr>
          <w:i/>
          <w:iCs/>
        </w:rPr>
        <w:t>Match</w:t>
      </w:r>
      <w:r>
        <w:t>). Häufigste Formel nach Vanguard: 50 Cent je Dollar auf die ersten 6 % des Gehalts, also 3 % vom Gehalt. Im Schnitt liegt der Arbeitgeberbeitrag bei rund 4,7 %. Ob der Match sofort dir gehört oder erst nach Jahren, regelt der Plan; das Gesetz erlaubt höchstens drei Jahre (auf einmal) oder sechs Jahre (gestaffelt). Weiteres: Kapitel </w:t>
      </w:r>
      <w:hyperlink w:anchor="k28">
        <w:r w:rsidR="001F7233">
          <w:t>28</w:t>
        </w:r>
      </w:hyperlink>
      <w:r>
        <w:t xml:space="preserve"> und </w:t>
      </w:r>
      <w:hyperlink w:anchor="k39">
        <w:r w:rsidR="001F7233">
          <w:t>39</w:t>
        </w:r>
      </w:hyperlink>
      <w:r>
        <w:t>.</w:t>
      </w:r>
    </w:p>
    <w:p w14:paraId="603809A2" w14:textId="77777777" w:rsidR="001F7233" w:rsidRDefault="00000000">
      <w:r>
        <w:rPr>
          <w:b/>
        </w:rPr>
        <w:t xml:space="preserve">SPARTIPP: </w:t>
      </w:r>
    </w:p>
    <w:p w14:paraId="60D67965" w14:textId="77777777" w:rsidR="001F7233" w:rsidRDefault="00000000">
      <w:r>
        <w:t>• Zahle mindestens so viel ein, dass du den vollen Match erhältst. Sonst verschenkst du Gehalt: Bei 3 % Match auf 112.000 $ sind es 3.360 $ im Jahr.</w:t>
      </w:r>
    </w:p>
    <w:p w14:paraId="1EFC06F6" w14:textId="77777777" w:rsidR="001F7233" w:rsidRDefault="001F7233">
      <w:pPr>
        <w:spacing w:line="220" w:lineRule="exact"/>
      </w:pPr>
    </w:p>
    <w:p w14:paraId="45A3DB17" w14:textId="77777777" w:rsidR="001F7233" w:rsidRDefault="00000000">
      <w:r>
        <w:rPr>
          <w:b/>
        </w:rPr>
        <w:t>Grundgehalt</w:t>
      </w:r>
    </w:p>
    <w:p w14:paraId="3A18E563" w14:textId="77777777" w:rsidR="001F7233" w:rsidRDefault="00000000">
      <w:r>
        <w:rPr>
          <w:b/>
        </w:rPr>
        <w:t xml:space="preserve">Angebot A: Maschinenbau, Michigan: </w:t>
      </w:r>
      <w:r>
        <w:t>112.000 $</w:t>
      </w:r>
    </w:p>
    <w:p w14:paraId="6824CD3F" w14:textId="77777777" w:rsidR="001F7233" w:rsidRDefault="00000000">
      <w:r>
        <w:rPr>
          <w:b/>
        </w:rPr>
        <w:t xml:space="preserve">Angebot B: Software, Seattle: </w:t>
      </w:r>
      <w:r>
        <w:t>150.000 $</w:t>
      </w:r>
    </w:p>
    <w:p w14:paraId="66E2D243" w14:textId="77777777" w:rsidR="001F7233" w:rsidRDefault="00000000">
      <w:r>
        <w:rPr>
          <w:b/>
        </w:rPr>
        <w:t>Bonus (Ziel)</w:t>
      </w:r>
    </w:p>
    <w:p w14:paraId="26A92F28" w14:textId="77777777" w:rsidR="001F7233" w:rsidRDefault="00000000">
      <w:r>
        <w:rPr>
          <w:b/>
        </w:rPr>
        <w:lastRenderedPageBreak/>
        <w:t xml:space="preserve">Angebot A: Maschinenbau, Michigan: </w:t>
      </w:r>
      <w:r>
        <w:t>8 % = 8.960 $</w:t>
      </w:r>
    </w:p>
    <w:p w14:paraId="4382CAB4" w14:textId="77777777" w:rsidR="001F7233" w:rsidRDefault="00000000">
      <w:r>
        <w:rPr>
          <w:b/>
        </w:rPr>
        <w:t xml:space="preserve">Angebot B: Software, Seattle: </w:t>
      </w:r>
      <w:r>
        <w:t>10 % = 15.000 $</w:t>
      </w:r>
    </w:p>
    <w:p w14:paraId="0BA72593" w14:textId="77777777" w:rsidR="001F7233" w:rsidRDefault="00000000">
      <w:r>
        <w:rPr>
          <w:b/>
        </w:rPr>
        <w:t>RSUs pro Jahr</w:t>
      </w:r>
    </w:p>
    <w:p w14:paraId="26592523" w14:textId="77777777" w:rsidR="001F7233" w:rsidRDefault="00000000">
      <w:r>
        <w:rPr>
          <w:b/>
        </w:rPr>
        <w:t xml:space="preserve">Angebot A: Maschinenbau, Michigan: </w:t>
      </w:r>
      <w:r>
        <w:t>keine</w:t>
      </w:r>
    </w:p>
    <w:p w14:paraId="44F2740D" w14:textId="77777777" w:rsidR="001F7233" w:rsidRDefault="00000000">
      <w:r>
        <w:rPr>
          <w:b/>
        </w:rPr>
        <w:t xml:space="preserve">Angebot B: Software, Seattle: </w:t>
      </w:r>
      <w:r>
        <w:t>40.000 $</w:t>
      </w:r>
    </w:p>
    <w:p w14:paraId="245AE360" w14:textId="77777777" w:rsidR="001F7233" w:rsidRDefault="00000000">
      <w:r>
        <w:rPr>
          <w:b/>
        </w:rPr>
        <w:t>401(k)-Match</w:t>
      </w:r>
    </w:p>
    <w:p w14:paraId="4DD1ACBF" w14:textId="77777777" w:rsidR="001F7233" w:rsidRDefault="00000000">
      <w:r>
        <w:rPr>
          <w:b/>
        </w:rPr>
        <w:t xml:space="preserve">Angebot A: Maschinenbau, Michigan: </w:t>
      </w:r>
      <w:r>
        <w:t>3 % = 3.360 $</w:t>
      </w:r>
    </w:p>
    <w:p w14:paraId="7FDCF12D" w14:textId="77777777" w:rsidR="001F7233" w:rsidRDefault="00000000">
      <w:r>
        <w:rPr>
          <w:b/>
        </w:rPr>
        <w:t xml:space="preserve">Angebot B: Software, Seattle: </w:t>
      </w:r>
      <w:r>
        <w:t>4 % = 6.000 $</w:t>
      </w:r>
    </w:p>
    <w:p w14:paraId="5A1D4AB9" w14:textId="77777777" w:rsidR="001F7233" w:rsidRDefault="00000000">
      <w:r>
        <w:rPr>
          <w:b/>
        </w:rPr>
        <w:t>Summe pro Jahr</w:t>
      </w:r>
    </w:p>
    <w:p w14:paraId="30C89351" w14:textId="77777777" w:rsidR="001F7233" w:rsidRDefault="00000000">
      <w:r>
        <w:rPr>
          <w:b/>
        </w:rPr>
        <w:t xml:space="preserve">Angebot A: Maschinenbau, Michigan: </w:t>
      </w:r>
      <w:r>
        <w:t>124.320 $</w:t>
      </w:r>
    </w:p>
    <w:p w14:paraId="19C86AC9" w14:textId="77777777" w:rsidR="001F7233" w:rsidRDefault="00000000">
      <w:r>
        <w:rPr>
          <w:b/>
        </w:rPr>
        <w:t xml:space="preserve">Angebot B: Software, Seattle: </w:t>
      </w:r>
      <w:r>
        <w:t>211.000 $</w:t>
      </w:r>
    </w:p>
    <w:p w14:paraId="38B56B20" w14:textId="77777777" w:rsidR="001F7233" w:rsidRDefault="00000000">
      <w:r>
        <w:rPr>
          <w:b/>
        </w:rPr>
        <w:t>Einmalig: Sign-on</w:t>
      </w:r>
    </w:p>
    <w:p w14:paraId="22DB76C1" w14:textId="77777777" w:rsidR="001F7233" w:rsidRDefault="00000000">
      <w:r>
        <w:rPr>
          <w:b/>
        </w:rPr>
        <w:t xml:space="preserve">Angebot A: Maschinenbau, Michigan: </w:t>
      </w:r>
      <w:r>
        <w:t>10.000 $</w:t>
      </w:r>
    </w:p>
    <w:p w14:paraId="58679291" w14:textId="77777777" w:rsidR="001F7233" w:rsidRDefault="00000000">
      <w:r>
        <w:rPr>
          <w:b/>
        </w:rPr>
        <w:t xml:space="preserve">Angebot B: Software, Seattle: </w:t>
      </w:r>
      <w:r>
        <w:t>20.000 $</w:t>
      </w:r>
    </w:p>
    <w:p w14:paraId="186EB752" w14:textId="77777777" w:rsidR="001F7233" w:rsidRDefault="001F7233">
      <w:pPr>
        <w:spacing w:line="180" w:lineRule="exact"/>
      </w:pPr>
    </w:p>
    <w:p w14:paraId="6A7B74D1" w14:textId="77777777" w:rsidR="001F7233" w:rsidRDefault="00000000">
      <w:pPr>
        <w:spacing w:after="140"/>
      </w:pPr>
      <w:r>
        <w:t>Die Werte sind angenommen. Planbar sind nur Grundgehalt und Match (115.360 $ bzw. 156.000 $); Bonus und Aktien schwanken. Zum Maßstab: Der Median für Maschinenbauingenieure lag im Mai 2025 bei 104.110 $ (BLS). Dazu kommt die Krankenversicherung, der größte unsichtbare Baustein: Der Arbeitgeber zahlt im Schnitt rund 7.900 $ der Jahresprämie einer Einzelperson und rund 20.100 $ der Familienprämie (KFF 2025, Kapitel </w:t>
      </w:r>
      <w:hyperlink w:anchor="k26">
        <w:r w:rsidR="001F7233">
          <w:t>26</w:t>
        </w:r>
      </w:hyperlink>
      <w:r>
        <w:t>). Bei H-1B muss er dir mindestens den Lohn der LCA zahlen und Nebenleistungen nach denselben Kriterien anbieten wie US-Beschäftigten (Kapitel </w:t>
      </w:r>
      <w:hyperlink w:anchor="k5">
        <w:r w:rsidR="001F7233">
          <w:t>5</w:t>
        </w:r>
      </w:hyperlink>
      <w:r>
        <w:t>). Zur groben Orientierung: 1 € entsprach im Herbst 2026 etwa 1,1–1,2 $ (bitte tagesaktuell prüfen). 112.000 $ sind dann rund 93.000–102.000 €. Was netto bleibt, zeigt Kapitel </w:t>
      </w:r>
      <w:hyperlink w:anchor="k28">
        <w:r w:rsidR="001F7233">
          <w:t>28</w:t>
        </w:r>
      </w:hyperlink>
      <w:r>
        <w:t>: bei 120.000 $ brutto ledig etwa 71–78 %, je nach Bundesstaat und ohne Krankenversicherung.</w:t>
      </w:r>
    </w:p>
    <w:p w14:paraId="1D3D605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Gehaltsverhandlung und Transparenzgesetze</w:t>
      </w:r>
    </w:p>
    <w:p w14:paraId="56A5274B" w14:textId="77777777" w:rsidR="001F7233" w:rsidRDefault="00000000">
      <w:pPr>
        <w:spacing w:after="140"/>
      </w:pPr>
      <w:r>
        <w:t>In den USA rechnet ein Recruiter mit einem Gegenangebot; das erste ist selten das letzte. Wer ohne Rückfrage annimmt, lässt Spielraum liegen, und das Startgehalt wirkt auf spätere Erhöhungen nach. So gehst du vor:</w:t>
      </w:r>
    </w:p>
    <w:p w14:paraId="18E14B9B" w14:textId="77777777" w:rsidR="001F7233" w:rsidRDefault="00000000">
      <w:pPr>
        <w:pStyle w:val="ListParagraph"/>
        <w:numPr>
          <w:ilvl w:val="0"/>
          <w:numId w:val="27"/>
        </w:numPr>
        <w:spacing w:after="60"/>
      </w:pPr>
      <w:r>
        <w:t>Recherchiere die Spanne: Stellenanzeigen mit Gehaltsangabe, BLS-Lohnstatistik (</w:t>
      </w:r>
      <w:hyperlink r:id="rId404">
        <w:r w:rsidR="001F7233">
          <w:rPr>
            <w:color w:val="0563C1"/>
            <w:u w:val="single"/>
          </w:rPr>
          <w:t>bls.gov/oes</w:t>
        </w:r>
      </w:hyperlink>
      <w:r>
        <w:t>), Gehaltsportale; achte auf Region und Erfahrung.</w:t>
      </w:r>
    </w:p>
    <w:p w14:paraId="161E273E" w14:textId="77777777" w:rsidR="001F7233" w:rsidRDefault="00000000">
      <w:pPr>
        <w:pStyle w:val="ListParagraph"/>
        <w:numPr>
          <w:ilvl w:val="0"/>
          <w:numId w:val="2"/>
        </w:numPr>
        <w:spacing w:after="60"/>
      </w:pPr>
      <w:r>
        <w:rPr>
          <w:i/>
          <w:iCs/>
        </w:rPr>
        <w:t>Verhandle das Level: Titel und Einstufung (etwa Engineer II oder Senior Engineer) bestimmen das Gehaltsband für Jahre.</w:t>
      </w:r>
    </w:p>
    <w:p w14:paraId="1DD43644" w14:textId="77777777" w:rsidR="001F7233" w:rsidRDefault="00000000">
      <w:pPr>
        <w:pStyle w:val="ListParagraph"/>
        <w:numPr>
          <w:ilvl w:val="0"/>
          <w:numId w:val="2"/>
        </w:numPr>
        <w:spacing w:after="60"/>
      </w:pPr>
      <w:r>
        <w:t>Frage zuerst nach der budgetierten Spanne, statt selbst zu nennen. Musst du doch, dann eine Spanne, deren Untergrenze du akzeptierst.</w:t>
      </w:r>
    </w:p>
    <w:p w14:paraId="71327FC7" w14:textId="77777777" w:rsidR="001F7233" w:rsidRDefault="00000000">
      <w:pPr>
        <w:pStyle w:val="ListParagraph"/>
        <w:numPr>
          <w:ilvl w:val="0"/>
          <w:numId w:val="2"/>
        </w:numPr>
        <w:spacing w:after="60"/>
      </w:pPr>
      <w:r>
        <w:t>Sprich das ganze Paket an: Sign-on, Aktien, Bonusziel, Startdatum, Urlaub, Umzugspaket, Homeoffice. Ist das Grundgehalt starr, sind Sign-on und Aktien oft beweglicher.</w:t>
      </w:r>
    </w:p>
    <w:p w14:paraId="395CF486" w14:textId="77777777" w:rsidR="001F7233" w:rsidRDefault="00000000">
      <w:pPr>
        <w:pStyle w:val="ListParagraph"/>
        <w:numPr>
          <w:ilvl w:val="0"/>
          <w:numId w:val="2"/>
        </w:numPr>
        <w:spacing w:after="60"/>
      </w:pPr>
      <w:r>
        <w:t>Bleibe höflich und konkret: „Thank you, I’m excited about the role. Based on my experience and the market range I’ve seen, I was hoping for a base salary of X. Is there flexibility?“</w:t>
      </w:r>
    </w:p>
    <w:p w14:paraId="3E1D7CA4" w14:textId="77777777" w:rsidR="001F7233" w:rsidRDefault="001F7233">
      <w:pPr>
        <w:spacing w:line="120" w:lineRule="exact"/>
      </w:pPr>
    </w:p>
    <w:p w14:paraId="0C436FC1" w14:textId="77777777" w:rsidR="001F7233" w:rsidRDefault="00000000">
      <w:r>
        <w:rPr>
          <w:b/>
        </w:rPr>
        <w:t xml:space="preserve">MERKE: </w:t>
      </w:r>
    </w:p>
    <w:p w14:paraId="1223003B" w14:textId="77777777" w:rsidR="001F7233" w:rsidRDefault="00000000">
      <w:r>
        <w:t>• Verhandle vor der Registrierung und der Petition. Gehalt und Stelle stehen dann in LCA und Petition; nach oben kannst du später jederzeit steigen, nach unten nicht unter den LCA-Lohn. Der Lohn beeinflusst auch die Lotterie: Level IV bekommt vier Lose, Level I eines (</w:t>
      </w:r>
      <w:hyperlink w:anchor="k5">
        <w:r w:rsidR="001F7233">
          <w:rPr>
            <w:color w:val="0563C1"/>
            <w:u w:val="single"/>
          </w:rPr>
          <w:t>Kapitel 5</w:t>
        </w:r>
      </w:hyperlink>
      <w:r>
        <w:t>).</w:t>
      </w:r>
    </w:p>
    <w:p w14:paraId="63CC84FD" w14:textId="77777777" w:rsidR="001F7233" w:rsidRDefault="001F7233">
      <w:pPr>
        <w:spacing w:line="220" w:lineRule="exact"/>
      </w:pPr>
    </w:p>
    <w:p w14:paraId="3816C889" w14:textId="77777777" w:rsidR="001F7233" w:rsidRDefault="00000000">
      <w:pPr>
        <w:spacing w:after="140"/>
      </w:pPr>
      <w:r>
        <w:rPr>
          <w:b/>
          <w:bCs/>
        </w:rPr>
        <w:t xml:space="preserve">Transparenzgesetze. Gehaltsspannen in Stellenanzeigen verlangen Colorado (seit 2021), Kalifornien, Washington und New York (seit 2023), Illinois und Minnesota (seit 2025) sowie unter anderem Hawaii, Maryland, Massachusetts, New Jersey, </w:t>
      </w:r>
      <w:r>
        <w:rPr>
          <w:b/>
          <w:bCs/>
        </w:rPr>
        <w:lastRenderedPageBreak/>
        <w:t>Vermont und Washington, D.C. Nevada und Rhode Island verlangen sie auf Nachfrage. Übersichten zählen Stand 2026 rund 18 Staaten plus D.C., teils erst ab einer Firmengröße (Illinois 15, Minnesota 30 Beschäftigte). In Texas, Florida, Georgia, Arizona und, nach den geprüften Übersichten, Michigan gibt es keine Pflicht. Viele Staaten (u. a. Kalifornien, Colorado, Illinois, Massachusetts, New York, Washington) verbieten die Frage nach deinem bisherigen Gehalt. In Deutschland ist sie üblich. Über dein Gehalt darfst du mit Kollegen sprechen. Das schützt Bundesrecht für die meisten Beschäftigten, nicht für Führungskräfte.</w:t>
      </w:r>
    </w:p>
    <w:p w14:paraId="5D17F5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Krankheit und Elternzeit</w:t>
      </w:r>
    </w:p>
    <w:p w14:paraId="7B303A21" w14:textId="77777777" w:rsidR="001F7233" w:rsidRDefault="00000000">
      <w:pPr>
        <w:spacing w:after="140"/>
      </w:pPr>
      <w:r>
        <w:t>Bundesrecht gibt keinen Anspruch auf bezahlten Urlaub, bezahlte Feiertage oder bezahlte Krankheitstage. Es gilt, was Offer Letter und Firmenrichtlinie zusagen, oft als gemeinsamer Topf (</w:t>
      </w:r>
      <w:r>
        <w:rPr>
          <w:i/>
          <w:iCs/>
        </w:rPr>
        <w:t>PTO</w:t>
      </w:r>
      <w:r>
        <w:t xml:space="preserve">, </w:t>
      </w:r>
      <w:r>
        <w:rPr>
          <w:i/>
          <w:iCs/>
        </w:rPr>
        <w:t>Paid Time Off</w:t>
      </w:r>
      <w:r>
        <w:t>).</w:t>
      </w:r>
    </w:p>
    <w:p w14:paraId="0432FFC6" w14:textId="77777777" w:rsidR="001F7233" w:rsidRDefault="00000000">
      <w:pPr>
        <w:spacing w:after="140"/>
      </w:pPr>
      <w:r>
        <w:t>Verbreiteter Irrtum: Wer für das höhere Gehalt in die USA geht, nimmt an, der Urlaub wachse automatisch mit. Tatsächlich ist oft das Gegenteil der Fall: Das dickere Gehalt kommt mit weniger freien Tagen, nicht mit mehr (siehe Tabelle).</w:t>
      </w:r>
    </w:p>
    <w:p w14:paraId="338B051B" w14:textId="77777777" w:rsidR="001F7233" w:rsidRDefault="00000000">
      <w:r>
        <w:rPr>
          <w:b/>
        </w:rPr>
        <w:t>Urlaub</w:t>
      </w:r>
    </w:p>
    <w:p w14:paraId="774F9CCB" w14:textId="77777777" w:rsidR="001F7233" w:rsidRDefault="00000000">
      <w:r>
        <w:rPr>
          <w:b/>
        </w:rPr>
        <w:t xml:space="preserve">Deutschland: </w:t>
      </w:r>
      <w:r>
        <w:t>mindestens 20 Tage bei Fünftagewoche, meist 25–30</w:t>
      </w:r>
    </w:p>
    <w:p w14:paraId="443F1C98" w14:textId="77777777" w:rsidR="001F7233" w:rsidRDefault="00000000">
      <w:r>
        <w:rPr>
          <w:b/>
        </w:rPr>
        <w:t xml:space="preserve">USA (Privatwirtschaft, BLS 2025): </w:t>
      </w:r>
      <w:r>
        <w:t>im Schnitt 11 Tage nach einem Jahr, 15 nach fünf, 18 nach zehn, 20 nach 20 Jahren</w:t>
      </w:r>
    </w:p>
    <w:p w14:paraId="4438CF02" w14:textId="77777777" w:rsidR="001F7233" w:rsidRDefault="00000000">
      <w:r>
        <w:rPr>
          <w:b/>
        </w:rPr>
        <w:t>Feiertage</w:t>
      </w:r>
    </w:p>
    <w:p w14:paraId="526A46C2" w14:textId="77777777" w:rsidR="001F7233" w:rsidRDefault="00000000">
      <w:r>
        <w:rPr>
          <w:b/>
        </w:rPr>
        <w:t xml:space="preserve">Deutschland: </w:t>
      </w:r>
      <w:r>
        <w:t>9–13, je Bundesland</w:t>
      </w:r>
    </w:p>
    <w:p w14:paraId="522961CF" w14:textId="77777777" w:rsidR="001F7233" w:rsidRDefault="00000000">
      <w:r>
        <w:rPr>
          <w:b/>
        </w:rPr>
        <w:t xml:space="preserve">USA (Privatwirtschaft, BLS 2025): </w:t>
      </w:r>
      <w:r>
        <w:t>im Schnitt 8 bezahlte; 81 % der Beschäftigten haben Anspruch</w:t>
      </w:r>
    </w:p>
    <w:p w14:paraId="189A1A2B" w14:textId="77777777" w:rsidR="001F7233" w:rsidRDefault="00000000">
      <w:r>
        <w:rPr>
          <w:b/>
        </w:rPr>
        <w:t>Krankheit</w:t>
      </w:r>
    </w:p>
    <w:p w14:paraId="6AEAA089" w14:textId="77777777" w:rsidR="001F7233" w:rsidRDefault="00000000">
      <w:r>
        <w:rPr>
          <w:b/>
        </w:rPr>
        <w:t xml:space="preserve">Deutschland: </w:t>
      </w:r>
      <w:r>
        <w:t>Lohnfortzahlung bis zu sechs Wochen</w:t>
      </w:r>
    </w:p>
    <w:p w14:paraId="461D9B75" w14:textId="77777777" w:rsidR="001F7233" w:rsidRDefault="00000000">
      <w:r>
        <w:rPr>
          <w:b/>
        </w:rPr>
        <w:lastRenderedPageBreak/>
        <w:t xml:space="preserve">USA (Privatwirtschaft, BLS 2025): </w:t>
      </w:r>
      <w:r>
        <w:t>80 % haben bezahlte Tage, im Schnitt 8; sonst Landesrecht</w:t>
      </w:r>
    </w:p>
    <w:p w14:paraId="78E1C2B9" w14:textId="77777777" w:rsidR="001F7233" w:rsidRDefault="00000000">
      <w:r>
        <w:rPr>
          <w:b/>
        </w:rPr>
        <w:t>Elternzeit</w:t>
      </w:r>
    </w:p>
    <w:p w14:paraId="07F830A4" w14:textId="77777777" w:rsidR="001F7233" w:rsidRDefault="00000000">
      <w:r>
        <w:rPr>
          <w:b/>
        </w:rPr>
        <w:t xml:space="preserve">Deutschland: </w:t>
      </w:r>
      <w:r>
        <w:t>Mutterschutz, Elterngeld, Elternzeit bis zu drei Jahre</w:t>
      </w:r>
    </w:p>
    <w:p w14:paraId="576EB9C0" w14:textId="77777777" w:rsidR="001F7233" w:rsidRDefault="00000000">
      <w:r>
        <w:rPr>
          <w:b/>
        </w:rPr>
        <w:t xml:space="preserve">USA (Privatwirtschaft, BLS 2025): </w:t>
      </w:r>
      <w:r>
        <w:t>bundesweit 12 Wochen unbezahlt (FMLA); bezahlt nur in einigen Staaten oder freiwillig</w:t>
      </w:r>
    </w:p>
    <w:p w14:paraId="4DD8E11A" w14:textId="77777777" w:rsidR="001F7233" w:rsidRDefault="001F7233">
      <w:pPr>
        <w:spacing w:line="180" w:lineRule="exact"/>
      </w:pPr>
    </w:p>
    <w:p w14:paraId="144080EF" w14:textId="77777777" w:rsidR="001F7233" w:rsidRDefault="00000000">
      <w:pPr>
        <w:spacing w:after="140"/>
      </w:pPr>
      <w:r>
        <w:rPr>
          <w:b/>
          <w:bCs/>
        </w:rPr>
        <w:t>Urlaub und Feiertage.</w:t>
      </w:r>
      <w:r>
        <w:t xml:space="preserve"> Zwei Wochen am Stück sind in den USA schon ein langer Urlaub; plane ihn früh. In Kalifornien ist angesammelter Urlaub Lohn und beim Ausscheiden auszuzahlen, in vielen Staaten entscheidet die Firmenrichtlinie. Bei </w:t>
      </w:r>
      <w:r>
        <w:rPr>
          <w:i/>
          <w:iCs/>
        </w:rPr>
        <w:t>Unlimited PTO</w:t>
      </w:r>
      <w:r>
        <w:t xml:space="preserve"> gibt es keine feste Zahl an Tagen und kein Guthaben. Frage deshalb, wie viele Tage die Kollegen wirklich nehmen. Die elf Bundesfeiertage sind kein Anspruch (Kapitel </w:t>
      </w:r>
      <w:hyperlink w:anchor="k31">
        <w:r w:rsidR="001F7233">
          <w:t>31</w:t>
        </w:r>
      </w:hyperlink>
      <w:r>
        <w:t>).</w:t>
      </w:r>
    </w:p>
    <w:p w14:paraId="099F062D" w14:textId="77777777" w:rsidR="001F7233" w:rsidRDefault="00000000">
      <w:pPr>
        <w:spacing w:after="140"/>
      </w:pPr>
      <w:r>
        <w:rPr>
          <w:b/>
          <w:bCs/>
        </w:rPr>
        <w:t>Krankheit. Rund 20 Bundesstaaten und Washington, D.C. schreiben bezahlte Krankheitstage vor, darunter Arizona, Kalifornien, Colorado, Illinois, Michigan, Minnesota, New Jersey, New York und Washington. Texas, Florida, Georgia und North Carolina nicht. Michigan (seit Februar 2025) und Arizona rechnen nach Arbeitsstunden: eine Stunde je 30 gearbeitete Stunden.</w:t>
      </w:r>
    </w:p>
    <w:p w14:paraId="34BCAC6A" w14:textId="77777777" w:rsidR="001F7233" w:rsidRDefault="00000000">
      <w:pPr>
        <w:spacing w:after="140"/>
      </w:pPr>
      <w:r>
        <w:rPr>
          <w:b/>
          <w:bCs/>
        </w:rPr>
        <w:t>Elternzeit. Der Family and Medical Leave Act (FMLA) gibt bis zu 12 Wochen unbezahlte Freistellung für Geburt, Adoption oder Pflege, mit Rückkehrrecht auf dieselbe oder eine gleichwertige Stelle; die Krankenversicherung läuft weiter. Voraussetzung sind 12 Monate beim Arbeitgeber, 1.250 Arbeitsstunden im letzten Jahr und mindestens 50 Beschäftigte im Umkreis von 75 Meilen (ca. 120 km). Bezahlten Familienurlaub gibt es nur nach Landesrecht in 13 Bundesstaaten und D.C. (Stand 2026), etwa in Kalifornien (8 Wochen, bis zu 1.765 $ pro Woche) und New York (12 Wochen, 67 % des Lohns, bis zu 1.228,53 $ pro Woche). Michigan hat kein solches Programm. Dort zählen nur FMLA und die Zusagen des Arbeitgebers.</w:t>
      </w:r>
    </w:p>
    <w:p w14:paraId="452F1D99" w14:textId="77777777" w:rsidR="001F7233" w:rsidRDefault="00000000">
      <w:r>
        <w:rPr>
          <w:b/>
        </w:rPr>
        <w:t xml:space="preserve">ACHTUNG: </w:t>
      </w:r>
    </w:p>
    <w:p w14:paraId="3B8F4E2C" w14:textId="77777777" w:rsidR="001F7233" w:rsidRDefault="00000000">
      <w:r>
        <w:lastRenderedPageBreak/>
        <w:t>• Die FMLA verlangt zwölf Monate Betriebszugehörigkeit. Kommt im ersten Jahr im neuen Job ein Kind, gibt es keinen gesetzlichen Jobschutz, und die Krankenversicherung des Arbeitgebers beginnt oft erst nach der Wartefrist. Kläre Elternzeit-Regeln und Deckungsbeginn vor der Zusage (</w:t>
      </w:r>
      <w:hyperlink w:anchor="k26">
        <w:r w:rsidR="001F7233">
          <w:rPr>
            <w:color w:val="0563C1"/>
            <w:u w:val="single"/>
          </w:rPr>
          <w:t>Kapitel 26</w:t>
        </w:r>
      </w:hyperlink>
      <w:r>
        <w:t xml:space="preserve"> und 38).</w:t>
      </w:r>
    </w:p>
    <w:p w14:paraId="03B6D4CA" w14:textId="77777777" w:rsidR="001F7233" w:rsidRDefault="001F7233">
      <w:pPr>
        <w:spacing w:line="220" w:lineRule="exact"/>
      </w:pPr>
    </w:p>
    <w:p w14:paraId="180E04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Erreichbarkeit</w:t>
      </w:r>
    </w:p>
    <w:p w14:paraId="6CE0C7A0" w14:textId="77777777" w:rsidR="001F7233" w:rsidRDefault="00000000">
      <w:pPr>
        <w:spacing w:after="140"/>
      </w:pPr>
      <w:r>
        <w:t>Ein Arbeitszeitgesetz mit Höchstarbeitszeit und Ruhezeiten gibt es auf Bundesebene nicht. Der Fair Labor Standards Act (FLSA) regelt Mindestlohn und Überstundenzuschlag, nicht die Länge des Arbeitstags. Entscheidend ist deine Einstufung: Non-exempt Beschäftigte (meist Stundenlöhner) erhalten für Stunden über 40 pro Woche das 1,5-Fache, exempt Beschäftigte (Gehaltsempfänger mit Fach- oder Führungsaufgaben) keine Überstundenvergütung. Ingenieure und Softwareentwickler sind meist exempt. Die bundesweite Gehaltsschwelle liegt bei 684 $ pro Woche (35.568 $ im Jahr); einzelne Staaten setzen höhere Werte an (</w:t>
      </w:r>
      <w:hyperlink r:id="rId405">
        <w:r w:rsidR="001F7233">
          <w:rPr>
            <w:color w:val="0563C1"/>
            <w:u w:val="single"/>
          </w:rPr>
          <w:t>dol.gov/agencies/whd/overtime</w:t>
        </w:r>
      </w:hyperlink>
      <w:r>
        <w:t>).</w:t>
      </w:r>
    </w:p>
    <w:p w14:paraId="06572DCE" w14:textId="77777777" w:rsidR="001F7233" w:rsidRDefault="00000000">
      <w:pPr>
        <w:spacing w:after="140"/>
      </w:pPr>
      <w:r>
        <w:t>Die Vollzeitwoche hat 40 Stunden, in Technik und Entwicklung wird oft mehr erwartet. Präsenz- und Homeofficeregeln legt die Firma fest; bei H-1B gilt der Arbeitsort aus der LCA (Kapitel </w:t>
      </w:r>
      <w:hyperlink w:anchor="k30">
        <w:r w:rsidR="001F7233">
          <w:t>30</w:t>
        </w:r>
      </w:hyperlink>
      <w:r>
        <w:t>). Ein Recht auf Nichterreichbarkeit gibt es nicht: Nachrichten in E-Mail und Chat werden am selben Tag beantwortet. Rufbereitschaft (</w:t>
      </w:r>
      <w:r>
        <w:rPr>
          <w:i/>
          <w:iCs/>
        </w:rPr>
        <w:t>On-call</w:t>
      </w:r>
      <w:r>
        <w:t>) ist in IT und Produktion verbreitet. Setze Grenzen selbst und sichtbar: feste Kalenderblöcke, Statusanzeige, im Urlaub eine Abwesenheitsnotiz mit Vertretung.</w:t>
      </w:r>
    </w:p>
    <w:p w14:paraId="5984E1D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Feedback, Performance Review und PIP</w:t>
      </w:r>
    </w:p>
    <w:p w14:paraId="59D9FE07" w14:textId="77777777" w:rsidR="001F7233" w:rsidRDefault="00000000">
      <w:pPr>
        <w:spacing w:after="140"/>
      </w:pPr>
      <w:r>
        <w:t>Feedback kommt häufiger und freundlicher verpackt als in Deutschland (Kapitel </w:t>
      </w:r>
      <w:hyperlink w:anchor="k31">
        <w:r w:rsidR="001F7233">
          <w:t>31</w:t>
        </w:r>
      </w:hyperlink>
      <w:r>
        <w:t>): erst Lob, dann ein Entwicklungsfeld (</w:t>
      </w:r>
      <w:r>
        <w:rPr>
          <w:i/>
          <w:iCs/>
        </w:rPr>
        <w:t>Area for Improvement</w:t>
      </w:r>
      <w:r>
        <w:t xml:space="preserve">), dann ein Vorschlag – „Great job on the release, and one thing to think about for next time …“ ist die Formel, die in Reviews wiederkehrt wie ein Ritornell. „Meets Expectations“ ist die Norm und heißt: Du machst deinen Job. Wer wissen will, wo er steht, muss fragen, etwa im </w:t>
      </w:r>
      <w:r>
        <w:rPr>
          <w:i/>
          <w:iCs/>
        </w:rPr>
        <w:t>1:1</w:t>
      </w:r>
      <w:r>
        <w:t xml:space="preserve"> (Einzelgespräch mit der Führungskraft, meist wöchentlich oder zweiwöchentlich) mit der Frage: „What would make me a strong candidate for promotion?“</w:t>
      </w:r>
    </w:p>
    <w:p w14:paraId="1AF34077" w14:textId="77777777" w:rsidR="001F7233" w:rsidRDefault="00000000">
      <w:pPr>
        <w:spacing w:after="140"/>
      </w:pPr>
      <w:r>
        <w:rPr>
          <w:i/>
          <w:iCs/>
        </w:rPr>
        <w:t>Das Performance Review (Leistungsbeurteilung) läuft jährlich oder halbjährlich: Du schreibst eine Selbsteinschätzung mit messbaren Ergebnissen, oft ergänzt um Kollegen-Feedback. Die Führungskräfte stimmen die Bewertungen danach firmenintern ab. Die Note steuert Bonus, Gehaltserhöhung, Beförderung und oft neue Aktienzuteilungen. Wer seine Arbeit nicht selbst sichtbar macht, wird schlechter bewertet, auch bei guter Leistung.</w:t>
      </w:r>
    </w:p>
    <w:p w14:paraId="00FCDA9E" w14:textId="77777777" w:rsidR="001F7233" w:rsidRDefault="00000000">
      <w:pPr>
        <w:spacing w:after="140"/>
      </w:pPr>
      <w:r>
        <w:rPr>
          <w:i/>
          <w:iCs/>
        </w:rPr>
        <w:t>Ein PIP (Performance Improvement Plan) ist ein schriftlicher Plan über meist 30 bis 90 Tage mit messbaren Zielen. Er soll helfen, dient aber oft dazu, eine spätere Kündigung zu dokumentieren. Nach At-will-Recht braucht die Firma ihn nicht.</w:t>
      </w:r>
    </w:p>
    <w:p w14:paraId="7F5B9A83" w14:textId="77777777" w:rsidR="001F7233" w:rsidRDefault="00000000">
      <w:r>
        <w:rPr>
          <w:b/>
        </w:rPr>
        <w:t xml:space="preserve">ACHTUNG: </w:t>
      </w:r>
    </w:p>
    <w:p w14:paraId="78439FDB" w14:textId="77777777" w:rsidR="001F7233" w:rsidRDefault="00000000">
      <w:r>
        <w:t>• Ein PIP ist für Visa-Inhaber ein Alarmsignal. Die Personalabteilung (HR) vertritt dabei den Arbeitgeber, nicht dich. Lass die Kriterien schriftlich präzisieren, dokumentiere Zwischenstände per E-Mail, aktualisiere parallel Resume und LinkedIn und sprich früh mit einem Einwanderungsanwalt über Portabilität und die 60 Tage (</w:t>
      </w:r>
      <w:hyperlink w:anchor="k30">
        <w:r w:rsidR="001F7233">
          <w:rPr>
            <w:color w:val="0563C1"/>
            <w:u w:val="single"/>
          </w:rPr>
          <w:t>Kapitel 30</w:t>
        </w:r>
      </w:hyperlink>
      <w:r>
        <w:t>). Bei Hinweisen auf Diskriminierung oder Vergeltung: Fachanwältin für Arbeitsrecht und EEOC.</w:t>
      </w:r>
    </w:p>
    <w:p w14:paraId="55587B22" w14:textId="77777777" w:rsidR="001F7233" w:rsidRDefault="001F7233">
      <w:pPr>
        <w:spacing w:line="220" w:lineRule="exact"/>
      </w:pPr>
    </w:p>
    <w:p w14:paraId="3E78BA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LinkedIn, Vornamen und Meetings</w:t>
      </w:r>
    </w:p>
    <w:p w14:paraId="38A3BA3E" w14:textId="77777777" w:rsidR="001F7233" w:rsidRDefault="00000000">
      <w:pPr>
        <w:spacing w:after="140"/>
      </w:pPr>
      <w:r>
        <w:rPr>
          <w:i/>
          <w:iCs/>
        </w:rPr>
        <w:t>Viele Stellen werden über Empfehlungen (Referrals) besetzt. Recruiter schätzen Kandidaten, für die ein Mitarbeiter bürgt, und zahlen dafür oft eine Prämie. Netzwerken gehört deshalb zur Jobsuche:</w:t>
      </w:r>
    </w:p>
    <w:p w14:paraId="7C2CBFF3" w14:textId="77777777" w:rsidR="001F7233" w:rsidRDefault="00000000">
      <w:pPr>
        <w:pStyle w:val="ListParagraph"/>
        <w:numPr>
          <w:ilvl w:val="0"/>
          <w:numId w:val="1"/>
        </w:numPr>
        <w:spacing w:after="60"/>
      </w:pPr>
      <w:r>
        <w:rPr>
          <w:b/>
          <w:bCs/>
        </w:rPr>
        <w:t>LinkedIn: Profil auf Englisch, mit Foto (dort üblich), einer Überschrift aus Rolle und Fachgebiet und Ergebnissen statt Aufgaben, denn Recruiter suchen per Stichwort. Schreibe Kontakte mit einer kurzen persönlichen Nachricht an. „Open to Work” stellst du nur für Recruiter sichtbar, solange du angestellt bist.</w:t>
      </w:r>
    </w:p>
    <w:p w14:paraId="5BCCCEE7" w14:textId="77777777" w:rsidR="001F7233" w:rsidRDefault="00000000">
      <w:pPr>
        <w:pStyle w:val="ListParagraph"/>
        <w:numPr>
          <w:ilvl w:val="0"/>
          <w:numId w:val="1"/>
        </w:numPr>
        <w:spacing w:after="60"/>
      </w:pPr>
      <w:r>
        <w:rPr>
          <w:b/>
          <w:bCs/>
        </w:rPr>
        <w:t>Informationsgespräche (Informational Interviews): 15–20 Minuten per Video mit jemandem in deiner Zielfirma für Einblick und Rat, nicht um einen Job zu erbitten. Amerikaner helfen dabei häufig.</w:t>
      </w:r>
    </w:p>
    <w:p w14:paraId="5B2A570C" w14:textId="77777777" w:rsidR="001F7233" w:rsidRDefault="00000000">
      <w:pPr>
        <w:pStyle w:val="ListParagraph"/>
        <w:numPr>
          <w:ilvl w:val="0"/>
          <w:numId w:val="1"/>
        </w:numPr>
        <w:spacing w:after="60"/>
      </w:pPr>
      <w:r>
        <w:rPr>
          <w:b/>
          <w:bCs/>
        </w:rPr>
        <w:t>Verbände und Alumni: Berufsverbände wie IEEE (Elektro, Informatik), ASME (Maschinenbau) und SAE (Fahrzeugtechnik), Ehemaligen-Netzwerke deiner Hochschule und die German American Chambers of Commerce.</w:t>
      </w:r>
    </w:p>
    <w:p w14:paraId="025A4D1E" w14:textId="77777777" w:rsidR="001F7233" w:rsidRDefault="001F7233">
      <w:pPr>
        <w:spacing w:line="120" w:lineRule="exact"/>
      </w:pPr>
    </w:p>
    <w:p w14:paraId="5D4D1EA3" w14:textId="77777777" w:rsidR="001F7233" w:rsidRDefault="00000000">
      <w:pPr>
        <w:spacing w:after="140"/>
      </w:pPr>
      <w:r>
        <w:t>Im Büro zählt der Vorname, auch beim Vorstandschef (Kapitel </w:t>
      </w:r>
      <w:hyperlink w:anchor="k31">
        <w:r w:rsidR="001F7233">
          <w:t>31</w:t>
        </w:r>
      </w:hyperlink>
      <w:r>
        <w:t>). Titel wie „Dipl.-Ing.“ stehen nicht in der Anrede und selten in der Signatur; Ausnahmen sind Wissenschaft und Medizin. Ist dein Name schwer auszusprechen, schreibe die Aussprache in Signatur oder Slack-Profil.</w:t>
      </w:r>
    </w:p>
    <w:p w14:paraId="729D2988" w14:textId="77777777" w:rsidR="001F7233" w:rsidRDefault="00000000">
      <w:pPr>
        <w:spacing w:after="140"/>
      </w:pPr>
      <w:r>
        <w:t xml:space="preserve">Meetings beginnen häufig mit kurzem Small Talk. Wie stark du dich beteiligen sollst, hängt vom Team ab. Ein kurzes Update oder eine konkrete Frage hilft, wenn du neu bist. Ideen dürfen unfertig sein, Entscheidungen und Aufgaben sollten danach mit Verantwortlichem und Termin festgehalten werden. „Let’s take this offline“ heißt </w:t>
      </w:r>
      <w:r>
        <w:lastRenderedPageBreak/>
        <w:t>zunächst nur: Das klären wir separat. Ob und wann, ist damit noch nicht festgelegt. „Per my last email“ kann sachlich an eine frühere Nachricht erinnern, klingt je nach Zusammenhang aber auch gereizt. Statt eine versteckte Absicht zu unterstellen, kläre Zuständigkeit, nächsten Schritt und Datum.</w:t>
      </w:r>
    </w:p>
    <w:p w14:paraId="124F40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Resume statt Lebenslauf</w:t>
      </w:r>
    </w:p>
    <w:p w14:paraId="05774A75" w14:textId="77777777" w:rsidR="001F7233" w:rsidRDefault="00000000">
      <w:pPr>
        <w:spacing w:after="140"/>
      </w:pPr>
      <w:r>
        <w:t xml:space="preserve">Ein </w:t>
      </w:r>
      <w:r>
        <w:rPr>
          <w:i/>
          <w:iCs/>
        </w:rPr>
        <w:t>Resume</w:t>
      </w:r>
      <w:r>
        <w:t xml:space="preserve"> ist kein übersetzter Lebenslauf, sondern kürzer, ergebnisorientiert und ohne persönliche Angaben. Das </w:t>
      </w:r>
      <w:r>
        <w:rPr>
          <w:i/>
          <w:iCs/>
        </w:rPr>
        <w:t>CV</w:t>
      </w:r>
      <w:r>
        <w:t xml:space="preserve"> (</w:t>
      </w:r>
      <w:r>
        <w:rPr>
          <w:i/>
          <w:iCs/>
        </w:rPr>
        <w:t>Curriculum Vitae</w:t>
      </w:r>
      <w:r>
        <w:t>) meint in den USA nur die lange akademische Fassung für Wissenschaft und Medizin.</w:t>
      </w:r>
    </w:p>
    <w:p w14:paraId="4C700F85" w14:textId="77777777" w:rsidR="001F7233" w:rsidRDefault="00000000">
      <w:r>
        <w:rPr>
          <w:b/>
        </w:rPr>
        <w:t>Umfang</w:t>
      </w:r>
    </w:p>
    <w:p w14:paraId="021030D2" w14:textId="77777777" w:rsidR="001F7233" w:rsidRDefault="00000000">
      <w:r>
        <w:rPr>
          <w:b/>
        </w:rPr>
        <w:t xml:space="preserve">Deutscher Lebenslauf: </w:t>
      </w:r>
      <w:r>
        <w:t>meist zwei Seiten</w:t>
      </w:r>
    </w:p>
    <w:p w14:paraId="422D910D" w14:textId="77777777" w:rsidR="001F7233" w:rsidRDefault="00000000">
      <w:r>
        <w:rPr>
          <w:b/>
        </w:rPr>
        <w:t xml:space="preserve">US-Resume: </w:t>
      </w:r>
      <w:r>
        <w:t>eine Seite bis etwa zehn Jahre Erfahrung, sonst zwei</w:t>
      </w:r>
    </w:p>
    <w:p w14:paraId="6922725E" w14:textId="77777777" w:rsidR="001F7233" w:rsidRDefault="00000000">
      <w:r>
        <w:rPr>
          <w:b/>
        </w:rPr>
        <w:t>Persönliches</w:t>
      </w:r>
    </w:p>
    <w:p w14:paraId="698A7E67" w14:textId="77777777" w:rsidR="001F7233" w:rsidRDefault="00000000">
      <w:r>
        <w:rPr>
          <w:b/>
        </w:rPr>
        <w:t xml:space="preserve">Deutscher Lebenslauf: </w:t>
      </w:r>
      <w:r>
        <w:t>Foto, Geburtsdatum, Familienstand</w:t>
      </w:r>
    </w:p>
    <w:p w14:paraId="012011BC" w14:textId="77777777" w:rsidR="001F7233" w:rsidRDefault="00000000">
      <w:r>
        <w:rPr>
          <w:b/>
        </w:rPr>
        <w:t xml:space="preserve">US-Resume: </w:t>
      </w:r>
      <w:r>
        <w:t>weglassen; nur Name, Ort, E-Mail, Telefon, LinkedIn</w:t>
      </w:r>
    </w:p>
    <w:p w14:paraId="46550461" w14:textId="77777777" w:rsidR="001F7233" w:rsidRDefault="00000000">
      <w:r>
        <w:rPr>
          <w:b/>
        </w:rPr>
        <w:t>Aufbau</w:t>
      </w:r>
    </w:p>
    <w:p w14:paraId="4695E816" w14:textId="77777777" w:rsidR="001F7233" w:rsidRDefault="00000000">
      <w:r>
        <w:rPr>
          <w:b/>
        </w:rPr>
        <w:t xml:space="preserve">Deutscher Lebenslauf: </w:t>
      </w:r>
      <w:r>
        <w:t>Stationen mit Aufgaben</w:t>
      </w:r>
    </w:p>
    <w:p w14:paraId="7FF57A0A" w14:textId="77777777" w:rsidR="001F7233" w:rsidRDefault="00000000">
      <w:r>
        <w:rPr>
          <w:b/>
        </w:rPr>
        <w:t xml:space="preserve">US-Resume: </w:t>
      </w:r>
      <w:r>
        <w:t>Kurzprofil (Summary), Stationen mit Stichpunkten zu Ergebnissen und Zahlen</w:t>
      </w:r>
    </w:p>
    <w:p w14:paraId="0757E0F9" w14:textId="77777777" w:rsidR="001F7233" w:rsidRDefault="00000000">
      <w:r>
        <w:rPr>
          <w:b/>
        </w:rPr>
        <w:t>Anlagen</w:t>
      </w:r>
    </w:p>
    <w:p w14:paraId="515E765D" w14:textId="77777777" w:rsidR="001F7233" w:rsidRDefault="00000000">
      <w:r>
        <w:rPr>
          <w:b/>
        </w:rPr>
        <w:t xml:space="preserve">Deutscher Lebenslauf: </w:t>
      </w:r>
      <w:r>
        <w:t>Zeugnisse, Zertifikate, Anschreiben</w:t>
      </w:r>
    </w:p>
    <w:p w14:paraId="2FEFB9AF" w14:textId="77777777" w:rsidR="001F7233" w:rsidRDefault="00000000">
      <w:r>
        <w:rPr>
          <w:b/>
        </w:rPr>
        <w:t xml:space="preserve">US-Resume: </w:t>
      </w:r>
      <w:r>
        <w:t>keine; Referenzen erst auf Anfrage; Cover Letter nur, wenn verlangt</w:t>
      </w:r>
    </w:p>
    <w:p w14:paraId="1AB337A2" w14:textId="77777777" w:rsidR="001F7233" w:rsidRDefault="001F7233">
      <w:pPr>
        <w:spacing w:line="180" w:lineRule="exact"/>
      </w:pPr>
    </w:p>
    <w:p w14:paraId="6869F926" w14:textId="77777777" w:rsidR="001F7233" w:rsidRDefault="00000000">
      <w:r>
        <w:rPr>
          <w:b/>
        </w:rPr>
        <w:t xml:space="preserve">SPARTIPP: </w:t>
      </w:r>
    </w:p>
    <w:p w14:paraId="44880298" w14:textId="77777777" w:rsidR="001F7233" w:rsidRDefault="00000000">
      <w:r>
        <w:t>• Kostenlose Resume-Hilfe muss keine bezahlte Beratung sein. CareerOneStop, ein Angebot des US-Arbeitsministeriums, bietet eine kostenlose Schritt-für-Schritt-Anleitung samt Musterlebensläufen (</w:t>
      </w:r>
      <w:hyperlink r:id="rId406">
        <w:r w:rsidR="001F7233">
          <w:rPr>
            <w:color w:val="0563C1"/>
            <w:u w:val="single"/>
          </w:rPr>
          <w:t>careeronestop.org/JobSearch/Resumes</w:t>
        </w:r>
      </w:hyperlink>
      <w:r>
        <w:t>) und eine eigene Seite für Neuankömmlinge (Suchbegriff „New Americans careeronestop“). Über die American Job Center-Suche (</w:t>
      </w:r>
      <w:hyperlink r:id="rId407">
        <w:r w:rsidR="001F7233">
          <w:rPr>
            <w:color w:val="0563C1"/>
            <w:u w:val="single"/>
          </w:rPr>
          <w:t>careeronestop.org</w:t>
        </w:r>
      </w:hyperlink>
      <w:r>
        <w:t xml:space="preserve">, ZIP-Code </w:t>
      </w:r>
      <w:r>
        <w:lastRenderedPageBreak/>
        <w:t>eingeben, oder 1-877-US-2JOBS) findest du eine staatlich geförderte Anlaufstelle in deiner Nähe mit kostenlosen Resume-Workshops und persönlichem Feedback, ganz ohne Termingebühr. Auch viele öffentliche Bibliotheken bieten kostenlose Bewerbungsberatung und LinkedIn-Learning-Zugang über den Bibliotheksausweis.</w:t>
      </w:r>
    </w:p>
    <w:p w14:paraId="30D84841" w14:textId="77777777" w:rsidR="001F7233" w:rsidRDefault="001F7233">
      <w:pPr>
        <w:spacing w:line="220" w:lineRule="exact"/>
      </w:pPr>
    </w:p>
    <w:p w14:paraId="7458A094" w14:textId="77777777" w:rsidR="001F7233" w:rsidRDefault="00000000">
      <w:pPr>
        <w:spacing w:after="140"/>
      </w:pPr>
      <w:r>
        <w:rPr>
          <w:b/>
          <w:bCs/>
        </w:rPr>
        <w:t>Diplom und Berufsanerkennung.</w:t>
      </w:r>
      <w:r>
        <w:t xml:space="preserve"> Nenne deinen Abschluss mit der Einstufung aus dem Bewertungsgutachten (Kapitel </w:t>
      </w:r>
      <w:hyperlink w:anchor="k19">
        <w:r w:rsidR="001F7233">
          <w:t>19</w:t>
        </w:r>
      </w:hyperlink>
      <w:r>
        <w:t>), nicht nur als Abkürzung wie „Dipl.-Ing. (FH)“. Erkläre Ausbildungsberufe und den Meister kurz als Berufsausbildung (</w:t>
      </w:r>
      <w:r>
        <w:rPr>
          <w:i/>
          <w:iCs/>
        </w:rPr>
        <w:t>Apprenticeship</w:t>
      </w:r>
      <w:r>
        <w:t>) und Fachqualifikation. Für die meisten Ingenieur- und IT-Stellen ist der Abschluss ein Qualifikationsnachweis, keine Berufszulassung; Lizenzberufe wie Medizin, Pflege, Lehramt oder Elektrohandwerk regelt jeder Bundesstaat selbst (Kapitel </w:t>
      </w:r>
      <w:hyperlink w:anchor="k19">
        <w:r w:rsidR="001F7233">
          <w:t>19</w:t>
        </w:r>
      </w:hyperlink>
      <w:r>
        <w:t>).</w:t>
      </w:r>
    </w:p>
    <w:p w14:paraId="07154C19" w14:textId="77777777" w:rsidR="001F7233" w:rsidRDefault="00000000">
      <w:pPr>
        <w:spacing w:after="140"/>
      </w:pPr>
      <w:r>
        <w:rPr>
          <w:b/>
          <w:bCs/>
        </w:rPr>
        <w:t>Der Interviewprozess</w:t>
      </w:r>
      <w:r>
        <w:t xml:space="preserve"> dauert meist mehrere Wochen und läuft je nach Firma ähnlich ab:</w:t>
      </w:r>
    </w:p>
    <w:p w14:paraId="57151826" w14:textId="77777777" w:rsidR="001F7233" w:rsidRDefault="00000000">
      <w:pPr>
        <w:pStyle w:val="ListParagraph"/>
        <w:numPr>
          <w:ilvl w:val="0"/>
          <w:numId w:val="28"/>
        </w:numPr>
        <w:spacing w:after="60"/>
      </w:pPr>
      <w:r>
        <w:rPr>
          <w:i/>
          <w:iCs/>
        </w:rPr>
        <w:t>Recruiter Screen</w:t>
      </w:r>
      <w:r>
        <w:t>: 20–30 Minuten per Telefon oder Video zu Motivation, Gehaltsvorstellung und Arbeitsberechtigung.</w:t>
      </w:r>
    </w:p>
    <w:p w14:paraId="5F4C4511" w14:textId="77777777" w:rsidR="001F7233" w:rsidRDefault="00000000">
      <w:pPr>
        <w:pStyle w:val="ListParagraph"/>
        <w:numPr>
          <w:ilvl w:val="0"/>
          <w:numId w:val="2"/>
        </w:numPr>
        <w:spacing w:after="60"/>
      </w:pPr>
      <w:r>
        <w:t>Gespräch mit der Führungskraft (</w:t>
      </w:r>
      <w:r>
        <w:rPr>
          <w:i/>
          <w:iCs/>
        </w:rPr>
        <w:t>Hiring Manager Interview</w:t>
      </w:r>
      <w:r>
        <w:t>): Fachliches und Teamfit.</w:t>
      </w:r>
    </w:p>
    <w:p w14:paraId="0C028029" w14:textId="77777777" w:rsidR="001F7233" w:rsidRDefault="00000000">
      <w:pPr>
        <w:pStyle w:val="ListParagraph"/>
        <w:numPr>
          <w:ilvl w:val="0"/>
          <w:numId w:val="2"/>
        </w:numPr>
        <w:spacing w:after="60"/>
      </w:pPr>
      <w:r>
        <w:t>Fachtest: Programmieraufgabe, Fallstudie (</w:t>
      </w:r>
      <w:r>
        <w:rPr>
          <w:i/>
          <w:iCs/>
        </w:rPr>
        <w:t>Case</w:t>
      </w:r>
      <w:r>
        <w:t>) oder Hausaufgabe (</w:t>
      </w:r>
      <w:r>
        <w:rPr>
          <w:i/>
          <w:iCs/>
        </w:rPr>
        <w:t>Take-home</w:t>
      </w:r>
      <w:r>
        <w:t>).</w:t>
      </w:r>
    </w:p>
    <w:p w14:paraId="56FB5659" w14:textId="77777777" w:rsidR="001F7233" w:rsidRDefault="00000000">
      <w:pPr>
        <w:pStyle w:val="ListParagraph"/>
        <w:numPr>
          <w:ilvl w:val="0"/>
          <w:numId w:val="2"/>
        </w:numPr>
        <w:spacing w:after="60"/>
      </w:pPr>
      <w:r>
        <w:t>Gesprächsrunde an einem Tag (</w:t>
      </w:r>
      <w:r>
        <w:rPr>
          <w:i/>
          <w:iCs/>
        </w:rPr>
        <w:t>Onsite</w:t>
      </w:r>
      <w:r>
        <w:t xml:space="preserve"> oder </w:t>
      </w:r>
      <w:r>
        <w:rPr>
          <w:i/>
          <w:iCs/>
        </w:rPr>
        <w:t>Virtual Loop</w:t>
      </w:r>
      <w:r>
        <w:t>): vier bis sechs Gespräche zu Fachthemen und Verhalten.</w:t>
      </w:r>
    </w:p>
    <w:p w14:paraId="032C69AE" w14:textId="77777777" w:rsidR="001F7233" w:rsidRDefault="00000000">
      <w:pPr>
        <w:pStyle w:val="ListParagraph"/>
        <w:numPr>
          <w:ilvl w:val="0"/>
          <w:numId w:val="2"/>
        </w:numPr>
        <w:spacing w:after="60"/>
      </w:pPr>
      <w:r>
        <w:t>Angebot, Referenzen, Background Check.</w:t>
      </w:r>
    </w:p>
    <w:p w14:paraId="59DEE76A" w14:textId="77777777" w:rsidR="001F7233" w:rsidRDefault="001F7233">
      <w:pPr>
        <w:spacing w:line="120" w:lineRule="exact"/>
      </w:pPr>
    </w:p>
    <w:p w14:paraId="5760B7FB" w14:textId="77777777" w:rsidR="001F7233" w:rsidRDefault="00000000">
      <w:pPr>
        <w:spacing w:after="140"/>
      </w:pPr>
      <w:r>
        <w:t xml:space="preserve">Verhaltensfragen („Tell me about a time when …“) beantwortest du nach der </w:t>
      </w:r>
      <w:r>
        <w:rPr>
          <w:i/>
          <w:iCs/>
        </w:rPr>
        <w:t>STAR</w:t>
      </w:r>
      <w:r>
        <w:t>-Methode: Situation, Aufgabe (</w:t>
      </w:r>
      <w:r>
        <w:rPr>
          <w:i/>
          <w:iCs/>
        </w:rPr>
        <w:t>Task</w:t>
      </w:r>
      <w:r>
        <w:t>), Handlung (</w:t>
      </w:r>
      <w:r>
        <w:rPr>
          <w:i/>
          <w:iCs/>
        </w:rPr>
        <w:t>Action</w:t>
      </w:r>
      <w:r>
        <w:t>), Ergebnis (</w:t>
      </w:r>
      <w:r>
        <w:rPr>
          <w:i/>
          <w:iCs/>
        </w:rPr>
        <w:t>Result</w:t>
      </w:r>
      <w:r>
        <w:t>), in der Ich-Form. Auf „Tell me about yourself“ gehört ein Kurzprofil von 60–90 Sekunden. Schicke nach jedem Gespräch binnen 24 Stunden eine kurze Dankes-E-Mail. Fragen nach Lebensalter, Familienstand, Kindern, Religion oder Herkunft sind für Arbeitgeber tabu. Du darfst höflich ausweichen.</w:t>
      </w:r>
    </w:p>
    <w:p w14:paraId="347F0D4C" w14:textId="77777777" w:rsidR="001F7233" w:rsidRDefault="00000000">
      <w:r>
        <w:rPr>
          <w:b/>
        </w:rPr>
        <w:lastRenderedPageBreak/>
        <w:t xml:space="preserve">ACHTUNG: </w:t>
      </w:r>
    </w:p>
    <w:p w14:paraId="092DF2C8" w14:textId="77777777" w:rsidR="001F7233" w:rsidRDefault="00000000">
      <w:r>
        <w:t>• Auf die Frage „Will you now or in the future require sponsorship?“ antwortest du ehrlich mit Ja, wenn du ein Arbeitsvisum brauchst. Frage schon im ersten Gespräch, ob die Firma H-1B-Sponsoring anbietet: Viele Anzeigen schließen es aus, und ein frühes Ja spart beiden Seiten Zeit (</w:t>
      </w:r>
      <w:hyperlink w:anchor="k5">
        <w:r w:rsidR="001F7233">
          <w:rPr>
            <w:color w:val="0563C1"/>
            <w:u w:val="single"/>
          </w:rPr>
          <w:t>Kapitel 5</w:t>
        </w:r>
      </w:hyperlink>
      <w:r>
        <w:t>).</w:t>
      </w:r>
    </w:p>
    <w:p w14:paraId="42C791C9" w14:textId="77777777" w:rsidR="001F7233" w:rsidRDefault="001F7233">
      <w:pPr>
        <w:spacing w:line="220" w:lineRule="exact"/>
      </w:pPr>
    </w:p>
    <w:p w14:paraId="7D30AF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Stolpersteine deutscher Ingenieure</w:t>
      </w:r>
    </w:p>
    <w:p w14:paraId="4FCA89E9" w14:textId="77777777" w:rsidR="001F7233" w:rsidRDefault="00000000">
      <w:pPr>
        <w:spacing w:after="140"/>
      </w:pPr>
      <w:r>
        <w:t>Vier Muster tauchen immer wieder auf:</w:t>
      </w:r>
    </w:p>
    <w:p w14:paraId="28198E95" w14:textId="77777777" w:rsidR="001F7233" w:rsidRDefault="00000000">
      <w:pPr>
        <w:pStyle w:val="ListParagraph"/>
        <w:numPr>
          <w:ilvl w:val="0"/>
          <w:numId w:val="1"/>
        </w:numPr>
        <w:spacing w:after="60"/>
      </w:pPr>
      <w:r>
        <w:rPr>
          <w:b/>
          <w:bCs/>
        </w:rPr>
        <w:t>Zu direkt.</w:t>
      </w:r>
      <w:r>
        <w:t xml:space="preserve"> „Das funktioniert so nicht“ ist in Deutschland eine Sachaussage, in den USA klingt es nach Angriff. Formuliere als Frage und nenne den Nutzen: „Could we double-check the assumption? I’m getting a different result.“</w:t>
      </w:r>
    </w:p>
    <w:p w14:paraId="777FA2EC" w14:textId="77777777" w:rsidR="001F7233" w:rsidRDefault="00000000">
      <w:pPr>
        <w:pStyle w:val="ListParagraph"/>
        <w:numPr>
          <w:ilvl w:val="0"/>
          <w:numId w:val="1"/>
        </w:numPr>
        <w:spacing w:after="60"/>
      </w:pPr>
      <w:r>
        <w:rPr>
          <w:b/>
          <w:bCs/>
        </w:rPr>
        <w:t>Zu bescheiden.</w:t>
      </w:r>
      <w:r>
        <w:t xml:space="preserve"> Wer „wir“ sagt, wo er „ich“ meint, und Erfolge nicht benennt, gilt als weniger erfolgreich. In Review, Gehaltsgespräch und Beförderungsrunde erwartet man „I did“ und Zahlen.</w:t>
      </w:r>
    </w:p>
    <w:p w14:paraId="769A2BCC" w14:textId="77777777" w:rsidR="001F7233" w:rsidRDefault="00000000">
      <w:pPr>
        <w:pStyle w:val="ListParagraph"/>
        <w:numPr>
          <w:ilvl w:val="0"/>
          <w:numId w:val="1"/>
        </w:numPr>
        <w:spacing w:after="60"/>
      </w:pPr>
      <w:r>
        <w:rPr>
          <w:b/>
          <w:bCs/>
        </w:rPr>
        <w:t>Zu gründlich. Viele US-Teams starten mit einem tragfähigen Zwischenstand und verbessern unterwegs. Wer erst nach vollständiger Klärung liefert, wirkt langsam.</w:t>
      </w:r>
    </w:p>
    <w:p w14:paraId="138F18E3" w14:textId="77777777" w:rsidR="001F7233" w:rsidRDefault="00000000">
      <w:pPr>
        <w:pStyle w:val="ListParagraph"/>
        <w:numPr>
          <w:ilvl w:val="0"/>
          <w:numId w:val="1"/>
        </w:numPr>
        <w:spacing w:after="60"/>
      </w:pPr>
      <w:r>
        <w:rPr>
          <w:b/>
          <w:bCs/>
        </w:rPr>
        <w:t>Zu zurückgezogen.</w:t>
      </w:r>
      <w:r>
        <w:t xml:space="preserve"> Team-Lunch, Kaffeeküche und Feierabendtermine sind Teil der Arbeit, denn dort entstehen Beziehungen. Alkohol ist nie Pflicht.</w:t>
      </w:r>
    </w:p>
    <w:p w14:paraId="73BA85F7" w14:textId="77777777" w:rsidR="001F7233" w:rsidRDefault="001F7233">
      <w:pPr>
        <w:spacing w:line="120" w:lineRule="exact"/>
      </w:pPr>
    </w:p>
    <w:p w14:paraId="55B25C33" w14:textId="77777777" w:rsidR="001F7233" w:rsidRDefault="001F7233">
      <w:pPr>
        <w:spacing w:line="220" w:lineRule="exact"/>
      </w:pPr>
    </w:p>
    <w:p w14:paraId="3687F9F4" w14:textId="77777777" w:rsidR="001F7233" w:rsidRDefault="00000000">
      <w:r>
        <w:rPr>
          <w:b/>
        </w:rPr>
        <w:t xml:space="preserve">MERKE: </w:t>
      </w:r>
    </w:p>
    <w:p w14:paraId="198CCEEC" w14:textId="77777777" w:rsidR="001F7233" w:rsidRDefault="00000000">
      <w:r>
        <w:t>• In den USA gehört es zur Arbeit, sie sichtbar zu machen. Wer nur liefert, wird oft übersehen; wer liefert und darüber spricht, kommt eher voran.</w:t>
      </w:r>
    </w:p>
    <w:p w14:paraId="49EAFFF0" w14:textId="77777777" w:rsidR="001F7233" w:rsidRDefault="001F7233">
      <w:pPr>
        <w:spacing w:line="220" w:lineRule="exact"/>
      </w:pPr>
    </w:p>
    <w:p w14:paraId="5769699C" w14:textId="77777777" w:rsidR="001F7233" w:rsidRDefault="00000000">
      <w:r>
        <w:lastRenderedPageBreak/>
        <w:t>Im Gespräch prüft der Arbeitgeber vor allem, ob du die konkrete Aufgabe lösen kannst, verlässlich kommunizierst, Verantwortung übernimmst und mit dem Team arbeitest. Bereite vier bis sechs Beispiele vor: ein Ergebnis, ein Problem, ein Konflikt, ein Fehler und eine Situation, in der du schnell lernen musstest. Erzähl jedes in höchstens zwei Minuten nach STAR: Situation, Aufgabe, dein Handeln, Ergebnis. Sag „ich“ bei deinem Beitrag, nenne nach Möglichkeit Zeit, Qualität, Umsatz oder Fehlerquote und trenne deinen Anteil vom Teamergebnis. Recherchiere Produkt und Rolle; frag am Ende, woran Erfolg nach 90 Tagen gemessen wird, wie das Team arbeitet und ob für diese Stelle Sponsoring möglich ist. Beantworte Arbeitsberechtigung und Verfügbarkeit klar. Fragen zur Familie oder Schwangerschaft musst du nicht freiwillig in den Mittelpunkt stellen.</w:t>
      </w:r>
    </w:p>
    <w:p w14:paraId="02057432" w14:textId="77777777" w:rsidR="001F7233" w:rsidRDefault="00000000">
      <w:pPr>
        <w:pStyle w:val="Heading3"/>
      </w:pPr>
      <w:r>
        <w:t>Vorstellungsgespräch: Leistung belegen, nicht behaupten</w:t>
      </w:r>
    </w:p>
    <w:p w14:paraId="26475292" w14:textId="77777777" w:rsidR="001F7233" w:rsidRDefault="00000000">
      <w:pPr>
        <w:pStyle w:val="Heading3"/>
      </w:pPr>
      <w:bookmarkStart w:id="61" w:name="sponsor_usa"/>
      <w:r>
        <w:t>Arbeitgeber finden, die H-1B nutzen</w:t>
      </w:r>
      <w:bookmarkEnd w:id="61"/>
    </w:p>
    <w:p w14:paraId="19376B8F" w14:textId="77777777" w:rsidR="001F7233" w:rsidRDefault="00000000">
      <w:r>
        <w:t xml:space="preserve">Suche Stellenanzeigen nach „H-1B sponsorship“, „visa sponsorship“ oder „immigration sponsorship“ und prüfe zusätzlich die Arbeitgeberhistorie. Im </w:t>
      </w:r>
      <w:hyperlink r:id="rId408">
        <w:r w:rsidR="001F7233">
          <w:rPr>
            <w:color w:val="0563C1"/>
            <w:u w:val="single"/>
          </w:rPr>
          <w:t>USCIS H-1B Employer Data Hub</w:t>
        </w:r>
      </w:hyperlink>
      <w:r>
        <w:t xml:space="preserve"> kannst du Arbeitgeber nach Branche und Geschäftsjahr suchen. Die </w:t>
      </w:r>
      <w:hyperlink r:id="rId409">
        <w:r w:rsidR="001F7233">
          <w:rPr>
            <w:color w:val="0563C1"/>
            <w:u w:val="single"/>
          </w:rPr>
          <w:t>Daten des Arbeitsministeriums</w:t>
        </w:r>
      </w:hyperlink>
      <w:r>
        <w:t xml:space="preserve"> zeigen unter anderem Labor Condition Applications. Frühere Anträge beweisen nicht, dass die Firma diese Stelle sponsert oder dass ein Antrag genehmigt wird. Frage die Personalabteilung konkret, ob sie für genau diese Stelle und deinen Starttermin einen passenden Status unterstützt. Bezahle niemandem für ein Jobangebot oder Sponsoring.</w:t>
      </w:r>
    </w:p>
    <w:p w14:paraId="7E2600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Arbeitswelt in den USA: Recht, Kultur, Gehalt</w:t>
      </w:r>
    </w:p>
    <w:p w14:paraId="12DFA7CA" w14:textId="77777777" w:rsidR="001F7233" w:rsidRDefault="00000000">
      <w:r>
        <w:rPr>
          <w:b/>
        </w:rPr>
        <w:t>Plus: Höhere Gehälter, meist höherer Netto-Anteil; Bonus und Aktien können das Paket deutlich anheben (</w:t>
      </w:r>
      <w:hyperlink w:anchor="k28">
        <w:r w:rsidR="001F7233">
          <w:rPr>
            <w:rStyle w:val="Hyperlink"/>
            <w:b/>
          </w:rPr>
          <w:t>Kapitel 28</w:t>
        </w:r>
      </w:hyperlink>
      <w:r>
        <w:rPr>
          <w:b/>
        </w:rPr>
        <w:t>)</w:t>
      </w:r>
    </w:p>
    <w:p w14:paraId="2934B40B" w14:textId="77777777" w:rsidR="001F7233" w:rsidRDefault="00000000">
      <w:r>
        <w:rPr>
          <w:b/>
        </w:rPr>
        <w:t xml:space="preserve">Minus: </w:t>
      </w:r>
      <w:r>
        <w:t>Kein allgemeiner Kündigungsschutz; mit Visum hängt der Aufenthalt am Job (</w:t>
      </w:r>
      <w:hyperlink w:anchor="k30">
        <w:r w:rsidR="001F7233">
          <w:rPr>
            <w:rStyle w:val="Hyperlink"/>
          </w:rPr>
          <w:t>Kapitel 30</w:t>
        </w:r>
      </w:hyperlink>
      <w:r>
        <w:t>)</w:t>
      </w:r>
    </w:p>
    <w:p w14:paraId="65EBE4A8" w14:textId="77777777" w:rsidR="001F7233" w:rsidRDefault="00000000">
      <w:r>
        <w:rPr>
          <w:b/>
        </w:rPr>
        <w:t>Plus: Verhandlungsspielraum bei Level, Sign-on und Aktien</w:t>
      </w:r>
    </w:p>
    <w:p w14:paraId="25AFF8FE" w14:textId="77777777" w:rsidR="001F7233" w:rsidRDefault="00000000">
      <w:r>
        <w:rPr>
          <w:b/>
        </w:rPr>
        <w:t>Minus: Kein bundesweiter Anspruch auf Urlaub, Krankheitstage oder bezahlte Elternzeit; im Schnitt 11 Urlaubstage im ersten Jahr.</w:t>
      </w:r>
    </w:p>
    <w:p w14:paraId="6AEFFAB1" w14:textId="77777777" w:rsidR="001F7233" w:rsidRDefault="00000000">
      <w:r>
        <w:rPr>
          <w:b/>
        </w:rPr>
        <w:t>Plus: Schneller Jobwechsel und Aufstieg ohne Tarifstufen</w:t>
      </w:r>
    </w:p>
    <w:p w14:paraId="13715103" w14:textId="77777777" w:rsidR="001F7233" w:rsidRDefault="00000000">
      <w:r>
        <w:rPr>
          <w:b/>
        </w:rPr>
        <w:t xml:space="preserve">Minus: </w:t>
      </w:r>
      <w:r>
        <w:t>Krankenversicherung und Altersvorsorge hängen am Arbeitgeber (</w:t>
      </w:r>
      <w:hyperlink w:anchor="k26">
        <w:r w:rsidR="001F7233">
          <w:rPr>
            <w:rStyle w:val="Hyperlink"/>
          </w:rPr>
          <w:t>Kapitel 26</w:t>
        </w:r>
      </w:hyperlink>
      <w:r>
        <w:t>)</w:t>
      </w:r>
    </w:p>
    <w:p w14:paraId="7D3DAB8A" w14:textId="77777777" w:rsidR="001F7233" w:rsidRDefault="00000000">
      <w:r>
        <w:rPr>
          <w:b/>
        </w:rPr>
        <w:t>Plus: Flache Hierarchien, Vornamen, häufiges Lob und Feedback</w:t>
      </w:r>
    </w:p>
    <w:p w14:paraId="41EAC9F7" w14:textId="77777777" w:rsidR="001F7233" w:rsidRDefault="00000000">
      <w:r>
        <w:rPr>
          <w:b/>
        </w:rPr>
        <w:t xml:space="preserve">Minus: </w:t>
      </w:r>
      <w:r>
        <w:t>Erreichbarkeit, Leistungsdruck, PIP und Stellenabbau kommen schnell</w:t>
      </w:r>
    </w:p>
    <w:p w14:paraId="6752D3E2" w14:textId="77777777" w:rsidR="001F7233" w:rsidRDefault="00000000">
      <w:r>
        <w:rPr>
          <w:b/>
        </w:rPr>
        <w:t>Plus: Gehaltsspannen in immer mehr Staaten öffentlich</w:t>
      </w:r>
    </w:p>
    <w:p w14:paraId="6F97660E" w14:textId="77777777" w:rsidR="001F7233" w:rsidRDefault="00000000">
      <w:r>
        <w:rPr>
          <w:b/>
        </w:rPr>
        <w:t xml:space="preserve">Minus: </w:t>
      </w:r>
      <w:r>
        <w:t>Wettbewerbsverbote in vielen Staaten durchsetzbar; 50 Bundesstaaten, 50 Regelwerke</w:t>
      </w:r>
    </w:p>
    <w:p w14:paraId="1E3328F0" w14:textId="77777777" w:rsidR="001F7233" w:rsidRDefault="00000000">
      <w:r>
        <w:rPr>
          <w:b/>
        </w:rPr>
        <w:t>Plus: Wer Leistung zeigt, wird sichtbar und belohnt</w:t>
      </w:r>
    </w:p>
    <w:p w14:paraId="2BB650C9" w14:textId="77777777" w:rsidR="001F7233" w:rsidRDefault="00000000">
      <w:r>
        <w:rPr>
          <w:b/>
        </w:rPr>
        <w:t xml:space="preserve">Minus: </w:t>
      </w:r>
      <w:r>
        <w:t>Selbstvermarktung ist Pflicht: Resume, Review, Networking</w:t>
      </w:r>
    </w:p>
    <w:p w14:paraId="0C460172" w14:textId="77777777" w:rsidR="001F7233" w:rsidRDefault="001F7233">
      <w:pPr>
        <w:spacing w:line="180" w:lineRule="exact"/>
      </w:pPr>
    </w:p>
    <w:p w14:paraId="74B21E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044FA6E" w14:textId="77777777" w:rsidR="001F7233" w:rsidRDefault="00000000">
      <w:pPr>
        <w:spacing w:after="140"/>
      </w:pPr>
      <w:r>
        <w:t>Prüfe dein Angebot vor der Zusage Punkt für Punkt, recherchiere die Gehaltsspanne und verhandle das Paket. Lass Wettbewerbsverbot, Schiedsklausel und Erfindungszuweisung vor der Unterschrift prüfen. Bereite Resume und LinkedIn-Profil noch in Deutschland auf Englisch vor.</w:t>
      </w:r>
    </w:p>
    <w:p w14:paraId="214843FA" w14:textId="77777777" w:rsidR="001F7233" w:rsidRDefault="00000000">
      <w:r>
        <w:t>• Offer Letter prüfen: Titel und Level, Bonusziel, Aktien und Zuteilungsplan, 401(k)-Match, Beginn der Krankenversicherung.</w:t>
      </w:r>
    </w:p>
    <w:p w14:paraId="6C648497" w14:textId="77777777" w:rsidR="001F7233" w:rsidRDefault="00000000">
      <w:r>
        <w:lastRenderedPageBreak/>
        <w:t>• Gehaltsspanne über Stellenanzeigen, BLS-Daten (</w:t>
      </w:r>
      <w:hyperlink r:id="rId410">
        <w:r w:rsidR="001F7233">
          <w:rPr>
            <w:color w:val="0563C1"/>
            <w:u w:val="single"/>
          </w:rPr>
          <w:t>bls.gov/oes</w:t>
        </w:r>
      </w:hyperlink>
      <w:r>
        <w:t>) und Gehaltsportale recherchieren, bevor du verhandelst.</w:t>
      </w:r>
    </w:p>
    <w:p w14:paraId="673F8C97" w14:textId="77777777" w:rsidR="001F7233" w:rsidRDefault="00000000">
      <w:r>
        <w:t>• Level, Sign-on, Aktien und Startdatum verhandeln, nicht nur das Grundgehalt; Zusagen schriftlich festhalten.</w:t>
      </w:r>
    </w:p>
    <w:p w14:paraId="0C0160E3" w14:textId="77777777" w:rsidR="001F7233" w:rsidRDefault="00000000">
      <w:r>
        <w:t>• Wettbewerbsverbot, Schiedsvereinbarung und Erfindungszuweisung lesen und für deinen Bundesstaat prüfen lassen.</w:t>
      </w:r>
    </w:p>
    <w:p w14:paraId="2BEEAAC0" w14:textId="77777777" w:rsidR="001F7233" w:rsidRDefault="00000000">
      <w:r>
        <w:t>• Eigene Projekte und Patente als Ausnahme (Prior Inventions) in die Erfindungsklausel eintragen.</w:t>
      </w:r>
    </w:p>
    <w:p w14:paraId="7E1949C2" w14:textId="77777777" w:rsidR="001F7233" w:rsidRDefault="00000000">
      <w:r>
        <w:t>• Klären, wer Visa- und Green-Card-Kosten trägt und wann das Verfahren startet (</w:t>
      </w:r>
      <w:hyperlink w:anchor="k5">
        <w:r w:rsidR="001F7233">
          <w:rPr>
            <w:color w:val="0563C1"/>
            <w:u w:val="single"/>
          </w:rPr>
          <w:t>Kapitel 5</w:t>
        </w:r>
      </w:hyperlink>
      <w:r>
        <w:t xml:space="preserve"> bis 7).</w:t>
      </w:r>
    </w:p>
    <w:p w14:paraId="2B2F98A8" w14:textId="77777777" w:rsidR="001F7233" w:rsidRDefault="00000000">
      <w:r>
        <w:t>• Urlaubs-, Krankheits- und Elternzeit-Regeln erfragen; die FMLA-Voraussetzung von zwölf Monaten im Blick behalten.</w:t>
      </w:r>
    </w:p>
    <w:p w14:paraId="5C001E33" w14:textId="77777777" w:rsidR="001F7233" w:rsidRDefault="00000000">
      <w:r>
        <w:t>• Mindestens den vollen 401(k)-Match einzahlen.</w:t>
      </w:r>
    </w:p>
    <w:p w14:paraId="0B937B13" w14:textId="77777777" w:rsidR="001F7233" w:rsidRDefault="00000000">
      <w:r>
        <w:t>• Resume auf US-Format bringen (ein bis zwei Seiten, ohne Foto und Geburtsdatum, Ergebnisse mit Zahlen) und LinkedIn auf Englisch anlegen.</w:t>
      </w:r>
    </w:p>
    <w:p w14:paraId="33E534A3" w14:textId="77777777" w:rsidR="001F7233" w:rsidRDefault="00000000">
      <w:r>
        <w:t>• Antwort auf die Sponsoring-Frage und drei STAR-Geschichten vorbereiten.</w:t>
      </w:r>
    </w:p>
    <w:p w14:paraId="7B21158C" w14:textId="77777777" w:rsidR="001F7233" w:rsidRDefault="00000000">
      <w:r>
        <w:t>• Im Job wöchentliche 1:1-Gespräche nutzen und Erfolge laufend für das Review festhalten.</w:t>
      </w:r>
    </w:p>
    <w:p w14:paraId="3F448EE0" w14:textId="77777777" w:rsidR="001F7233" w:rsidRDefault="001F7233">
      <w:pPr>
        <w:spacing w:line="220" w:lineRule="exact"/>
      </w:pPr>
    </w:p>
    <w:p w14:paraId="4429FA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74F88E" w14:textId="77777777" w:rsidR="001F7233" w:rsidRDefault="00000000">
      <w:pPr>
        <w:pStyle w:val="ListParagraph"/>
        <w:numPr>
          <w:ilvl w:val="0"/>
          <w:numId w:val="1"/>
        </w:numPr>
        <w:spacing w:after="60"/>
      </w:pPr>
      <w:r>
        <w:t xml:space="preserve">Arbeitsministerium (DOL) – FMLA: </w:t>
      </w:r>
      <w:hyperlink r:id="rId411">
        <w:r w:rsidR="001F7233">
          <w:rPr>
            <w:color w:val="0563C1"/>
            <w:u w:val="single"/>
          </w:rPr>
          <w:t>dol.gov/agencies/whd/fmla</w:t>
        </w:r>
      </w:hyperlink>
    </w:p>
    <w:p w14:paraId="37700E1E" w14:textId="77777777" w:rsidR="001F7233" w:rsidRDefault="00000000">
      <w:pPr>
        <w:pStyle w:val="ListParagraph"/>
        <w:numPr>
          <w:ilvl w:val="0"/>
          <w:numId w:val="1"/>
        </w:numPr>
        <w:spacing w:after="60"/>
      </w:pPr>
      <w:r>
        <w:t xml:space="preserve">Arbeitsministerium – Mindestlohn und Überstunden (FLSA): </w:t>
      </w:r>
      <w:hyperlink r:id="rId412">
        <w:r w:rsidR="001F7233">
          <w:rPr>
            <w:color w:val="0563C1"/>
            <w:u w:val="single"/>
          </w:rPr>
          <w:t>dol.gov/agencies/whd/flsa</w:t>
        </w:r>
      </w:hyperlink>
    </w:p>
    <w:p w14:paraId="60DA6705" w14:textId="77777777" w:rsidR="001F7233" w:rsidRDefault="00000000">
      <w:pPr>
        <w:pStyle w:val="ListParagraph"/>
        <w:numPr>
          <w:ilvl w:val="0"/>
          <w:numId w:val="1"/>
        </w:numPr>
        <w:spacing w:after="60"/>
      </w:pPr>
      <w:r>
        <w:t xml:space="preserve">Gleichbehandlungsbehörde EEOC – Diskriminierung und Beschwerden: </w:t>
      </w:r>
      <w:hyperlink r:id="rId413">
        <w:r w:rsidR="001F7233">
          <w:rPr>
            <w:color w:val="0563C1"/>
            <w:u w:val="single"/>
          </w:rPr>
          <w:t>eeoc.gov</w:t>
        </w:r>
      </w:hyperlink>
    </w:p>
    <w:p w14:paraId="35AF07A7" w14:textId="77777777" w:rsidR="001F7233" w:rsidRDefault="00000000">
      <w:pPr>
        <w:pStyle w:val="ListParagraph"/>
        <w:numPr>
          <w:ilvl w:val="0"/>
          <w:numId w:val="1"/>
        </w:numPr>
        <w:spacing w:after="60"/>
      </w:pPr>
      <w:r>
        <w:t xml:space="preserve">Handelsbehörde FTC – Wettbewerbsverbote (Suchbegriff noncompete): </w:t>
      </w:r>
      <w:hyperlink r:id="rId414">
        <w:r w:rsidR="001F7233">
          <w:rPr>
            <w:color w:val="0563C1"/>
            <w:u w:val="single"/>
          </w:rPr>
          <w:t>ftc.gov</w:t>
        </w:r>
      </w:hyperlink>
    </w:p>
    <w:p w14:paraId="16C56D88" w14:textId="77777777" w:rsidR="001F7233" w:rsidRDefault="00000000">
      <w:pPr>
        <w:pStyle w:val="ListParagraph"/>
        <w:numPr>
          <w:ilvl w:val="0"/>
          <w:numId w:val="1"/>
        </w:numPr>
        <w:spacing w:after="60"/>
      </w:pPr>
      <w:r>
        <w:t xml:space="preserve">Statistikbehörde BLS – Urlaub, Krankheit, Altersvorsorge (Employee Benefits): </w:t>
      </w:r>
      <w:hyperlink r:id="rId415">
        <w:r w:rsidR="001F7233">
          <w:rPr>
            <w:color w:val="0563C1"/>
            <w:u w:val="single"/>
          </w:rPr>
          <w:t>bls.gov/ebs</w:t>
        </w:r>
      </w:hyperlink>
    </w:p>
    <w:p w14:paraId="2F07C868" w14:textId="77777777" w:rsidR="001F7233" w:rsidRDefault="00000000">
      <w:pPr>
        <w:pStyle w:val="ListParagraph"/>
        <w:numPr>
          <w:ilvl w:val="0"/>
          <w:numId w:val="1"/>
        </w:numPr>
        <w:spacing w:after="60"/>
      </w:pPr>
      <w:r>
        <w:lastRenderedPageBreak/>
        <w:t xml:space="preserve">BLS – Löhne nach Beruf und Region (OEWS): </w:t>
      </w:r>
      <w:hyperlink r:id="rId416">
        <w:r w:rsidR="001F7233">
          <w:rPr>
            <w:color w:val="0563C1"/>
            <w:u w:val="single"/>
          </w:rPr>
          <w:t>bls.gov/oes</w:t>
        </w:r>
      </w:hyperlink>
    </w:p>
    <w:p w14:paraId="58A01AFE" w14:textId="77777777" w:rsidR="001F7233" w:rsidRDefault="00000000">
      <w:pPr>
        <w:pStyle w:val="ListParagraph"/>
        <w:numPr>
          <w:ilvl w:val="0"/>
          <w:numId w:val="1"/>
        </w:numPr>
        <w:spacing w:after="60"/>
      </w:pPr>
      <w:r>
        <w:t xml:space="preserve">IRS – 401(k)-Pläne und Grenzen: </w:t>
      </w:r>
      <w:hyperlink r:id="rId417">
        <w:r w:rsidR="001F7233">
          <w:rPr>
            <w:color w:val="0563C1"/>
            <w:u w:val="single"/>
          </w:rPr>
          <w:t>irs.gov/retirement-plans/401k-plans</w:t>
        </w:r>
      </w:hyperlink>
    </w:p>
    <w:p w14:paraId="11385A9E" w14:textId="77777777" w:rsidR="001F7233" w:rsidRDefault="00000000">
      <w:pPr>
        <w:pStyle w:val="ListParagraph"/>
        <w:numPr>
          <w:ilvl w:val="0"/>
          <w:numId w:val="1"/>
        </w:numPr>
        <w:spacing w:after="60"/>
      </w:pPr>
      <w:r>
        <w:t xml:space="preserve">Arbeitsministerium – H-1B, LCA und Lohn: </w:t>
      </w:r>
      <w:hyperlink r:id="rId418">
        <w:r w:rsidR="001F7233">
          <w:rPr>
            <w:color w:val="0563C1"/>
            <w:u w:val="single"/>
          </w:rPr>
          <w:t>dol.gov/agencies/eta/foreign-labor/programs/h-1b</w:t>
        </w:r>
      </w:hyperlink>
    </w:p>
    <w:p w14:paraId="39F918CB" w14:textId="77777777" w:rsidR="001F7233" w:rsidRDefault="00000000">
      <w:pPr>
        <w:pStyle w:val="ListParagraph"/>
        <w:numPr>
          <w:ilvl w:val="0"/>
          <w:numId w:val="1"/>
        </w:numPr>
        <w:spacing w:after="60"/>
      </w:pPr>
      <w:r>
        <w:t xml:space="preserve">CareerOneStop (US-Arbeitsministerium) – kostenlose Resume-Hilfe und American-Job-Center-Suche: </w:t>
      </w:r>
      <w:hyperlink r:id="rId419">
        <w:r w:rsidR="001F7233">
          <w:rPr>
            <w:color w:val="0563C1"/>
            <w:u w:val="single"/>
          </w:rPr>
          <w:t>careeronestop.org</w:t>
        </w:r>
      </w:hyperlink>
    </w:p>
    <w:p w14:paraId="243902D5" w14:textId="77777777" w:rsidR="001F7233" w:rsidRDefault="001F7233">
      <w:pPr>
        <w:spacing w:line="120" w:lineRule="exact"/>
      </w:pPr>
    </w:p>
    <w:p w14:paraId="3A2E6C1D" w14:textId="77777777" w:rsidR="001F7233" w:rsidRDefault="00000000">
      <w:pPr>
        <w:pStyle w:val="ListParagraph"/>
      </w:pPr>
      <w:r>
        <w:t xml:space="preserve">CareerOneStop — Interview types and preparation (US Department of Labor): </w:t>
      </w:r>
      <w:hyperlink r:id="rId420">
        <w:r w:rsidR="001F7233">
          <w:rPr>
            <w:rStyle w:val="Hyperlink"/>
          </w:rPr>
          <w:t>careeronestop.org/JobSearch/Interview/interview-tips.aspx</w:t>
        </w:r>
      </w:hyperlink>
    </w:p>
    <w:p w14:paraId="21F659FF" w14:textId="77777777" w:rsidR="001F7233" w:rsidRDefault="00000000">
      <w:r>
        <w:t>• Quellen- und Datenstand: September 2026; Redaktionsschluss: Oktober 2026. Diese Angaben ändern sich schnell: die Landesgesetze zu Wettbewerbsverboten (Washington ab 30. Juni 2027, Illinois-Schwelle ab 1. Januar 2027, Florida CHOICE Act), die Zahl der Staaten mit Gehaltstransparenz, die Beträge des bezahlten Familienurlaubs (jährlich angepasst), die Schwelle für Überstunden, die 401(k)-Grenzen (die Werte für 2027 veröffentlicht die IRS meist im Oktober oder November) und die H-1B-Regeln (</w:t>
      </w:r>
      <w:hyperlink w:anchor="k5">
        <w:r w:rsidR="001F7233">
          <w:t>Kapitel 5</w:t>
        </w:r>
      </w:hyperlink>
      <w:r>
        <w:t xml:space="preserve"> und 30). Arbeitsrecht ist überwiegend Landesrecht: Prüfe vor jeder Entscheidung die Seiten der Behörden deines Bundesstaats und lass wichtige Verträge anwaltlich prüfen.</w:t>
      </w:r>
    </w:p>
    <w:p w14:paraId="02E74DBA" w14:textId="77777777" w:rsidR="001F7233" w:rsidRDefault="00000000">
      <w:pPr>
        <w:spacing w:line="220" w:lineRule="exact"/>
      </w:pPr>
      <w:r>
        <w:br w:type="page"/>
      </w:r>
    </w:p>
    <w:p w14:paraId="7E9D93FC" w14:textId="77777777" w:rsidR="001F7233" w:rsidRDefault="00000000">
      <w:pPr>
        <w:pStyle w:val="Heading2"/>
        <w:keepNext/>
        <w:spacing w:line="341" w:lineRule="auto"/>
        <w:jc w:val="center"/>
      </w:pPr>
      <w:bookmarkStart w:id="62" w:name="k30"/>
      <w:r>
        <w:rPr>
          <w:rFonts w:ascii="Amazon Ember" w:eastAsia="Amazon Ember" w:hAnsi="Amazon Ember" w:cs="Amazon Ember"/>
          <w:color w:val="0000FF"/>
          <w:sz w:val="36"/>
          <w:szCs w:val="36"/>
        </w:rPr>
        <w:lastRenderedPageBreak/>
        <w:t>Kapitel 30: Jobwechsel, Kündigung und Umzug im Land: Was dein Status erlaubt</w:t>
      </w:r>
      <w:bookmarkEnd w:id="62"/>
    </w:p>
    <w:p w14:paraId="7E432C52" w14:textId="77777777" w:rsidR="001F7233" w:rsidRDefault="00000000">
      <w:pPr>
        <w:spacing w:after="140"/>
      </w:pPr>
      <w:r>
        <w:t>Deine amerikanische Kollegin gibt am Montag ihre Kündigung ab, arbeitet noch zwei Wochen und fängt am dritten Montag bei einem Wettbewerber an. Für dich als H-1B-Inhaber ist derselbe Schritt ein Verwaltungsverfahren mit Gebühren, Fristen und einer Anwältin und wenn dein Arbeitgeber dich entlässt, läuft ab dem letzten Arbeitstag eine Uhr.</w:t>
      </w:r>
    </w:p>
    <w:p w14:paraId="72084DC8" w14:textId="77777777" w:rsidR="001F7233" w:rsidRDefault="00000000">
      <w:r>
        <w:rPr>
          <w:b/>
        </w:rPr>
        <w:t xml:space="preserve">KURZ GESAGT: </w:t>
      </w:r>
    </w:p>
    <w:p w14:paraId="439CE592" w14:textId="77777777" w:rsidR="001F7233" w:rsidRDefault="00000000">
      <w:r>
        <w:t>• Amerikaner bleiben im Median knapp vier Jahre bei einem Arbeitgeber; Wechseln ist normal. Dein Status hängt dagegen an Arbeitgeber, Tätigkeit und Ort.</w:t>
      </w:r>
    </w:p>
    <w:p w14:paraId="751FEBE0" w14:textId="77777777" w:rsidR="001F7233" w:rsidRDefault="00000000">
      <w:r>
        <w:t>• Beim H-1B-Transfer darfst du beim neuen Arbeitgeber ab Einreichung der Petition anfangen; die 100.000-$-Zahlung gilt (Stand 20. September 2026) nicht für Wechsel im Inland.</w:t>
      </w:r>
    </w:p>
    <w:p w14:paraId="64A8E869" w14:textId="77777777" w:rsidR="001F7233" w:rsidRDefault="00000000">
      <w:r>
        <w:t>• Ein anderes Beschäftigungsgebiet oder eine wesentlich andere Stelle braucht meist eine neue LCA und eine geänderte Petition, bevor du dort arbeitest.</w:t>
      </w:r>
    </w:p>
    <w:p w14:paraId="3EE8DDAF" w14:textId="77777777" w:rsidR="001F7233" w:rsidRDefault="00000000">
      <w:r>
        <w:t>• Ein Wechsel kann ein laufendes Green-Card-Verfahren zurückwerfen. Die AC21-Portabilität greift erst, wenn deine I-485 seit 180 Tagen anhängig ist.</w:t>
      </w:r>
    </w:p>
    <w:p w14:paraId="068D5EBD" w14:textId="77777777" w:rsidR="001F7233" w:rsidRDefault="00000000">
      <w:r>
        <w:t>• Nach Jobverlust gilt noch eine Frist von bis zu 60 Tagen. Ein DHS-Vorschlag vom 11. September 2026 will sie streichen; er ist nicht in Kraft.</w:t>
      </w:r>
    </w:p>
    <w:p w14:paraId="78783C2B" w14:textId="77777777" w:rsidR="001F7233" w:rsidRDefault="00000000">
      <w:r>
        <w:t>• Nach jedem Umzug: Adressänderung AR-11 binnen 10 Tagen. Rücklage: mindestens sechs Monate Fixkosten.</w:t>
      </w:r>
    </w:p>
    <w:p w14:paraId="37A930B6" w14:textId="77777777" w:rsidR="001F7233" w:rsidRDefault="001F7233">
      <w:pPr>
        <w:spacing w:line="220" w:lineRule="exact"/>
      </w:pPr>
    </w:p>
    <w:p w14:paraId="70BE8F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Amerikaner oft wechseln – und du nicht so leicht</w:t>
      </w:r>
    </w:p>
    <w:p w14:paraId="59A57BAD" w14:textId="77777777" w:rsidR="001F7233" w:rsidRDefault="00000000">
      <w:pPr>
        <w:spacing w:after="140"/>
      </w:pPr>
      <w:r>
        <w:t>Nach der BLS-Statistik (Arbeitsministerium) arbeiteten Beschäftigte im Januar 2024 im Median 3,9 Jahre beim aktuellen Arbeitgeber, in der Privatwirtschaft 3,5 Jahre. Ein Grund liegt im Arbeitsrecht: Weil Arbeitgeber und Beschäftigte ohne Grund kündigen dürfen (</w:t>
      </w:r>
      <w:r>
        <w:rPr>
          <w:i/>
          <w:iCs/>
        </w:rPr>
        <w:t>At-will Employment</w:t>
      </w:r>
      <w:r>
        <w:t>, Kapitel </w:t>
      </w:r>
      <w:hyperlink w:anchor="k29">
        <w:r w:rsidR="001F7233">
          <w:t>29</w:t>
        </w:r>
      </w:hyperlink>
      <w:r>
        <w:t>), gibt es kaum Bindung. Die übliche Kündigungsfrist von zwei Wochen ist Höflichkeit und Vertragssache, kein Gesetz. Gehalt und Titel verbessern sich für viele Amerikaner schneller über einen Wechsel als über die interne Beförderung. In Deutschland binden Kündigungsfristen und Kündigungsschutz beide Seiten stärker.</w:t>
      </w:r>
    </w:p>
    <w:p w14:paraId="3C867563" w14:textId="77777777" w:rsidR="001F7233" w:rsidRDefault="00000000">
      <w:pPr>
        <w:spacing w:after="140"/>
      </w:pPr>
      <w:r>
        <w:t>Verbreiteter Irrtum vieler deutscher Bewerber: Ein Lebenslauf mit häufigen Wechseln wirke unstet und schrecke Personaler ab, wie man es aus Deutschland gewohnt ist. Tatsächlich gilt in den USA oft das Gegenteil. Wer nie wechselt, wirkt eher unambitioniert als loyal.</w:t>
      </w:r>
    </w:p>
    <w:p w14:paraId="0D523321" w14:textId="77777777" w:rsidR="001F7233" w:rsidRDefault="00000000">
      <w:pPr>
        <w:spacing w:after="140"/>
      </w:pPr>
      <w:r>
        <w:t>Mit einem Arbeitsvisum sieht die Lage anders aus: Dein Visum im Pass ist nur das Einreisedokument. Arbeiten lässt dich in den USA dein Status, belegt durch den I-94 (elektronischer Ein- und Ausreisenachweis mit Aufenthaltsende) und die Genehmigung der Arbeitgeber-Petition (Form I-797). Diese Genehmigung gilt nur für genau diesen Arbeitgeber, diese Tätigkeit und dieses Beschäftigungsgebiet. Wer einfach wechselt, arbeitet ohne Erlaubnis und verletzt seinen Status.</w:t>
      </w:r>
    </w:p>
    <w:p w14:paraId="25803C80" w14:textId="77777777" w:rsidR="001F7233" w:rsidRDefault="00000000">
      <w:r>
        <w:rPr>
          <w:b/>
        </w:rPr>
        <w:t xml:space="preserve">MERKE: </w:t>
      </w:r>
    </w:p>
    <w:p w14:paraId="439DC73A" w14:textId="77777777" w:rsidR="001F7233" w:rsidRDefault="00000000">
      <w:r>
        <w:t>• Dein Status hat drei Anker: Arbeitgeber, Tätigkeit, Ort. Ändert sich einer davon, ist das ein Fall für den Einwanderungsanwalt, bevor du den Schritt tust, nicht danach.</w:t>
      </w:r>
    </w:p>
    <w:p w14:paraId="16F0D5EA" w14:textId="77777777" w:rsidR="001F7233" w:rsidRDefault="001F7233">
      <w:pPr>
        <w:spacing w:line="220" w:lineRule="exact"/>
      </w:pPr>
    </w:p>
    <w:p w14:paraId="304B1D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H-1B-Transfer: Ablauf, Beginn und Kosten</w:t>
      </w:r>
    </w:p>
    <w:p w14:paraId="4CB085D1" w14:textId="77777777" w:rsidR="001F7233" w:rsidRDefault="00000000">
      <w:pPr>
        <w:pStyle w:val="ListParagraph"/>
        <w:numPr>
          <w:ilvl w:val="0"/>
          <w:numId w:val="29"/>
        </w:numPr>
        <w:spacing w:after="60"/>
      </w:pPr>
      <w:r>
        <w:t>Der neue Arbeitgeber sagt den Transfer verbindlich zu; ihr klärt, wer welche Kosten trägt.</w:t>
      </w:r>
    </w:p>
    <w:p w14:paraId="2B0A7127" w14:textId="77777777" w:rsidR="001F7233" w:rsidRDefault="00000000">
      <w:pPr>
        <w:pStyle w:val="ListParagraph"/>
        <w:numPr>
          <w:ilvl w:val="0"/>
          <w:numId w:val="2"/>
        </w:numPr>
        <w:spacing w:after="60"/>
      </w:pPr>
      <w:r>
        <w:rPr>
          <w:i/>
          <w:iCs/>
        </w:rPr>
        <w:t>Er reicht beim Arbeitsministerium (DOL) eine Labor Condition Application (LCA) ein, die Lohn und Arbeitsort bestätigt. Das DOL prüft sie binnen sieben Werktagen auf Vollständigkeit.</w:t>
      </w:r>
    </w:p>
    <w:p w14:paraId="4AA3B0EC" w14:textId="77777777" w:rsidR="001F7233" w:rsidRDefault="00000000">
      <w:pPr>
        <w:pStyle w:val="ListParagraph"/>
        <w:numPr>
          <w:ilvl w:val="0"/>
          <w:numId w:val="2"/>
        </w:numPr>
        <w:spacing w:after="60"/>
      </w:pPr>
      <w:r>
        <w:t xml:space="preserve">Er reicht die I-129 ein, auf Wunsch mit </w:t>
      </w:r>
      <w:r>
        <w:rPr>
          <w:i/>
          <w:iCs/>
        </w:rPr>
        <w:t>Premium Processing</w:t>
      </w:r>
      <w:r>
        <w:t xml:space="preserve"> (beschleunigte Bearbeitung, Entscheidung binnen 15 Werktagen).</w:t>
      </w:r>
    </w:p>
    <w:p w14:paraId="04C719B7" w14:textId="77777777" w:rsidR="001F7233" w:rsidRDefault="00000000">
      <w:pPr>
        <w:pStyle w:val="ListParagraph"/>
        <w:numPr>
          <w:ilvl w:val="0"/>
          <w:numId w:val="2"/>
        </w:numPr>
        <w:spacing w:after="60"/>
      </w:pPr>
      <w:r>
        <w:t>Mit der Eingangsbestätigung von USCIS kündigst du beim alten Arbeitgeber und fängst beim neuen an.</w:t>
      </w:r>
    </w:p>
    <w:p w14:paraId="65323BFF" w14:textId="77777777" w:rsidR="001F7233" w:rsidRDefault="00000000">
      <w:pPr>
        <w:pStyle w:val="ListParagraph"/>
        <w:numPr>
          <w:ilvl w:val="0"/>
          <w:numId w:val="2"/>
        </w:numPr>
        <w:spacing w:after="60"/>
      </w:pPr>
      <w:r>
        <w:t>USCIS genehmigt und stellt die neue Genehmigung aus. Lehnt USCIS ab, endet deine Arbeitserlaubnis beim neuen Arbeitgeber. Zum alten kannst du nur zurück, wenn dessen Genehmigung noch gültig ist.</w:t>
      </w:r>
    </w:p>
    <w:p w14:paraId="5334A085" w14:textId="77777777" w:rsidR="001F7233" w:rsidRDefault="001F7233">
      <w:pPr>
        <w:spacing w:line="120" w:lineRule="exact"/>
      </w:pPr>
    </w:p>
    <w:p w14:paraId="24FEE3F6" w14:textId="77777777" w:rsidR="001F7233" w:rsidRDefault="00000000">
      <w:r>
        <w:rPr>
          <w:b/>
        </w:rPr>
        <w:t xml:space="preserve">ACHTUNG: </w:t>
      </w:r>
    </w:p>
    <w:p w14:paraId="617C1F72" w14:textId="77777777" w:rsidR="001F7233" w:rsidRDefault="00000000">
      <w:r>
        <w:t>• Kündige beim alten Arbeitgeber erst, wenn die Petition des neuen bei USCIS eingegangen ist. Wer vorher kündigt, startet seine Frist ohne Absicherung. Ebenfalls tabu: ein zweiter Job, Freiberuflichkeit oder Nebenverdienst außer deiner Petition. Das gilt als unerlaubte Beschäftigung; eine Parallelbeschäftigung braucht eine zweite Petition mit eigener LCA.</w:t>
      </w:r>
    </w:p>
    <w:p w14:paraId="71CF3266" w14:textId="77777777" w:rsidR="001F7233" w:rsidRDefault="001F7233">
      <w:pPr>
        <w:spacing w:line="220" w:lineRule="exact"/>
      </w:pPr>
    </w:p>
    <w:p w14:paraId="34CD7907" w14:textId="77777777" w:rsidR="001F7233" w:rsidRDefault="00000000">
      <w:pPr>
        <w:spacing w:after="140"/>
      </w:pPr>
      <w:r>
        <w:t>Die Kosten trägt der neue Arbeitgeber, die Gebühren nach USCIS-Gebührenblatt G-1055 (Ausgabe vom 9. September 2026):</w:t>
      </w:r>
    </w:p>
    <w:p w14:paraId="49A8D2B1" w14:textId="77777777" w:rsidR="001F7233" w:rsidRDefault="00000000">
      <w:r>
        <w:rPr>
          <w:b/>
        </w:rPr>
        <w:t>Form I-129</w:t>
      </w:r>
    </w:p>
    <w:p w14:paraId="6CA79F46" w14:textId="77777777" w:rsidR="001F7233" w:rsidRDefault="00000000">
      <w:r>
        <w:rPr>
          <w:b/>
        </w:rPr>
        <w:t xml:space="preserve">Betrag: </w:t>
      </w:r>
      <w:r>
        <w:t>780 $ Papier, 730 $ online, 460 $ Kleinbetrieb oder Non-Profit</w:t>
      </w:r>
    </w:p>
    <w:p w14:paraId="75962B80" w14:textId="77777777" w:rsidR="001F7233" w:rsidRDefault="00000000">
      <w:r>
        <w:rPr>
          <w:b/>
        </w:rPr>
        <w:t xml:space="preserve">Anmerkung: </w:t>
      </w:r>
      <w:r>
        <w:t>Grundgebühr</w:t>
      </w:r>
    </w:p>
    <w:p w14:paraId="1D0FBD12" w14:textId="77777777" w:rsidR="001F7233" w:rsidRDefault="00000000">
      <w:r>
        <w:rPr>
          <w:b/>
        </w:rPr>
        <w:t>ACWIA-Gebühr</w:t>
      </w:r>
    </w:p>
    <w:p w14:paraId="7FD520D8" w14:textId="77777777" w:rsidR="001F7233" w:rsidRDefault="00000000">
      <w:r>
        <w:rPr>
          <w:b/>
        </w:rPr>
        <w:lastRenderedPageBreak/>
        <w:t xml:space="preserve">Betrag: </w:t>
      </w:r>
      <w:r>
        <w:t>1.500 $ ab 26 Beschäftigten, sonst 750 $</w:t>
      </w:r>
    </w:p>
    <w:p w14:paraId="2E59FF59" w14:textId="77777777" w:rsidR="001F7233" w:rsidRDefault="00000000">
      <w:r>
        <w:rPr>
          <w:b/>
        </w:rPr>
        <w:t xml:space="preserve">Anmerkung: </w:t>
      </w:r>
      <w:r>
        <w:t>Hochschulen und verbundene Non-Profits befreit</w:t>
      </w:r>
    </w:p>
    <w:p w14:paraId="4DA5BCFE" w14:textId="77777777" w:rsidR="001F7233" w:rsidRDefault="00000000">
      <w:r>
        <w:rPr>
          <w:b/>
        </w:rPr>
        <w:t>Fraud Fee</w:t>
      </w:r>
    </w:p>
    <w:p w14:paraId="6A5036EF" w14:textId="77777777" w:rsidR="001F7233" w:rsidRDefault="00000000">
      <w:r>
        <w:rPr>
          <w:b/>
        </w:rPr>
        <w:t xml:space="preserve">Betrag: </w:t>
      </w:r>
      <w:r>
        <w:t>500 $</w:t>
      </w:r>
    </w:p>
    <w:p w14:paraId="225866C9" w14:textId="77777777" w:rsidR="001F7233" w:rsidRDefault="00000000">
      <w:r>
        <w:rPr>
          <w:b/>
        </w:rPr>
        <w:t xml:space="preserve">Anmerkung: </w:t>
      </w:r>
      <w:r>
        <w:t>bei Erstpetition und Arbeitgeberwechsel</w:t>
      </w:r>
    </w:p>
    <w:p w14:paraId="346BFF71" w14:textId="77777777" w:rsidR="001F7233" w:rsidRDefault="00000000">
      <w:r>
        <w:rPr>
          <w:b/>
        </w:rPr>
        <w:t>Asylum Program Fee</w:t>
      </w:r>
    </w:p>
    <w:p w14:paraId="2E336466" w14:textId="77777777" w:rsidR="001F7233" w:rsidRDefault="00000000">
      <w:r>
        <w:rPr>
          <w:b/>
        </w:rPr>
        <w:t xml:space="preserve">Betrag: </w:t>
      </w:r>
      <w:r>
        <w:t>600 $, Kleinbetrieb 300 $, Non-Profit 0 $</w:t>
      </w:r>
    </w:p>
    <w:p w14:paraId="049F6870" w14:textId="77777777" w:rsidR="001F7233" w:rsidRDefault="00000000">
      <w:r>
        <w:rPr>
          <w:b/>
        </w:rPr>
        <w:t>Premium Processing</w:t>
      </w:r>
    </w:p>
    <w:p w14:paraId="727639D2" w14:textId="77777777" w:rsidR="001F7233" w:rsidRDefault="00000000">
      <w:r>
        <w:rPr>
          <w:b/>
        </w:rPr>
        <w:t xml:space="preserve">Betrag: </w:t>
      </w:r>
      <w:r>
        <w:t>2.965 $</w:t>
      </w:r>
    </w:p>
    <w:p w14:paraId="3C9522C7" w14:textId="77777777" w:rsidR="001F7233" w:rsidRDefault="00000000">
      <w:r>
        <w:rPr>
          <w:b/>
        </w:rPr>
        <w:t xml:space="preserve">Anmerkung: </w:t>
      </w:r>
      <w:r>
        <w:t>optional; nur der Arbeitgeber darf es beantragen</w:t>
      </w:r>
    </w:p>
    <w:p w14:paraId="4063FEF0" w14:textId="77777777" w:rsidR="001F7233" w:rsidRDefault="001F7233">
      <w:pPr>
        <w:spacing w:line="180" w:lineRule="exact"/>
      </w:pPr>
    </w:p>
    <w:p w14:paraId="57382470" w14:textId="77777777" w:rsidR="001F7233" w:rsidRDefault="00000000">
      <w:pPr>
        <w:spacing w:after="140"/>
      </w:pPr>
      <w:r>
        <w:t xml:space="preserve">Zusammen sind das ohne Premium Processing 3.380 $ (Großbetrieb, Papier; online 3.330 $) oder 2.010 $ (Kleinbetrieb), dazu Anwaltskosten von typisch 1.500–4.000 $ und mehr (Sekundärquelle, Stand 2026). Die ACWIA-Gebühr sowie Anwalts- und Petitionskosten darf der Arbeitgeber nicht vom Lohn zurückholen (20 CFR 655.731(c)(9)–(10)). Vertragsstrafen für vorzeitiges Ausscheiden sind unzulässig, pauschalierter Schadensersatz kann es nach Landesrecht sein. In vielen </w:t>
      </w:r>
      <w:r>
        <w:rPr>
          <w:i/>
          <w:iCs/>
        </w:rPr>
        <w:t>Offer Letters</w:t>
      </w:r>
      <w:r>
        <w:t xml:space="preserve"> (Angebotsschreiben) stehen Rückzahlungsklauseln für Sign-on-Bonus oder Umzugskosten; prüfe sie und ein mögliches Wettbewerbsverbot vor dem Wechsel (Kapitel </w:t>
      </w:r>
      <w:hyperlink w:anchor="k29">
        <w:r w:rsidR="001F7233">
          <w:t>29</w:t>
        </w:r>
      </w:hyperlink>
      <w:r>
        <w:t>).</w:t>
      </w:r>
    </w:p>
    <w:p w14:paraId="1FDAC211" w14:textId="77777777" w:rsidR="001F7233" w:rsidRDefault="00000000">
      <w:pPr>
        <w:spacing w:after="140"/>
      </w:pPr>
      <w:r>
        <w:rPr>
          <w:b/>
          <w:bCs/>
        </w:rPr>
        <w:t>Keine Lotterie, keine 100.000 $.</w:t>
      </w:r>
      <w:r>
        <w:t xml:space="preserve"> Ein Transfer im Inland braucht meist keine neue Registrierung (215 $). Die 100.000-$-Zahlung der Proklamation 10973 gilt nach USCIS-Angaben nicht für Arbeitgeberwechsel im Inland; ihre Erhebung ist außerdem gerichtlich blockiert (Kapitel </w:t>
      </w:r>
      <w:hyperlink w:anchor="k5">
        <w:r w:rsidR="001F7233">
          <w:t>5</w:t>
        </w:r>
      </w:hyperlink>
      <w:r>
        <w:t>). Auch der 103.265-$-Entwurf vom 25. August 2026 (nicht in Kraft, Kommentare bis 24. September 2026) würde Arbeitgeberwechsel nach Angaben von Kanzleien nicht erfassen.</w:t>
      </w:r>
    </w:p>
    <w:p w14:paraId="2653D6CD" w14:textId="77777777" w:rsidR="001F7233" w:rsidRDefault="00000000">
      <w:pPr>
        <w:spacing w:after="140"/>
      </w:pPr>
      <w:r>
        <w:rPr>
          <w:b/>
          <w:bCs/>
        </w:rPr>
        <w:t>Cap-exempt-Arbeitgeber.</w:t>
      </w:r>
      <w:r>
        <w:t xml:space="preserve"> Arbeitest du an einer Hochschule, einem verbundenen Non-Profit oder einer gemeinnützigen oder staatlichen Forschungseinrichtung, unterlag deine Petition nicht der Quote (</w:t>
      </w:r>
      <w:r>
        <w:rPr>
          <w:i/>
          <w:iCs/>
        </w:rPr>
        <w:t>Cap-exempt</w:t>
      </w:r>
      <w:r>
        <w:t xml:space="preserve">). Wechselst du von dort zu einem gewöhnlichen </w:t>
      </w:r>
      <w:r>
        <w:lastRenderedPageBreak/>
        <w:t>Unternehmen (</w:t>
      </w:r>
      <w:r>
        <w:rPr>
          <w:i/>
          <w:iCs/>
        </w:rPr>
        <w:t>Cap-subject</w:t>
      </w:r>
      <w:r>
        <w:t>), brauchst du in der Regel eine Registrierung im März und darfst frühestens am 1. Oktober starten. Eine Parallelbeschäftigung ist dabei möglich, solange die Cap-exempt-Stelle fortbesteht. Ob du schon einmal gegen die Quote gezählt wurdest, entscheidet mit, ob diese Hürde gilt; lass das vorab prüfen. Der Wechsel von der Firma zur Hochschule ist ganzjährig möglich. Die Höchstdauer von sechs Jahren zählt über alle Arbeitgeber hinweg; ein Wechsel setzt sie nicht zurück (Kapitel </w:t>
      </w:r>
      <w:hyperlink w:anchor="k5">
        <w:r w:rsidR="001F7233">
          <w:t>5</w:t>
        </w:r>
      </w:hyperlink>
      <w:r>
        <w:t>).</w:t>
      </w:r>
    </w:p>
    <w:p w14:paraId="79643B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und Stellenänderung: Wann eine neue LCA nötig ist</w:t>
      </w:r>
    </w:p>
    <w:p w14:paraId="15398377" w14:textId="77777777" w:rsidR="001F7233" w:rsidRDefault="00000000">
      <w:pPr>
        <w:spacing w:after="140"/>
      </w:pPr>
      <w:r>
        <w:t>Der erste Wohnort ist bei H-1B selten frei gewählt: Deine Petition nennt den Arbeitsort, und die LCA gilt für ein Beschäftigungsgebiet, meist die Metropolregion (</w:t>
      </w:r>
      <w:r>
        <w:rPr>
          <w:i/>
          <w:iCs/>
        </w:rPr>
        <w:t>Metropolitan Statistical Area</w:t>
      </w:r>
      <w:r>
        <w:t>, MSA). Wer nach einem Jahr in eine andere Region will, kann nicht einfach umziehen. Wo du langfristig leben willst, klärst du deshalb vor der Zusage (Kapitel </w:t>
      </w:r>
      <w:hyperlink w:anchor="k12">
        <w:r w:rsidR="001F7233">
          <w:t>12</w:t>
        </w:r>
      </w:hyperlink>
      <w:r>
        <w:t>). Wechselst du Arbeitgeber und Region zugleich, reicht ein Schritt, denn die Petition des neuen Arbeitgebers nennt ohnehin den neuen Ort. Bleibst du beim Arbeitgeber, gilt:</w:t>
      </w:r>
    </w:p>
    <w:p w14:paraId="5A7532E3" w14:textId="77777777" w:rsidR="001F7233" w:rsidRDefault="00000000">
      <w:pPr>
        <w:pStyle w:val="ListParagraph"/>
        <w:numPr>
          <w:ilvl w:val="0"/>
          <w:numId w:val="1"/>
        </w:numPr>
        <w:spacing w:after="60"/>
      </w:pPr>
      <w:r>
        <w:rPr>
          <w:b/>
          <w:bCs/>
        </w:rPr>
        <w:t>Neuer Standort im selben MSA:</w:t>
      </w:r>
      <w:r>
        <w:t xml:space="preserve"> Nach bisheriger USCIS-Praxis (Simeio-Leitlinie von 2015, später in die Vorschriften übernommen) genügt es, dass der Arbeitgeber die LCA am neuen Standort aushängt. Beispiel: Seattle nach Bellevue.</w:t>
      </w:r>
    </w:p>
    <w:p w14:paraId="5D2E1351" w14:textId="77777777" w:rsidR="001F7233" w:rsidRDefault="00000000">
      <w:pPr>
        <w:pStyle w:val="ListParagraph"/>
        <w:numPr>
          <w:ilvl w:val="0"/>
          <w:numId w:val="1"/>
        </w:numPr>
        <w:spacing w:after="60"/>
      </w:pPr>
      <w:r>
        <w:rPr>
          <w:b/>
          <w:bCs/>
        </w:rPr>
        <w:t>Anderes Gebiet:</w:t>
      </w:r>
      <w:r>
        <w:t xml:space="preserve"> Braucht der neue Ort eine neue LCA, gilt das als wesentliche Änderung. Der Arbeitgeber holt sie ein und reicht eine geänderte Petition (</w:t>
      </w:r>
      <w:r>
        <w:rPr>
          <w:i/>
          <w:iCs/>
        </w:rPr>
        <w:t>Amended Petition</w:t>
      </w:r>
      <w:r>
        <w:t>) samt Gebühr ein (8 CFR 214.2(h)(2)(i)(E)). Beispiel: Seattle nach Austin.</w:t>
      </w:r>
    </w:p>
    <w:p w14:paraId="4BA7F6FF" w14:textId="77777777" w:rsidR="001F7233" w:rsidRDefault="00000000">
      <w:pPr>
        <w:pStyle w:val="ListParagraph"/>
        <w:numPr>
          <w:ilvl w:val="0"/>
          <w:numId w:val="1"/>
        </w:numPr>
        <w:spacing w:after="60"/>
      </w:pPr>
      <w:r>
        <w:rPr>
          <w:b/>
          <w:bCs/>
        </w:rPr>
        <w:t>Homeoffice: Auch dein Arbeitsplatz zu Hause zählt als Arbeitsort. Ziehst du im Homeoffice in ein anderes Gebiet, kann das eine neue LCA erfordern. Frage HR vor dem Umzug.</w:t>
      </w:r>
    </w:p>
    <w:p w14:paraId="05BB760C" w14:textId="77777777" w:rsidR="001F7233" w:rsidRDefault="00000000">
      <w:pPr>
        <w:pStyle w:val="ListParagraph"/>
        <w:numPr>
          <w:ilvl w:val="0"/>
          <w:numId w:val="1"/>
        </w:numPr>
        <w:spacing w:after="60"/>
      </w:pPr>
      <w:r>
        <w:rPr>
          <w:b/>
          <w:bCs/>
        </w:rPr>
        <w:lastRenderedPageBreak/>
        <w:t>Andere Stelle: Eine wesentlich andere Tätigkeit oder Berufsgruppe oder deutlich weniger Arbeitszeit kann eine geänderte Petition verlangen. Eine Beförderung in derselben Tätigkeit meist nicht.</w:t>
      </w:r>
    </w:p>
    <w:p w14:paraId="03AC62EF" w14:textId="77777777" w:rsidR="001F7233" w:rsidRDefault="001F7233">
      <w:pPr>
        <w:spacing w:line="120" w:lineRule="exact"/>
      </w:pPr>
    </w:p>
    <w:p w14:paraId="075C23A0" w14:textId="77777777" w:rsidR="001F7233" w:rsidRDefault="00000000">
      <w:r>
        <w:rPr>
          <w:b/>
        </w:rPr>
        <w:t xml:space="preserve">ACHTUNG: </w:t>
      </w:r>
    </w:p>
    <w:p w14:paraId="74CF5876" w14:textId="77777777" w:rsidR="001F7233" w:rsidRDefault="00000000">
      <w:r>
        <w:t>• Arbeite am neuen Ort oder in der neuen Rolle erst, wenn die geänderte Petition eingereicht ist. Ein Umzug auf eigene Faust oder eine Versetzung, von der die Rechtsabteilung nichts weiß, gefährdet deinen Status. Lass dir schriftlich bestätigen, dass der Arbeitgeber geprüft hat, ob eine neue LCA nötig ist.</w:t>
      </w:r>
    </w:p>
    <w:p w14:paraId="51818E91" w14:textId="77777777" w:rsidR="001F7233" w:rsidRDefault="001F7233">
      <w:pPr>
        <w:spacing w:line="220" w:lineRule="exact"/>
      </w:pPr>
    </w:p>
    <w:p w14:paraId="724739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und Green Card: Was aus deinem Verfahren wird</w:t>
      </w:r>
    </w:p>
    <w:p w14:paraId="3175C1C3" w14:textId="77777777" w:rsidR="001F7233" w:rsidRDefault="00000000">
      <w:r>
        <w:rPr>
          <w:b/>
        </w:rPr>
        <w:t>PERM oder I-140 noch nicht genehmigt</w:t>
      </w:r>
    </w:p>
    <w:p w14:paraId="0D971CCD" w14:textId="77777777" w:rsidR="001F7233" w:rsidRDefault="00000000">
      <w:r>
        <w:rPr>
          <w:b/>
        </w:rPr>
        <w:t xml:space="preserve">Folge: </w:t>
      </w:r>
      <w:r>
        <w:t>Der neue Arbeitgeber beginnt von vorn</w:t>
      </w:r>
    </w:p>
    <w:p w14:paraId="79389878" w14:textId="77777777" w:rsidR="001F7233" w:rsidRDefault="00000000">
      <w:r>
        <w:rPr>
          <w:b/>
        </w:rPr>
        <w:t xml:space="preserve">Was du mitnimmst: </w:t>
      </w:r>
      <w:r>
        <w:t>Nichts; das Priority Date ist meist verloren</w:t>
      </w:r>
    </w:p>
    <w:p w14:paraId="0B3E360C" w14:textId="77777777" w:rsidR="001F7233" w:rsidRDefault="00000000">
      <w:r>
        <w:rPr>
          <w:b/>
        </w:rPr>
        <w:t>I-140 genehmigt, I-485 noch nicht 180 Tage anhängig</w:t>
      </w:r>
    </w:p>
    <w:p w14:paraId="6CAC26F9" w14:textId="77777777" w:rsidR="001F7233" w:rsidRDefault="00000000">
      <w:r>
        <w:rPr>
          <w:b/>
        </w:rPr>
        <w:t xml:space="preserve">Folge: </w:t>
      </w:r>
      <w:r>
        <w:t>Neues PERM und neue I-140 beim neuen Arbeitgeber</w:t>
      </w:r>
    </w:p>
    <w:p w14:paraId="23601CA3" w14:textId="77777777" w:rsidR="001F7233" w:rsidRDefault="00000000">
      <w:r>
        <w:rPr>
          <w:b/>
        </w:rPr>
        <w:t xml:space="preserve">Was du mitnimmst: </w:t>
      </w:r>
      <w:r>
        <w:t>Das alte Priority Date, wenn die Genehmigung mindestens 180 Tage alt ist</w:t>
      </w:r>
    </w:p>
    <w:p w14:paraId="39376E8F" w14:textId="77777777" w:rsidR="001F7233" w:rsidRDefault="00000000">
      <w:r>
        <w:rPr>
          <w:b/>
        </w:rPr>
        <w:t>I-140 genehmigt, I-485 seit 180 Tagen anhängig</w:t>
      </w:r>
    </w:p>
    <w:p w14:paraId="1E993985" w14:textId="77777777" w:rsidR="001F7233" w:rsidRDefault="00000000">
      <w:r>
        <w:rPr>
          <w:b/>
        </w:rPr>
        <w:t>Folge: AC21-Portabilität (INA 204(j)): neue Stelle in gleicher oder ähnlicher Berufsgruppe, Form I-485 Supplement J.</w:t>
      </w:r>
    </w:p>
    <w:p w14:paraId="7740676C" w14:textId="77777777" w:rsidR="001F7233" w:rsidRDefault="00000000">
      <w:r>
        <w:rPr>
          <w:b/>
        </w:rPr>
        <w:t xml:space="preserve">Was du mitnimmst: </w:t>
      </w:r>
      <w:r>
        <w:t>Das gesamte Verfahren, kein neues PERM</w:t>
      </w:r>
    </w:p>
    <w:p w14:paraId="7CCC9EB4" w14:textId="77777777" w:rsidR="001F7233" w:rsidRDefault="001F7233">
      <w:pPr>
        <w:spacing w:line="180" w:lineRule="exact"/>
      </w:pPr>
    </w:p>
    <w:p w14:paraId="50F164FD" w14:textId="77777777" w:rsidR="001F7233" w:rsidRDefault="00000000">
      <w:pPr>
        <w:spacing w:after="140"/>
      </w:pPr>
      <w:r>
        <w:t xml:space="preserve">Die 180 Tage zählen ab Eingang der I-485 bei USCIS. Zieht der alte Arbeitgeber eine jüngere I-140 zurück, entfällt sie. Auch ältere Genehmigungen kann USCIS widerrufen, etwa bei Betrug oder falschen Angaben. Für Deutsche gilt die Kategorie „Rest der Welt” mit kürzeren Wartezeiten als für Indien oder China; die aktuellen Stichtage stehen im </w:t>
      </w:r>
      <w:r>
        <w:rPr>
          <w:i/>
          <w:iCs/>
        </w:rPr>
        <w:t>Visa Bulletin</w:t>
      </w:r>
      <w:r>
        <w:t xml:space="preserve"> (der monatlichen Stichtagsliste des State Department, Kapitel </w:t>
      </w:r>
      <w:hyperlink w:anchor="k6">
        <w:r w:rsidR="001F7233">
          <w:t>6</w:t>
        </w:r>
      </w:hyperlink>
      <w:r>
        <w:t>).</w:t>
      </w:r>
    </w:p>
    <w:p w14:paraId="57BC12A7" w14:textId="77777777" w:rsidR="001F7233" w:rsidRDefault="00000000">
      <w:pPr>
        <w:spacing w:after="140"/>
      </w:pPr>
      <w:r>
        <w:lastRenderedPageBreak/>
        <w:t>Auch die H-1B-Dauer hängt am Verfahren: Über sechs Jahre hinaus verlängert USCIS in Drei-Jahres-Schritten, wenn eine I-140 genehmigt, aber kein Visum verfügbar ist, und in Ein-Jahres-Schritten, wenn PERM oder I-140 seit mindestens 365 Tagen anhängig sind (Kapitel </w:t>
      </w:r>
      <w:hyperlink w:anchor="k5">
        <w:r w:rsidR="001F7233">
          <w:t>5</w:t>
        </w:r>
      </w:hyperlink>
      <w:r>
        <w:t>). Wechselst du in den letzten Jahren, kann ein frisch startendes Verfahren zu spät kommen.</w:t>
      </w:r>
    </w:p>
    <w:p w14:paraId="65247B37" w14:textId="77777777" w:rsidR="001F7233" w:rsidRDefault="00000000">
      <w:r>
        <w:rPr>
          <w:b/>
        </w:rPr>
        <w:t xml:space="preserve">ACHTUNG: </w:t>
      </w:r>
    </w:p>
    <w:p w14:paraId="4397D20F" w14:textId="77777777" w:rsidR="001F7233" w:rsidRDefault="00000000">
      <w:r>
        <w:t>• Kläre vor jedem Wechsel, wo dein Verfahren steht: Priority Date, Datum der I-140-Genehmigung, Datum der I-485-Einreichung. Wer einen Tag vor der 180-Tage-Marke kündigt, kann Jahre verlieren. Frage neue Arbeitgeber im Gespräch, wann sie ein Verfahren starten und wer zahlt.</w:t>
      </w:r>
    </w:p>
    <w:p w14:paraId="32626490" w14:textId="77777777" w:rsidR="001F7233" w:rsidRDefault="001F7233">
      <w:pPr>
        <w:spacing w:line="220" w:lineRule="exact"/>
      </w:pPr>
    </w:p>
    <w:p w14:paraId="03B8BD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Layoff: Die 60-Tage-Frist</w:t>
      </w:r>
    </w:p>
    <w:p w14:paraId="61452C1D" w14:textId="77777777" w:rsidR="001F7233" w:rsidRDefault="00000000">
      <w:pPr>
        <w:spacing w:after="140"/>
      </w:pPr>
      <w:r>
        <w:rPr>
          <w:i/>
          <w:iCs/>
        </w:rPr>
        <w:t>Layoff heißt Stellenabbau: Die Firma streicht Stellen wegen Kosten oder Umbau, nicht wegen deiner Leistung. Manchmal erfährst du es am selben Tag, an dem dein Zugang gesperrt wird. Dein Status endet aber nicht sofort. Nach 8 CFR 214.1(l)(2) gilt eine Frist (Grace Period) von bis zu 60 aufeinanderfolgenden Tagen oder bis zum Ende des genehmigten Aufenthaltszeitraums, je nachdem, was kürzer ist. Im Einzelnen:</w:t>
      </w:r>
    </w:p>
    <w:p w14:paraId="35BA4F7E" w14:textId="77777777" w:rsidR="001F7233" w:rsidRDefault="00000000">
      <w:pPr>
        <w:pStyle w:val="ListParagraph"/>
        <w:numPr>
          <w:ilvl w:val="0"/>
          <w:numId w:val="1"/>
        </w:numPr>
        <w:spacing w:after="60"/>
      </w:pPr>
      <w:r>
        <w:t>Die Frist gilt einmal je Gültigkeitszeitraum der Petition, auch bei eigener Kündigung. USCIS kann sie im Einzelfall verkürzen oder streichen.</w:t>
      </w:r>
    </w:p>
    <w:p w14:paraId="47887162" w14:textId="77777777" w:rsidR="001F7233" w:rsidRDefault="00000000">
      <w:pPr>
        <w:pStyle w:val="ListParagraph"/>
        <w:numPr>
          <w:ilvl w:val="0"/>
          <w:numId w:val="1"/>
        </w:numPr>
        <w:spacing w:after="60"/>
      </w:pPr>
      <w:r>
        <w:t>Der Lauf beginnt am Tag nach Beschäftigungsende. USCIS nennt dafür typischerweise den letzten bezahlten Tag (Seite archiviert, Stand Januar 2025).</w:t>
      </w:r>
    </w:p>
    <w:p w14:paraId="5872A9EC" w14:textId="77777777" w:rsidR="001F7233" w:rsidRDefault="00000000">
      <w:pPr>
        <w:pStyle w:val="ListParagraph"/>
        <w:numPr>
          <w:ilvl w:val="0"/>
          <w:numId w:val="1"/>
        </w:numPr>
        <w:spacing w:after="60"/>
      </w:pPr>
      <w:r>
        <w:t>Arbeiten darfst du in dieser Zeit nicht, bis ein neuer Arbeitgeber eine Petition eingereicht hat.</w:t>
      </w:r>
    </w:p>
    <w:p w14:paraId="41ED9D19" w14:textId="77777777" w:rsidR="001F7233" w:rsidRDefault="00000000">
      <w:pPr>
        <w:pStyle w:val="ListParagraph"/>
        <w:numPr>
          <w:ilvl w:val="0"/>
          <w:numId w:val="1"/>
        </w:numPr>
        <w:spacing w:after="60"/>
      </w:pPr>
      <w:r>
        <w:lastRenderedPageBreak/>
        <w:t>Partner und Kinder (H-4) profitieren mit; eine H-4-Arbeitserlaubnis (</w:t>
      </w:r>
      <w:r>
        <w:rPr>
          <w:i/>
          <w:iCs/>
        </w:rPr>
        <w:t>Employment Authorization Document</w:t>
      </w:r>
      <w:r>
        <w:t>, EAD) bleibt nach früherer USCIS-Angabe gültig (Kapitel </w:t>
      </w:r>
      <w:hyperlink w:anchor="k10">
        <w:r w:rsidR="001F7233">
          <w:t>10</w:t>
        </w:r>
      </w:hyperlink>
      <w:r>
        <w:t>).</w:t>
      </w:r>
    </w:p>
    <w:p w14:paraId="53B0A42B" w14:textId="77777777" w:rsidR="001F7233" w:rsidRDefault="001F7233">
      <w:pPr>
        <w:spacing w:line="120" w:lineRule="exact"/>
      </w:pPr>
    </w:p>
    <w:p w14:paraId="3A96E887" w14:textId="77777777" w:rsidR="001F7233" w:rsidRDefault="00000000">
      <w:r>
        <w:rPr>
          <w:b/>
        </w:rPr>
        <w:t xml:space="preserve">MERKE: </w:t>
      </w:r>
    </w:p>
    <w:p w14:paraId="4A6353E4" w14:textId="77777777" w:rsidR="001F7233" w:rsidRDefault="00000000">
      <w:r>
        <w:t>• Zähle die 60 Tage ab deinem letzten Arbeitstag, trage das Ende mit einer Woche Puffer in den Kalender ein und handle in der ersten Woche, nicht im zweiten Monat. Maßgeblich ist, wann ein Antrag bei USCIS eingeht, nicht wann du ihn abschickst.</w:t>
      </w:r>
    </w:p>
    <w:p w14:paraId="5F962B4A" w14:textId="77777777" w:rsidR="001F7233" w:rsidRDefault="001F7233">
      <w:pPr>
        <w:spacing w:line="220" w:lineRule="exact"/>
      </w:pPr>
    </w:p>
    <w:p w14:paraId="1F07B17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 (Stand 20. September 2026)</w:t>
      </w:r>
    </w:p>
    <w:p w14:paraId="052F03B0" w14:textId="77777777" w:rsidR="001F7233" w:rsidRDefault="00000000">
      <w:pPr>
        <w:spacing w:after="140"/>
      </w:pPr>
      <w:r>
        <w:t xml:space="preserve">Das Heimatschutzministerium (DHS) hat am 11. September 2026 den Vorschlag „Eliminating the Discretionary 60-Day Grace Period” veröffentlicht (Docket USCIS-2026-0364). Die Frist soll ersatzlos entfallen, unter anderem für H-1B, L-1, O-1 und TN samt Angehörigen. Der Statusverstoß träte dann mit dem Ende der Beschäftigung ein, mit Pflicht zur sofortigen Ausreise. Einen Starttermin oder eine Übergangsfrist nennt der Vorschlag nicht; Kommentare sind bis 10. November 2026 möglich. </w:t>
      </w:r>
      <w:r>
        <w:rPr>
          <w:b/>
          <w:bCs/>
        </w:rPr>
        <w:t>Das ist ein Vorschlag, keine geltende Regel.</w:t>
      </w:r>
      <w:r>
        <w:t xml:space="preserve"> Bis zu einer endgültigen Fassung gilt die 60-Tage-Frist.</w:t>
      </w:r>
    </w:p>
    <w:p w14:paraId="77AD1CEC" w14:textId="77777777" w:rsidR="001F7233" w:rsidRDefault="00000000">
      <w:pPr>
        <w:spacing w:after="140"/>
      </w:pPr>
      <w:r>
        <w:t xml:space="preserve">Am 18. September 2026 hat der Präsident zudem eine Executive Order (Anordnung an die Bundesbehörden) zum H-1B-Programm erlassen: Behörden sollen bei LCA, Petition, Visum und Einreise berücksichtigen, ob der sponsernde Arbeitgeber in den letzten zwölf Monaten ähnlich qualifizierte US-Beschäftigte entlassen hat oder plant. Wie das umgesetzt wird, ist offen; frage neue Arbeitgeber deshalb nach Stellenabbau im letzten Jahr. Beides prüfst du auf </w:t>
      </w:r>
      <w:hyperlink r:id="rId421">
        <w:r w:rsidR="001F7233">
          <w:rPr>
            <w:color w:val="0563C1"/>
            <w:u w:val="single"/>
          </w:rPr>
          <w:t>federalregister.gov</w:t>
        </w:r>
      </w:hyperlink>
      <w:r>
        <w:t xml:space="preserve"> und </w:t>
      </w:r>
      <w:hyperlink r:id="rId422">
        <w:r w:rsidR="001F7233">
          <w:rPr>
            <w:color w:val="0563C1"/>
            <w:u w:val="single"/>
          </w:rPr>
          <w:t>whitehouse.gov/presidential-actions</w:t>
        </w:r>
      </w:hyperlink>
      <w:r>
        <w:t>.</w:t>
      </w:r>
    </w:p>
    <w:p w14:paraId="473B8D75" w14:textId="77777777" w:rsidR="001F7233" w:rsidRDefault="00000000">
      <w:pPr>
        <w:spacing w:after="140"/>
      </w:pPr>
      <w:r>
        <w:t>Innerhalb der Frist hast du vier Optionen:</w:t>
      </w:r>
    </w:p>
    <w:p w14:paraId="52AEA7EE" w14:textId="77777777" w:rsidR="001F7233" w:rsidRDefault="00000000">
      <w:pPr>
        <w:pStyle w:val="ListParagraph"/>
        <w:numPr>
          <w:ilvl w:val="0"/>
          <w:numId w:val="30"/>
        </w:numPr>
        <w:spacing w:after="60"/>
      </w:pPr>
      <w:r>
        <w:rPr>
          <w:b/>
          <w:bCs/>
        </w:rPr>
        <w:lastRenderedPageBreak/>
        <w:t>Neuer Arbeitgeber: Er reicht einen Transfer ein, du arbeitest ab Eingang. Der übliche Weg; Premium Processing ist bei knapper Zeit sinnvoll.</w:t>
      </w:r>
    </w:p>
    <w:p w14:paraId="116D3AEB" w14:textId="77777777" w:rsidR="001F7233" w:rsidRDefault="00000000">
      <w:pPr>
        <w:pStyle w:val="ListParagraph"/>
        <w:numPr>
          <w:ilvl w:val="0"/>
          <w:numId w:val="2"/>
        </w:numPr>
        <w:spacing w:after="60"/>
      </w:pPr>
      <w:r>
        <w:rPr>
          <w:b/>
          <w:bCs/>
        </w:rPr>
        <w:t>Statuswechsel: Antrag auf eine andere Kategorie, etwa F-1 (Studium). Muss vor Ablauf eingehen, kostet Gebühren und gehört in die Hände einer Anwältin.</w:t>
      </w:r>
    </w:p>
    <w:p w14:paraId="2679FA9A" w14:textId="77777777" w:rsidR="001F7233" w:rsidRDefault="00000000">
      <w:pPr>
        <w:pStyle w:val="ListParagraph"/>
        <w:numPr>
          <w:ilvl w:val="0"/>
          <w:numId w:val="2"/>
        </w:numPr>
        <w:spacing w:after="60"/>
      </w:pPr>
      <w:r>
        <w:rPr>
          <w:b/>
          <w:bCs/>
        </w:rPr>
        <w:t>Green-Card-Weg:</w:t>
      </w:r>
      <w:r>
        <w:t xml:space="preserve"> Ist die I-485 schon eingereicht, prüft die Anwältin, ob Arbeitserlaubnis (EAD) oder AC21 dich weiterträgt.</w:t>
      </w:r>
    </w:p>
    <w:p w14:paraId="308FA663" w14:textId="77777777" w:rsidR="001F7233" w:rsidRDefault="00000000">
      <w:pPr>
        <w:pStyle w:val="ListParagraph"/>
        <w:numPr>
          <w:ilvl w:val="0"/>
          <w:numId w:val="2"/>
        </w:numPr>
        <w:spacing w:after="60"/>
      </w:pPr>
      <w:r>
        <w:rPr>
          <w:b/>
          <w:bCs/>
        </w:rPr>
        <w:t>Ausreise:</w:t>
      </w:r>
      <w:r>
        <w:t xml:space="preserve"> Der sauberste Weg ohne Statusproblem; ein späterer Neuanlauf mit neuer Petition bleibt möglich (Kapitel </w:t>
      </w:r>
      <w:hyperlink w:anchor="k42">
        <w:r w:rsidR="001F7233">
          <w:t>42</w:t>
        </w:r>
      </w:hyperlink>
      <w:r>
        <w:t>).</w:t>
      </w:r>
    </w:p>
    <w:p w14:paraId="11EEDF89" w14:textId="77777777" w:rsidR="001F7233" w:rsidRDefault="001F7233">
      <w:pPr>
        <w:spacing w:line="120" w:lineRule="exact"/>
      </w:pPr>
    </w:p>
    <w:p w14:paraId="14024D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Notfallplan: Tag 1 bis 60</w:t>
      </w:r>
    </w:p>
    <w:p w14:paraId="376DCDCA" w14:textId="77777777" w:rsidR="001F7233" w:rsidRDefault="00000000">
      <w:r>
        <w:rPr>
          <w:b/>
        </w:rPr>
        <w:t>Tag 0</w:t>
      </w:r>
    </w:p>
    <w:p w14:paraId="0A7C8EB6" w14:textId="77777777" w:rsidR="001F7233" w:rsidRDefault="00000000">
      <w:r>
        <w:rPr>
          <w:b/>
        </w:rPr>
        <w:t xml:space="preserve">Was du tust: </w:t>
      </w:r>
      <w:r>
        <w:t>Nichts sofort unterschreiben. Letzten Arbeitstag, Freistellung, Abfindung und Ende der Krankenversicherung schriftlich erfragen.</w:t>
      </w:r>
    </w:p>
    <w:p w14:paraId="677B84CD" w14:textId="77777777" w:rsidR="001F7233" w:rsidRDefault="00000000">
      <w:r>
        <w:rPr>
          <w:b/>
        </w:rPr>
        <w:t xml:space="preserve">Warum: </w:t>
      </w:r>
      <w:r>
        <w:t>Das Beschäftigungsende bestimmt deine Frist</w:t>
      </w:r>
    </w:p>
    <w:p w14:paraId="08A29E84" w14:textId="77777777" w:rsidR="001F7233" w:rsidRDefault="00000000">
      <w:r>
        <w:rPr>
          <w:b/>
        </w:rPr>
        <w:t>Tag 0–2</w:t>
      </w:r>
    </w:p>
    <w:p w14:paraId="61A7F2F6" w14:textId="77777777" w:rsidR="001F7233" w:rsidRDefault="00000000">
      <w:r>
        <w:rPr>
          <w:b/>
        </w:rPr>
        <w:t xml:space="preserve">Was du tust: </w:t>
      </w:r>
      <w:r>
        <w:t>Unterlagen sichern: Pass, I-94, alle I-797, Gehaltsabrechnungen, W-2, Arbeitsvertrag. Einwanderungsanwalt anrufen.</w:t>
      </w:r>
    </w:p>
    <w:p w14:paraId="0320AC60" w14:textId="77777777" w:rsidR="001F7233" w:rsidRDefault="00000000">
      <w:r>
        <w:rPr>
          <w:b/>
        </w:rPr>
        <w:t xml:space="preserve">Warum: </w:t>
      </w:r>
      <w:r>
        <w:t>Ohne Nachweise kein Antrag</w:t>
      </w:r>
    </w:p>
    <w:p w14:paraId="17818CA9" w14:textId="77777777" w:rsidR="001F7233" w:rsidRDefault="00000000">
      <w:r>
        <w:rPr>
          <w:b/>
        </w:rPr>
        <w:t>Tag 1</w:t>
      </w:r>
    </w:p>
    <w:p w14:paraId="5FFDE232" w14:textId="77777777" w:rsidR="001F7233" w:rsidRDefault="00000000">
      <w:r>
        <w:rPr>
          <w:b/>
        </w:rPr>
        <w:t xml:space="preserve">Was du tust: </w:t>
      </w:r>
      <w:r>
        <w:t>Fristende ausrechnen: letzter Arbeitstag plus 60 Tage, oder Ablauf des I-94, wenn früher.</w:t>
      </w:r>
    </w:p>
    <w:p w14:paraId="29DB8EDA" w14:textId="77777777" w:rsidR="001F7233" w:rsidRDefault="00000000">
      <w:r>
        <w:rPr>
          <w:b/>
        </w:rPr>
        <w:t xml:space="preserve">Warum: </w:t>
      </w:r>
      <w:r>
        <w:t>Das Kürzere gilt</w:t>
      </w:r>
    </w:p>
    <w:p w14:paraId="6704103E" w14:textId="77777777" w:rsidR="001F7233" w:rsidRDefault="00000000">
      <w:r>
        <w:rPr>
          <w:b/>
        </w:rPr>
        <w:t>Tag 1–7</w:t>
      </w:r>
    </w:p>
    <w:p w14:paraId="21F00C91" w14:textId="77777777" w:rsidR="001F7233" w:rsidRDefault="00000000">
      <w:r>
        <w:rPr>
          <w:b/>
        </w:rPr>
        <w:t xml:space="preserve">Was du tust: </w:t>
      </w:r>
      <w:r>
        <w:t>Netzwerk, Recruiter, LinkedIn: „H-1B-Transfer nötig“ gleich nennen.</w:t>
      </w:r>
    </w:p>
    <w:p w14:paraId="111EDBB0" w14:textId="77777777" w:rsidR="001F7233" w:rsidRDefault="00000000">
      <w:r>
        <w:rPr>
          <w:b/>
        </w:rPr>
        <w:t xml:space="preserve">Warum: </w:t>
      </w:r>
      <w:r>
        <w:t>Nicht jeder Arbeitgeber sponsert</w:t>
      </w:r>
    </w:p>
    <w:p w14:paraId="67DEAD93" w14:textId="77777777" w:rsidR="001F7233" w:rsidRDefault="00000000">
      <w:r>
        <w:rPr>
          <w:b/>
        </w:rPr>
        <w:t>Tag 1–14</w:t>
      </w:r>
    </w:p>
    <w:p w14:paraId="64B5DAE8" w14:textId="77777777" w:rsidR="001F7233" w:rsidRDefault="00000000">
      <w:r>
        <w:rPr>
          <w:b/>
        </w:rPr>
        <w:lastRenderedPageBreak/>
        <w:t xml:space="preserve">Was du tust: </w:t>
      </w:r>
      <w:r>
        <w:t>Krankenversicherung klären: COBRA, Marktplatz, Plan des Partners.</w:t>
      </w:r>
    </w:p>
    <w:p w14:paraId="2F9BF5CF" w14:textId="77777777" w:rsidR="001F7233" w:rsidRDefault="00000000">
      <w:r>
        <w:rPr>
          <w:b/>
        </w:rPr>
        <w:t xml:space="preserve">Warum: </w:t>
      </w:r>
      <w:r>
        <w:t>Wahlfristen laufen mit</w:t>
      </w:r>
    </w:p>
    <w:p w14:paraId="0D31E5E3" w14:textId="77777777" w:rsidR="001F7233" w:rsidRDefault="00000000">
      <w:r>
        <w:rPr>
          <w:b/>
        </w:rPr>
        <w:t>Tag 14–40</w:t>
      </w:r>
    </w:p>
    <w:p w14:paraId="4E4CE737" w14:textId="77777777" w:rsidR="001F7233" w:rsidRDefault="00000000">
      <w:r>
        <w:rPr>
          <w:b/>
        </w:rPr>
        <w:t>Was du tust: Angebot annehmen, Transfer sofort einreichen lassen. An Premium Processing darfst du dich beteiligen.</w:t>
      </w:r>
    </w:p>
    <w:p w14:paraId="774F1A32" w14:textId="77777777" w:rsidR="001F7233" w:rsidRDefault="00000000">
      <w:r>
        <w:rPr>
          <w:b/>
        </w:rPr>
        <w:t xml:space="preserve">Warum: </w:t>
      </w:r>
      <w:r>
        <w:t>Arbeit ab Einreichung</w:t>
      </w:r>
    </w:p>
    <w:p w14:paraId="30ACDB9D" w14:textId="77777777" w:rsidR="001F7233" w:rsidRDefault="00000000">
      <w:r>
        <w:rPr>
          <w:b/>
        </w:rPr>
        <w:t>Tag 30</w:t>
      </w:r>
    </w:p>
    <w:p w14:paraId="7271DBCA" w14:textId="77777777" w:rsidR="001F7233" w:rsidRDefault="00000000">
      <w:r>
        <w:rPr>
          <w:b/>
        </w:rPr>
        <w:t xml:space="preserve">Was du tust: </w:t>
      </w:r>
      <w:r>
        <w:t>Ohne Angebot Plan B festlegen: Statuswechsel oder Ausreise vorbereiten.</w:t>
      </w:r>
    </w:p>
    <w:p w14:paraId="1509D8B6" w14:textId="77777777" w:rsidR="001F7233" w:rsidRDefault="00000000">
      <w:r>
        <w:rPr>
          <w:b/>
        </w:rPr>
        <w:t xml:space="preserve">Warum: </w:t>
      </w:r>
      <w:r>
        <w:t>Ausreise braucht Vorlauf</w:t>
      </w:r>
    </w:p>
    <w:p w14:paraId="35CB6934" w14:textId="77777777" w:rsidR="001F7233" w:rsidRDefault="00000000">
      <w:r>
        <w:rPr>
          <w:b/>
        </w:rPr>
        <w:t>Tag 45–55</w:t>
      </w:r>
    </w:p>
    <w:p w14:paraId="578FB460" w14:textId="77777777" w:rsidR="001F7233" w:rsidRDefault="00000000">
      <w:r>
        <w:rPr>
          <w:b/>
        </w:rPr>
        <w:t xml:space="preserve">Was du tust: </w:t>
      </w:r>
      <w:r>
        <w:t>Letzte Einreichung von Petition oder Statuswechsel-Antrag, mit Puffer.</w:t>
      </w:r>
    </w:p>
    <w:p w14:paraId="3F07A177" w14:textId="77777777" w:rsidR="001F7233" w:rsidRDefault="00000000">
      <w:r>
        <w:rPr>
          <w:b/>
        </w:rPr>
        <w:t xml:space="preserve">Warum: </w:t>
      </w:r>
      <w:r>
        <w:t>Post und Fehler brauchen Reserve</w:t>
      </w:r>
    </w:p>
    <w:p w14:paraId="22CA1CDC" w14:textId="77777777" w:rsidR="001F7233" w:rsidRDefault="00000000">
      <w:r>
        <w:rPr>
          <w:b/>
        </w:rPr>
        <w:t>Vor Tag 60</w:t>
      </w:r>
    </w:p>
    <w:p w14:paraId="3EC1FA77" w14:textId="77777777" w:rsidR="001F7233" w:rsidRDefault="00000000">
      <w:r>
        <w:rPr>
          <w:b/>
        </w:rPr>
        <w:t xml:space="preserve">Was du tust: </w:t>
      </w:r>
      <w:r>
        <w:t>Ohne laufenden Antrag ausreisen.</w:t>
      </w:r>
    </w:p>
    <w:p w14:paraId="32B27934" w14:textId="77777777" w:rsidR="001F7233" w:rsidRDefault="00000000">
      <w:r>
        <w:rPr>
          <w:b/>
        </w:rPr>
        <w:t xml:space="preserve">Warum: </w:t>
      </w:r>
      <w:r>
        <w:t>Danach bist du ohne Status</w:t>
      </w:r>
    </w:p>
    <w:p w14:paraId="03E08ECB" w14:textId="77777777" w:rsidR="001F7233" w:rsidRDefault="001F7233">
      <w:pPr>
        <w:spacing w:line="180" w:lineRule="exact"/>
      </w:pPr>
    </w:p>
    <w:p w14:paraId="58D2BF7C" w14:textId="77777777" w:rsidR="001F7233" w:rsidRDefault="00000000">
      <w:r>
        <w:t>• Das ist keine Rechtsberatung. Fristen und Optionen bewertet im Einzelfall eine Einwanderungsanwältin, am besten noch am Tag der Kündigung.</w:t>
      </w:r>
    </w:p>
    <w:p w14:paraId="2808EBAA" w14:textId="77777777" w:rsidR="001F7233" w:rsidRDefault="001F7233">
      <w:pPr>
        <w:spacing w:line="220" w:lineRule="exact"/>
      </w:pPr>
    </w:p>
    <w:p w14:paraId="794596A5" w14:textId="77777777" w:rsidR="001F7233" w:rsidRDefault="001F7233">
      <w:pPr>
        <w:spacing w:line="220" w:lineRule="exact"/>
      </w:pPr>
    </w:p>
    <w:p w14:paraId="7DB139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Abfindung, WARN Act, Krankenversicherung und Arbeitslosengeld</w:t>
      </w:r>
    </w:p>
    <w:p w14:paraId="12F772DD" w14:textId="77777777" w:rsidR="001F7233" w:rsidRDefault="00000000">
      <w:pPr>
        <w:spacing w:after="140"/>
      </w:pPr>
      <w:r>
        <w:rPr>
          <w:b/>
          <w:bCs/>
        </w:rPr>
        <w:t>Abfindung.</w:t>
      </w:r>
      <w:r>
        <w:t xml:space="preserve"> Verbreiteter Irrtum: Wer aus Deutschland die Abfindung als festen Bestandteil einer Kündigung kennt, erwartet sie auch hier automatisch. Tatsächlich kennt das Bundesrecht keinen Anspruch auf Abfindung (</w:t>
      </w:r>
      <w:r>
        <w:rPr>
          <w:i/>
          <w:iCs/>
        </w:rPr>
        <w:t>Severance</w:t>
      </w:r>
      <w:r>
        <w:t>). Viele Firmen bieten sie trotzdem an, als reine Kulanz, meist gegen einen Verzicht auf Klagen (</w:t>
      </w:r>
      <w:r>
        <w:rPr>
          <w:i/>
          <w:iCs/>
        </w:rPr>
        <w:t xml:space="preserve">Separation </w:t>
      </w:r>
      <w:r>
        <w:rPr>
          <w:i/>
          <w:iCs/>
        </w:rPr>
        <w:lastRenderedPageBreak/>
        <w:t>Agreement</w:t>
      </w:r>
      <w:r>
        <w:t xml:space="preserve"> mit </w:t>
      </w:r>
      <w:r>
        <w:rPr>
          <w:i/>
          <w:iCs/>
        </w:rPr>
        <w:t>Release</w:t>
      </w:r>
      <w:r>
        <w:t>). Höhe und Form sind Verhandlungssache; lass den Vertrag vor der Unterschrift prüfen.</w:t>
      </w:r>
    </w:p>
    <w:p w14:paraId="39FE44E7" w14:textId="77777777" w:rsidR="001F7233" w:rsidRDefault="00000000">
      <w:r>
        <w:rPr>
          <w:b/>
        </w:rPr>
        <w:t xml:space="preserve">ACHTUNG: </w:t>
      </w:r>
    </w:p>
    <w:p w14:paraId="6AA629BB" w14:textId="77777777" w:rsidR="001F7233" w:rsidRDefault="00000000">
      <w:r>
        <w:t>• Eine Abfindung verlängert die 60 Tage nicht gesichert. USCIS nennt als Beginn typischerweise den letzten Gehaltstag. Kanzleien raten, ab dem letzten Arbeitstag zu zählen, weil eine Abfindung kein Arbeitsverhältnis ist. Bei bezahlter Freistellung (Garden Leave), in der du formal angestellt bleibst, kann die Bewertung anders ausfallen; das klärt der Anwalt. Lass dir das Beschäftigungsende schriftlich nennen.</w:t>
      </w:r>
    </w:p>
    <w:p w14:paraId="039BE6A5" w14:textId="77777777" w:rsidR="001F7233" w:rsidRDefault="001F7233">
      <w:pPr>
        <w:spacing w:line="220" w:lineRule="exact"/>
      </w:pPr>
    </w:p>
    <w:p w14:paraId="0EEBF726" w14:textId="77777777" w:rsidR="001F7233" w:rsidRDefault="00000000">
      <w:pPr>
        <w:spacing w:after="140"/>
      </w:pPr>
      <w:r>
        <w:rPr>
          <w:b/>
          <w:bCs/>
        </w:rPr>
        <w:t>COBRA.</w:t>
      </w:r>
      <w:r>
        <w:t xml:space="preserve"> Das Gesetz </w:t>
      </w:r>
      <w:r>
        <w:rPr>
          <w:i/>
          <w:iCs/>
        </w:rPr>
        <w:t>COBRA</w:t>
      </w:r>
      <w:r>
        <w:t xml:space="preserve"> setzt deine Gruppenkrankenversicherung fort, wenn dein Arbeitgeber mindestens 20 Beschäftigte hatte. Du zahlst bis zu 102 % der Gesamtprämie (Arbeitgeberanteil, eigener Anteil, 2 % Aufschlag), als Rechenwert aus dem Durchschnitt 2025 rund 790 $ im Monat für eine Person und rund 2.290 $ für eine Familie. Die Deckung läuft üblicherweise 18 Monate. Du hast 60 Tage zur Wahl und danach 45 Tage bis zur ersten Zahlung; die Deckung gilt dann rückwirkend ab dem Verlust. Verschleppen solltest du die Wahl trotzdem nicht. Alternativen sind das Sonderfenster im Marktplatz (60 Tage nach Verlust der Arbeitgeberdeckung) oder der Plan des Partners. Ab 2027 erhalten H-1B-Inhaber am Marktplatz keine Zuschüsse mehr, dürfen aber zum Vollpreis kaufen (Kapitel </w:t>
      </w:r>
      <w:hyperlink w:anchor="k26">
        <w:r w:rsidR="001F7233">
          <w:t>26</w:t>
        </w:r>
      </w:hyperlink>
      <w:r>
        <w:t>).</w:t>
      </w:r>
    </w:p>
    <w:p w14:paraId="0D7530EB" w14:textId="77777777" w:rsidR="001F7233" w:rsidRDefault="00000000">
      <w:r>
        <w:rPr>
          <w:b/>
        </w:rPr>
        <w:t xml:space="preserve">SPARTIPP: </w:t>
      </w:r>
    </w:p>
    <w:p w14:paraId="63E25F1E" w14:textId="77777777" w:rsidR="001F7233" w:rsidRDefault="00000000">
      <w:r>
        <w:t>• Verhandle beim Wechsel „Deckung ab Tag 1“ oder einen Starttermin zum Monatsersten. Neue Arbeitgeberpläne dürfen bis zu 90 Tage warten. Wo es eine Wartefrist gibt, sind es im Schnitt 1,8 Monate. Jeder Überbrückungsmonat per COBRA kostet rechnerisch rund 790 $.</w:t>
      </w:r>
    </w:p>
    <w:p w14:paraId="7E67E121" w14:textId="77777777" w:rsidR="001F7233" w:rsidRDefault="001F7233">
      <w:pPr>
        <w:spacing w:line="220" w:lineRule="exact"/>
      </w:pPr>
    </w:p>
    <w:p w14:paraId="7234AA05" w14:textId="77777777" w:rsidR="001F7233" w:rsidRDefault="00000000">
      <w:pPr>
        <w:spacing w:after="140"/>
      </w:pPr>
      <w:r>
        <w:t xml:space="preserve">Arbeitslosengeld. Die Arbeitslosenversicherung ist Sache der Bundesstaaten. Bundesrecht verlangt, dass Beschäftigte ohne US-Staatsbürgerschaft für die Beschäftigung rechtmäßig anwesend und </w:t>
      </w:r>
      <w:r>
        <w:lastRenderedPageBreak/>
        <w:t>ermächtigt waren (26 U.S.C. § 3304(a)(14)); alles Weitere, etwa Verfügbarkeit und Arbeitsbereitschaft, regeln die Staaten, weil H-1B-Inhaber ohne neue Petition nicht arbeiten dürfen, wird ein Anspruch in der Praxis uneinheitlich beurteilt. Plane deshalb nicht damit. Ob ein Antrag sinnvoll ist, klärst du mit dem Anwalt und der Landesbehörde (in Washington das Employment Security Department, esd.wa.gov).</w:t>
      </w:r>
    </w:p>
    <w:p w14:paraId="696B658B" w14:textId="77777777" w:rsidR="001F7233" w:rsidRDefault="00000000">
      <w:pPr>
        <w:spacing w:after="140"/>
      </w:pPr>
      <w:r>
        <w:rPr>
          <w:b/>
          <w:bCs/>
        </w:rPr>
        <w:t>Pflichten des bisherigen Arbeitgebers. Er muss USCIS das Ende der Beschäftigung sofort melden (die Petition erlischt damit, das ist Routine). Bei einer Entlassung vor Ablauf des genehmigten Zeitraums muss er außerdem die angemessenen Kosten der Rückreise ins Ausland zahlen (8 CFR 214.2(h)(4)(iii)(E)) und den Lohn zahlen, bis die Beschäftigung ordnungsgemäß beendet ist. Dazu gehören nach Kanzleiwissen die Meldung und das Angebot der Rückreisekosten. Verlange die Bestätigung der Meldung schriftlich.</w:t>
      </w:r>
    </w:p>
    <w:p w14:paraId="58237C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im Land: AR-11, Führerschein, Schule, Steuern</w:t>
      </w:r>
    </w:p>
    <w:p w14:paraId="64740537" w14:textId="77777777" w:rsidR="001F7233" w:rsidRDefault="00000000">
      <w:pPr>
        <w:spacing w:after="140"/>
      </w:pPr>
      <w:r>
        <w:t>Ob Wechsel, Versetzung oder eigener Wunsch: Wer in den USA umzieht, hat Fristen. Die wichtigste gilt bundesweit und wird oft vergessen: Nach der USCIS-Seite zum Formular AR-11 (Stand 3. Juni 2026) muss jede Person mit Aufenthalt in den USA jede Adressänderung binnen 10 Tagen melden. Das geht schneller, als die letzten Umzugskartons meist ausgepackt sind. Ausgenommen sind nur Inhaber von A- und G-Visa sowie Besucher im Visa-Waiver-Programm. Melde dich am besten online über dein USCIS-Konto. Papier per Post geht, aktualisiert das System aber langsamer. Läuft ein Antrag bei USCIS, etwa für die Green Card, teile die neue Adresse dafür ebenfalls sofort mit. Damit bescheide nicht an der alten Adresse landen. Die AR-11 ersetzt weder die Mitteilung an den Arbeitgeber noch die Ummeldung bei Führerscheinstelle und Schule.</w:t>
      </w:r>
    </w:p>
    <w:p w14:paraId="51F90A89" w14:textId="77777777" w:rsidR="001F7233" w:rsidRDefault="00000000">
      <w:r>
        <w:rPr>
          <w:b/>
        </w:rPr>
        <w:lastRenderedPageBreak/>
        <w:t>Führerschein und Kfz</w:t>
      </w:r>
    </w:p>
    <w:p w14:paraId="5A1617C3" w14:textId="77777777" w:rsidR="001F7233" w:rsidRDefault="00000000">
      <w:r>
        <w:rPr>
          <w:b/>
        </w:rPr>
        <w:t xml:space="preserve">Regel: </w:t>
      </w:r>
      <w:r>
        <w:t>Landesrecht, Fristen sehr unterschiedlich: Kalifornien 10, Washington 30, Texas 90 Tage</w:t>
      </w:r>
    </w:p>
    <w:p w14:paraId="1C9A868F" w14:textId="77777777" w:rsidR="001F7233" w:rsidRDefault="00000000">
      <w:r>
        <w:rPr>
          <w:b/>
        </w:rPr>
        <w:t xml:space="preserve">Mehr dazu: </w:t>
      </w:r>
      <w:hyperlink w:anchor="k27">
        <w:r w:rsidR="001F7233">
          <w:rPr>
            <w:rStyle w:val="Hyperlink"/>
          </w:rPr>
          <w:t>Kapitel 27</w:t>
        </w:r>
      </w:hyperlink>
    </w:p>
    <w:p w14:paraId="6F28D2F2" w14:textId="77777777" w:rsidR="001F7233" w:rsidRDefault="00000000">
      <w:r>
        <w:rPr>
          <w:b/>
        </w:rPr>
        <w:t>Schule</w:t>
      </w:r>
    </w:p>
    <w:p w14:paraId="0C317432" w14:textId="77777777" w:rsidR="001F7233" w:rsidRDefault="00000000">
      <w:r>
        <w:rPr>
          <w:b/>
        </w:rPr>
        <w:t xml:space="preserve">Regel: </w:t>
      </w:r>
      <w:r>
        <w:t>Anmeldung nach Wohnadresse im Schuldistrikt, auch unterjährig; Wohnsitznachweis, Impfnachweis und letztes Zeugnis bereithalten</w:t>
      </w:r>
    </w:p>
    <w:p w14:paraId="60435364" w14:textId="77777777" w:rsidR="001F7233" w:rsidRDefault="00000000">
      <w:r>
        <w:rPr>
          <w:b/>
        </w:rPr>
        <w:t xml:space="preserve">Mehr dazu: </w:t>
      </w:r>
      <w:hyperlink w:anchor="k36">
        <w:r w:rsidR="001F7233">
          <w:rPr>
            <w:rStyle w:val="Hyperlink"/>
          </w:rPr>
          <w:t>Kapitel 36</w:t>
        </w:r>
      </w:hyperlink>
    </w:p>
    <w:p w14:paraId="11E30A22" w14:textId="77777777" w:rsidR="001F7233" w:rsidRDefault="00000000">
      <w:r>
        <w:rPr>
          <w:b/>
        </w:rPr>
        <w:t>Steuern</w:t>
      </w:r>
    </w:p>
    <w:p w14:paraId="4E0875EB" w14:textId="77777777" w:rsidR="001F7233" w:rsidRDefault="00000000">
      <w:r>
        <w:rPr>
          <w:b/>
        </w:rPr>
        <w:t>Regel: Teiljahreserklärungen in beiden Staaten möglich; neuen Wohnort dem Arbeitgeber melden. Umzugskosten nicht abziehbar; Zuschüsse des Arbeitgebers sind steuerpflichtiger Lohn.</w:t>
      </w:r>
    </w:p>
    <w:p w14:paraId="35A0A1B9" w14:textId="77777777" w:rsidR="001F7233" w:rsidRDefault="00000000">
      <w:r>
        <w:rPr>
          <w:b/>
        </w:rPr>
        <w:t xml:space="preserve">Mehr dazu: </w:t>
      </w:r>
      <w:hyperlink w:anchor="k28">
        <w:r w:rsidR="001F7233">
          <w:rPr>
            <w:rStyle w:val="Hyperlink"/>
          </w:rPr>
          <w:t>Kapitel 28</w:t>
        </w:r>
      </w:hyperlink>
    </w:p>
    <w:p w14:paraId="6E68F884" w14:textId="77777777" w:rsidR="001F7233" w:rsidRDefault="00000000">
      <w:r>
        <w:rPr>
          <w:b/>
        </w:rPr>
        <w:t>Wohnung</w:t>
      </w:r>
    </w:p>
    <w:p w14:paraId="4C12D6A4" w14:textId="77777777" w:rsidR="001F7233" w:rsidRDefault="00000000">
      <w:r>
        <w:rPr>
          <w:b/>
        </w:rPr>
        <w:t xml:space="preserve">Regel: </w:t>
      </w:r>
      <w:r>
        <w:t>Mietverträge meist 12 Monate; vorzeitiger Auszug kostet typisch 1–2 Monatsmieten und die Kaution</w:t>
      </w:r>
    </w:p>
    <w:p w14:paraId="09C120A2" w14:textId="77777777" w:rsidR="001F7233" w:rsidRDefault="00000000">
      <w:r>
        <w:rPr>
          <w:b/>
        </w:rPr>
        <w:t xml:space="preserve">Mehr dazu: </w:t>
      </w:r>
      <w:hyperlink w:anchor="k13">
        <w:r w:rsidR="001F7233">
          <w:rPr>
            <w:rStyle w:val="Hyperlink"/>
          </w:rPr>
          <w:t>Kapitel 13</w:t>
        </w:r>
      </w:hyperlink>
    </w:p>
    <w:p w14:paraId="510D8C2A" w14:textId="77777777" w:rsidR="001F7233" w:rsidRDefault="00000000">
      <w:r>
        <w:rPr>
          <w:b/>
        </w:rPr>
        <w:t>Krankenversicherung</w:t>
      </w:r>
    </w:p>
    <w:p w14:paraId="0FC712A2" w14:textId="77777777" w:rsidR="001F7233" w:rsidRDefault="00000000">
      <w:r>
        <w:rPr>
          <w:b/>
        </w:rPr>
        <w:t xml:space="preserve">Regel: </w:t>
      </w:r>
      <w:r>
        <w:t>Netzwerk am neuen Ort prüfen; Ärzte und Krankenhäuser gelten regional</w:t>
      </w:r>
    </w:p>
    <w:p w14:paraId="63228F7D" w14:textId="77777777" w:rsidR="001F7233" w:rsidRDefault="00000000">
      <w:r>
        <w:rPr>
          <w:b/>
        </w:rPr>
        <w:t xml:space="preserve">Mehr dazu: </w:t>
      </w:r>
      <w:hyperlink w:anchor="k26">
        <w:r w:rsidR="001F7233">
          <w:rPr>
            <w:rStyle w:val="Hyperlink"/>
          </w:rPr>
          <w:t>Kapitel 26</w:t>
        </w:r>
      </w:hyperlink>
    </w:p>
    <w:p w14:paraId="3FE7A8EB" w14:textId="77777777" w:rsidR="001F7233" w:rsidRDefault="001F7233">
      <w:pPr>
        <w:spacing w:line="180" w:lineRule="exact"/>
      </w:pPr>
    </w:p>
    <w:p w14:paraId="354818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Rücklage: mindestens sechs Monate</w:t>
      </w:r>
    </w:p>
    <w:p w14:paraId="29E21F74" w14:textId="77777777" w:rsidR="001F7233" w:rsidRDefault="00000000">
      <w:pPr>
        <w:spacing w:after="140"/>
      </w:pPr>
      <w:r>
        <w:t>In den USA hängen Einkommen, Krankenversicherung und Aufenthaltsstatus oft am selben Arbeitgeber; das verlangt Puffer. Wer schon einmal nachts wachlag, weil die Krankenversicherung der Familie an einem einzigen Kündigungsdatum hängt, weiß, warum diese Zahl kein Luxus ist. Die Faustregel: sechs Monate Fixkosten, bei Familie oder Hypothek mehr (Notgroschen: Kapitel </w:t>
      </w:r>
      <w:hyperlink w:anchor="k25">
        <w:r w:rsidR="001F7233">
          <w:t>25</w:t>
        </w:r>
      </w:hyperlink>
      <w:r>
        <w:t xml:space="preserve">). </w:t>
      </w:r>
      <w:r>
        <w:lastRenderedPageBreak/>
        <w:t>Rechenbeispiel für eine Person in Seattle: Miete im Durchschnitt 2.253 $ (RentCafe, August 2026), Nebenkosten 150–300 $, COBRA rund 790 $, Lebensmittel, Handy, Nahverkehr und Versicherungen nach grober Schätzung 1.000–1.500 $. Das macht rund 4.200–4.850 $ im Monat, für sechs Monate also etwa 25.000–29.000 $. Hinzu kommen Sonderposten, falls du ausreisen musst: Flug, Umzug oder Einlagerung und beim vorzeitigen Auszug 1–2 Monatsmieten (Kapitel </w:t>
      </w:r>
      <w:hyperlink w:anchor="k13">
        <w:r w:rsidR="001F7233">
          <w:t>13</w:t>
        </w:r>
      </w:hyperlink>
      <w:r>
        <w:t xml:space="preserve"> und </w:t>
      </w:r>
      <w:hyperlink w:anchor="k20">
        <w:r w:rsidR="001F7233">
          <w:t>20</w:t>
        </w:r>
      </w:hyperlink>
      <w:r>
        <w:t>).</w:t>
      </w:r>
    </w:p>
    <w:p w14:paraId="62DD7D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Jobwechsel, Kündigung und Umzug im Land: Was dein Status erlaubt</w:t>
      </w:r>
    </w:p>
    <w:p w14:paraId="661B17D4" w14:textId="77777777" w:rsidR="001F7233" w:rsidRDefault="00000000">
      <w:r>
        <w:rPr>
          <w:b/>
        </w:rPr>
        <w:t>Plus: Wechsel im Inland ohne Lotterie und ohne 100.000-$-Zahlung (Datenstand September 2026; geprüft im Oktober 2026)</w:t>
      </w:r>
    </w:p>
    <w:p w14:paraId="386E0B77" w14:textId="77777777" w:rsidR="001F7233" w:rsidRDefault="00000000">
      <w:r>
        <w:rPr>
          <w:b/>
        </w:rPr>
        <w:t xml:space="preserve">Minus: </w:t>
      </w:r>
      <w:r>
        <w:t>Jeder Wechsel braucht einen Antrag; ohne Eingang bei USCIS darfst du nicht anfangen</w:t>
      </w:r>
    </w:p>
    <w:p w14:paraId="70BA99D6" w14:textId="77777777" w:rsidR="001F7233" w:rsidRDefault="00000000">
      <w:r>
        <w:rPr>
          <w:b/>
        </w:rPr>
        <w:t>Plus: Arbeit beim neuen Arbeitgeber ab Einreichung, ohne Entscheidung abzuwarten</w:t>
      </w:r>
    </w:p>
    <w:p w14:paraId="41AC9D21" w14:textId="77777777" w:rsidR="001F7233" w:rsidRDefault="00000000">
      <w:r>
        <w:rPr>
          <w:b/>
        </w:rPr>
        <w:t xml:space="preserve">Minus: </w:t>
      </w:r>
      <w:r>
        <w:t>Eine Ablehnung beendet die Arbeitserlaubnis beim neuen Arbeitgeber</w:t>
      </w:r>
    </w:p>
    <w:p w14:paraId="1614D488" w14:textId="77777777" w:rsidR="001F7233" w:rsidRDefault="00000000">
      <w:r>
        <w:rPr>
          <w:b/>
        </w:rPr>
        <w:t>Plus: Der Arbeitgeber trägt die Gebühren; ACWIA und Anwaltskosten sind nicht abziehbar</w:t>
      </w:r>
    </w:p>
    <w:p w14:paraId="382A1B35" w14:textId="77777777" w:rsidR="001F7233" w:rsidRDefault="00000000">
      <w:r>
        <w:rPr>
          <w:b/>
        </w:rPr>
        <w:t xml:space="preserve">Minus: </w:t>
      </w:r>
      <w:r>
        <w:t>Anderes Beschäftigungsgebiet oder wesentlich andere Stelle: neue LCA und geänderte Petition</w:t>
      </w:r>
    </w:p>
    <w:p w14:paraId="426283C4" w14:textId="77777777" w:rsidR="001F7233" w:rsidRDefault="00000000">
      <w:r>
        <w:rPr>
          <w:b/>
        </w:rPr>
        <w:t>Plus: AC21 macht das Green-Card-Verfahren nach 180 Tagen übertragbar</w:t>
      </w:r>
    </w:p>
    <w:p w14:paraId="5865C2EE" w14:textId="77777777" w:rsidR="001F7233" w:rsidRDefault="00000000">
      <w:r>
        <w:rPr>
          <w:b/>
        </w:rPr>
        <w:t xml:space="preserve">Minus: </w:t>
      </w:r>
      <w:r>
        <w:t>Ein Wechsel vor I-140-Genehmigung oder I-485-Einreichung kann das Verfahren zurückwerfen</w:t>
      </w:r>
    </w:p>
    <w:p w14:paraId="52F3FE4D" w14:textId="77777777" w:rsidR="001F7233" w:rsidRDefault="00000000">
      <w:r>
        <w:rPr>
          <w:b/>
        </w:rPr>
        <w:t>Plus: Derzeit bis zu 60 Tage Frist nach Jobverlust</w:t>
      </w:r>
    </w:p>
    <w:p w14:paraId="756FA1A4" w14:textId="77777777" w:rsidR="001F7233" w:rsidRDefault="00000000">
      <w:r>
        <w:rPr>
          <w:b/>
        </w:rPr>
        <w:t xml:space="preserve">Minus: </w:t>
      </w:r>
      <w:r>
        <w:t>Kein Anspruch auf Arbeit oder Arbeitslosengeld; DHS will die Frist streichen</w:t>
      </w:r>
    </w:p>
    <w:p w14:paraId="56991054" w14:textId="77777777" w:rsidR="001F7233" w:rsidRDefault="00000000">
      <w:r>
        <w:rPr>
          <w:b/>
        </w:rPr>
        <w:lastRenderedPageBreak/>
        <w:t>Plus: Flexibler Arbeitsmarkt, kurze Kündigungsfristen, Gehaltssprünge beim Wechsel</w:t>
      </w:r>
    </w:p>
    <w:p w14:paraId="49145B2E" w14:textId="77777777" w:rsidR="001F7233" w:rsidRDefault="00000000">
      <w:r>
        <w:rPr>
          <w:b/>
        </w:rPr>
        <w:t xml:space="preserve">Minus: </w:t>
      </w:r>
      <w:r>
        <w:t>Krankenversicherung hängt am Job: Wartefristen bis 90 Tage, COBRA rund 790 $ pro Monat</w:t>
      </w:r>
    </w:p>
    <w:p w14:paraId="2CFAC66F" w14:textId="77777777" w:rsidR="001F7233" w:rsidRDefault="001F7233">
      <w:pPr>
        <w:spacing w:line="180" w:lineRule="exact"/>
      </w:pPr>
    </w:p>
    <w:p w14:paraId="2B9B5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192BDF9" w14:textId="77777777" w:rsidR="001F7233" w:rsidRDefault="00000000">
      <w:pPr>
        <w:spacing w:after="140"/>
      </w:pPr>
      <w:r>
        <w:t>Hast du heute einen sicheren Job, nutze die Ruhe: Lege die Unterlagenmappe an, notiere die Ablaufdaten von I-94 und Petition, suche einen Einwanderungsanwalt für den Ernstfall und baue die Rücklage auf. Steht ein Wechsel an, lass zuerst den Transfer einreichen und kündige danach.</w:t>
      </w:r>
    </w:p>
    <w:p w14:paraId="758EA417" w14:textId="77777777" w:rsidR="001F7233" w:rsidRDefault="00000000">
      <w:r>
        <w:t>• Unterlagenmappe anlegen: Pass, I-94, alle I-797, letzte Gehaltsabrechnungen, W-2, Offer Letter, digital gesichert.</w:t>
      </w:r>
    </w:p>
    <w:p w14:paraId="7C39EDC1" w14:textId="77777777" w:rsidR="001F7233" w:rsidRDefault="00000000">
      <w:r>
        <w:t>• Ablaufdatum des I-94 und der Petition notieren.</w:t>
      </w:r>
    </w:p>
    <w:p w14:paraId="556303F7" w14:textId="77777777" w:rsidR="001F7233" w:rsidRDefault="00000000">
      <w:r>
        <w:t>• Einen eigenen Einwanderungsanwalt suchen, nicht nur die Kanzlei des Arbeitgebers, und die Kontaktdaten speichern.</w:t>
      </w:r>
    </w:p>
    <w:p w14:paraId="529C0880" w14:textId="77777777" w:rsidR="001F7233" w:rsidRDefault="00000000">
      <w:r>
        <w:t>• Rücklage von sechs Monaten Fixkosten aufbauen.</w:t>
      </w:r>
    </w:p>
    <w:p w14:paraId="46FEF44F" w14:textId="77777777" w:rsidR="001F7233" w:rsidRDefault="00000000">
      <w:r>
        <w:t>• Erst kündigen, wenn die Petition des neuen Arbeitgebers bei USCIS eingegangen ist.</w:t>
      </w:r>
    </w:p>
    <w:p w14:paraId="3DEF646C" w14:textId="77777777" w:rsidR="001F7233" w:rsidRDefault="00000000">
      <w:r>
        <w:t>• Vor Umzug oder Versetzung HR fragen, ob eine neue LCA oder geänderte Petition nötig ist.</w:t>
      </w:r>
    </w:p>
    <w:p w14:paraId="23EC6864" w14:textId="77777777" w:rsidR="001F7233" w:rsidRDefault="00000000">
      <w:r>
        <w:t>• Stand von Priority Date, I-140 und I-485 kennen, bevor du wechselst.</w:t>
      </w:r>
    </w:p>
    <w:p w14:paraId="3F6D800C" w14:textId="77777777" w:rsidR="001F7233" w:rsidRDefault="00000000">
      <w:r>
        <w:t>• Nach jedem Umzug binnen 10 Tagen die AR-11 online einreichen.</w:t>
      </w:r>
    </w:p>
    <w:p w14:paraId="66D61D48" w14:textId="77777777" w:rsidR="001F7233" w:rsidRDefault="00000000">
      <w:r>
        <w:t>• Bei Jobverlust: 60 Tage ab letztem Arbeitstag zählen, COBRA-Fristen (60 und 45 Tage) notieren.</w:t>
      </w:r>
    </w:p>
    <w:p w14:paraId="3F2E3397" w14:textId="77777777" w:rsidR="001F7233" w:rsidRDefault="00000000">
      <w:r>
        <w:t>• Den DHS-Vorschlag zur 60-Tage-Frist (Kommentare bis 10. November 2026) beobachten.</w:t>
      </w:r>
    </w:p>
    <w:p w14:paraId="6A7DF8ED" w14:textId="77777777" w:rsidR="001F7233" w:rsidRDefault="001F7233">
      <w:pPr>
        <w:spacing w:line="220" w:lineRule="exact"/>
      </w:pPr>
    </w:p>
    <w:p w14:paraId="7DC38A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51A3E66C" w14:textId="77777777" w:rsidR="001F7233" w:rsidRDefault="00000000">
      <w:pPr>
        <w:pStyle w:val="ListParagraph"/>
        <w:numPr>
          <w:ilvl w:val="0"/>
          <w:numId w:val="1"/>
        </w:numPr>
        <w:spacing w:after="60"/>
      </w:pPr>
      <w:r>
        <w:t xml:space="preserve">USCIS – H-1B (Portabilität, Fristen nach Beschäftigungsende): </w:t>
      </w:r>
      <w:hyperlink r:id="rId423">
        <w:r w:rsidR="001F7233">
          <w:rPr>
            <w:color w:val="0563C1"/>
            <w:u w:val="single"/>
          </w:rPr>
          <w:t>uscis.gov/working-in-the-united-states/h-1b-specialty-occupations</w:t>
        </w:r>
      </w:hyperlink>
    </w:p>
    <w:p w14:paraId="17CBAC5B" w14:textId="77777777" w:rsidR="001F7233" w:rsidRDefault="00000000">
      <w:pPr>
        <w:pStyle w:val="ListParagraph"/>
        <w:numPr>
          <w:ilvl w:val="0"/>
          <w:numId w:val="1"/>
        </w:numPr>
        <w:spacing w:after="60"/>
      </w:pPr>
      <w:r>
        <w:t xml:space="preserve">USCIS – Gebührenübersicht Form G-1055: </w:t>
      </w:r>
      <w:hyperlink r:id="rId424">
        <w:r w:rsidR="001F7233">
          <w:rPr>
            <w:color w:val="0563C1"/>
            <w:u w:val="single"/>
          </w:rPr>
          <w:t>uscis.gov/g-1055</w:t>
        </w:r>
      </w:hyperlink>
    </w:p>
    <w:p w14:paraId="7B9FE0D8" w14:textId="77777777" w:rsidR="001F7233" w:rsidRDefault="00000000">
      <w:pPr>
        <w:pStyle w:val="ListParagraph"/>
        <w:numPr>
          <w:ilvl w:val="0"/>
          <w:numId w:val="1"/>
        </w:numPr>
        <w:spacing w:after="60"/>
      </w:pPr>
      <w:r>
        <w:t xml:space="preserve">USCIS Policy Manual – Job-Portabilität (AC21, INA 204(j)): </w:t>
      </w:r>
      <w:hyperlink r:id="rId425">
        <w:r w:rsidR="001F7233">
          <w:rPr>
            <w:color w:val="0563C1"/>
            <w:u w:val="single"/>
          </w:rPr>
          <w:t>uscis.gov/policy-manual/volume-7-part-e-chapter-5</w:t>
        </w:r>
      </w:hyperlink>
    </w:p>
    <w:p w14:paraId="3F81AABE" w14:textId="77777777" w:rsidR="001F7233" w:rsidRDefault="00000000">
      <w:pPr>
        <w:pStyle w:val="ListParagraph"/>
        <w:numPr>
          <w:ilvl w:val="0"/>
          <w:numId w:val="1"/>
        </w:numPr>
        <w:spacing w:after="60"/>
      </w:pPr>
      <w:r>
        <w:t xml:space="preserve">USCIS – Adressänderung Form AR-11: </w:t>
      </w:r>
      <w:hyperlink r:id="rId426">
        <w:r w:rsidR="001F7233">
          <w:rPr>
            <w:color w:val="0563C1"/>
            <w:u w:val="single"/>
          </w:rPr>
          <w:t>uscis.gov/ar-11</w:t>
        </w:r>
      </w:hyperlink>
    </w:p>
    <w:p w14:paraId="6C8000A1" w14:textId="77777777" w:rsidR="001F7233" w:rsidRDefault="00000000">
      <w:pPr>
        <w:pStyle w:val="ListParagraph"/>
        <w:numPr>
          <w:ilvl w:val="0"/>
          <w:numId w:val="1"/>
        </w:numPr>
        <w:spacing w:after="60"/>
      </w:pPr>
      <w:r>
        <w:t xml:space="preserve">Federal Register – Vorschlag zur 60-Tage-Frist (Docket USCIS-2026-0364): </w:t>
      </w:r>
      <w:hyperlink r:id="rId427">
        <w:r w:rsidR="001F7233">
          <w:rPr>
            <w:color w:val="0563C1"/>
            <w:u w:val="single"/>
          </w:rPr>
          <w:t>federalregister.gov</w:t>
        </w:r>
      </w:hyperlink>
    </w:p>
    <w:p w14:paraId="05A516E1" w14:textId="77777777" w:rsidR="001F7233" w:rsidRDefault="00000000">
      <w:pPr>
        <w:pStyle w:val="ListParagraph"/>
        <w:numPr>
          <w:ilvl w:val="0"/>
          <w:numId w:val="1"/>
        </w:numPr>
        <w:spacing w:after="60"/>
      </w:pPr>
      <w:r>
        <w:t xml:space="preserve">Arbeitsministerium – H-1B und LCA: </w:t>
      </w:r>
      <w:hyperlink r:id="rId428">
        <w:r w:rsidR="001F7233">
          <w:rPr>
            <w:color w:val="0563C1"/>
            <w:u w:val="single"/>
          </w:rPr>
          <w:t>dol.gov/agencies/eta/foreign-labor/programs/h-1b</w:t>
        </w:r>
      </w:hyperlink>
    </w:p>
    <w:p w14:paraId="296B68EA" w14:textId="77777777" w:rsidR="001F7233" w:rsidRDefault="00000000">
      <w:pPr>
        <w:pStyle w:val="ListParagraph"/>
        <w:numPr>
          <w:ilvl w:val="0"/>
          <w:numId w:val="1"/>
        </w:numPr>
        <w:spacing w:after="60"/>
      </w:pPr>
      <w:r>
        <w:t xml:space="preserve">Arbeitsministerium – COBRA: </w:t>
      </w:r>
      <w:hyperlink r:id="rId429">
        <w:r w:rsidR="001F7233">
          <w:rPr>
            <w:color w:val="0563C1"/>
            <w:u w:val="single"/>
          </w:rPr>
          <w:t>dol.gov/general/topic/health-plans/cobra</w:t>
        </w:r>
      </w:hyperlink>
    </w:p>
    <w:p w14:paraId="18A4B52C" w14:textId="77777777" w:rsidR="001F7233" w:rsidRDefault="00000000">
      <w:pPr>
        <w:pStyle w:val="ListParagraph"/>
        <w:numPr>
          <w:ilvl w:val="0"/>
          <w:numId w:val="1"/>
        </w:numPr>
        <w:spacing w:after="60"/>
      </w:pPr>
      <w:r>
        <w:t xml:space="preserve">Arbeitsministerium – WARN Act: </w:t>
      </w:r>
      <w:hyperlink r:id="rId430">
        <w:r w:rsidR="001F7233">
          <w:rPr>
            <w:color w:val="0563C1"/>
            <w:u w:val="single"/>
          </w:rPr>
          <w:t>dol.gov/agencies/eta/layoffs/warn</w:t>
        </w:r>
      </w:hyperlink>
    </w:p>
    <w:p w14:paraId="01C71C80" w14:textId="77777777" w:rsidR="001F7233" w:rsidRDefault="001F7233">
      <w:pPr>
        <w:spacing w:line="120" w:lineRule="exact"/>
      </w:pPr>
    </w:p>
    <w:p w14:paraId="4E9D00DD" w14:textId="77777777" w:rsidR="001F7233" w:rsidRDefault="00000000">
      <w:r>
        <w:t>• Quellen- und Datenstand: September 2026; Redaktionsschluss: Oktober 2026. Diese Angaben ändern sich schnell: der DHS-Vorschlag zur 60-Tage-Frist (Kommentare bis 10. November 2026), die Umsetzung der Executive Order vom 18. September 2026, die USCIS-Gebühren (Blatt G-1055, Ausgabe 09/09/26) samt Premium Processing (2.965 $), die 100.000-$-Proklamation (bis 21. September 2027 verlängert, gerichtlich blockiert) und der 103.265-$-Entwurf (Kommentierungsfrist am 24. September 2026 abgelaufen; noch keine geltende Regel). Auch COBRA-Prämien und Marktplatz-Regeln ändern sich. Prüfe vor jeder Entscheidung die offiziellen Seiten und lass Fristen von einem Einwanderungsanwalt bestätigen.</w:t>
      </w:r>
    </w:p>
    <w:p w14:paraId="7836F820" w14:textId="77777777" w:rsidR="001F7233" w:rsidRDefault="001F7233">
      <w:pPr>
        <w:spacing w:line="220" w:lineRule="exact"/>
      </w:pPr>
    </w:p>
    <w:p w14:paraId="6FD9CC4C" w14:textId="77777777" w:rsidR="001F7233" w:rsidRDefault="00000000">
      <w:r>
        <w:br w:type="page"/>
      </w:r>
    </w:p>
    <w:p w14:paraId="117F7660" w14:textId="77777777" w:rsidR="001F7233" w:rsidRDefault="00000000">
      <w:pPr>
        <w:pStyle w:val="Heading1"/>
        <w:keepNext/>
        <w:spacing w:line="341" w:lineRule="auto"/>
        <w:jc w:val="center"/>
      </w:pPr>
      <w:bookmarkStart w:id="63" w:name="rev73h2013"/>
      <w:r>
        <w:rPr>
          <w:rFonts w:ascii="Amazon Ember" w:eastAsia="Amazon Ember" w:hAnsi="Amazon Ember" w:cs="Amazon Ember"/>
          <w:color w:val="0000FF"/>
        </w:rPr>
        <w:lastRenderedPageBreak/>
        <w:t>TEIL VIII — Leben und Menschen</w:t>
      </w:r>
      <w:bookmarkEnd w:id="63"/>
    </w:p>
    <w:p w14:paraId="61ECF09A" w14:textId="77777777" w:rsidR="001F7233" w:rsidRDefault="00000000">
      <w:pPr>
        <w:spacing w:after="160" w:line="300" w:lineRule="auto"/>
        <w:ind w:left="400" w:right="400"/>
        <w:jc w:val="center"/>
      </w:pPr>
      <w:r>
        <w:rPr>
          <w:i/>
          <w:iCs/>
          <w:sz w:val="24"/>
          <w:szCs w:val="24"/>
        </w:rPr>
        <w:t>Kultur, Freundschaft, Heimweh, Kleidung und Essen: die Dinge, die im Alltag über Zufriedenheit entscheiden.</w:t>
      </w:r>
    </w:p>
    <w:p w14:paraId="59D738D5" w14:textId="77777777" w:rsidR="001F7233" w:rsidRDefault="00000000">
      <w:r>
        <w:br w:type="page"/>
      </w:r>
    </w:p>
    <w:p w14:paraId="30AC2B02" w14:textId="77777777" w:rsidR="001F7233" w:rsidRDefault="00000000">
      <w:pPr>
        <w:pStyle w:val="Heading2"/>
        <w:keepNext/>
        <w:spacing w:line="341" w:lineRule="auto"/>
        <w:jc w:val="center"/>
      </w:pPr>
      <w:bookmarkStart w:id="64" w:name="k31"/>
      <w:r>
        <w:rPr>
          <w:rFonts w:ascii="Amazon Ember" w:eastAsia="Amazon Ember" w:hAnsi="Amazon Ember" w:cs="Amazon Ember"/>
          <w:color w:val="0000FF"/>
          <w:sz w:val="36"/>
          <w:szCs w:val="36"/>
        </w:rPr>
        <w:lastRenderedPageBreak/>
        <w:t>Kapitel 31: Kulturunterschiede: Der große Deutsch-Amerikanisch-Vergleich</w:t>
      </w:r>
      <w:bookmarkEnd w:id="64"/>
    </w:p>
    <w:p w14:paraId="57FAA738" w14:textId="77777777" w:rsidR="001F7233" w:rsidRDefault="00000000">
      <w:r>
        <w:t>Für die Ortswahl lohnt ein zusätzlicher Blick auf das politische Umfeld: Republikaner stehen im US-Parteienspektrum im Allgemeinen rechts von Demokraten. Nutze „rot“ und „blau“ aber nur als groben ersten Filter und prüfe danach die konkrete Stadt, den Vorort oder das County. Eine direkte Übersetzung deutscher Parteien auf Democrats und Republicans führt schnell in die Irre.</w:t>
      </w:r>
    </w:p>
    <w:p w14:paraId="45EDF1B9" w14:textId="77777777" w:rsidR="001F7233" w:rsidRDefault="00000000">
      <w:pPr>
        <w:spacing w:after="140"/>
      </w:pPr>
      <w:r>
        <w:t>Die Kassiererin fragt „How are you today?“ und ist schon beim nächsten Kunden, bevor du deine Antwort sortiert hast. Am Abend liegt die Restaurantrechnung vor dir: 78 $ laut Karte, 98 $ zu zahlen. Beides ist weder Zufall noch Unfreundlichkeit, sondern amerikanischer Alltag. Dieses Kapitel ordnet die wichtigsten Unterschiede zu Deutschland: was du erwarten kannst, was du besser lässt und was Amerikaner an Deutschen schätzen.</w:t>
      </w:r>
    </w:p>
    <w:p w14:paraId="545F3301" w14:textId="77777777" w:rsidR="001F7233" w:rsidRDefault="00000000">
      <w:r>
        <w:rPr>
          <w:b/>
        </w:rPr>
        <w:t xml:space="preserve">KURZ GESAGT: </w:t>
      </w:r>
    </w:p>
    <w:p w14:paraId="63347D4F" w14:textId="77777777" w:rsidR="001F7233" w:rsidRDefault="00000000">
      <w:r>
        <w:t>• „How are you?“ ist ein Gruß, keine Frage. Freundlichkeit im Alltag ist ein Ritual; echte Freundschaft wächst langsamer (</w:t>
      </w:r>
      <w:hyperlink w:anchor="k32">
        <w:r w:rsidR="001F7233">
          <w:rPr>
            <w:color w:val="0563C1"/>
            <w:u w:val="single"/>
          </w:rPr>
          <w:t>Kapitel 32</w:t>
        </w:r>
      </w:hyperlink>
      <w:r>
        <w:t>).</w:t>
      </w:r>
    </w:p>
    <w:p w14:paraId="6FB838A2" w14:textId="77777777" w:rsidR="001F7233" w:rsidRDefault="00000000">
      <w:r>
        <w:t>Im Bedienrestaurant kann ein angenommenes Trinkgeld von 18–20 % hinzukommen; die Verkaufssteuer ist örtlich verschieden. Das ist kein pauschaler Viertel-Aufschlag auf alle Ausgaben.</w:t>
      </w:r>
    </w:p>
    <w:p w14:paraId="09617F23" w14:textId="77777777" w:rsidR="001F7233" w:rsidRDefault="00000000">
      <w:r>
        <w:t>• Deutsche Direktheit kommt oft als Härte an. Verpacke Kritik, lobe konkret und häufig, frage lieber, als zu belehren.</w:t>
      </w:r>
    </w:p>
    <w:p w14:paraId="7C5724EC" w14:textId="77777777" w:rsidR="001F7233" w:rsidRDefault="00000000">
      <w:r>
        <w:t>• Politik, Religion, Gehalt und Waffen sind bei Fremden kein Small-Talk-Thema. Als Nichtstaatsbürger gelten zusätzliche Grenzen bei Cannabis, Wahlspenden und Waffen.</w:t>
      </w:r>
    </w:p>
    <w:p w14:paraId="36306F51" w14:textId="77777777" w:rsidR="001F7233" w:rsidRDefault="00000000">
      <w:r>
        <w:t>• Es gibt keine Meldepflicht, dafür Klagekultur, Haftungsverzichte und Warnhinweise; eine Haftpflichtversicherung lohnt sich.</w:t>
      </w:r>
    </w:p>
    <w:p w14:paraId="7B2B3A62" w14:textId="77777777" w:rsidR="001F7233" w:rsidRDefault="00000000">
      <w:r>
        <w:t>• Am Ende fassen 15 Faustregeln alles für den Alltag zusammen.</w:t>
      </w:r>
    </w:p>
    <w:p w14:paraId="446BB823" w14:textId="77777777" w:rsidR="001F7233" w:rsidRDefault="001F7233">
      <w:pPr>
        <w:spacing w:line="220" w:lineRule="exact"/>
      </w:pPr>
    </w:p>
    <w:p w14:paraId="7383FE5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Umgang: Small Talk, Direktheit, Namen und Nähe</w:t>
      </w:r>
    </w:p>
    <w:p w14:paraId="29C13177" w14:textId="77777777" w:rsidR="001F7233" w:rsidRDefault="00000000">
      <w:pPr>
        <w:spacing w:after="140"/>
      </w:pPr>
      <w:r>
        <w:rPr>
          <w:b/>
          <w:bCs/>
        </w:rPr>
        <w:t>„How are you?“ und Small Talk. Die Frage ist eine Begrüßung. Erwartet wird ein kurzes „Good, thanks, and you?“; wer ehrlich Bilanz zieht, verwirrt sein Gegen. Der Kontrast zur deutschen Frage ist spürbar: Wer in Deutschland „Wie geht’s?“ fragt, muss mit einer echten Antwort rechnen. Im Zweifel mit Rücken, Chef und Bahnverspätung als Klagepunkten, gerne auch zehn Minuten lang. Genau diese Ausführlichkeit wirkt in den USA fehl am Platz. Die kurze Standardantwort erscheint manchen Neuankömmlingen zunächst hohl oder aufgesetzt, ist aber keine Unehrlichkeit, sondern ein anderes Ritual mit anderer Funktion: Kontakt herstellen, nicht Bilanz ziehen. Die praktische Konsequenz: kurz und unverfänglich antworten und die Frage zurückgeben. Eine ausführliche Antwort verwirrt eher, als dass sie Nähe schafft. Danach folgt Small Talk über Wetter, Wochenende, Reisen, Sport, Haustiere und Kinder. Früh fällt auch „Where are you from?“ und „What do you do?“. Die Frage nach dem Beruf ist in den USA ein normaler Einstieg. Meide bei Fremden Gehalt, Politik, Religion, Gewicht, Lebensalter und Familienplanung. Gespräche in der Schlange oder im Aufzug sind üblich, unverbindlich und nach zwei Sätzen vorbei. Nachbarn winken oder grüßen im Vorbeigehen; grüße zurück.</w:t>
      </w:r>
    </w:p>
    <w:p w14:paraId="73935E65" w14:textId="77777777" w:rsidR="001F7233" w:rsidRDefault="00000000">
      <w:pPr>
        <w:spacing w:after="140"/>
      </w:pPr>
      <w:r>
        <w:rPr>
          <w:b/>
          <w:bCs/>
        </w:rPr>
        <w:t>Freundlichkeit ist nicht Freundschaft.</w:t>
      </w:r>
      <w:r>
        <w:t xml:space="preserve"> „We should get together sometime“ ist eine Höflichkeitsformel, keine Einladung. Wer es ernst meint, nennt Tag und Ort. Als Faustformel gilt: Amerikaner sind schnell im Kontakt und langsam in der Vertiefung, Deutsche eher umgekehrt. Wie du die Lücke schließt, steht in Kapitel </w:t>
      </w:r>
      <w:hyperlink w:anchor="k32">
        <w:r w:rsidR="001F7233">
          <w:t>32</w:t>
        </w:r>
      </w:hyperlink>
      <w:r>
        <w:t>.</w:t>
      </w:r>
    </w:p>
    <w:p w14:paraId="7799436C" w14:textId="77777777" w:rsidR="001F7233" w:rsidRDefault="00000000">
      <w:pPr>
        <w:spacing w:after="140"/>
      </w:pPr>
      <w:r>
        <w:rPr>
          <w:b/>
          <w:bCs/>
        </w:rPr>
        <w:lastRenderedPageBreak/>
        <w:t>Direktheit.</w:t>
      </w:r>
      <w:r>
        <w:t xml:space="preserve"> „Das funktioniert so nicht“ ist in Deutschland eine Sachaussage; in den USA hört man darin einen Angriff auf die Person. Kritik wird verpackt: erst etwas Positives, dann eine Frage („Have we considered …?“), dann der Vorschlag. Umgekehrt heißt „That’s interesting“ oder „We’ll see“ manchmal nein, und „Great idea!“ ist nicht immer eine Zusage. Feedback im Job: Kapitel </w:t>
      </w:r>
      <w:hyperlink w:anchor="k29">
        <w:r w:rsidR="001F7233">
          <w:t>29</w:t>
        </w:r>
      </w:hyperlink>
      <w:r>
        <w:t>.</w:t>
      </w:r>
    </w:p>
    <w:p w14:paraId="4DBC7474" w14:textId="77777777" w:rsidR="001F7233" w:rsidRDefault="00000000">
      <w:pPr>
        <w:spacing w:after="140"/>
      </w:pPr>
      <w:r>
        <w:rPr>
          <w:b/>
          <w:bCs/>
        </w:rPr>
        <w:t>Lob. In Schwaben gilt: „Nicht geschimpft ist genug gelobt.“ In den USA gilt das Gegenteil: Wer kein Lob hört, fragt sich, ob etwas nicht stimmt. „Great job“, „Awesome“ und „Amazing“ sind Alltagswörter, keine Superlative. Nimm Lob mit „Thank you“ an, statt es abzuwehren und gib es selbst konkret und oft.</w:t>
      </w:r>
    </w:p>
    <w:p w14:paraId="51CC6779" w14:textId="77777777" w:rsidR="001F7233" w:rsidRDefault="00000000">
      <w:pPr>
        <w:spacing w:after="140"/>
      </w:pPr>
      <w:r>
        <w:rPr>
          <w:b/>
          <w:bCs/>
        </w:rPr>
        <w:t>Namen und Anrede. Es gilt der Vorname, meist ab der ersten Begegnung, auch beim Chef. Titel setzt du bei Ärzten („Dr. Miller“), Lehrkräften, Polizisten und älteren Menschen ein; im Süden hörst du „Sir“ und „Ma’am“. Akademische Titel wie „Dipl.-Ing.“ sind unbekannt. Frauen spricht man mit „Ms.“ an, unabhängig vom Familienstand. Pronomen in E-Mail-Signaturen (she/her, he/him, they/them) kannst du übernehmen oder ignorieren. Sprich Menschen so an, wie sie es wünschen.</w:t>
      </w:r>
    </w:p>
    <w:p w14:paraId="29AA64ED" w14:textId="77777777" w:rsidR="001F7233" w:rsidRDefault="00000000">
      <w:pPr>
        <w:spacing w:after="140"/>
      </w:pPr>
      <w:r>
        <w:rPr>
          <w:b/>
          <w:bCs/>
        </w:rPr>
        <w:t>Berührung und Abstand.</w:t>
      </w:r>
      <w:r>
        <w:t xml:space="preserve"> Zur Begrüßung gibt es einen festen Händedruck mit Blickkontakt, unter Freunden eine Umarmung; Wangenküsse sind selten. Der übliche Gesprächsabstand beträgt etwa eine Armlänge. Fremde Kinder streichelst du nicht, und im Beruf gilt: Berührung nur, wenn sie angeboten wird.</w:t>
      </w:r>
    </w:p>
    <w:p w14:paraId="08EE9505" w14:textId="77777777" w:rsidR="001F7233" w:rsidRDefault="00000000">
      <w:pPr>
        <w:spacing w:after="140"/>
      </w:pPr>
      <w:r>
        <w:rPr>
          <w:b/>
          <w:bCs/>
        </w:rPr>
        <w:t>Humor und Alltagssprache. Ironie versteht man, im Beruf setzt man sie sparsamer ein. Trockener deutscher Humor wird oft für Ernst gehalten. Selbstironie kommt gut an, Witze über Herkunft, Religion, Geschlecht oder Politik nicht. „Please“ und „Thank you“ fallen häufiger als im Deutschen, auf „Thank you“ folgt „You’re welcome“ oder „No problem“, und „Sorry“ entschuldigt schon ein Anrempeln. Zum Abschied hörst du „Have a good one“ und antwortest „You too“.</w:t>
      </w:r>
    </w:p>
    <w:p w14:paraId="43D787C7" w14:textId="77777777" w:rsidR="001F7233" w:rsidRDefault="00000000">
      <w:pPr>
        <w:spacing w:after="140"/>
      </w:pPr>
      <w:r>
        <w:lastRenderedPageBreak/>
        <w:t>Am auffälligsten wird das im Supermarkt: Willst du an jemandem vorbei, der vor dem Regal steht, hörst du ein „Excuse me“, bevor sich die Person überhaupt bewegt. Manchmal, bevor du selbst gemerkt hast, dass du im Weg standst. In Deutschland wird eher stumm vorbeigedrängt, notfalls mit dem Einkaufswagen als Argument. Wer aus Deutschland kommt und sich wortlos durch die Cerealien-Gasse schiebt, erntet keinen Streit, aber gehobene Augenbrauen. Die Faustregel: Ein kurzes „Excuse me“ oder „Sorry“ kostet nichts. Es öffnet fast jede Lücke, auch die, die eigentlich zu eng dafür ist.</w:t>
      </w:r>
    </w:p>
    <w:p w14:paraId="3E80C884" w14:textId="77777777" w:rsidR="001F7233" w:rsidRDefault="001F7233">
      <w:pPr>
        <w:spacing w:line="220" w:lineRule="exact"/>
      </w:pPr>
    </w:p>
    <w:p w14:paraId="6D994704" w14:textId="77777777" w:rsidR="001F7233" w:rsidRDefault="00000000">
      <w:r>
        <w:rPr>
          <w:b/>
        </w:rPr>
        <w:t>Begrüßung</w:t>
      </w:r>
    </w:p>
    <w:p w14:paraId="2C466734" w14:textId="77777777" w:rsidR="001F7233" w:rsidRDefault="00000000">
      <w:r>
        <w:rPr>
          <w:b/>
        </w:rPr>
        <w:t xml:space="preserve">In Deutschland: </w:t>
      </w:r>
      <w:r>
        <w:t>„Wie geht’s?“ fragt nach dem Befinden</w:t>
      </w:r>
    </w:p>
    <w:p w14:paraId="23F20E62" w14:textId="77777777" w:rsidR="001F7233" w:rsidRDefault="00000000">
      <w:r>
        <w:rPr>
          <w:b/>
        </w:rPr>
        <w:t xml:space="preserve">In den USA: </w:t>
      </w:r>
      <w:r>
        <w:t>„How are you?“ ist ein Gruß</w:t>
      </w:r>
    </w:p>
    <w:p w14:paraId="181E8CF0" w14:textId="77777777" w:rsidR="001F7233" w:rsidRDefault="00000000">
      <w:r>
        <w:rPr>
          <w:b/>
        </w:rPr>
        <w:t xml:space="preserve">Tipp: </w:t>
      </w:r>
      <w:r>
        <w:t>Kurz antworten, zurückfragen</w:t>
      </w:r>
    </w:p>
    <w:p w14:paraId="671183AA" w14:textId="77777777" w:rsidR="001F7233" w:rsidRDefault="00000000">
      <w:r>
        <w:rPr>
          <w:b/>
        </w:rPr>
        <w:t>„Wir sollten uns mal treffen“</w:t>
      </w:r>
    </w:p>
    <w:p w14:paraId="25F4FE9B" w14:textId="77777777" w:rsidR="001F7233" w:rsidRDefault="00000000">
      <w:r>
        <w:rPr>
          <w:b/>
        </w:rPr>
        <w:t xml:space="preserve">In Deutschland: </w:t>
      </w:r>
      <w:r>
        <w:t>Meist ernst gemeint</w:t>
      </w:r>
    </w:p>
    <w:p w14:paraId="42D83EB9" w14:textId="77777777" w:rsidR="001F7233" w:rsidRDefault="00000000">
      <w:r>
        <w:rPr>
          <w:b/>
        </w:rPr>
        <w:t xml:space="preserve">In den USA: </w:t>
      </w:r>
      <w:r>
        <w:t>Oft Höflichkeitsformel</w:t>
      </w:r>
    </w:p>
    <w:p w14:paraId="7CEB24CE" w14:textId="77777777" w:rsidR="001F7233" w:rsidRDefault="00000000">
      <w:r>
        <w:rPr>
          <w:b/>
        </w:rPr>
        <w:t xml:space="preserve">Tipp: </w:t>
      </w:r>
      <w:r>
        <w:t>Selbst Tag und Ort nennen</w:t>
      </w:r>
    </w:p>
    <w:p w14:paraId="63EFFEBA" w14:textId="77777777" w:rsidR="001F7233" w:rsidRDefault="00000000">
      <w:r>
        <w:rPr>
          <w:b/>
        </w:rPr>
        <w:t>Kritik</w:t>
      </w:r>
    </w:p>
    <w:p w14:paraId="090C0435" w14:textId="77777777" w:rsidR="001F7233" w:rsidRDefault="00000000">
      <w:r>
        <w:rPr>
          <w:b/>
        </w:rPr>
        <w:t xml:space="preserve">In Deutschland: </w:t>
      </w:r>
      <w:r>
        <w:t>Direkt und sachlich</w:t>
      </w:r>
    </w:p>
    <w:p w14:paraId="2D0A288A" w14:textId="77777777" w:rsidR="001F7233" w:rsidRDefault="00000000">
      <w:r>
        <w:rPr>
          <w:b/>
        </w:rPr>
        <w:t xml:space="preserve">In den USA: </w:t>
      </w:r>
      <w:r>
        <w:t>Verpackt, erst Positives</w:t>
      </w:r>
    </w:p>
    <w:p w14:paraId="79C21451" w14:textId="77777777" w:rsidR="001F7233" w:rsidRDefault="00000000">
      <w:r>
        <w:rPr>
          <w:b/>
        </w:rPr>
        <w:t xml:space="preserve">Tipp: </w:t>
      </w:r>
      <w:r>
        <w:t>Als Frage oder Vorschlag formulieren</w:t>
      </w:r>
    </w:p>
    <w:p w14:paraId="25924DA1" w14:textId="77777777" w:rsidR="001F7233" w:rsidRDefault="00000000">
      <w:r>
        <w:rPr>
          <w:b/>
        </w:rPr>
        <w:t>Lob</w:t>
      </w:r>
    </w:p>
    <w:p w14:paraId="78B8EA08" w14:textId="77777777" w:rsidR="001F7233" w:rsidRDefault="00000000">
      <w:r>
        <w:rPr>
          <w:b/>
        </w:rPr>
        <w:t xml:space="preserve">In Deutschland: </w:t>
      </w:r>
      <w:r>
        <w:t>Selten, zurückhaltend</w:t>
      </w:r>
    </w:p>
    <w:p w14:paraId="68F73F39" w14:textId="77777777" w:rsidR="001F7233" w:rsidRDefault="00000000">
      <w:r>
        <w:rPr>
          <w:b/>
        </w:rPr>
        <w:t xml:space="preserve">In den USA: </w:t>
      </w:r>
      <w:r>
        <w:t>Häufig, überschwänglich</w:t>
      </w:r>
    </w:p>
    <w:p w14:paraId="70415388" w14:textId="77777777" w:rsidR="001F7233" w:rsidRDefault="00000000">
      <w:r>
        <w:rPr>
          <w:b/>
        </w:rPr>
        <w:t xml:space="preserve">Tipp: </w:t>
      </w:r>
      <w:r>
        <w:t>Annehmen, selbst konkret loben</w:t>
      </w:r>
    </w:p>
    <w:p w14:paraId="152E82D8" w14:textId="77777777" w:rsidR="001F7233" w:rsidRDefault="00000000">
      <w:r>
        <w:rPr>
          <w:b/>
        </w:rPr>
        <w:t>Anrede</w:t>
      </w:r>
    </w:p>
    <w:p w14:paraId="345E4474" w14:textId="77777777" w:rsidR="001F7233" w:rsidRDefault="00000000">
      <w:r>
        <w:rPr>
          <w:b/>
        </w:rPr>
        <w:t xml:space="preserve">In Deutschland: </w:t>
      </w:r>
      <w:r>
        <w:t>Siezen, Titel, später Duzen</w:t>
      </w:r>
    </w:p>
    <w:p w14:paraId="1F74E185" w14:textId="77777777" w:rsidR="001F7233" w:rsidRDefault="00000000">
      <w:r>
        <w:rPr>
          <w:b/>
        </w:rPr>
        <w:t xml:space="preserve">In den USA: </w:t>
      </w:r>
      <w:r>
        <w:t>Vorname ab dem ersten Treffen</w:t>
      </w:r>
    </w:p>
    <w:p w14:paraId="61FC7AD0" w14:textId="77777777" w:rsidR="001F7233" w:rsidRDefault="00000000">
      <w:r>
        <w:rPr>
          <w:b/>
        </w:rPr>
        <w:t xml:space="preserve">Tipp: </w:t>
      </w:r>
      <w:r>
        <w:t>Titel nur bei Ärzten und Älteren</w:t>
      </w:r>
    </w:p>
    <w:p w14:paraId="2E00730D" w14:textId="77777777" w:rsidR="001F7233" w:rsidRDefault="00000000">
      <w:r>
        <w:rPr>
          <w:b/>
        </w:rPr>
        <w:t>Körperkontakt</w:t>
      </w:r>
    </w:p>
    <w:p w14:paraId="624A8C5E" w14:textId="77777777" w:rsidR="001F7233" w:rsidRDefault="00000000">
      <w:r>
        <w:rPr>
          <w:b/>
        </w:rPr>
        <w:t xml:space="preserve">In Deutschland: </w:t>
      </w:r>
      <w:r>
        <w:t>Händedruck</w:t>
      </w:r>
    </w:p>
    <w:p w14:paraId="60F7D966" w14:textId="77777777" w:rsidR="001F7233" w:rsidRDefault="00000000">
      <w:r>
        <w:rPr>
          <w:b/>
        </w:rPr>
        <w:t xml:space="preserve">In den USA: </w:t>
      </w:r>
      <w:r>
        <w:t>Händedruck, unter Freunden Umarmung</w:t>
      </w:r>
    </w:p>
    <w:p w14:paraId="1F5C036F" w14:textId="77777777" w:rsidR="001F7233" w:rsidRDefault="00000000">
      <w:r>
        <w:rPr>
          <w:b/>
        </w:rPr>
        <w:t xml:space="preserve">Tipp: </w:t>
      </w:r>
      <w:r>
        <w:t>Umarmung abwarten</w:t>
      </w:r>
    </w:p>
    <w:p w14:paraId="27FC89F3" w14:textId="77777777" w:rsidR="001F7233" w:rsidRDefault="001F7233">
      <w:pPr>
        <w:spacing w:line="180" w:lineRule="exact"/>
      </w:pPr>
    </w:p>
    <w:p w14:paraId="1E44F3D7" w14:textId="77777777" w:rsidR="001F7233" w:rsidRDefault="00000000">
      <w:r>
        <w:rPr>
          <w:b/>
        </w:rPr>
        <w:lastRenderedPageBreak/>
        <w:t xml:space="preserve">MERKE: </w:t>
      </w:r>
    </w:p>
    <w:p w14:paraId="564B3A4C" w14:textId="77777777" w:rsidR="001F7233" w:rsidRDefault="00000000">
      <w:r>
        <w:t>• In den USA liegt der Ton in der Verpackung, in Deutschland in der Sache. Wer beides beherrscht, verliert nichts von seiner Klarheit.</w:t>
      </w:r>
    </w:p>
    <w:p w14:paraId="1F08627C" w14:textId="77777777" w:rsidR="001F7233" w:rsidRDefault="001F7233">
      <w:pPr>
        <w:spacing w:line="220" w:lineRule="exact"/>
      </w:pPr>
    </w:p>
    <w:p w14:paraId="1FB6DF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Amerikanisches Englisch vor der Abreise trainieren</w:t>
      </w:r>
    </w:p>
    <w:p w14:paraId="45ACE565" w14:textId="77777777" w:rsidR="001F7233" w:rsidRDefault="00000000">
      <w:pPr>
        <w:spacing w:after="140"/>
      </w:pPr>
      <w:r>
        <w:rPr>
          <w:i/>
          <w:iCs/>
        </w:rPr>
        <w:t>Schulenglisch ist meist britisch geprägt, während US-Alltagssprache eigene Wörter (apartment statt flat, elevator statt lift) und, je nach Zielregion, einen ganz eigenen Klang hat. Bücher mit einfacher, dialoggetriebener Prosa bauen Wortschatz am schnellsten auf: Stephen King (etwa „Gerald’s Game“ oder „Misery“), John Grisham oder Lee Child lesen sich schnell und spannend. Die „Accent Expert“-Reihe von WIRED auf YouTube (Dialektcoach Erik Singer, unter anderem eine eigene Tour durch US-Regionalakzente) hilft, sich auf den Akzent deiner Zielregion einzustellen. General American klingt anders als Südstaaten-, Boston- oder Minnesota-Englisch.</w:t>
      </w:r>
    </w:p>
    <w:p w14:paraId="14E9345A" w14:textId="77777777" w:rsidR="001F7233" w:rsidRDefault="00000000">
      <w:pPr>
        <w:spacing w:after="140"/>
      </w:pPr>
      <w:r>
        <w:t xml:space="preserve">Für gezielte Regionalakzente eignen sich Serien wie „Fargo“ (oberer Mittlerer Westen) oder „Justified“ (Kentucky); für den Alltagston allgemein hilft jede beliebige US-Serie im Original statt in deutscher Synchronisation. Prüfe die aktuelle Verfügbarkeit auf </w:t>
      </w:r>
      <w:hyperlink r:id="rId431">
        <w:r w:rsidR="001F7233">
          <w:rPr>
            <w:color w:val="0563C1"/>
            <w:u w:val="single"/>
          </w:rPr>
          <w:t>JustWatch.de</w:t>
        </w:r>
      </w:hyperlink>
      <w:r>
        <w:t>, da sich Streaming-Kataloge laufend ändern. Stelle Untertitel wenn möglich auf Englisch, nicht auf Deutsch. Schau dir dazu eine dir bekannte Serie noch einmal im Original an, denn die bekannte Handlung senkt die Einstiegshürde. Wer lieber strukturiert lernt: ARD und ZDF bieten in ihren Mediatheken kostenlose Englischkurse, weniger unterhaltsam, aber solide.</w:t>
      </w:r>
    </w:p>
    <w:p w14:paraId="518A204F" w14:textId="77777777" w:rsidR="001F7233" w:rsidRDefault="00000000">
      <w:pPr>
        <w:spacing w:after="140"/>
      </w:pPr>
      <w:r>
        <w:t>Für Kinder gilt eine andere, altersabhängige Auswahl – dazu mehr in Kapitel </w:t>
      </w:r>
      <w:hyperlink w:anchor="k37">
        <w:r w:rsidR="001F7233">
          <w:t>37</w:t>
        </w:r>
      </w:hyperlink>
      <w:r>
        <w:t>.</w:t>
      </w:r>
    </w:p>
    <w:p w14:paraId="3B0658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Zeit und Rhythmus</w:t>
      </w:r>
    </w:p>
    <w:p w14:paraId="7D85E1B4" w14:textId="77777777" w:rsidR="001F7233" w:rsidRDefault="00000000">
      <w:pPr>
        <w:spacing w:after="140"/>
      </w:pPr>
      <w:r>
        <w:rPr>
          <w:b/>
          <w:bCs/>
        </w:rPr>
        <w:t>Pünktlichkeit und RSVP. Im Job gilt Pünktlichkeit wie in Deutschland: Meetings beginnen zur vollen oder halben Stunde, fünf Minuten Vorlauf sind richtig. Privat ist es anders: Zum Abendessen um 18 Uhr kommst du 5 bis 15 Minuten später, zu einer Party auch später. Zu früh ist unhöflicher als zu spät. Auf Einladungen erwartet man eine Antwort (RSVP, von französisch „répondez s’il vous plaît“: Bitte um Zu- oder Absage), auch bei Kindergeburtstagen und bis zum genannten Datum. Spontan vorbeizukommen ist unüblich; schreibe vorher eine kurze Nachricht.</w:t>
      </w:r>
    </w:p>
    <w:p w14:paraId="1430C150" w14:textId="77777777" w:rsidR="001F7233" w:rsidRDefault="00000000">
      <w:pPr>
        <w:spacing w:after="140"/>
      </w:pPr>
      <w:r>
        <w:rPr>
          <w:b/>
          <w:bCs/>
        </w:rPr>
        <w:t>Tagesrhythmus und Sonntag.</w:t>
      </w:r>
      <w:r>
        <w:t xml:space="preserve"> Der Tag beginnt früh und endet früh: Das Mittagessen ist kurz und oft am Schreibtisch, das Abendessen liegt zwischen 17:30 und 19 Uhr, Partys enden meist gegen 22 Uhr. Einen gesetzlichen Ruhetag und ein bundesweites Ladenschlussgesetz gibt es nicht; die meisten Geschäfte sind abends und sonntags geöffnet, manche Supermärkte rund um die Uhr. Einzelne Bundesstaaten und Gemeinden beschränken sonntags den Alkoholverkauf. Ruhezeiten regeln Mietvertrag und Hausordnung. Urlaub und Feiertage im Beruf: Kapitel </w:t>
      </w:r>
      <w:hyperlink w:anchor="k29">
        <w:r w:rsidR="001F7233">
          <w:t>29</w:t>
        </w:r>
      </w:hyperlink>
      <w:r>
        <w:t>.</w:t>
      </w:r>
    </w:p>
    <w:p w14:paraId="2D74C48C" w14:textId="77777777" w:rsidR="001F7233" w:rsidRDefault="00000000">
      <w:pPr>
        <w:spacing w:after="140"/>
      </w:pPr>
      <w:r>
        <w:rPr>
          <w:b/>
          <w:bCs/>
        </w:rPr>
        <w:t>Datum und Uhr.</w:t>
      </w:r>
      <w:r>
        <w:t xml:space="preserve"> Das amerikanische Datum beginnt mit dem Monat: 7/4/2026 ist der 4. Juli, nicht der 7. April. Die Uhr zählt zweimal zwölf Stunden (a.m. und p.m.), Temperaturen stehen in °F, Strecken in Meilen.</w:t>
      </w:r>
    </w:p>
    <w:p w14:paraId="73A50852" w14:textId="77777777" w:rsidR="001F7233" w:rsidRDefault="00000000">
      <w:r>
        <w:rPr>
          <w:b/>
        </w:rPr>
        <w:t>Einladung zum Essen um 18 Uhr</w:t>
      </w:r>
    </w:p>
    <w:p w14:paraId="1D3D2D59" w14:textId="77777777" w:rsidR="001F7233" w:rsidRDefault="00000000">
      <w:r>
        <w:rPr>
          <w:b/>
        </w:rPr>
        <w:t xml:space="preserve">In Deutschland: </w:t>
      </w:r>
      <w:r>
        <w:t>Pünktlich</w:t>
      </w:r>
    </w:p>
    <w:p w14:paraId="4F01770A" w14:textId="77777777" w:rsidR="001F7233" w:rsidRDefault="00000000">
      <w:r>
        <w:rPr>
          <w:b/>
        </w:rPr>
        <w:t xml:space="preserve">In den USA: </w:t>
      </w:r>
      <w:r>
        <w:t>5 bis 15 Minuten später</w:t>
      </w:r>
    </w:p>
    <w:p w14:paraId="06408DF5" w14:textId="77777777" w:rsidR="001F7233" w:rsidRDefault="00000000">
      <w:r>
        <w:rPr>
          <w:b/>
        </w:rPr>
        <w:t xml:space="preserve">Tipp: </w:t>
      </w:r>
      <w:r>
        <w:t>Nie früher klingeln</w:t>
      </w:r>
    </w:p>
    <w:p w14:paraId="7592A2E1" w14:textId="77777777" w:rsidR="001F7233" w:rsidRDefault="00000000">
      <w:r>
        <w:rPr>
          <w:b/>
        </w:rPr>
        <w:t>Einladung ohne Antwort</w:t>
      </w:r>
    </w:p>
    <w:p w14:paraId="157F7865" w14:textId="77777777" w:rsidR="001F7233" w:rsidRDefault="00000000">
      <w:r>
        <w:rPr>
          <w:b/>
        </w:rPr>
        <w:t xml:space="preserve">In Deutschland: </w:t>
      </w:r>
      <w:r>
        <w:t>Zusage oft stillschweigend</w:t>
      </w:r>
    </w:p>
    <w:p w14:paraId="563A6879" w14:textId="77777777" w:rsidR="001F7233" w:rsidRDefault="00000000">
      <w:r>
        <w:rPr>
          <w:b/>
        </w:rPr>
        <w:t xml:space="preserve">In den USA: </w:t>
      </w:r>
      <w:r>
        <w:t>RSVP wird erwartet</w:t>
      </w:r>
    </w:p>
    <w:p w14:paraId="19C6C320" w14:textId="77777777" w:rsidR="001F7233" w:rsidRDefault="00000000">
      <w:r>
        <w:rPr>
          <w:b/>
        </w:rPr>
        <w:t xml:space="preserve">Tipp: </w:t>
      </w:r>
      <w:r>
        <w:t>Bis zum Stichtag antworten</w:t>
      </w:r>
    </w:p>
    <w:p w14:paraId="79385BF1" w14:textId="77777777" w:rsidR="001F7233" w:rsidRDefault="00000000">
      <w:r>
        <w:rPr>
          <w:b/>
        </w:rPr>
        <w:lastRenderedPageBreak/>
        <w:t>Spontanbesuch</w:t>
      </w:r>
    </w:p>
    <w:p w14:paraId="022C2B09" w14:textId="77777777" w:rsidR="001F7233" w:rsidRDefault="00000000">
      <w:r>
        <w:rPr>
          <w:b/>
        </w:rPr>
        <w:t xml:space="preserve">In Deutschland: </w:t>
      </w:r>
      <w:r>
        <w:t>Unter Freunden üblich</w:t>
      </w:r>
    </w:p>
    <w:p w14:paraId="737B9CC2" w14:textId="77777777" w:rsidR="001F7233" w:rsidRDefault="00000000">
      <w:r>
        <w:rPr>
          <w:b/>
        </w:rPr>
        <w:t xml:space="preserve">In den USA: </w:t>
      </w:r>
      <w:r>
        <w:t>Unüblich</w:t>
      </w:r>
    </w:p>
    <w:p w14:paraId="6839A9ED" w14:textId="77777777" w:rsidR="001F7233" w:rsidRDefault="00000000">
      <w:r>
        <w:rPr>
          <w:b/>
        </w:rPr>
        <w:t xml:space="preserve">Tipp: </w:t>
      </w:r>
      <w:r>
        <w:t>Vorher eine Nachricht schreiben</w:t>
      </w:r>
    </w:p>
    <w:p w14:paraId="0738C5CA" w14:textId="77777777" w:rsidR="001F7233" w:rsidRDefault="00000000">
      <w:r>
        <w:rPr>
          <w:b/>
        </w:rPr>
        <w:t>Sonntag</w:t>
      </w:r>
    </w:p>
    <w:p w14:paraId="28087DF2" w14:textId="77777777" w:rsidR="001F7233" w:rsidRDefault="00000000">
      <w:r>
        <w:rPr>
          <w:b/>
        </w:rPr>
        <w:t xml:space="preserve">In Deutschland: </w:t>
      </w:r>
      <w:r>
        <w:t>Ruhetag, Läden zu</w:t>
      </w:r>
    </w:p>
    <w:p w14:paraId="68D48328" w14:textId="77777777" w:rsidR="001F7233" w:rsidRDefault="00000000">
      <w:r>
        <w:rPr>
          <w:b/>
        </w:rPr>
        <w:t xml:space="preserve">In den USA: </w:t>
      </w:r>
      <w:r>
        <w:t>Läden meist offen</w:t>
      </w:r>
    </w:p>
    <w:p w14:paraId="3BB871FE" w14:textId="77777777" w:rsidR="001F7233" w:rsidRDefault="00000000">
      <w:r>
        <w:rPr>
          <w:b/>
        </w:rPr>
        <w:t xml:space="preserve">Tipp: </w:t>
      </w:r>
      <w:r>
        <w:t>Ruhezeiten im Mietvertrag prüfen</w:t>
      </w:r>
    </w:p>
    <w:p w14:paraId="2DF9FCA9" w14:textId="77777777" w:rsidR="001F7233" w:rsidRDefault="00000000">
      <w:r>
        <w:rPr>
          <w:b/>
        </w:rPr>
        <w:t>Datum</w:t>
      </w:r>
    </w:p>
    <w:p w14:paraId="6A5E9BA2" w14:textId="77777777" w:rsidR="001F7233" w:rsidRDefault="00000000">
      <w:r>
        <w:rPr>
          <w:b/>
        </w:rPr>
        <w:t xml:space="preserve">In Deutschland: </w:t>
      </w:r>
      <w:r>
        <w:t>7.4.2026 ist der 7. April</w:t>
      </w:r>
    </w:p>
    <w:p w14:paraId="4A85978D" w14:textId="77777777" w:rsidR="001F7233" w:rsidRDefault="00000000">
      <w:r>
        <w:rPr>
          <w:b/>
        </w:rPr>
        <w:t xml:space="preserve">In den USA: </w:t>
      </w:r>
      <w:r>
        <w:t>7/4/2026 ist der 4. Juli</w:t>
      </w:r>
    </w:p>
    <w:p w14:paraId="0213E62D" w14:textId="77777777" w:rsidR="001F7233" w:rsidRDefault="00000000">
      <w:r>
        <w:rPr>
          <w:b/>
        </w:rPr>
        <w:t xml:space="preserve">Tipp: </w:t>
      </w:r>
      <w:r>
        <w:t>Termine ausschreiben</w:t>
      </w:r>
    </w:p>
    <w:p w14:paraId="5071F9AE" w14:textId="77777777" w:rsidR="001F7233" w:rsidRDefault="001F7233">
      <w:pPr>
        <w:spacing w:line="180" w:lineRule="exact"/>
      </w:pPr>
    </w:p>
    <w:p w14:paraId="3F845D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Werte, Religion, Politik, Waffen</w:t>
      </w:r>
    </w:p>
    <w:p w14:paraId="54145C82" w14:textId="77777777" w:rsidR="001F7233" w:rsidRDefault="00000000">
      <w:pPr>
        <w:spacing w:after="140"/>
      </w:pPr>
      <w:r>
        <w:rPr>
          <w:b/>
          <w:bCs/>
        </w:rPr>
        <w:t>Individualismus und Optimismus.</w:t>
      </w:r>
      <w:r>
        <w:t xml:space="preserve"> Amerikaner betonen Eigeninitiative und Selbstverantwortung; vom Staat erwartet man weniger als in Deutschland, spürbar bei Krankenversicherung, Rente und Ausbildung (Kapitel </w:t>
      </w:r>
      <w:hyperlink w:anchor="k26">
        <w:r w:rsidR="001F7233">
          <w:t>26</w:t>
        </w:r>
      </w:hyperlink>
      <w:r>
        <w:t xml:space="preserve"> und </w:t>
      </w:r>
      <w:hyperlink w:anchor="k39">
        <w:r w:rsidR="001F7233">
          <w:t>39</w:t>
        </w:r>
      </w:hyperlink>
      <w:r>
        <w:t>). Dazu passt der Optimismus: Probleme heißen „Challenges”, ein gescheitertes Unternehmen gilt eher als Lehrgeld denn als Makel. Die Kehrseite ist ein dünneres Auffangnetz; offenes Klagen wirkt schnell als Jammern. Zugleich sind Ehrenamt, Spenden und Nachbarschaftshilfe stark ausgeprägt.</w:t>
      </w:r>
    </w:p>
    <w:p w14:paraId="2C2DDA65" w14:textId="77777777" w:rsidR="001F7233" w:rsidRDefault="00000000">
      <w:pPr>
        <w:spacing w:after="140"/>
      </w:pPr>
      <w:r>
        <w:rPr>
          <w:b/>
          <w:bCs/>
        </w:rPr>
        <w:t>Patriotismus. Flaggen an Häusern, die Hymne vor Sportspielen, in vielen Schulen der Treueschwur (Pledge of Allegiance), „Thank you for your service“ für Soldaten: Das gehört zur Alltagskultur und ist für die meisten ein Zeichen von Zugehörigkeit, nicht von Nationalismus. Bei der Hymne stehst du auf; mitsprechen musst du nicht. Spott über Flagge oder Militär ist ein schlechter Einstieg.</w:t>
      </w:r>
    </w:p>
    <w:p w14:paraId="76200F22" w14:textId="77777777" w:rsidR="001F7233" w:rsidRDefault="00000000">
      <w:pPr>
        <w:spacing w:after="140"/>
      </w:pPr>
      <w:r>
        <w:rPr>
          <w:b/>
          <w:bCs/>
        </w:rPr>
        <w:lastRenderedPageBreak/>
        <w:t>Religion.</w:t>
      </w:r>
      <w:r>
        <w:t xml:space="preserve"> Nach der Religious Landscape Study des Pew Research Center (2023–24) bezeichnen sich 62 % der Erwachsenen als Christen und 29 % als konfessionslos. Regional ist das sehr verschieden: Im Süden und Mittleren Westen sind Kirchgang und Tischgebet häufiger, in Seattle oder Neuengland seltener. Staat und Religion sind getrennt, eine Kirchensteuer gibt es nicht; Gemeinden leben von Spenden und sind oft sozialer Mittelpunkt (Kapitel </w:t>
      </w:r>
      <w:hyperlink w:anchor="k32">
        <w:r w:rsidR="001F7233">
          <w:t>32</w:t>
        </w:r>
      </w:hyperlink>
      <w:r>
        <w:t>). „Where do you go to church?” ist in manchen Regionen Small Talk; ein freundliches „We’re not religious, but thanks for asking” genügt.</w:t>
      </w:r>
    </w:p>
    <w:p w14:paraId="46F17F44" w14:textId="77777777" w:rsidR="001F7233" w:rsidRDefault="00000000">
      <w:pPr>
        <w:spacing w:after="140"/>
      </w:pPr>
      <w:r>
        <w:rPr>
          <w:b/>
          <w:bCs/>
        </w:rPr>
        <w:t>Politik und Polarisierung.</w:t>
      </w:r>
      <w:r>
        <w:t xml:space="preserve"> Für viele Amerikaner ist die politische Zugehörigkeit mehr als eine Wahlentscheidung; sie prägt Medienkonsum, Nachbarschaft und Freundeskreis. Praktisch heißt das: Frage Fremde nie, wen sie wählen, und lass Wahlplakate im Vorgarten (</w:t>
      </w:r>
      <w:r>
        <w:rPr>
          <w:i/>
          <w:iCs/>
        </w:rPr>
        <w:t>Yard Signs</w:t>
      </w:r>
      <w:r>
        <w:t>), Mützen und Autoaufkleber unkommentiert. Höre zu statt zu diskutieren, und vergleiche nicht bei jeder Gelegenheit mit Deutschland. Viele Arbeitgeber begrenzen politische Debatten im Büro per Richtlinie. Öffentliche Beiträge in sozialen Netzwerken werden gelesen: Im Visumantrag fragt das State Department nach deinen Social-Media-Konten (Kapitel </w:t>
      </w:r>
      <w:hyperlink w:anchor="k11">
        <w:r w:rsidR="001F7233">
          <w:t>11</w:t>
        </w:r>
      </w:hyperlink>
      <w:r>
        <w:t>).</w:t>
      </w:r>
    </w:p>
    <w:p w14:paraId="39AC2D8B" w14:textId="77777777" w:rsidR="001F7233" w:rsidRDefault="00000000">
      <w:pPr>
        <w:spacing w:after="140"/>
      </w:pPr>
      <w:r>
        <w:rPr>
          <w:b/>
          <w:bCs/>
        </w:rPr>
        <w:t>Vielfalt.</w:t>
      </w:r>
      <w:r>
        <w:t xml:space="preserve"> Die USA sind ein Einwanderungsland; ein deutscher Akzent fällt in den meisten Metropolregionen nicht auf. Formulare fragen freiwillig nach </w:t>
      </w:r>
      <w:r>
        <w:rPr>
          <w:i/>
          <w:iCs/>
        </w:rPr>
        <w:t>Race</w:t>
      </w:r>
      <w:r>
        <w:t xml:space="preserve"> und </w:t>
      </w:r>
      <w:r>
        <w:rPr>
          <w:i/>
          <w:iCs/>
        </w:rPr>
        <w:t>Ethnicity</w:t>
      </w:r>
      <w:r>
        <w:t xml:space="preserve"> (Herkunftsgruppe), gebräuchlich sind Begriffe wie „Black“, „Asian American“, „Hispanic“ oder „Latino“ und „Native Americans“. Das N-Wort ist in jeder Form tabu, auch beim Mitsingen von Liedtexten.</w:t>
      </w:r>
    </w:p>
    <w:p w14:paraId="1D5BFF2C" w14:textId="77777777" w:rsidR="001F7233" w:rsidRDefault="00000000">
      <w:pPr>
        <w:spacing w:after="140"/>
      </w:pPr>
      <w:r>
        <w:rPr>
          <w:b/>
          <w:bCs/>
        </w:rPr>
        <w:t>Waffen.</w:t>
      </w:r>
      <w:r>
        <w:t xml:space="preserve"> Der Zweite Verfassungszusatz schützt den Waffenbesitz; wie er ausgestaltet ist, regelt jeder Bundesstaat anders. In Kalifornien, New York oder Massachusetts gelten strenge Auflagen, in mehr als der Hälfte der Staaten darf man ohne Erlaubnisschein verdeckt tragen (Stand 2026). Nach Pew (2023) besitzen 32 % der Erwachsenen eine Waffe, rund vier von zehn leben in einem Haushalt mit Waffe. Die Gründe reichen von Jagd und Sport bis zur Selbstverteidigung. In Deutschland ist der Besitz an Bedürfnis, </w:t>
      </w:r>
      <w:r>
        <w:lastRenderedPageBreak/>
        <w:t>Prüfung und Erlaubnis gebunden. Ob im Haus, in dem deine Kinder spielen, Waffen liegen und wie sie gesichert sind, darfst du fragen (Kapitel </w:t>
      </w:r>
      <w:hyperlink w:anchor="k40">
        <w:r w:rsidR="001F7233">
          <w:t>40</w:t>
        </w:r>
      </w:hyperlink>
      <w:r>
        <w:t>).</w:t>
      </w:r>
    </w:p>
    <w:p w14:paraId="6D58EE02" w14:textId="77777777" w:rsidR="001F7233" w:rsidRDefault="00000000">
      <w:r>
        <w:rPr>
          <w:b/>
        </w:rPr>
        <w:t xml:space="preserve">ACHTUNG: </w:t>
      </w:r>
    </w:p>
    <w:p w14:paraId="07AFB752" w14:textId="77777777" w:rsidR="001F7233" w:rsidRDefault="00000000">
      <w:r>
        <w:t xml:space="preserve">• Für Nichtstaatsbürger gelten hier harte Grenzen. Bei Bundeswahlen dürfen nur Staatsbürger wählen; eine unberechtigte Stimmabgabe oder Registrierung kann strafbar sein und die Abschiebung nach sich ziehen. Spenden an Kandidaten und Wahlkampfgruppen sind Inhabern befristeter Visa (H-1B, L-1, F-1) bundesrechtlich untersagt; mit Green Card sind sie erlaubt (Wahlkommission FEC). Waffenbesitz ist Inhabern befristeter Visa grundsätzlich verboten, es gibt enge Ausnahmen wie eine gültige Jagdlizenz. Mehr in </w:t>
      </w:r>
      <w:hyperlink w:anchor="k40">
        <w:r w:rsidR="001F7233">
          <w:rPr>
            <w:color w:val="0563C1"/>
            <w:u w:val="single"/>
          </w:rPr>
          <w:t>Kapitel 40</w:t>
        </w:r>
      </w:hyperlink>
      <w:r>
        <w:t>.</w:t>
      </w:r>
    </w:p>
    <w:p w14:paraId="7B186A2D" w14:textId="77777777" w:rsidR="001F7233" w:rsidRDefault="001F7233">
      <w:pPr>
        <w:spacing w:line="220" w:lineRule="exact"/>
      </w:pPr>
    </w:p>
    <w:p w14:paraId="72AE32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Regeln und Recht</w:t>
      </w:r>
    </w:p>
    <w:p w14:paraId="1FDB6AF9" w14:textId="77777777" w:rsidR="001F7233" w:rsidRDefault="00000000">
      <w:pPr>
        <w:spacing w:after="140"/>
      </w:pPr>
      <w:r>
        <w:rPr>
          <w:b/>
          <w:bCs/>
        </w:rPr>
        <w:t>Klagekultur, Haftung und Warnhinweise.</w:t>
      </w:r>
      <w:r>
        <w:t xml:space="preserve"> Anwälte übernehmen Schadensersatzklagen oft gegen ein Erfolgshonorar (</w:t>
      </w:r>
      <w:r>
        <w:rPr>
          <w:i/>
          <w:iCs/>
        </w:rPr>
        <w:t>Contingency Fee</w:t>
      </w:r>
      <w:r>
        <w:t>, üblich sind ein Drittel bis 40 % der Summe); wer verliert, trägt meist nur die eigenen Kosten. Dazu kommen Zivilprozesse mit Geschworenen und teils hohe Summen. Die Folge ist eine Kultur der Absicherung: „Caution: Wet Floor“, „Contents Hot“ auf dem Kaffeebecher, in Kalifornien die Warnhinweise nach Proposition 65 zu Chemikalien und Haftungsverzichte (</w:t>
      </w:r>
      <w:r>
        <w:rPr>
          <w:i/>
          <w:iCs/>
        </w:rPr>
        <w:t>Waivers</w:t>
      </w:r>
      <w:r>
        <w:t>), die du vor Trampolinpark, Skilift oder Kinderturnen unterschreibst. Lies sie vor der Unterschrift. Stürzt ein Gast auf deiner vereisten Treppe, haftest du. Die Mieter- oder Hausversicherung enthält meist Haftpflichtschutz (Kapitel </w:t>
      </w:r>
      <w:hyperlink w:anchor="k25">
        <w:r w:rsidR="001F7233">
          <w:t>25</w:t>
        </w:r>
      </w:hyperlink>
      <w:r>
        <w:t>).</w:t>
      </w:r>
    </w:p>
    <w:p w14:paraId="3FA38EA0" w14:textId="77777777" w:rsidR="001F7233" w:rsidRDefault="00000000">
      <w:pPr>
        <w:spacing w:after="140"/>
      </w:pPr>
      <w:r>
        <w:rPr>
          <w:b/>
          <w:bCs/>
        </w:rPr>
        <w:t>Alkohol und Tabak.</w:t>
      </w:r>
      <w:r>
        <w:t xml:space="preserve"> Bundesweit gilt 21 Jahre für Kauf und Konsum von Alkohol, seit 1984 durch Druck des Bundes auf die Staaten; für Tabak und Vapes gilt 21 seit 2019. In Deutschland sind Bier und Wein ab 16 erlaubt, Spirituosen ab 18. Bars und Läden kontrollieren oft jeden, der jünger als 40 wirkt; nimm Reisepass oder US-</w:t>
      </w:r>
      <w:r>
        <w:lastRenderedPageBreak/>
        <w:t>Führerschein mit, eine Kopie genügt nicht. Wo Spirituosen verkauft werden, wann sonntags und in welchen Läden (in Utah etwa staatlichen), entscheidet der Bundesstaat. Für Jugendliche unter 21 gibt es je nach Staat Ausnahmen, etwa im Beisein der Eltern; verlasse dich nicht darauf und biete Minderjährigen keinen Alkohol an (Kapitel </w:t>
      </w:r>
      <w:hyperlink w:anchor="k35">
        <w:r w:rsidR="001F7233">
          <w:t>35</w:t>
        </w:r>
      </w:hyperlink>
      <w:r>
        <w:t>).</w:t>
      </w:r>
    </w:p>
    <w:p w14:paraId="00A36480" w14:textId="77777777" w:rsidR="001F7233" w:rsidRDefault="00000000">
      <w:r>
        <w:rPr>
          <w:b/>
        </w:rPr>
        <w:t xml:space="preserve">ACHTUNG: </w:t>
      </w:r>
    </w:p>
    <w:p w14:paraId="175323D9" w14:textId="77777777" w:rsidR="001F7233" w:rsidRDefault="00000000">
      <w:r>
        <w:t>• Bier im Park, Sekt am Flussufer: In den meisten Städten verbieten Open-Container-Regeln offene alkoholische Getränke in der Öffentlichkeit, im Auto sowieso. Das kostet ein Bußgeld und kann je nach Ort als Vergehen (Misdemeanor) gelten. Ausnahmen gibt es nur an einzelnen Orten wie dem French Quarter in New Orleans.</w:t>
      </w:r>
    </w:p>
    <w:p w14:paraId="6B92E8CA" w14:textId="77777777" w:rsidR="001F7233" w:rsidRDefault="001F7233">
      <w:pPr>
        <w:spacing w:line="220" w:lineRule="exact"/>
      </w:pPr>
    </w:p>
    <w:p w14:paraId="7DF9721F" w14:textId="77777777" w:rsidR="001F7233" w:rsidRDefault="00000000">
      <w:pPr>
        <w:spacing w:after="140"/>
      </w:pPr>
      <w:r>
        <w:rPr>
          <w:b/>
          <w:bCs/>
        </w:rPr>
        <w:t>Cannabis. In 24 Bundesstaaten und im District of Columbia ist der Freizeitkonsum für Erwachsene ab 21 nach Landesrecht erlaubt (Stand Sommer 2026). Deutschland erlaubt seit April 2024 Besitz und Eigenanbau für Erwachsene ab 18 in engen Grenzen. Bundesrechtlich bleibt Cannabis in den USA im Kern verboten. Seit 22. April 2026 sind nur zugelassene Arzneimittel und staatlich lizenzierte medizinische Produkte in Schedule III des Controlled Substances Act (Bundesgesetz über kontrollierte Substanzen) eingestuft. Über eine breitere Umstufung läuft ein Verfahren der Drogenbehörde DEA (Stand August 2026).</w:t>
      </w:r>
    </w:p>
    <w:p w14:paraId="659C04AC" w14:textId="77777777" w:rsidR="001F7233" w:rsidRDefault="00000000">
      <w:r>
        <w:rPr>
          <w:b/>
        </w:rPr>
        <w:t xml:space="preserve">ACHTUNG: </w:t>
      </w:r>
    </w:p>
    <w:p w14:paraId="2D6C2C9A" w14:textId="77777777" w:rsidR="001F7233" w:rsidRDefault="00000000">
      <w:r>
        <w:t xml:space="preserve">• Legal nach Landesrecht heißt nicht risikofrei für dich. Für Visum, Green Card und Einbürgerung zählt Bundesrecht: Konsum, Besitz oder eine Tätigkeit in der Cannabisbranche können Einreise, Verlängerung oder Einbürgerung gefährden, auch dort, wo der Kauf erlaubt ist. An Flughäfen und in Flugzeugen gilt Bundesrecht; nimm nichts über Staatsgrenzen mit. Details und Strafrecht: </w:t>
      </w:r>
      <w:hyperlink w:anchor="k40">
        <w:r w:rsidR="001F7233">
          <w:rPr>
            <w:color w:val="0563C1"/>
            <w:u w:val="single"/>
          </w:rPr>
          <w:t>Kapitel 40</w:t>
        </w:r>
      </w:hyperlink>
      <w:r>
        <w:t>.</w:t>
      </w:r>
    </w:p>
    <w:p w14:paraId="29F7DBED" w14:textId="77777777" w:rsidR="001F7233" w:rsidRDefault="001F7233">
      <w:pPr>
        <w:spacing w:line="220" w:lineRule="exact"/>
      </w:pPr>
    </w:p>
    <w:p w14:paraId="24BCCD9E" w14:textId="77777777" w:rsidR="001F7233" w:rsidRDefault="00000000">
      <w:pPr>
        <w:spacing w:after="140"/>
      </w:pPr>
      <w:r>
        <w:rPr>
          <w:b/>
          <w:bCs/>
        </w:rPr>
        <w:t>Keine Meldepflicht.</w:t>
      </w:r>
      <w:r>
        <w:t xml:space="preserve"> Ein Einwohnermeldeamt gibt es nicht; du meldest dich nirgends „an“. Deine Adresse teilst du Vermieter, Führerscheinbehörde (</w:t>
      </w:r>
      <w:r>
        <w:rPr>
          <w:i/>
          <w:iCs/>
        </w:rPr>
        <w:t>DMV</w:t>
      </w:r>
      <w:r>
        <w:t xml:space="preserve">), Bank, Steuerbehörde und Post mit. </w:t>
      </w:r>
      <w:r>
        <w:lastRenderedPageBreak/>
        <w:t xml:space="preserve">Einen Personalausweis kennt das Land nicht: Als Ausweis dienen Führerschein oder </w:t>
      </w:r>
      <w:r>
        <w:rPr>
          <w:i/>
          <w:iCs/>
        </w:rPr>
        <w:t>State ID</w:t>
      </w:r>
      <w:r>
        <w:t>. Für Nichtstaatsbürger gilt eine Ausnahme: Jede Adressänderung ist binnen 10 Tagen mit Form AR-11 zu melden (Kapitel </w:t>
      </w:r>
      <w:hyperlink w:anchor="k30">
        <w:r w:rsidR="001F7233">
          <w:t>30</w:t>
        </w:r>
      </w:hyperlink>
      <w:r>
        <w:t>). Rundfunkbeitrag und Kirchensteuer entfallen.</w:t>
      </w:r>
    </w:p>
    <w:p w14:paraId="7A28FAEA" w14:textId="77777777" w:rsidR="001F7233" w:rsidRDefault="00000000">
      <w:pPr>
        <w:spacing w:after="140"/>
      </w:pPr>
      <w:r>
        <w:rPr>
          <w:b/>
          <w:bCs/>
        </w:rPr>
        <w:t>Datenschutz.</w:t>
      </w:r>
      <w:r>
        <w:t xml:space="preserve"> Eine umfassende Regelung wie die DSGVO fehlt auf Bundesebene. Es gelten Einzelgesetze (Gesundheitsdaten: HIPAA, Schulunterlagen: FERPA, Kinder im Netz: COPPA) und Landesgesetze; Kalifornien führt mit dem CCPA, insgesamt haben nach gängigen Zählungen 19 bis 20 Bundesstaaten ein umfassendes Verbraucherdatenschutzgesetz (Stand 2026). Praktisch heißt das: Unternehmen dürfen Daten oft sammeln und weitergeben, solange du nicht widersprichst (</w:t>
      </w:r>
      <w:r>
        <w:rPr>
          <w:i/>
          <w:iCs/>
        </w:rPr>
        <w:t>Opt-out</w:t>
      </w:r>
      <w:r>
        <w:t>). Kameras an Türen, in Läden und im Auto sind üblich. Nenne deine Sozialversicherungsnummer nur, wo sie nötig ist (Kapitel </w:t>
      </w:r>
      <w:hyperlink w:anchor="k24">
        <w:r w:rsidR="001F7233">
          <w:t>24</w:t>
        </w:r>
      </w:hyperlink>
      <w:r>
        <w:t>).</w:t>
      </w:r>
    </w:p>
    <w:p w14:paraId="112EDF04" w14:textId="77777777" w:rsidR="001F7233" w:rsidRDefault="00000000">
      <w:r>
        <w:rPr>
          <w:b/>
        </w:rPr>
        <w:t>Alkohol kaufen</w:t>
      </w:r>
    </w:p>
    <w:p w14:paraId="4E2E679B" w14:textId="77777777" w:rsidR="001F7233" w:rsidRDefault="00000000">
      <w:r>
        <w:rPr>
          <w:b/>
        </w:rPr>
        <w:t xml:space="preserve">In Deutschland: </w:t>
      </w:r>
      <w:r>
        <w:t>Bier und Wein ab 16, Spirituosen ab 18</w:t>
      </w:r>
    </w:p>
    <w:p w14:paraId="65498644" w14:textId="77777777" w:rsidR="001F7233" w:rsidRDefault="00000000">
      <w:r>
        <w:rPr>
          <w:b/>
        </w:rPr>
        <w:t xml:space="preserve">In den USA: </w:t>
      </w:r>
      <w:r>
        <w:t>21, Ausweis oft verlangt</w:t>
      </w:r>
    </w:p>
    <w:p w14:paraId="50B0BA31" w14:textId="77777777" w:rsidR="001F7233" w:rsidRDefault="00000000">
      <w:r>
        <w:rPr>
          <w:b/>
        </w:rPr>
        <w:t xml:space="preserve">Tipp: </w:t>
      </w:r>
      <w:r>
        <w:t>Reisepass oder Führerschein mitnehmen</w:t>
      </w:r>
    </w:p>
    <w:p w14:paraId="26E3BB53" w14:textId="77777777" w:rsidR="001F7233" w:rsidRDefault="00000000">
      <w:r>
        <w:rPr>
          <w:b/>
        </w:rPr>
        <w:t>Bier im Park</w:t>
      </w:r>
    </w:p>
    <w:p w14:paraId="09962A9C" w14:textId="77777777" w:rsidR="001F7233" w:rsidRDefault="00000000">
      <w:r>
        <w:rPr>
          <w:b/>
        </w:rPr>
        <w:t xml:space="preserve">In Deutschland: </w:t>
      </w:r>
      <w:r>
        <w:t>Meist erlaubt</w:t>
      </w:r>
    </w:p>
    <w:p w14:paraId="60ED52C6" w14:textId="77777777" w:rsidR="001F7233" w:rsidRDefault="00000000">
      <w:r>
        <w:rPr>
          <w:b/>
        </w:rPr>
        <w:t xml:space="preserve">In den USA: </w:t>
      </w:r>
      <w:r>
        <w:t>Open Container meist verboten</w:t>
      </w:r>
    </w:p>
    <w:p w14:paraId="0B8D674D" w14:textId="77777777" w:rsidR="001F7233" w:rsidRDefault="00000000">
      <w:r>
        <w:rPr>
          <w:b/>
        </w:rPr>
        <w:t xml:space="preserve">Tipp: </w:t>
      </w:r>
      <w:r>
        <w:t>Nur in Bars, Restaurants, Privaträumen</w:t>
      </w:r>
    </w:p>
    <w:p w14:paraId="4AC0A1A1" w14:textId="77777777" w:rsidR="001F7233" w:rsidRDefault="00000000">
      <w:r>
        <w:rPr>
          <w:b/>
        </w:rPr>
        <w:t>Cannabis</w:t>
      </w:r>
    </w:p>
    <w:p w14:paraId="5B058137" w14:textId="77777777" w:rsidR="001F7233" w:rsidRDefault="00000000">
      <w:r>
        <w:rPr>
          <w:b/>
        </w:rPr>
        <w:t xml:space="preserve">In Deutschland: </w:t>
      </w:r>
      <w:r>
        <w:t>Seit 4/2024 teilweise legal</w:t>
      </w:r>
    </w:p>
    <w:p w14:paraId="7D3B121D" w14:textId="77777777" w:rsidR="001F7233" w:rsidRDefault="00000000">
      <w:r>
        <w:rPr>
          <w:b/>
        </w:rPr>
        <w:t xml:space="preserve">In den USA: </w:t>
      </w:r>
      <w:r>
        <w:t>Bundesrecht verboten, 24 Staaten erlauben ab 21</w:t>
      </w:r>
    </w:p>
    <w:p w14:paraId="5E32DB65" w14:textId="77777777" w:rsidR="001F7233" w:rsidRDefault="00000000">
      <w:r>
        <w:rPr>
          <w:b/>
        </w:rPr>
        <w:t xml:space="preserve">Tipp: </w:t>
      </w:r>
      <w:r>
        <w:t>Als Nichtstaatsbürger meiden</w:t>
      </w:r>
    </w:p>
    <w:p w14:paraId="60178B14" w14:textId="77777777" w:rsidR="001F7233" w:rsidRDefault="00000000">
      <w:r>
        <w:rPr>
          <w:b/>
        </w:rPr>
        <w:t>Umzug</w:t>
      </w:r>
    </w:p>
    <w:p w14:paraId="023F72DC" w14:textId="77777777" w:rsidR="001F7233" w:rsidRDefault="00000000">
      <w:r>
        <w:rPr>
          <w:b/>
        </w:rPr>
        <w:t xml:space="preserve">In Deutschland: </w:t>
      </w:r>
      <w:r>
        <w:t>Anmeldung binnen zwei Wochen</w:t>
      </w:r>
    </w:p>
    <w:p w14:paraId="5726074F" w14:textId="77777777" w:rsidR="001F7233" w:rsidRDefault="00000000">
      <w:r>
        <w:rPr>
          <w:b/>
        </w:rPr>
        <w:t xml:space="preserve">In den USA: </w:t>
      </w:r>
      <w:r>
        <w:t>Keine Anmeldung; AR-11 für Nichtstaatsbürger</w:t>
      </w:r>
    </w:p>
    <w:p w14:paraId="68F3540A" w14:textId="77777777" w:rsidR="001F7233" w:rsidRDefault="00000000">
      <w:r>
        <w:rPr>
          <w:b/>
        </w:rPr>
        <w:t xml:space="preserve">Tipp: </w:t>
      </w:r>
      <w:r>
        <w:t>Adressänderung in 10 Tagen melden</w:t>
      </w:r>
    </w:p>
    <w:p w14:paraId="59EBFB84" w14:textId="77777777" w:rsidR="001F7233" w:rsidRDefault="00000000">
      <w:r>
        <w:rPr>
          <w:b/>
        </w:rPr>
        <w:t>Unfall, Schaden</w:t>
      </w:r>
    </w:p>
    <w:p w14:paraId="4D1CE8C5" w14:textId="77777777" w:rsidR="001F7233" w:rsidRDefault="00000000">
      <w:r>
        <w:rPr>
          <w:b/>
        </w:rPr>
        <w:t xml:space="preserve">In Deutschland: </w:t>
      </w:r>
      <w:r>
        <w:t>Haftpflicht, selten Klage</w:t>
      </w:r>
    </w:p>
    <w:p w14:paraId="691AA408" w14:textId="77777777" w:rsidR="001F7233" w:rsidRDefault="00000000">
      <w:r>
        <w:rPr>
          <w:b/>
        </w:rPr>
        <w:t xml:space="preserve">In den USA: </w:t>
      </w:r>
      <w:r>
        <w:t>Klagen häufiger, Waivers</w:t>
      </w:r>
    </w:p>
    <w:p w14:paraId="3E13B846" w14:textId="77777777" w:rsidR="001F7233" w:rsidRDefault="00000000">
      <w:r>
        <w:rPr>
          <w:b/>
        </w:rPr>
        <w:lastRenderedPageBreak/>
        <w:t xml:space="preserve">Tipp: </w:t>
      </w:r>
      <w:r>
        <w:t>Haftpflicht abschließen</w:t>
      </w:r>
    </w:p>
    <w:p w14:paraId="15912874" w14:textId="77777777" w:rsidR="001F7233" w:rsidRDefault="00000000">
      <w:r>
        <w:rPr>
          <w:b/>
        </w:rPr>
        <w:t>Ausweis</w:t>
      </w:r>
    </w:p>
    <w:p w14:paraId="7CC9A781" w14:textId="77777777" w:rsidR="001F7233" w:rsidRDefault="00000000">
      <w:r>
        <w:rPr>
          <w:b/>
        </w:rPr>
        <w:t xml:space="preserve">In Deutschland: </w:t>
      </w:r>
      <w:r>
        <w:t>Personalausweis</w:t>
      </w:r>
    </w:p>
    <w:p w14:paraId="5F2BF6FF" w14:textId="77777777" w:rsidR="001F7233" w:rsidRDefault="00000000">
      <w:r>
        <w:rPr>
          <w:b/>
        </w:rPr>
        <w:t xml:space="preserve">In den USA: </w:t>
      </w:r>
      <w:r>
        <w:t>Führerschein oder State ID</w:t>
      </w:r>
    </w:p>
    <w:p w14:paraId="34AF8DA6" w14:textId="77777777" w:rsidR="001F7233" w:rsidRDefault="00000000">
      <w:r>
        <w:rPr>
          <w:b/>
        </w:rPr>
        <w:t xml:space="preserve">Tipp: </w:t>
      </w:r>
      <w:r>
        <w:t>Beides früh beantragen</w:t>
      </w:r>
    </w:p>
    <w:p w14:paraId="4DD9DA31" w14:textId="77777777" w:rsidR="001F7233" w:rsidRDefault="001F7233">
      <w:pPr>
        <w:spacing w:line="180" w:lineRule="exact"/>
      </w:pPr>
    </w:p>
    <w:p w14:paraId="39946F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Trinkgeld, Preise ohne Steuer, Rechnung teilen</w:t>
      </w:r>
    </w:p>
    <w:p w14:paraId="0E7A0856" w14:textId="77777777" w:rsidR="001F7233" w:rsidRDefault="00000000">
      <w:pPr>
        <w:spacing w:after="140"/>
      </w:pPr>
      <w:r>
        <w:rPr>
          <w:b/>
          <w:bCs/>
        </w:rPr>
        <w:t>Trinkgeld.</w:t>
      </w:r>
      <w:r>
        <w:t xml:space="preserve"> In Deutschland ist der Service im Preis enthalten, Trinkgeld ist ein Dankeschön. In den USA ist es Teil des Lohns: Das Bundesrecht erlaubt, Trinkgeldempfängern nur 2,13 $ pro Stunde in bar zu zahlen, der Rest bis zum Mindestlohn von 7,25 $ soll aus Trinkgeld kommen. Viele Staaten setzen höhere Werte an. Sieben Staaten (Alaska, Kalifornien, Minnesota, Montana, Nevada, Oregon, Washington) verlangen den vollen Mindestlohn, doch auch dort wird Trinkgeld erwartet. Wer bei ordentlichem Service nichts gibt, fällt unangenehm auf.</w:t>
      </w:r>
    </w:p>
    <w:p w14:paraId="7A9E8FCC" w14:textId="77777777" w:rsidR="001F7233" w:rsidRDefault="00000000">
      <w:pPr>
        <w:spacing w:after="140"/>
      </w:pPr>
      <w:r>
        <w:t>Die Richtwerte (Stand 2026, Spannen je nach Ort und Anlass):</w:t>
      </w:r>
    </w:p>
    <w:p w14:paraId="2FFF8D08" w14:textId="77777777" w:rsidR="001F7233" w:rsidRDefault="00000000">
      <w:pPr>
        <w:pStyle w:val="ListParagraph"/>
        <w:numPr>
          <w:ilvl w:val="0"/>
          <w:numId w:val="1"/>
        </w:numPr>
        <w:spacing w:after="60"/>
      </w:pPr>
      <w:r>
        <w:rPr>
          <w:b/>
          <w:bCs/>
        </w:rPr>
        <w:t>Restaurant mit Bedienung: 18–20 % vom Betrag vor Steuer. 15 % ist das untere Ende, für hervorragenden Service gibt man mehr.</w:t>
      </w:r>
    </w:p>
    <w:p w14:paraId="79D2328F" w14:textId="77777777" w:rsidR="001F7233" w:rsidRDefault="00000000">
      <w:pPr>
        <w:pStyle w:val="ListParagraph"/>
        <w:numPr>
          <w:ilvl w:val="0"/>
          <w:numId w:val="1"/>
        </w:numPr>
        <w:spacing w:after="60"/>
      </w:pPr>
      <w:r>
        <w:rPr>
          <w:b/>
          <w:bCs/>
        </w:rPr>
        <w:t>Bar:</w:t>
      </w:r>
      <w:r>
        <w:t xml:space="preserve"> 1–2 $ pro Getränk oder 18–20 % der Rechnung.</w:t>
      </w:r>
    </w:p>
    <w:p w14:paraId="0FEAA32B" w14:textId="77777777" w:rsidR="001F7233" w:rsidRDefault="00000000">
      <w:pPr>
        <w:pStyle w:val="ListParagraph"/>
        <w:numPr>
          <w:ilvl w:val="0"/>
          <w:numId w:val="1"/>
        </w:numPr>
        <w:spacing w:after="60"/>
      </w:pPr>
      <w:r>
        <w:rPr>
          <w:b/>
          <w:bCs/>
        </w:rPr>
        <w:t>Taxi und Rideshare:</w:t>
      </w:r>
      <w:r>
        <w:t xml:space="preserve"> 15–20 %; bei sehr kurzen Fahrten 1–2 $.</w:t>
      </w:r>
    </w:p>
    <w:p w14:paraId="37826EFB" w14:textId="77777777" w:rsidR="001F7233" w:rsidRDefault="00000000">
      <w:pPr>
        <w:pStyle w:val="ListParagraph"/>
        <w:numPr>
          <w:ilvl w:val="0"/>
          <w:numId w:val="1"/>
        </w:numPr>
        <w:spacing w:after="60"/>
      </w:pPr>
      <w:r>
        <w:rPr>
          <w:b/>
          <w:bCs/>
        </w:rPr>
        <w:t>Friseur, Nagelstudio, Massage:</w:t>
      </w:r>
      <w:r>
        <w:t xml:space="preserve"> 18–20 %.</w:t>
      </w:r>
    </w:p>
    <w:p w14:paraId="21E85C2A" w14:textId="77777777" w:rsidR="001F7233" w:rsidRDefault="00000000">
      <w:pPr>
        <w:pStyle w:val="ListParagraph"/>
        <w:numPr>
          <w:ilvl w:val="0"/>
          <w:numId w:val="1"/>
        </w:numPr>
        <w:spacing w:after="60"/>
      </w:pPr>
      <w:r>
        <w:rPr>
          <w:b/>
          <w:bCs/>
        </w:rPr>
        <w:t>Hotelreinigung:</w:t>
      </w:r>
      <w:r>
        <w:t xml:space="preserve"> 2–5 $ pro Nacht, täglich neu hingelegt, weil verschiedene Kräfte reinigen; </w:t>
      </w:r>
      <w:r>
        <w:rPr>
          <w:b/>
          <w:bCs/>
        </w:rPr>
        <w:t>Gepäckträger</w:t>
      </w:r>
      <w:r>
        <w:t xml:space="preserve"> 1–2 $ pro Stück.</w:t>
      </w:r>
    </w:p>
    <w:p w14:paraId="6A248DF3" w14:textId="77777777" w:rsidR="001F7233" w:rsidRDefault="00000000">
      <w:pPr>
        <w:pStyle w:val="ListParagraph"/>
        <w:numPr>
          <w:ilvl w:val="0"/>
          <w:numId w:val="1"/>
        </w:numPr>
        <w:spacing w:after="60"/>
      </w:pPr>
      <w:r>
        <w:rPr>
          <w:b/>
          <w:bCs/>
        </w:rPr>
        <w:t>Lieferdienst:</w:t>
      </w:r>
      <w:r>
        <w:t xml:space="preserve"> rund 15–20 %, mindestens 3 bis 5 $.</w:t>
      </w:r>
    </w:p>
    <w:p w14:paraId="17668330" w14:textId="77777777" w:rsidR="001F7233" w:rsidRDefault="00000000">
      <w:pPr>
        <w:pStyle w:val="ListParagraph"/>
        <w:numPr>
          <w:ilvl w:val="0"/>
          <w:numId w:val="1"/>
        </w:numPr>
        <w:spacing w:after="60"/>
      </w:pPr>
      <w:r>
        <w:rPr>
          <w:b/>
          <w:bCs/>
        </w:rPr>
        <w:t>Selbstbedienung</w:t>
      </w:r>
      <w:r>
        <w:t xml:space="preserve"> (Imbiss, Kaffeetheke): kein Trinkgeld erwartet; Bildschirmabfragen sind freiwillig.</w:t>
      </w:r>
    </w:p>
    <w:p w14:paraId="52C38F18" w14:textId="77777777" w:rsidR="001F7233" w:rsidRDefault="001F7233">
      <w:pPr>
        <w:spacing w:line="120" w:lineRule="exact"/>
      </w:pPr>
    </w:p>
    <w:p w14:paraId="33557093" w14:textId="77777777" w:rsidR="001F7233" w:rsidRDefault="00000000">
      <w:pPr>
        <w:spacing w:after="140"/>
      </w:pPr>
      <w:r>
        <w:lastRenderedPageBreak/>
        <w:t>Kartenlesegeräte schlagen meist Prozentwerte zwischen 18 und 30 % vor; wähle bei Bedarf „Custom“.</w:t>
      </w:r>
    </w:p>
    <w:p w14:paraId="6FCC7D9C" w14:textId="77777777" w:rsidR="001F7233" w:rsidRDefault="00000000">
      <w:r>
        <w:rPr>
          <w:b/>
        </w:rPr>
        <w:t xml:space="preserve">ACHTUNG: </w:t>
      </w:r>
    </w:p>
    <w:p w14:paraId="12FBAB15" w14:textId="77777777" w:rsidR="001F7233" w:rsidRDefault="00000000">
      <w:r>
        <w:t>• Prüfe den Beleg, bevor du das Trinkgeldfeld ausfüllst. Bei größeren Gruppen und in manchen Restaurants ist ein Aufschlag von 18–20 % bereits als Service Charge oder Gratuity enthalten. Wer auch zahlt, gibt doppelt.</w:t>
      </w:r>
    </w:p>
    <w:p w14:paraId="5BDEFD33" w14:textId="77777777" w:rsidR="001F7233" w:rsidRDefault="001F7233">
      <w:pPr>
        <w:spacing w:line="220" w:lineRule="exact"/>
      </w:pPr>
    </w:p>
    <w:p w14:paraId="14A46CB0" w14:textId="77777777" w:rsidR="001F7233" w:rsidRDefault="00000000">
      <w:pPr>
        <w:spacing w:after="140"/>
      </w:pPr>
      <w:r>
        <w:rPr>
          <w:b/>
          <w:bCs/>
        </w:rPr>
        <w:t>Preise ohne Steuer. Schilder, Speisekarten und Online-Shops zeigen den Nettopreis. Die Verkaufssteuer (Sales Tax) kommt an der Kasse dazu. Alaska (lokale Steuern), Delaware, Montana, New Hampshire und Oregon erheben keine staatliche Verkaufssteuer. Nach der Tax Foundation lag der bevölkerungsgewichtete Durchschnitt aus Staats- und Lokalsteuern Mitte 2026 bei 7,53 %, am höchsten in Louisiana (10,13 %), Tennessee (9,61 %) und Washington (9,57 %). Hotels, Mietwagen und Eintrittskarten fügen oft Gebühren hinzu. Seit 12. Mai 2025 verlangt eine Regel der Handelsbehörde FTC, dass Anbieter von Eventtickets und Kurzzeitunterkünften den Gesamtpreis samt aller Pflichtgebühren nennen. Steuern und Versand dürfen dabei ausgenommen sein.</w:t>
      </w:r>
    </w:p>
    <w:p w14:paraId="02EA69A4" w14:textId="77777777" w:rsidR="001F7233" w:rsidRDefault="001F7233">
      <w:pPr>
        <w:spacing w:line="220" w:lineRule="exact"/>
      </w:pPr>
    </w:p>
    <w:p w14:paraId="75E379EA" w14:textId="77777777" w:rsidR="001F7233" w:rsidRDefault="00000000">
      <w:pPr>
        <w:spacing w:after="140"/>
      </w:pPr>
      <w:r>
        <w:rPr>
          <w:b/>
          <w:bCs/>
        </w:rPr>
        <w:t>Rechnung teilen.</w:t>
      </w:r>
      <w:r>
        <w:t xml:space="preserve"> In Deutschland fragt die Bedienung „Zusammen oder getrennt?“. In den USA lässt sich die Rechnung ebenfalls trennen (</w:t>
      </w:r>
      <w:r>
        <w:rPr>
          <w:i/>
          <w:iCs/>
        </w:rPr>
        <w:t>Separate Checks</w:t>
      </w:r>
      <w:r>
        <w:t>), aber besser sagst du es vor der Bestellung. Bei Gruppen teilt man oft gleichmäßig, auch wenn du nur einen Salat hattest; einer zahlt, die anderen überweisen per App wie Venmo oder Zelle (brauchen ein US-Konto, Kapitel </w:t>
      </w:r>
      <w:hyperlink w:anchor="k25">
        <w:r w:rsidR="001F7233">
          <w:t>25</w:t>
        </w:r>
      </w:hyperlink>
      <w:r>
        <w:t>). Wer lieber nach Verzehr teilt, sagt es freundlich: „Could we split by what we ordered?“ Die Rechnung kommt nicht ungefragt; du bittest darum („Check, please“).</w:t>
      </w:r>
    </w:p>
    <w:p w14:paraId="32C8EED6" w14:textId="77777777" w:rsidR="001F7233" w:rsidRDefault="00000000">
      <w:r>
        <w:rPr>
          <w:b/>
        </w:rPr>
        <w:t xml:space="preserve">SPARTIPP: </w:t>
      </w:r>
    </w:p>
    <w:p w14:paraId="617F56A4" w14:textId="77777777" w:rsidR="001F7233" w:rsidRDefault="00000000">
      <w:r>
        <w:lastRenderedPageBreak/>
        <w:t>• Bestelle bei Lieferdiensten zum Abholen (Pickup). Dann entfallen Liefergebühr, Serviceaufschlag der App und das Trinkgeld für den Fahrer. Mittagsangebote (Lunch Specials) und die Happy Hour in Bars sind günstiger als die Abendkarte.</w:t>
      </w:r>
    </w:p>
    <w:p w14:paraId="6D2BB5AE" w14:textId="77777777" w:rsidR="001F7233" w:rsidRDefault="001F7233">
      <w:pPr>
        <w:spacing w:line="220" w:lineRule="exact"/>
      </w:pPr>
    </w:p>
    <w:p w14:paraId="40E5C7D3" w14:textId="77777777" w:rsidR="001F7233" w:rsidRDefault="00000000">
      <w:r>
        <w:rPr>
          <w:b/>
        </w:rPr>
        <w:t>Restaurant</w:t>
      </w:r>
    </w:p>
    <w:p w14:paraId="4A2FCDFB" w14:textId="77777777" w:rsidR="001F7233" w:rsidRDefault="00000000">
      <w:r>
        <w:rPr>
          <w:b/>
        </w:rPr>
        <w:t xml:space="preserve">In Deutschland: </w:t>
      </w:r>
      <w:r>
        <w:t>Aufrunden, 5 bis 10 %</w:t>
      </w:r>
    </w:p>
    <w:p w14:paraId="26FDF857" w14:textId="77777777" w:rsidR="001F7233" w:rsidRDefault="00000000">
      <w:r>
        <w:rPr>
          <w:b/>
        </w:rPr>
        <w:t xml:space="preserve">In den USA: </w:t>
      </w:r>
      <w:r>
        <w:t>18–20 % vom Nettobetrag</w:t>
      </w:r>
    </w:p>
    <w:p w14:paraId="782CF97E" w14:textId="77777777" w:rsidR="001F7233" w:rsidRDefault="00000000">
      <w:r>
        <w:rPr>
          <w:b/>
        </w:rPr>
        <w:t xml:space="preserve">Tipp: </w:t>
      </w:r>
      <w:r>
        <w:t>Beleg prüfen: schon enthalten?</w:t>
      </w:r>
    </w:p>
    <w:p w14:paraId="706C5972" w14:textId="77777777" w:rsidR="001F7233" w:rsidRDefault="00000000">
      <w:r>
        <w:rPr>
          <w:b/>
        </w:rPr>
        <w:t>Bar</w:t>
      </w:r>
    </w:p>
    <w:p w14:paraId="07B0623A" w14:textId="77777777" w:rsidR="001F7233" w:rsidRDefault="00000000">
      <w:r>
        <w:rPr>
          <w:b/>
        </w:rPr>
        <w:t xml:space="preserve">In Deutschland: </w:t>
      </w:r>
      <w:r>
        <w:t>Aufrunden</w:t>
      </w:r>
    </w:p>
    <w:p w14:paraId="14B50FA2" w14:textId="77777777" w:rsidR="001F7233" w:rsidRDefault="00000000">
      <w:r>
        <w:rPr>
          <w:b/>
        </w:rPr>
        <w:t xml:space="preserve">In den USA: </w:t>
      </w:r>
      <w:r>
        <w:t>1–2 $ pro Getränk</w:t>
      </w:r>
    </w:p>
    <w:p w14:paraId="0125750D" w14:textId="77777777" w:rsidR="001F7233" w:rsidRDefault="00000000">
      <w:r>
        <w:rPr>
          <w:b/>
        </w:rPr>
        <w:t xml:space="preserve">Tipp: </w:t>
      </w:r>
      <w:r>
        <w:t>Bei jeder Runde geben</w:t>
      </w:r>
    </w:p>
    <w:p w14:paraId="150813DF" w14:textId="77777777" w:rsidR="001F7233" w:rsidRDefault="00000000">
      <w:r>
        <w:rPr>
          <w:b/>
        </w:rPr>
        <w:t>Taxi, Rideshare</w:t>
      </w:r>
    </w:p>
    <w:p w14:paraId="71EF0290" w14:textId="77777777" w:rsidR="001F7233" w:rsidRDefault="00000000">
      <w:r>
        <w:rPr>
          <w:b/>
        </w:rPr>
        <w:t xml:space="preserve">In Deutschland: </w:t>
      </w:r>
      <w:r>
        <w:t>Aufrunden</w:t>
      </w:r>
    </w:p>
    <w:p w14:paraId="79424EA0" w14:textId="77777777" w:rsidR="001F7233" w:rsidRDefault="00000000">
      <w:r>
        <w:rPr>
          <w:b/>
        </w:rPr>
        <w:t xml:space="preserve">In den USA: </w:t>
      </w:r>
      <w:r>
        <w:t>15–20 %</w:t>
      </w:r>
    </w:p>
    <w:p w14:paraId="7FCF3F8A" w14:textId="77777777" w:rsidR="001F7233" w:rsidRDefault="00000000">
      <w:r>
        <w:rPr>
          <w:b/>
        </w:rPr>
        <w:t xml:space="preserve">Tipp: </w:t>
      </w:r>
      <w:r>
        <w:t>In der App wählen</w:t>
      </w:r>
    </w:p>
    <w:p w14:paraId="4CC5953B" w14:textId="77777777" w:rsidR="001F7233" w:rsidRDefault="00000000">
      <w:r>
        <w:rPr>
          <w:b/>
        </w:rPr>
        <w:t>Friseur, Nagelstudio</w:t>
      </w:r>
    </w:p>
    <w:p w14:paraId="52FADB43" w14:textId="77777777" w:rsidR="001F7233" w:rsidRDefault="00000000">
      <w:r>
        <w:rPr>
          <w:b/>
        </w:rPr>
        <w:t xml:space="preserve">In Deutschland: </w:t>
      </w:r>
      <w:r>
        <w:t>5 bis 10 %</w:t>
      </w:r>
    </w:p>
    <w:p w14:paraId="7CBA8994" w14:textId="77777777" w:rsidR="001F7233" w:rsidRDefault="00000000">
      <w:r>
        <w:rPr>
          <w:b/>
        </w:rPr>
        <w:t xml:space="preserve">In den USA: </w:t>
      </w:r>
      <w:r>
        <w:t>18–20 %</w:t>
      </w:r>
    </w:p>
    <w:p w14:paraId="1B3CF6B8" w14:textId="77777777" w:rsidR="001F7233" w:rsidRDefault="00000000">
      <w:r>
        <w:rPr>
          <w:b/>
        </w:rPr>
        <w:t xml:space="preserve">Tipp: </w:t>
      </w:r>
      <w:r>
        <w:t>Bar oder per App</w:t>
      </w:r>
    </w:p>
    <w:p w14:paraId="0CD19F61" w14:textId="77777777" w:rsidR="001F7233" w:rsidRDefault="00000000">
      <w:r>
        <w:rPr>
          <w:b/>
        </w:rPr>
        <w:t>Preisschild</w:t>
      </w:r>
    </w:p>
    <w:p w14:paraId="60DBF7FF" w14:textId="77777777" w:rsidR="001F7233" w:rsidRDefault="00000000">
      <w:r>
        <w:rPr>
          <w:b/>
        </w:rPr>
        <w:t xml:space="preserve">In Deutschland: </w:t>
      </w:r>
      <w:r>
        <w:t>Endpreis mit Mehrwertsteuer</w:t>
      </w:r>
    </w:p>
    <w:p w14:paraId="71C5CE78" w14:textId="77777777" w:rsidR="001F7233" w:rsidRDefault="00000000">
      <w:r>
        <w:rPr>
          <w:b/>
        </w:rPr>
        <w:t xml:space="preserve">In den USA: </w:t>
      </w:r>
      <w:r>
        <w:t>Nettopreis, Steuer an der Kasse</w:t>
      </w:r>
    </w:p>
    <w:p w14:paraId="4C8ED3D2" w14:textId="77777777" w:rsidR="001F7233" w:rsidRDefault="00000000">
      <w:r>
        <w:rPr>
          <w:b/>
        </w:rPr>
        <w:t xml:space="preserve">Tipp: </w:t>
      </w:r>
      <w:r>
        <w:t>Steuersatz des Wohnorts nachschlagen</w:t>
      </w:r>
    </w:p>
    <w:p w14:paraId="1E60ED71" w14:textId="77777777" w:rsidR="001F7233" w:rsidRDefault="00000000">
      <w:r>
        <w:rPr>
          <w:b/>
        </w:rPr>
        <w:t>Rechnung</w:t>
      </w:r>
    </w:p>
    <w:p w14:paraId="0781CCD7" w14:textId="77777777" w:rsidR="001F7233" w:rsidRDefault="00000000">
      <w:r>
        <w:rPr>
          <w:b/>
        </w:rPr>
        <w:t xml:space="preserve">In Deutschland: </w:t>
      </w:r>
      <w:r>
        <w:t>„Zusammen oder getrennt?“</w:t>
      </w:r>
    </w:p>
    <w:p w14:paraId="199BFDD8" w14:textId="77777777" w:rsidR="001F7233" w:rsidRDefault="00000000">
      <w:r>
        <w:rPr>
          <w:b/>
        </w:rPr>
        <w:t xml:space="preserve">In den USA: </w:t>
      </w:r>
      <w:r>
        <w:t>Oft eine Rechnung, Aufteilung per App</w:t>
      </w:r>
    </w:p>
    <w:p w14:paraId="1066019E" w14:textId="77777777" w:rsidR="001F7233" w:rsidRDefault="00000000">
      <w:r>
        <w:rPr>
          <w:b/>
        </w:rPr>
        <w:t xml:space="preserve">Tipp: </w:t>
      </w:r>
      <w:r>
        <w:t>Trennung vor der Bestellung nennen</w:t>
      </w:r>
    </w:p>
    <w:p w14:paraId="3458BC14" w14:textId="77777777" w:rsidR="001F7233" w:rsidRDefault="001F7233">
      <w:pPr>
        <w:spacing w:line="180" w:lineRule="exact"/>
      </w:pPr>
    </w:p>
    <w:p w14:paraId="4B340F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Alltag: Portionen, Auto, Rückgabe, Kundenservice</w:t>
      </w:r>
    </w:p>
    <w:p w14:paraId="27361460" w14:textId="77777777" w:rsidR="001F7233" w:rsidRDefault="00000000">
      <w:pPr>
        <w:spacing w:after="140"/>
      </w:pPr>
      <w:r>
        <w:rPr>
          <w:b/>
          <w:bCs/>
        </w:rPr>
        <w:t>Portionen.</w:t>
      </w:r>
      <w:r>
        <w:t xml:space="preserve"> Restaurantportionen fallen größer aus als in Deutschland. Getränke kommen mit Eis, Softdrinks oft mit kostenlosem Nachschenken (</w:t>
      </w:r>
      <w:r>
        <w:rPr>
          <w:i/>
          <w:iCs/>
        </w:rPr>
        <w:t>Free Refills</w:t>
      </w:r>
      <w:r>
        <w:t xml:space="preserve">), Leitungswasser unaufgefordert und gratis. Reste nimmst du in der </w:t>
      </w:r>
      <w:r>
        <w:rPr>
          <w:i/>
          <w:iCs/>
        </w:rPr>
        <w:t>To-go Box</w:t>
      </w:r>
      <w:r>
        <w:t xml:space="preserve"> mit; das ist normal und keine Verlegenheit. Zu Einkaufsgrößen und Lebensmitteln siehe Kapitel </w:t>
      </w:r>
      <w:hyperlink w:anchor="k35">
        <w:r w:rsidR="001F7233">
          <w:t>35</w:t>
        </w:r>
      </w:hyperlink>
      <w:r>
        <w:t>.</w:t>
      </w:r>
    </w:p>
    <w:p w14:paraId="60B86C1B" w14:textId="77777777" w:rsidR="001F7233" w:rsidRDefault="00000000">
      <w:pPr>
        <w:spacing w:after="140"/>
      </w:pPr>
      <w:r>
        <w:rPr>
          <w:b/>
          <w:bCs/>
        </w:rPr>
        <w:t>Autokultur.</w:t>
      </w:r>
      <w:r>
        <w:t xml:space="preserve"> Außerhalb weniger Großstädte wie New York, Boston, Chicago, San Francisco oder Washington, D.C. läuft der Alltag im Auto: Supermarkt, Schule, Arzt und Arbeit liegen weit auseinander, Kaffee, Apotheke und Bank gibt es im </w:t>
      </w:r>
      <w:r>
        <w:rPr>
          <w:i/>
          <w:iCs/>
        </w:rPr>
        <w:t>Drive-through</w:t>
      </w:r>
      <w:r>
        <w:t>, manche Wohngebiete haben keine Gehwege. Führerschein, Kauf und Versicherung: Kapitel </w:t>
      </w:r>
      <w:hyperlink w:anchor="k27">
        <w:r w:rsidR="001F7233">
          <w:t>27</w:t>
        </w:r>
      </w:hyperlink>
      <w:r>
        <w:t>; was die Autoabhängigkeit für die Wohnortwahl heißt: Kapitel </w:t>
      </w:r>
      <w:hyperlink w:anchor="k12">
        <w:r w:rsidR="001F7233">
          <w:t>12</w:t>
        </w:r>
      </w:hyperlink>
      <w:r>
        <w:t>.</w:t>
      </w:r>
    </w:p>
    <w:p w14:paraId="1E1841B8" w14:textId="77777777" w:rsidR="001F7233" w:rsidRDefault="00000000">
      <w:pPr>
        <w:spacing w:after="140"/>
      </w:pPr>
      <w:r>
        <w:rPr>
          <w:b/>
          <w:bCs/>
        </w:rPr>
        <w:t xml:space="preserve">Rückgabe und Kundenservice. Ein gesetzliches Widerrufsrecht wie die 14 Tage im deutschen Onlinehandel gibt es nicht. Die Rückgaberegel (Return Policy) legt der Händler fest. Großzügig sind etwa Costco (die meisten Artikel unbefristet, Elektronik 90 Tage), Walmart und Target (rund 90 Tage). Strenger Amazon (30 Tage) und Best Buy (15 Tage). Bon, Verpackung und Etikett bewahrst du auf. Das Personal ist freundlich und lösungsorientiert: „Can I help you find something?“ ist ein echtes Angebot. Wer aus Deutschland kommt, kennt eher den unterschwelligen Eindruck, als Kundschaft zusätzliche Arbeit zu verursachen. In den USA ist die Freundlichkeit dagegen auch Teil des Geschäftsmodells, denn ein zufriedener Kunde kauft mehr und kommt wieder. Das macht sie im Alltag nicht weniger angenehm, nur eben kalkuliert statt zufällig. Beschwerden wirken ruhig und mit Lösungsvorschlag am besten. Hilft es nicht, bittest du um den Manager. Umgekehrt erwartet das </w:t>
      </w:r>
      <w:r>
        <w:rPr>
          <w:b/>
          <w:bCs/>
        </w:rPr>
        <w:lastRenderedPageBreak/>
        <w:t>Personal einen Gruß, bevor du bestellst. Wer ohne „Hi, how are you?“ sofort loslegt, gilt schnell als schroff.</w:t>
      </w:r>
    </w:p>
    <w:p w14:paraId="239DF7A1" w14:textId="77777777" w:rsidR="001F7233" w:rsidRDefault="00000000">
      <w:r>
        <w:rPr>
          <w:b/>
        </w:rPr>
        <w:t>Rückgabe</w:t>
      </w:r>
    </w:p>
    <w:p w14:paraId="7E318F69" w14:textId="77777777" w:rsidR="001F7233" w:rsidRDefault="00000000">
      <w:r>
        <w:rPr>
          <w:b/>
        </w:rPr>
        <w:t xml:space="preserve">In Deutschland: </w:t>
      </w:r>
      <w:r>
        <w:t>14 Tage Widerruf online</w:t>
      </w:r>
    </w:p>
    <w:p w14:paraId="4E57AAA0" w14:textId="77777777" w:rsidR="001F7233" w:rsidRDefault="00000000">
      <w:r>
        <w:rPr>
          <w:b/>
        </w:rPr>
        <w:t xml:space="preserve">In den USA: </w:t>
      </w:r>
      <w:r>
        <w:t>Regel des Händlers, 15 bis 90 Tage</w:t>
      </w:r>
    </w:p>
    <w:p w14:paraId="1439A328" w14:textId="77777777" w:rsidR="001F7233" w:rsidRDefault="00000000">
      <w:r>
        <w:rPr>
          <w:b/>
        </w:rPr>
        <w:t xml:space="preserve">Tipp: </w:t>
      </w:r>
      <w:r>
        <w:t>Bon und Verpackung aufbewahren</w:t>
      </w:r>
    </w:p>
    <w:p w14:paraId="0234DFA5" w14:textId="77777777" w:rsidR="001F7233" w:rsidRDefault="00000000">
      <w:r>
        <w:rPr>
          <w:b/>
        </w:rPr>
        <w:t>Beschwerde</w:t>
      </w:r>
    </w:p>
    <w:p w14:paraId="41747390" w14:textId="77777777" w:rsidR="001F7233" w:rsidRDefault="00000000">
      <w:r>
        <w:rPr>
          <w:b/>
        </w:rPr>
        <w:t xml:space="preserve">In Deutschland: </w:t>
      </w:r>
      <w:r>
        <w:t>Sachlich und direkt</w:t>
      </w:r>
    </w:p>
    <w:p w14:paraId="2B82451D" w14:textId="77777777" w:rsidR="001F7233" w:rsidRDefault="00000000">
      <w:r>
        <w:rPr>
          <w:b/>
        </w:rPr>
        <w:t xml:space="preserve">In den USA: </w:t>
      </w:r>
      <w:r>
        <w:t>Freundlich, mit Lösungsvorschlag</w:t>
      </w:r>
    </w:p>
    <w:p w14:paraId="3FA2464C" w14:textId="77777777" w:rsidR="001F7233" w:rsidRDefault="00000000">
      <w:r>
        <w:rPr>
          <w:b/>
        </w:rPr>
        <w:t xml:space="preserve">Tipp: </w:t>
      </w:r>
      <w:r>
        <w:t>Bei Bedarf nach dem Manager fragen</w:t>
      </w:r>
    </w:p>
    <w:p w14:paraId="4F6FA681" w14:textId="77777777" w:rsidR="001F7233" w:rsidRDefault="00000000">
      <w:r>
        <w:rPr>
          <w:b/>
        </w:rPr>
        <w:t>Restaurantportion</w:t>
      </w:r>
    </w:p>
    <w:p w14:paraId="095374FD" w14:textId="77777777" w:rsidR="001F7233" w:rsidRDefault="00000000">
      <w:r>
        <w:rPr>
          <w:b/>
        </w:rPr>
        <w:t xml:space="preserve">In Deutschland: </w:t>
      </w:r>
      <w:r>
        <w:t>Reste selten mitgenommen</w:t>
      </w:r>
    </w:p>
    <w:p w14:paraId="61BBC462" w14:textId="77777777" w:rsidR="001F7233" w:rsidRDefault="00000000">
      <w:r>
        <w:rPr>
          <w:b/>
        </w:rPr>
        <w:t xml:space="preserve">In den USA: </w:t>
      </w:r>
      <w:r>
        <w:t>Groß, Mitnehmen üblich</w:t>
      </w:r>
    </w:p>
    <w:p w14:paraId="7B69BF76" w14:textId="77777777" w:rsidR="001F7233" w:rsidRDefault="00000000">
      <w:r>
        <w:rPr>
          <w:b/>
        </w:rPr>
        <w:t xml:space="preserve">Tipp: </w:t>
      </w:r>
      <w:r>
        <w:t>„Could I get a box?“</w:t>
      </w:r>
    </w:p>
    <w:p w14:paraId="22E3063C" w14:textId="77777777" w:rsidR="001F7233" w:rsidRDefault="00000000">
      <w:r>
        <w:rPr>
          <w:b/>
        </w:rPr>
        <w:t>Wege</w:t>
      </w:r>
    </w:p>
    <w:p w14:paraId="7A72E2B7" w14:textId="77777777" w:rsidR="001F7233" w:rsidRDefault="00000000">
      <w:r>
        <w:rPr>
          <w:b/>
        </w:rPr>
        <w:t xml:space="preserve">In Deutschland: </w:t>
      </w:r>
      <w:r>
        <w:t>Zu Fuß, Rad, Bahn</w:t>
      </w:r>
    </w:p>
    <w:p w14:paraId="24708C28" w14:textId="77777777" w:rsidR="001F7233" w:rsidRDefault="00000000">
      <w:r>
        <w:rPr>
          <w:b/>
        </w:rPr>
        <w:t xml:space="preserve">In den USA: </w:t>
      </w:r>
      <w:r>
        <w:t>Meist Auto</w:t>
      </w:r>
    </w:p>
    <w:p w14:paraId="0CBD8FCF" w14:textId="77777777" w:rsidR="001F7233" w:rsidRDefault="00000000">
      <w:r>
        <w:rPr>
          <w:b/>
        </w:rPr>
        <w:t xml:space="preserve">Tipp: </w:t>
      </w:r>
      <w:r>
        <w:t>Auto vor der Wohnungssuche einplanen</w:t>
      </w:r>
    </w:p>
    <w:p w14:paraId="5F42B14B" w14:textId="77777777" w:rsidR="001F7233" w:rsidRDefault="00000000">
      <w:r>
        <w:rPr>
          <w:b/>
        </w:rPr>
        <w:t>Kasse</w:t>
      </w:r>
    </w:p>
    <w:p w14:paraId="1C9873D3" w14:textId="77777777" w:rsidR="001F7233" w:rsidRDefault="00000000">
      <w:r>
        <w:rPr>
          <w:b/>
        </w:rPr>
        <w:t xml:space="preserve">In Deutschland: </w:t>
      </w:r>
      <w:r>
        <w:t>Knapp, sachlich</w:t>
      </w:r>
    </w:p>
    <w:p w14:paraId="1FA01682" w14:textId="77777777" w:rsidR="001F7233" w:rsidRDefault="00000000">
      <w:r>
        <w:rPr>
          <w:b/>
        </w:rPr>
        <w:t xml:space="preserve">In den USA: </w:t>
      </w:r>
      <w:r>
        <w:t>Kurzer Small Talk</w:t>
      </w:r>
    </w:p>
    <w:p w14:paraId="5B8C3D2F" w14:textId="77777777" w:rsidR="001F7233" w:rsidRDefault="00000000">
      <w:r>
        <w:rPr>
          <w:b/>
        </w:rPr>
        <w:t xml:space="preserve">Tipp: </w:t>
      </w:r>
      <w:r>
        <w:t>Grüßen, dann bezahlen</w:t>
      </w:r>
    </w:p>
    <w:p w14:paraId="2E142A9D" w14:textId="77777777" w:rsidR="001F7233" w:rsidRDefault="001F7233">
      <w:pPr>
        <w:spacing w:line="180" w:lineRule="exact"/>
      </w:pPr>
    </w:p>
    <w:p w14:paraId="56B38A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w:t>
      </w:r>
    </w:p>
    <w:p w14:paraId="40C7A7BA" w14:textId="77777777" w:rsidR="001F7233" w:rsidRDefault="00000000">
      <w:pPr>
        <w:spacing w:after="140"/>
      </w:pPr>
      <w:r>
        <w:t xml:space="preserve">Kinder bestimmen das amerikanische Wochenende: Sportturniere, Vereinstermine und Geburtstagsfeiern füllen den Kalender. Kindergeburtstage laufen oft in einer gemieteten Location, mit schriftlicher Einladung und </w:t>
      </w:r>
      <w:r>
        <w:rPr>
          <w:i/>
          <w:iCs/>
        </w:rPr>
        <w:t>RSVP</w:t>
      </w:r>
      <w:r>
        <w:t xml:space="preserve">. Verabredungen der Kinder heißen </w:t>
      </w:r>
      <w:r>
        <w:rPr>
          <w:i/>
          <w:iCs/>
        </w:rPr>
        <w:t>Playdates</w:t>
      </w:r>
      <w:r>
        <w:t xml:space="preserve"> und werden zwischen den Eltern abgesprochen, denn Kinder bringt und holt man. „Einfach klingeln“ ist unüblich. Im Umgang mit Kindern dominieren Lob und positive Verstärkung, im Süden gehören „Yes, ma’am“ und „No, sir“ zur Erziehung. Wie oft </w:t>
      </w:r>
      <w:r>
        <w:lastRenderedPageBreak/>
        <w:t>Kinder allein unterwegs sind, prägen Ort und Gemeinde; bei Schulweg, Spielplatz und Allein-zu-Hause-Bleiben (Rechtslage und Erwartungen) siehe Kapitel </w:t>
      </w:r>
      <w:hyperlink w:anchor="k38">
        <w:r w:rsidR="001F7233">
          <w:t>38</w:t>
        </w:r>
      </w:hyperlink>
      <w:r>
        <w:t>, zur Schule Kapitel </w:t>
      </w:r>
      <w:hyperlink w:anchor="k36">
        <w:r w:rsidR="001F7233">
          <w:t>36</w:t>
        </w:r>
      </w:hyperlink>
      <w:r>
        <w:t>.</w:t>
      </w:r>
    </w:p>
    <w:p w14:paraId="467A4ED4" w14:textId="77777777" w:rsidR="001F7233" w:rsidRDefault="00000000">
      <w:r>
        <w:rPr>
          <w:b/>
        </w:rPr>
        <w:t>Kindergeburtstag</w:t>
      </w:r>
    </w:p>
    <w:p w14:paraId="5D2F0710" w14:textId="77777777" w:rsidR="001F7233" w:rsidRDefault="00000000">
      <w:r>
        <w:rPr>
          <w:b/>
        </w:rPr>
        <w:t xml:space="preserve">In Deutschland: </w:t>
      </w:r>
      <w:r>
        <w:t>Zu Hause, lockere Zusage</w:t>
      </w:r>
    </w:p>
    <w:p w14:paraId="702EC7CD" w14:textId="77777777" w:rsidR="001F7233" w:rsidRDefault="00000000">
      <w:r>
        <w:rPr>
          <w:b/>
        </w:rPr>
        <w:t xml:space="preserve">In den USA: </w:t>
      </w:r>
      <w:r>
        <w:t>Einladung mit RSVP, oft Party-Location</w:t>
      </w:r>
    </w:p>
    <w:p w14:paraId="4DB3FF41" w14:textId="77777777" w:rsidR="001F7233" w:rsidRDefault="00000000">
      <w:r>
        <w:rPr>
          <w:b/>
        </w:rPr>
        <w:t xml:space="preserve">Tipp: </w:t>
      </w:r>
      <w:r>
        <w:t>Zusagen, Allergien nennen</w:t>
      </w:r>
    </w:p>
    <w:p w14:paraId="0D543D27" w14:textId="77777777" w:rsidR="001F7233" w:rsidRDefault="00000000">
      <w:r>
        <w:rPr>
          <w:b/>
        </w:rPr>
        <w:t>Verabredung der Kinder</w:t>
      </w:r>
    </w:p>
    <w:p w14:paraId="73BAC127" w14:textId="77777777" w:rsidR="001F7233" w:rsidRDefault="00000000">
      <w:r>
        <w:rPr>
          <w:b/>
        </w:rPr>
        <w:t xml:space="preserve">In Deutschland: </w:t>
      </w:r>
      <w:r>
        <w:t>„Komm einfach vorbei“</w:t>
      </w:r>
    </w:p>
    <w:p w14:paraId="5E90FA04" w14:textId="77777777" w:rsidR="001F7233" w:rsidRDefault="00000000">
      <w:r>
        <w:rPr>
          <w:b/>
        </w:rPr>
        <w:t xml:space="preserve">In den USA: </w:t>
      </w:r>
      <w:r>
        <w:t>Playdate nach Absprache</w:t>
      </w:r>
    </w:p>
    <w:p w14:paraId="7AD4473D" w14:textId="77777777" w:rsidR="001F7233" w:rsidRDefault="00000000">
      <w:r>
        <w:rPr>
          <w:b/>
        </w:rPr>
        <w:t xml:space="preserve">Tipp: </w:t>
      </w:r>
      <w:r>
        <w:t>Eltern kontaktieren, Abholung klären</w:t>
      </w:r>
    </w:p>
    <w:p w14:paraId="3CBDDC8E" w14:textId="77777777" w:rsidR="001F7233" w:rsidRDefault="00000000">
      <w:r>
        <w:rPr>
          <w:b/>
        </w:rPr>
        <w:t>Kinder allein unterwegs</w:t>
      </w:r>
    </w:p>
    <w:p w14:paraId="5AC314EB" w14:textId="77777777" w:rsidR="001F7233" w:rsidRDefault="00000000">
      <w:r>
        <w:rPr>
          <w:b/>
        </w:rPr>
        <w:t xml:space="preserve">In Deutschland: </w:t>
      </w:r>
      <w:r>
        <w:t>Ab Grundschulalter verbreitet</w:t>
      </w:r>
    </w:p>
    <w:p w14:paraId="09065357" w14:textId="77777777" w:rsidR="001F7233" w:rsidRDefault="00000000">
      <w:r>
        <w:rPr>
          <w:b/>
        </w:rPr>
        <w:t xml:space="preserve">In den USA: </w:t>
      </w:r>
      <w:r>
        <w:t>Erwartungen und Regeln je Ort</w:t>
      </w:r>
    </w:p>
    <w:p w14:paraId="52B7ED85" w14:textId="77777777" w:rsidR="001F7233" w:rsidRDefault="00000000">
      <w:r>
        <w:rPr>
          <w:b/>
        </w:rPr>
        <w:t xml:space="preserve">Tipp: </w:t>
      </w:r>
      <w:r>
        <w:t>Vorher fragen (</w:t>
      </w:r>
      <w:hyperlink w:anchor="k38">
        <w:r w:rsidR="001F7233">
          <w:rPr>
            <w:rStyle w:val="Hyperlink"/>
          </w:rPr>
          <w:t>Kapitel 38</w:t>
        </w:r>
      </w:hyperlink>
      <w:r>
        <w:t>)</w:t>
      </w:r>
    </w:p>
    <w:p w14:paraId="751FFB01" w14:textId="77777777" w:rsidR="001F7233" w:rsidRDefault="00000000">
      <w:r>
        <w:rPr>
          <w:b/>
        </w:rPr>
        <w:t>Erziehungston</w:t>
      </w:r>
    </w:p>
    <w:p w14:paraId="66ED4095" w14:textId="77777777" w:rsidR="001F7233" w:rsidRDefault="00000000">
      <w:r>
        <w:rPr>
          <w:b/>
        </w:rPr>
        <w:t xml:space="preserve">In Deutschland: </w:t>
      </w:r>
      <w:r>
        <w:t>Sachlich, Fehler benennen</w:t>
      </w:r>
    </w:p>
    <w:p w14:paraId="36D391A2" w14:textId="77777777" w:rsidR="001F7233" w:rsidRDefault="00000000">
      <w:r>
        <w:rPr>
          <w:b/>
        </w:rPr>
        <w:t xml:space="preserve">In den USA: </w:t>
      </w:r>
      <w:r>
        <w:t>Viel Lob, positive Verstärkung</w:t>
      </w:r>
    </w:p>
    <w:p w14:paraId="6D86D734" w14:textId="77777777" w:rsidR="001F7233" w:rsidRDefault="00000000">
      <w:r>
        <w:rPr>
          <w:b/>
        </w:rPr>
        <w:t xml:space="preserve">Tipp: </w:t>
      </w:r>
      <w:r>
        <w:t>Konkret loben üben</w:t>
      </w:r>
    </w:p>
    <w:p w14:paraId="68FAE08C" w14:textId="77777777" w:rsidR="001F7233" w:rsidRDefault="00000000">
      <w:r>
        <w:rPr>
          <w:b/>
        </w:rPr>
        <w:t>Wochenende</w:t>
      </w:r>
    </w:p>
    <w:p w14:paraId="7B854208" w14:textId="77777777" w:rsidR="001F7233" w:rsidRDefault="00000000">
      <w:r>
        <w:rPr>
          <w:b/>
        </w:rPr>
        <w:t xml:space="preserve">In Deutschland: </w:t>
      </w:r>
      <w:r>
        <w:t>Familie, Ausflüge</w:t>
      </w:r>
    </w:p>
    <w:p w14:paraId="424331AE" w14:textId="77777777" w:rsidR="001F7233" w:rsidRDefault="00000000">
      <w:r>
        <w:rPr>
          <w:b/>
        </w:rPr>
        <w:t xml:space="preserve">In den USA: </w:t>
      </w:r>
      <w:r>
        <w:t>Sport, Turniere, Vereinstermine</w:t>
      </w:r>
    </w:p>
    <w:p w14:paraId="26D5B4F5" w14:textId="77777777" w:rsidR="001F7233" w:rsidRDefault="00000000">
      <w:r>
        <w:rPr>
          <w:b/>
        </w:rPr>
        <w:t xml:space="preserve">Tipp: </w:t>
      </w:r>
      <w:r>
        <w:t>Kalender früh abstimmen</w:t>
      </w:r>
    </w:p>
    <w:p w14:paraId="6F8BDF30" w14:textId="77777777" w:rsidR="001F7233" w:rsidRDefault="001F7233">
      <w:pPr>
        <w:spacing w:line="180" w:lineRule="exact"/>
      </w:pPr>
    </w:p>
    <w:p w14:paraId="63FE19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Feiertage: Thanksgiving, 4. Juli, Halloween, Super Bowl</w:t>
      </w:r>
    </w:p>
    <w:p w14:paraId="2625B825" w14:textId="77777777" w:rsidR="001F7233" w:rsidRDefault="00000000">
      <w:pPr>
        <w:spacing w:after="140"/>
      </w:pPr>
      <w:r>
        <w:t>Für den Bund gibt es elf Feiertage (</w:t>
      </w:r>
      <w:r>
        <w:rPr>
          <w:i/>
          <w:iCs/>
        </w:rPr>
        <w:t>Federal Holidays</w:t>
      </w:r>
      <w:r>
        <w:t xml:space="preserve">): Neujahr, Martin Luther King Jr. Day (dritter Montag im Januar), Presidents’ Day (dritter Montag im Februar), Memorial Day (letzter Montag im Mai), Juneteenth (19. Juni), Independence Day (4. Juli), Labor Day (erster Montag im September), Columbus Day oder Indigenous </w:t>
      </w:r>
      <w:r>
        <w:lastRenderedPageBreak/>
        <w:t>Peoples’ Day (zweiter Montag im Oktober), Veterans Day (11. November), Thanksgiving (vierter Donnerstag im November) und Weihnachten (25. Dezember). In der Privatwirtschaft besteht kein gesetzlicher Anspruch auf freie Tage; der Arbeitgeber entscheidet (Kapitel </w:t>
      </w:r>
      <w:hyperlink w:anchor="k29">
        <w:r w:rsidR="001F7233">
          <w:t>29</w:t>
        </w:r>
      </w:hyperlink>
      <w:r>
        <w:t>). Die Montagsregel schafft lange Wochenenden.</w:t>
      </w:r>
    </w:p>
    <w:p w14:paraId="10161918" w14:textId="77777777" w:rsidR="001F7233" w:rsidRDefault="00000000">
      <w:pPr>
        <w:spacing w:after="140"/>
      </w:pPr>
      <w:r>
        <w:rPr>
          <w:b/>
          <w:bCs/>
        </w:rPr>
        <w:t>Thanksgiving (2026: 26. November) ist das große Familienfest mit Truthahn, Füllung, Süßkartoffeln und Kürbiskuchen, verbunden mit dem größten Reiseverkehr des Jahres. Viele große Ketten wie Walmart und Target bleiben geschlossen. Am Tag danach folgt der Black Friday. Wer weit von der Familie lebt, feiert oft mit Freunden („Friendsgiving“). Bist du eingeladen, frage, was du mitbringen sollst; Wein, Nachtisch oder eine Beilage sind willkommen.</w:t>
      </w:r>
    </w:p>
    <w:p w14:paraId="3ACD634B" w14:textId="77777777" w:rsidR="001F7233" w:rsidRDefault="00000000">
      <w:pPr>
        <w:spacing w:after="140"/>
      </w:pPr>
      <w:r>
        <w:rPr>
          <w:b/>
          <w:bCs/>
        </w:rPr>
        <w:t>Der 4. Juli</w:t>
      </w:r>
      <w:r>
        <w:t xml:space="preserve"> erinnert an die Unabhängigkeitserklärung von 1776; 2026 feierte das Land den 250. Jahrestag. Üblich sind Grillen, Paraden und Feuerwerk. Privates Feuerwerk regeln Bundesstaaten und Gemeinden sehr unterschiedlich; öffentliche Shows sind die sichere Wahl.</w:t>
      </w:r>
    </w:p>
    <w:p w14:paraId="74670936" w14:textId="77777777" w:rsidR="001F7233" w:rsidRDefault="00000000">
      <w:pPr>
        <w:spacing w:after="140"/>
      </w:pPr>
      <w:r>
        <w:rPr>
          <w:b/>
          <w:bCs/>
        </w:rPr>
        <w:t>Halloween</w:t>
      </w:r>
      <w:r>
        <w:t xml:space="preserve"> (31. Oktober, 2026 ein Samstag) gehört den Kindern, die verkleidet von Haus zu Haus ziehen (</w:t>
      </w:r>
      <w:r>
        <w:rPr>
          <w:i/>
          <w:iCs/>
        </w:rPr>
        <w:t>Trick-or-Treating</w:t>
      </w:r>
      <w:r>
        <w:t>). Brennt das Außenlicht, gibt es Süßigkeiten, ein dunkles Haus heißt „nichts“. Plane rechtzeitig große Tüten ein; zu Kostümen siehe Kapitel </w:t>
      </w:r>
      <w:hyperlink w:anchor="k34">
        <w:r w:rsidR="001F7233">
          <w:t>34</w:t>
        </w:r>
      </w:hyperlink>
      <w:r>
        <w:t>.</w:t>
      </w:r>
    </w:p>
    <w:p w14:paraId="2FD95C12" w14:textId="77777777" w:rsidR="001F7233" w:rsidRDefault="00000000">
      <w:pPr>
        <w:spacing w:after="140"/>
      </w:pPr>
      <w:r>
        <w:rPr>
          <w:b/>
          <w:bCs/>
        </w:rPr>
        <w:t>Der Super Bowl, das Endspiel der Football-Liga NFL, findet an einem Sonntag im Februar statt und erreichte in den USA zuletzt deutlich mehr als 100 Millionen Zuschauer. Man trifft sich zur Super Bowl Party mit Chicken Wings, Dips und Werbespots. Eine Einladung lohnt sich, auch wenn dich Football nicht interessiert. Weihnachten fällt auf den 25. Dezember (Bescherung morgens). Im Büro hörst du oft „Happy Holidays“, privat „Merry Christmas“. Christkindlmärkte, etwa in Chicago, bringen deutsche Traditionen mit.</w:t>
      </w:r>
    </w:p>
    <w:p w14:paraId="40ADF75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Amerikaner an Deutschen schätzen und was sie irritiert</w:t>
      </w:r>
    </w:p>
    <w:p w14:paraId="6CF634B8" w14:textId="77777777" w:rsidR="001F7233" w:rsidRDefault="00000000">
      <w:pPr>
        <w:spacing w:after="140"/>
      </w:pPr>
      <w:r>
        <w:t>Die folgenden Punkte sind Tendenzen aus Erfahrungen, keine Messwerte und sie gelten nicht für jede Person. Was du als Deutsche:r praktisch einbringen kannst: gute Vorbereitung, verlässliche Rückmeldungen, saubere Dokumentation und handwerkliche Sorgfalt. Das sind erlernte Gewohnheiten, keine Eigenschaft aller Deutschen. Sie wirken am besten, wenn du sie mit lokalem Small Talk, höflichem Nachfragen und der Bereitschaft verbindest, den neuen Ablauf erst kennenzulernen.</w:t>
      </w:r>
    </w:p>
    <w:p w14:paraId="3C516391" w14:textId="77777777" w:rsidR="001F7233" w:rsidRDefault="00000000">
      <w:pPr>
        <w:spacing w:after="140"/>
      </w:pPr>
      <w:r>
        <w:t>Häufig geschätzt wird:</w:t>
      </w:r>
    </w:p>
    <w:p w14:paraId="19657ABC" w14:textId="77777777" w:rsidR="001F7233" w:rsidRDefault="00000000">
      <w:pPr>
        <w:pStyle w:val="ListParagraph"/>
        <w:numPr>
          <w:ilvl w:val="0"/>
          <w:numId w:val="1"/>
        </w:numPr>
        <w:spacing w:after="60"/>
      </w:pPr>
      <w:r>
        <w:rPr>
          <w:b/>
          <w:bCs/>
        </w:rPr>
        <w:t>Verlässlichkeit:</w:t>
      </w:r>
      <w:r>
        <w:t xml:space="preserve"> Zusagen werden gehalten, Termine eingehalten.</w:t>
      </w:r>
    </w:p>
    <w:p w14:paraId="65223598" w14:textId="77777777" w:rsidR="001F7233" w:rsidRDefault="00000000">
      <w:pPr>
        <w:pStyle w:val="ListParagraph"/>
        <w:numPr>
          <w:ilvl w:val="0"/>
          <w:numId w:val="1"/>
        </w:numPr>
        <w:spacing w:after="60"/>
      </w:pPr>
      <w:r>
        <w:rPr>
          <w:b/>
          <w:bCs/>
        </w:rPr>
        <w:t>Klare Ansagen:</w:t>
      </w:r>
      <w:r>
        <w:t xml:space="preserve"> Man weiß, woran man ist.</w:t>
      </w:r>
    </w:p>
    <w:p w14:paraId="6C6EE401" w14:textId="77777777" w:rsidR="001F7233" w:rsidRDefault="00000000">
      <w:pPr>
        <w:pStyle w:val="ListParagraph"/>
        <w:numPr>
          <w:ilvl w:val="0"/>
          <w:numId w:val="1"/>
        </w:numPr>
        <w:spacing w:after="60"/>
      </w:pPr>
      <w:r>
        <w:rPr>
          <w:b/>
          <w:bCs/>
        </w:rPr>
        <w:t>Fachliche Gründlichkeit:</w:t>
      </w:r>
      <w:r>
        <w:t xml:space="preserve"> „German engineering“ und die Ausbildungstradition haben einen guten Ruf, der Türen öffnet.</w:t>
      </w:r>
    </w:p>
    <w:p w14:paraId="752DE7C1" w14:textId="77777777" w:rsidR="001F7233" w:rsidRDefault="00000000">
      <w:pPr>
        <w:pStyle w:val="ListParagraph"/>
        <w:numPr>
          <w:ilvl w:val="0"/>
          <w:numId w:val="1"/>
        </w:numPr>
        <w:spacing w:after="60"/>
      </w:pPr>
      <w:r>
        <w:rPr>
          <w:b/>
          <w:bCs/>
        </w:rPr>
        <w:t>Andere Prioritäten:</w:t>
      </w:r>
      <w:r>
        <w:t xml:space="preserve"> Viele fragen neugierig nach Urlaub, Feierabend, Bahn und Recycling.</w:t>
      </w:r>
    </w:p>
    <w:p w14:paraId="7D20DECE" w14:textId="77777777" w:rsidR="001F7233" w:rsidRDefault="001F7233">
      <w:pPr>
        <w:spacing w:line="120" w:lineRule="exact"/>
      </w:pPr>
    </w:p>
    <w:p w14:paraId="7110833D" w14:textId="77777777" w:rsidR="001F7233" w:rsidRDefault="00000000">
      <w:pPr>
        <w:spacing w:after="140"/>
      </w:pPr>
      <w:r>
        <w:t>Häufig irritiert:</w:t>
      </w:r>
    </w:p>
    <w:p w14:paraId="2187A57C" w14:textId="77777777" w:rsidR="001F7233" w:rsidRDefault="00000000">
      <w:pPr>
        <w:pStyle w:val="ListParagraph"/>
        <w:numPr>
          <w:ilvl w:val="0"/>
          <w:numId w:val="1"/>
        </w:numPr>
        <w:spacing w:after="60"/>
      </w:pPr>
      <w:r>
        <w:rPr>
          <w:b/>
          <w:bCs/>
        </w:rPr>
        <w:t>Ungebetene Kritik am Land:</w:t>
      </w:r>
      <w:r>
        <w:t xml:space="preserve"> Wer Waffen, Krankenversicherung, Trinkgeld oder Essen kommentiert, wirkt belehrend.</w:t>
      </w:r>
    </w:p>
    <w:p w14:paraId="6BE4564B" w14:textId="77777777" w:rsidR="001F7233" w:rsidRDefault="00000000">
      <w:pPr>
        <w:pStyle w:val="ListParagraph"/>
        <w:numPr>
          <w:ilvl w:val="0"/>
          <w:numId w:val="1"/>
        </w:numPr>
        <w:spacing w:after="60"/>
      </w:pPr>
      <w:r>
        <w:rPr>
          <w:b/>
          <w:bCs/>
        </w:rPr>
        <w:t>Knappe Begrüßung, wenig Lächeln:</w:t>
      </w:r>
      <w:r>
        <w:t xml:space="preserve"> Wer sofort zur Sache kommt, wirkt kühl.</w:t>
      </w:r>
    </w:p>
    <w:p w14:paraId="31CF69B1" w14:textId="77777777" w:rsidR="001F7233" w:rsidRDefault="00000000">
      <w:pPr>
        <w:pStyle w:val="ListParagraph"/>
        <w:numPr>
          <w:ilvl w:val="0"/>
          <w:numId w:val="1"/>
        </w:numPr>
        <w:spacing w:after="60"/>
      </w:pPr>
      <w:r>
        <w:rPr>
          <w:b/>
          <w:bCs/>
        </w:rPr>
        <w:t>Feedback ohne Verpackung:</w:t>
      </w:r>
      <w:r>
        <w:t xml:space="preserve"> Klare Kritik wird als persönlich erlebt.</w:t>
      </w:r>
    </w:p>
    <w:p w14:paraId="7D167B3F" w14:textId="77777777" w:rsidR="001F7233" w:rsidRDefault="00000000">
      <w:pPr>
        <w:pStyle w:val="ListParagraph"/>
        <w:numPr>
          <w:ilvl w:val="0"/>
          <w:numId w:val="1"/>
        </w:numPr>
        <w:spacing w:after="60"/>
      </w:pPr>
      <w:r>
        <w:rPr>
          <w:b/>
          <w:bCs/>
        </w:rPr>
        <w:t>Regeln durchsetzen:</w:t>
      </w:r>
      <w:r>
        <w:t xml:space="preserve"> Nachbarn wegen Lärm oder Parkens zu ermahnen, statt freundlich zu fragen, gilt als übergriffig.</w:t>
      </w:r>
    </w:p>
    <w:p w14:paraId="628318D2" w14:textId="77777777" w:rsidR="001F7233" w:rsidRDefault="001F7233">
      <w:pPr>
        <w:spacing w:line="120" w:lineRule="exact"/>
      </w:pPr>
    </w:p>
    <w:p w14:paraId="5A5C10B8" w14:textId="77777777" w:rsidR="001F7233" w:rsidRDefault="00000000">
      <w:r>
        <w:rPr>
          <w:b/>
        </w:rPr>
        <w:lastRenderedPageBreak/>
        <w:t xml:space="preserve">MERKE: </w:t>
      </w:r>
    </w:p>
    <w:p w14:paraId="18FA5A48" w14:textId="77777777" w:rsidR="001F7233" w:rsidRDefault="00000000">
      <w:r>
        <w:t>• Vergleiche mit Deutschland sind willkommen, wenn sie neugierig klingen („In Germany we do it differently, how does it work here?“) und unwillkommen, wenn sie wie Urteile klingen.</w:t>
      </w:r>
    </w:p>
    <w:p w14:paraId="57664429" w14:textId="77777777" w:rsidR="001F7233" w:rsidRDefault="001F7233">
      <w:pPr>
        <w:spacing w:line="220" w:lineRule="exact"/>
      </w:pPr>
    </w:p>
    <w:p w14:paraId="0951C817" w14:textId="77777777" w:rsidR="001F7233" w:rsidRDefault="00000000">
      <w:r>
        <w:t>County Fairs, Schul- und Gemeindesport, Kirchenfeste, 4-H- und Landwirtschaftsgruppen sowie freiwillige Feuerwehr oder Rettungsdienste können in kleineren Orten wichtige Treffpunkte sein. Das beschreibt keine einheitliche „ländliche Kultur“: Bundesstaat, Region, Herkunft und Beruf verändern den Alltag. „Redneck“ kann als Selbstbezeichnung ironisch oder stolz gemeint sein, bleibt aber auch ein herabsetzendes Klassen- und Regionaletikett. Verwende es nicht für Fremde. Nützlicher ist Ortskenntnis: Welche Stelle ist für Schule, Straßen, Sheriff oder Feuerwarnung zuständig? Wann sind Jagd- oder Angelsaisons? Gibt es Mobilfunk auf der Strecke? Frag respektvoll nach, statt Akzent, Kleidung oder politischer Meinung als Abkürzung für eine Person zu nehmen.</w:t>
      </w:r>
    </w:p>
    <w:p w14:paraId="2175E31D" w14:textId="77777777" w:rsidR="001F7233" w:rsidRDefault="00000000">
      <w:pPr>
        <w:pStyle w:val="Heading3"/>
      </w:pPr>
      <w:r>
        <w:t>Ländliches Amerika verstehen, ohne Klischees zu übernehmen</w:t>
      </w:r>
    </w:p>
    <w:p w14:paraId="42969153" w14:textId="77777777" w:rsidR="001F7233" w:rsidRDefault="00000000">
      <w:pPr>
        <w:pStyle w:val="ListParagraph"/>
      </w:pPr>
      <w:r>
        <w:t>Neuseeland — „yeah, nah“ heißt meist nein, höflich abgefedert; „nah, yeah“ meist ja, oft mit Vorbehalt. „sweet as“ = prima/alles gut; „choice“ = gut/toll; Bedeutung hängt von Ton und Situation.</w:t>
      </w:r>
    </w:p>
    <w:p w14:paraId="2551E310" w14:textId="77777777" w:rsidR="001F7233" w:rsidRDefault="00000000">
      <w:pPr>
        <w:pStyle w:val="ListParagraph"/>
      </w:pPr>
      <w:r>
        <w:t>Australien — „no worries“ = kein Problem/gern geschehen. „give it a crack“ = probier es; „she’ll be right“ = wird schon, aber keine belastbare Zusage zu Frist oder Sicherheit. „fair dinkum“ = echt/ernst gemeint; „mate“ ist Anrede, keine Freundschaftsurkunde.</w:t>
      </w:r>
    </w:p>
    <w:p w14:paraId="5180A258" w14:textId="77777777" w:rsidR="001F7233" w:rsidRDefault="00000000">
      <w:pPr>
        <w:pStyle w:val="ListParagraph"/>
      </w:pPr>
      <w:r>
        <w:t>Kanada — „give’r“ = leg los/gib alles, sehr informell; „beauty“ = prima/gut gemacht. „eh?“ sucht oft Zustimmung oder Bestätigung, ist regional und kein Pflichtzusatz zu jedem Satz; „double-double“ ist eine konkrete Kaffeeorder, kein Charaktertest.</w:t>
      </w:r>
    </w:p>
    <w:p w14:paraId="4EE0F963" w14:textId="77777777" w:rsidR="001F7233" w:rsidRDefault="00000000">
      <w:pPr>
        <w:pStyle w:val="ListParagraph"/>
      </w:pPr>
      <w:r>
        <w:t xml:space="preserve">USA — „I’m good“ = nein danke oder mir geht’s gut. „you bet“ = gern/sicher; „my bad“ = mein Fehler. „bless your heart“ kann </w:t>
      </w:r>
      <w:r>
        <w:lastRenderedPageBreak/>
        <w:t>freundlich, im Süden aber auch herablassend klingen. „pushing up daisies“ = tot/begraben, scherzhaft und bei Trauernden unpassend.</w:t>
      </w:r>
    </w:p>
    <w:p w14:paraId="27CC28A1" w14:textId="77777777" w:rsidR="001F7233" w:rsidRDefault="00000000">
      <w:pPr>
        <w:pStyle w:val="Heading3"/>
      </w:pPr>
      <w:r>
        <w:t>Typische Redensarten</w:t>
      </w:r>
    </w:p>
    <w:p w14:paraId="5E3F5D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Kulturunterschiede: Der große Deutsch-Amerikanisch-Vergleich</w:t>
      </w:r>
    </w:p>
    <w:p w14:paraId="4002A10A" w14:textId="77777777" w:rsidR="001F7233" w:rsidRDefault="00000000">
      <w:r>
        <w:rPr>
          <w:b/>
        </w:rPr>
        <w:t>Plus: Höfliche, offene Alltagsatmosphäre: Kontakt fällt leicht</w:t>
      </w:r>
    </w:p>
    <w:p w14:paraId="3FE8DDF7" w14:textId="77777777" w:rsidR="001F7233" w:rsidRDefault="00000000">
      <w:r>
        <w:rPr>
          <w:b/>
        </w:rPr>
        <w:t xml:space="preserve">Minus: </w:t>
      </w:r>
      <w:r>
        <w:t>Freundlichkeit bleibt oft oberflächlich; echte Freundschaften brauchen Zeit</w:t>
      </w:r>
    </w:p>
    <w:p w14:paraId="639824B2" w14:textId="77777777" w:rsidR="001F7233" w:rsidRDefault="00000000">
      <w:r>
        <w:rPr>
          <w:b/>
        </w:rPr>
        <w:t>Plus: Lob, Optimismus und Machen-statt-Zaudern motivieren</w:t>
      </w:r>
    </w:p>
    <w:p w14:paraId="5EC4A3F1" w14:textId="77777777" w:rsidR="001F7233" w:rsidRDefault="00000000">
      <w:r>
        <w:rPr>
          <w:b/>
        </w:rPr>
        <w:t xml:space="preserve">Minus: </w:t>
      </w:r>
      <w:r>
        <w:t>Der positive Ton verdeckt Probleme; Kritik kommt indirekt</w:t>
      </w:r>
    </w:p>
    <w:p w14:paraId="38D2483E" w14:textId="77777777" w:rsidR="001F7233" w:rsidRDefault="00000000">
      <w:r>
        <w:rPr>
          <w:b/>
        </w:rPr>
        <w:t>Plus: Guter Kundenservice, großzügige Rückgabe bei vielen Ketten</w:t>
      </w:r>
    </w:p>
    <w:p w14:paraId="762A3761" w14:textId="77777777" w:rsidR="001F7233" w:rsidRDefault="00000000">
      <w:r>
        <w:rPr>
          <w:b/>
        </w:rPr>
        <w:t>Minus: Im Rechenbeispiel erhöhen Sales Tax und angenommenes Trinkgeld die Restaurantrechnung um 26 %</w:t>
      </w:r>
    </w:p>
    <w:p w14:paraId="4C9B81AB" w14:textId="77777777" w:rsidR="001F7233" w:rsidRDefault="00000000">
      <w:r>
        <w:rPr>
          <w:b/>
        </w:rPr>
        <w:t>Plus: Große Toleranz gegenüber Zugewanderten und Akzenten</w:t>
      </w:r>
    </w:p>
    <w:p w14:paraId="04CA59A9" w14:textId="77777777" w:rsidR="001F7233" w:rsidRDefault="00000000">
      <w:r>
        <w:rPr>
          <w:b/>
        </w:rPr>
        <w:t xml:space="preserve">Minus: </w:t>
      </w:r>
      <w:r>
        <w:t>Politische Polarisierung prägt Gespräche, Themenwahl wird zur Übung</w:t>
      </w:r>
    </w:p>
    <w:p w14:paraId="61DE6862" w14:textId="77777777" w:rsidR="001F7233" w:rsidRDefault="00000000">
      <w:r>
        <w:rPr>
          <w:b/>
        </w:rPr>
        <w:t>Plus: Weite Freiräume: keine Meldepflicht, wenig Alltagsbürokratie</w:t>
      </w:r>
    </w:p>
    <w:p w14:paraId="2C575616" w14:textId="77777777" w:rsidR="001F7233" w:rsidRDefault="00000000">
      <w:r>
        <w:rPr>
          <w:b/>
        </w:rPr>
        <w:t xml:space="preserve">Minus: </w:t>
      </w:r>
      <w:r>
        <w:t>Klagekultur, Waivers und Haftungsrisiken</w:t>
      </w:r>
    </w:p>
    <w:p w14:paraId="2D8E65B5" w14:textId="77777777" w:rsidR="001F7233" w:rsidRDefault="00000000">
      <w:r>
        <w:rPr>
          <w:b/>
        </w:rPr>
        <w:t>Plus: Feste wie Thanksgiving und Super Bowl verbinden schnell</w:t>
      </w:r>
    </w:p>
    <w:p w14:paraId="4AE090D1" w14:textId="77777777" w:rsidR="001F7233" w:rsidRDefault="00000000">
      <w:r>
        <w:rPr>
          <w:b/>
        </w:rPr>
        <w:t xml:space="preserve">Minus: </w:t>
      </w:r>
      <w:r>
        <w:t>Kein gesetzlicher Urlaub oder Feiertagsanspruch</w:t>
      </w:r>
    </w:p>
    <w:p w14:paraId="24208761" w14:textId="77777777" w:rsidR="001F7233" w:rsidRDefault="00000000">
      <w:r>
        <w:rPr>
          <w:b/>
        </w:rPr>
        <w:t>Plus: Starkes Ehrenamt, Spenden und Nachbarschaftshilfe</w:t>
      </w:r>
    </w:p>
    <w:p w14:paraId="0EF66BD5" w14:textId="77777777" w:rsidR="001F7233" w:rsidRDefault="00000000">
      <w:r>
        <w:rPr>
          <w:b/>
        </w:rPr>
        <w:t xml:space="preserve">Minus: </w:t>
      </w:r>
      <w:r>
        <w:t>Ohne Auto ist der Alltag außerhalb weniger Städte schwer</w:t>
      </w:r>
    </w:p>
    <w:p w14:paraId="1E938AD2" w14:textId="77777777" w:rsidR="001F7233" w:rsidRDefault="001F7233">
      <w:pPr>
        <w:spacing w:line="180" w:lineRule="exact"/>
      </w:pPr>
    </w:p>
    <w:p w14:paraId="1D4155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15 Faustregeln für Deutsche</w:t>
      </w:r>
    </w:p>
    <w:p w14:paraId="6E879BE8" w14:textId="77777777" w:rsidR="001F7233" w:rsidRDefault="00000000">
      <w:pPr>
        <w:pStyle w:val="ListParagraph"/>
        <w:numPr>
          <w:ilvl w:val="0"/>
          <w:numId w:val="31"/>
        </w:numPr>
        <w:spacing w:after="60"/>
      </w:pPr>
      <w:r>
        <w:t>Beantworte „How are you?“ in einem Satz und frage zurück.</w:t>
      </w:r>
    </w:p>
    <w:p w14:paraId="6374FBF4" w14:textId="77777777" w:rsidR="001F7233" w:rsidRDefault="00000000">
      <w:pPr>
        <w:pStyle w:val="ListParagraph"/>
        <w:numPr>
          <w:ilvl w:val="0"/>
          <w:numId w:val="2"/>
        </w:numPr>
        <w:spacing w:after="60"/>
      </w:pPr>
      <w:r>
        <w:lastRenderedPageBreak/>
        <w:t>Nimm „Let’s get lunch sometime“ nicht wörtlich. Schlage selbst einen Termin vor, wenn du es ernst meinst.</w:t>
      </w:r>
    </w:p>
    <w:p w14:paraId="19F2B668" w14:textId="77777777" w:rsidR="001F7233" w:rsidRDefault="00000000">
      <w:pPr>
        <w:pStyle w:val="ListParagraph"/>
        <w:numPr>
          <w:ilvl w:val="0"/>
          <w:numId w:val="2"/>
        </w:numPr>
        <w:spacing w:after="60"/>
      </w:pPr>
      <w:r>
        <w:t>Verpacke Kritik: erst Anerkennung, dann Frage oder Vorschlag, nie „Das ist falsch“.</w:t>
      </w:r>
    </w:p>
    <w:p w14:paraId="0F4C6370" w14:textId="77777777" w:rsidR="001F7233" w:rsidRDefault="00000000">
      <w:pPr>
        <w:pStyle w:val="ListParagraph"/>
        <w:numPr>
          <w:ilvl w:val="0"/>
          <w:numId w:val="2"/>
        </w:numPr>
        <w:spacing w:after="60"/>
      </w:pPr>
      <w:r>
        <w:t>Lobe konkret und oft, und nimm Lob mit „Thank you“ an.</w:t>
      </w:r>
    </w:p>
    <w:p w14:paraId="008F8740" w14:textId="77777777" w:rsidR="001F7233" w:rsidRDefault="00000000">
      <w:pPr>
        <w:pStyle w:val="ListParagraph"/>
        <w:numPr>
          <w:ilvl w:val="0"/>
          <w:numId w:val="2"/>
        </w:numPr>
        <w:spacing w:after="60"/>
      </w:pPr>
      <w:r>
        <w:t>Nutze Vornamen; Titel nur bei Ärzten, Lehrkräften und Älteren, im Süden „Sir“ und „Ma’am“.</w:t>
      </w:r>
    </w:p>
    <w:p w14:paraId="1D444146" w14:textId="77777777" w:rsidR="001F7233" w:rsidRDefault="00000000">
      <w:pPr>
        <w:pStyle w:val="ListParagraph"/>
        <w:numPr>
          <w:ilvl w:val="0"/>
          <w:numId w:val="2"/>
        </w:numPr>
        <w:spacing w:after="60"/>
      </w:pPr>
      <w:r>
        <w:t>Halte eine Armlänge Abstand, gib die Hand und warte bei der Umarmung ab.</w:t>
      </w:r>
    </w:p>
    <w:p w14:paraId="5E88D58C" w14:textId="77777777" w:rsidR="001F7233" w:rsidRDefault="00000000">
      <w:pPr>
        <w:pStyle w:val="ListParagraph"/>
        <w:numPr>
          <w:ilvl w:val="0"/>
          <w:numId w:val="2"/>
        </w:numPr>
        <w:spacing w:after="60"/>
      </w:pPr>
      <w:r>
        <w:t>Sei im Job pünktlich, zu privaten Einladungen 5 bis 15 Minuten später, und beantworte jedes RSVP.</w:t>
      </w:r>
    </w:p>
    <w:p w14:paraId="42754D43" w14:textId="77777777" w:rsidR="001F7233" w:rsidRDefault="00000000">
      <w:pPr>
        <w:pStyle w:val="ListParagraph"/>
        <w:numPr>
          <w:ilvl w:val="0"/>
          <w:numId w:val="2"/>
        </w:numPr>
        <w:spacing w:after="60"/>
      </w:pPr>
      <w:r>
        <w:t>Sales Tax variiert nach Ort und Produkt. Im Bedienrestaurant kann ein Trinkgeld dazukommen; nutze für die Gesamtrechnung die lokalen Steuersätze und prüfe, ob bereits eine Service Charge enthalten ist. Das Rechenbeispiel oben ergibt bei seinen ausdrücklichen Annahmen 26 % Mehrkosten nur für diese Restaurantrechnung.</w:t>
      </w:r>
    </w:p>
    <w:p w14:paraId="2921ECFE" w14:textId="77777777" w:rsidR="001F7233" w:rsidRDefault="00000000">
      <w:pPr>
        <w:pStyle w:val="ListParagraph"/>
        <w:numPr>
          <w:ilvl w:val="0"/>
          <w:numId w:val="2"/>
        </w:numPr>
        <w:spacing w:after="60"/>
      </w:pPr>
      <w:r>
        <w:t>Halte kleine Scheine für Trinkgeld bereit: Gepäckträger, Parkservice, Hotelreinigung.</w:t>
      </w:r>
    </w:p>
    <w:p w14:paraId="158D8419" w14:textId="77777777" w:rsidR="001F7233" w:rsidRDefault="00000000">
      <w:pPr>
        <w:pStyle w:val="ListParagraph"/>
        <w:numPr>
          <w:ilvl w:val="0"/>
          <w:numId w:val="2"/>
        </w:numPr>
        <w:spacing w:after="60"/>
      </w:pPr>
      <w:r>
        <w:t>Meide bei Fremden Politik, Religion, Gehalt und Waffen; frage nie, wen jemand wählt.</w:t>
      </w:r>
    </w:p>
    <w:p w14:paraId="711172EB" w14:textId="77777777" w:rsidR="001F7233" w:rsidRDefault="00000000">
      <w:pPr>
        <w:pStyle w:val="ListParagraph"/>
        <w:numPr>
          <w:ilvl w:val="0"/>
          <w:numId w:val="2"/>
        </w:numPr>
        <w:spacing w:after="60"/>
      </w:pPr>
      <w:r>
        <w:t>Kommentiere Flaggen, Wahlplakate und Abzeichen nicht und stehe bei der Hymne auf.</w:t>
      </w:r>
    </w:p>
    <w:p w14:paraId="45729848" w14:textId="77777777" w:rsidR="001F7233" w:rsidRDefault="00000000">
      <w:pPr>
        <w:pStyle w:val="ListParagraph"/>
        <w:numPr>
          <w:ilvl w:val="0"/>
          <w:numId w:val="2"/>
        </w:numPr>
        <w:spacing w:after="60"/>
      </w:pPr>
      <w:r>
        <w:t>Lies jeden Haftungsverzicht und schließe eine Haftpflicht ab (Kapitel </w:t>
      </w:r>
      <w:hyperlink w:anchor="k25">
        <w:r w:rsidR="001F7233">
          <w:t>25</w:t>
        </w:r>
      </w:hyperlink>
      <w:r>
        <w:t>).</w:t>
      </w:r>
    </w:p>
    <w:p w14:paraId="5848E62F" w14:textId="77777777" w:rsidR="001F7233" w:rsidRDefault="00000000">
      <w:pPr>
        <w:pStyle w:val="ListParagraph"/>
        <w:numPr>
          <w:ilvl w:val="0"/>
          <w:numId w:val="2"/>
        </w:numPr>
        <w:spacing w:after="60"/>
      </w:pPr>
      <w:r>
        <w:t>Trinke nur in Bars, Restaurants und Privaträumen, nimm den Ausweis mit und meide Cannabis, solange du kein Staatsbürger bist.</w:t>
      </w:r>
    </w:p>
    <w:p w14:paraId="7FB385B7" w14:textId="77777777" w:rsidR="001F7233" w:rsidRDefault="00000000">
      <w:pPr>
        <w:pStyle w:val="ListParagraph"/>
        <w:numPr>
          <w:ilvl w:val="0"/>
          <w:numId w:val="2"/>
        </w:numPr>
        <w:spacing w:after="60"/>
      </w:pPr>
      <w:r>
        <w:t>Melde als Nichtstaatsbürger jeden Umzug binnen 10 Tagen mit Form AR-11, obwohl es keine Anmeldepflicht gibt (Kapitel </w:t>
      </w:r>
      <w:hyperlink w:anchor="k30">
        <w:r w:rsidR="001F7233">
          <w:t>30</w:t>
        </w:r>
      </w:hyperlink>
      <w:r>
        <w:t>).</w:t>
      </w:r>
    </w:p>
    <w:p w14:paraId="251DCC39" w14:textId="77777777" w:rsidR="001F7233" w:rsidRDefault="00000000">
      <w:pPr>
        <w:pStyle w:val="ListParagraph"/>
        <w:numPr>
          <w:ilvl w:val="0"/>
          <w:numId w:val="2"/>
        </w:numPr>
        <w:spacing w:after="60"/>
      </w:pPr>
      <w:r>
        <w:t>Beschreibe Unterschiede neugierig statt wertend, und gib dir Zeit zur Eingewöhnung (Kapitel </w:t>
      </w:r>
      <w:hyperlink w:anchor="k33">
        <w:r w:rsidR="001F7233">
          <w:t>33</w:t>
        </w:r>
      </w:hyperlink>
      <w:r>
        <w:t>).</w:t>
      </w:r>
    </w:p>
    <w:p w14:paraId="03305B3C" w14:textId="77777777" w:rsidR="001F7233" w:rsidRDefault="001F7233">
      <w:pPr>
        <w:spacing w:line="120" w:lineRule="exact"/>
      </w:pPr>
    </w:p>
    <w:p w14:paraId="7128CC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54AD93F" w14:textId="77777777" w:rsidR="001F7233" w:rsidRDefault="00000000">
      <w:pPr>
        <w:spacing w:after="140"/>
      </w:pPr>
      <w:r>
        <w:t>Übe in den ersten Wochen die Rituale (Begrüßung, Small Talk, Trinkgeld) und beobachte, wie Kolleginnen, Nachbarn und andere Eltern es machen. Wenn dich die Unterschiede mehr belasten als amüsieren, lies Kapitel </w:t>
      </w:r>
      <w:hyperlink w:anchor="k33">
        <w:r w:rsidR="001F7233">
          <w:t>33</w:t>
        </w:r>
      </w:hyperlink>
      <w:r>
        <w:t>; für Anschluss und Einladungen Kapitel </w:t>
      </w:r>
      <w:hyperlink w:anchor="k32">
        <w:r w:rsidR="001F7233">
          <w:t>32</w:t>
        </w:r>
      </w:hyperlink>
      <w:r>
        <w:t>.</w:t>
      </w:r>
    </w:p>
    <w:p w14:paraId="637D305C" w14:textId="77777777" w:rsidR="001F7233" w:rsidRDefault="00000000">
      <w:r>
        <w:t>• Antworten auf „How are you?“ und drei Small-Talk-Themen (Wetter, Wochenende, Reisen) einüben</w:t>
      </w:r>
    </w:p>
    <w:p w14:paraId="54B51788" w14:textId="77777777" w:rsidR="001F7233" w:rsidRDefault="00000000">
      <w:r>
        <w:t>Restaurantkosten nach Ort kalkulieren: Sales Tax, angenommenes Trinkgeld und bereits enthaltene Service Charge getrennt prüfen</w:t>
      </w:r>
    </w:p>
    <w:p w14:paraId="42549BA4" w14:textId="77777777" w:rsidR="001F7233" w:rsidRDefault="00000000">
      <w:r>
        <w:t>• Steuersatz des Wohnorts bei der Finanzbehörde des Bundesstaats nachschlagen</w:t>
      </w:r>
    </w:p>
    <w:p w14:paraId="42E3B73F" w14:textId="77777777" w:rsidR="001F7233" w:rsidRDefault="00000000">
      <w:r>
        <w:t>• Reisepass oder US-Führerschein für Bars und Läden (Altersgrenze 21) bereithalten</w:t>
      </w:r>
    </w:p>
    <w:p w14:paraId="34F9CF78" w14:textId="77777777" w:rsidR="001F7233" w:rsidRDefault="00000000">
      <w:r>
        <w:t>• Haftpflichtschutz in der Mieter- oder Hausversicherung prüfen (</w:t>
      </w:r>
      <w:hyperlink w:anchor="k25">
        <w:r w:rsidR="001F7233">
          <w:rPr>
            <w:color w:val="0563C1"/>
            <w:u w:val="single"/>
          </w:rPr>
          <w:t>Kapitel 25</w:t>
        </w:r>
      </w:hyperlink>
      <w:r>
        <w:t>) und Waivers vor der Unterschrift lesen</w:t>
      </w:r>
    </w:p>
    <w:p w14:paraId="6E98F16D" w14:textId="77777777" w:rsidR="001F7233" w:rsidRDefault="00000000">
      <w:r>
        <w:t>• Einladungen mit RSVP beantworten und Termine im US-Datumsformat (Monat zuerst) gegenprüfen</w:t>
      </w:r>
    </w:p>
    <w:p w14:paraId="7C72E3B2" w14:textId="77777777" w:rsidR="001F7233" w:rsidRDefault="00000000">
      <w:r>
        <w:t>• Kassenbons und Rückgabefristen von Käufen aufbewahren</w:t>
      </w:r>
    </w:p>
    <w:p w14:paraId="5E9622AA" w14:textId="77777777" w:rsidR="001F7233" w:rsidRDefault="00000000">
      <w:r>
        <w:t>• Als Nichtstaatsbürger: Cannabis meiden, keine Wahlspenden bei befristetem Visum, Umzüge mit AR-11 melden (</w:t>
      </w:r>
      <w:hyperlink w:anchor="k30">
        <w:r w:rsidR="001F7233">
          <w:rPr>
            <w:color w:val="0563C1"/>
            <w:u w:val="single"/>
          </w:rPr>
          <w:t>Kapitel 30</w:t>
        </w:r>
      </w:hyperlink>
      <w:r>
        <w:t xml:space="preserve"> und 40)</w:t>
      </w:r>
    </w:p>
    <w:p w14:paraId="40BCCF77" w14:textId="77777777" w:rsidR="001F7233" w:rsidRDefault="00000000">
      <w:r>
        <w:t>• Öffentliche Social-Media-Profile darauf prüfen, was Behörden und Arbeitgeber sehen</w:t>
      </w:r>
    </w:p>
    <w:p w14:paraId="266FDDCD" w14:textId="77777777" w:rsidR="001F7233" w:rsidRDefault="00000000">
      <w:r>
        <w:t>• Feiertage (Thanksgiving, Halloween, Super Bowl) eintragen und Einladungen annehmen</w:t>
      </w:r>
    </w:p>
    <w:p w14:paraId="2C9CC596" w14:textId="77777777" w:rsidR="001F7233" w:rsidRDefault="001F7233">
      <w:pPr>
        <w:spacing w:line="220" w:lineRule="exact"/>
      </w:pPr>
    </w:p>
    <w:p w14:paraId="1554C3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FD2DA64" w14:textId="77777777" w:rsidR="001F7233" w:rsidRDefault="00000000">
      <w:pPr>
        <w:pStyle w:val="ListParagraph"/>
        <w:numPr>
          <w:ilvl w:val="0"/>
          <w:numId w:val="1"/>
        </w:numPr>
        <w:spacing w:after="60"/>
      </w:pPr>
      <w:r>
        <w:t>Pew Research Center — Religion und Waffenbesitz in den USA (</w:t>
      </w:r>
      <w:hyperlink r:id="rId432">
        <w:r w:rsidR="001F7233">
          <w:rPr>
            <w:color w:val="0563C1"/>
            <w:u w:val="single"/>
          </w:rPr>
          <w:t>pewresearch.org/religion</w:t>
        </w:r>
      </w:hyperlink>
      <w:r>
        <w:t xml:space="preserve">, </w:t>
      </w:r>
      <w:hyperlink r:id="rId433">
        <w:r w:rsidR="001F7233">
          <w:rPr>
            <w:color w:val="0563C1"/>
            <w:u w:val="single"/>
          </w:rPr>
          <w:t>pewresearch.org/short-reads</w:t>
        </w:r>
      </w:hyperlink>
      <w:r>
        <w:t>)</w:t>
      </w:r>
    </w:p>
    <w:p w14:paraId="0711295D" w14:textId="77777777" w:rsidR="001F7233" w:rsidRDefault="00000000">
      <w:pPr>
        <w:pStyle w:val="ListParagraph"/>
        <w:numPr>
          <w:ilvl w:val="0"/>
          <w:numId w:val="1"/>
        </w:numPr>
        <w:spacing w:after="60"/>
      </w:pPr>
      <w:r>
        <w:lastRenderedPageBreak/>
        <w:t>Arbeitsministerium (DOL) — Mindestlohn für Trinkgeldempfänger (</w:t>
      </w:r>
      <w:hyperlink r:id="rId434">
        <w:r w:rsidR="001F7233">
          <w:rPr>
            <w:color w:val="0563C1"/>
            <w:u w:val="single"/>
          </w:rPr>
          <w:t>dol.gov/agencies/whd</w:t>
        </w:r>
      </w:hyperlink>
      <w:r>
        <w:t>, Suche: tipped employees)</w:t>
      </w:r>
    </w:p>
    <w:p w14:paraId="386C9227" w14:textId="77777777" w:rsidR="001F7233" w:rsidRDefault="00000000">
      <w:pPr>
        <w:pStyle w:val="ListParagraph"/>
        <w:numPr>
          <w:ilvl w:val="0"/>
          <w:numId w:val="1"/>
        </w:numPr>
        <w:spacing w:after="60"/>
      </w:pPr>
      <w:r>
        <w:t>Handelsbehörde FTC — Regel gegen versteckte Gebühren (</w:t>
      </w:r>
      <w:hyperlink r:id="rId435">
        <w:r w:rsidR="001F7233">
          <w:rPr>
            <w:color w:val="0563C1"/>
            <w:u w:val="single"/>
          </w:rPr>
          <w:t>ftc.gov</w:t>
        </w:r>
      </w:hyperlink>
      <w:r>
        <w:t>, Suche: Rule on Unfair or Deceptive Fees)</w:t>
      </w:r>
    </w:p>
    <w:p w14:paraId="382FB2F1" w14:textId="77777777" w:rsidR="001F7233" w:rsidRDefault="00000000">
      <w:pPr>
        <w:pStyle w:val="ListParagraph"/>
        <w:numPr>
          <w:ilvl w:val="0"/>
          <w:numId w:val="1"/>
        </w:numPr>
        <w:spacing w:after="60"/>
      </w:pPr>
      <w:r>
        <w:t>Wahlkommission FEC — Wahlspenden von Ausländern (</w:t>
      </w:r>
      <w:hyperlink r:id="rId436">
        <w:r w:rsidR="001F7233">
          <w:rPr>
            <w:color w:val="0563C1"/>
            <w:u w:val="single"/>
          </w:rPr>
          <w:t>fec.gov</w:t>
        </w:r>
      </w:hyperlink>
      <w:r>
        <w:t>, Suche: foreign nationals)</w:t>
      </w:r>
    </w:p>
    <w:p w14:paraId="18F09A0D" w14:textId="77777777" w:rsidR="001F7233" w:rsidRDefault="00000000">
      <w:pPr>
        <w:pStyle w:val="ListParagraph"/>
        <w:numPr>
          <w:ilvl w:val="0"/>
          <w:numId w:val="1"/>
        </w:numPr>
        <w:spacing w:after="60"/>
      </w:pPr>
      <w:r>
        <w:t>Einwanderungsbehörde USCIS — Cannabis und Einwanderungsrecht (</w:t>
      </w:r>
      <w:hyperlink r:id="rId437">
        <w:r w:rsidR="001F7233">
          <w:rPr>
            <w:color w:val="0563C1"/>
            <w:u w:val="single"/>
          </w:rPr>
          <w:t>uscis.gov/policy-manual</w:t>
        </w:r>
      </w:hyperlink>
      <w:r>
        <w:t>, Suche: marijuana)</w:t>
      </w:r>
    </w:p>
    <w:p w14:paraId="615297AC" w14:textId="77777777" w:rsidR="001F7233" w:rsidRDefault="00000000">
      <w:pPr>
        <w:pStyle w:val="ListParagraph"/>
        <w:numPr>
          <w:ilvl w:val="0"/>
          <w:numId w:val="1"/>
        </w:numPr>
        <w:spacing w:after="60"/>
      </w:pPr>
      <w:r>
        <w:t>Drogenbehörde DEA — Stand der Cannabis-Umstufung (</w:t>
      </w:r>
      <w:hyperlink r:id="rId438">
        <w:r w:rsidR="001F7233">
          <w:rPr>
            <w:color w:val="0563C1"/>
            <w:u w:val="single"/>
          </w:rPr>
          <w:t>dea.gov/marijuana-rescheduling-regulatory-actions</w:t>
        </w:r>
      </w:hyperlink>
      <w:r>
        <w:t>)</w:t>
      </w:r>
    </w:p>
    <w:p w14:paraId="38918F1B" w14:textId="77777777" w:rsidR="001F7233" w:rsidRDefault="00000000">
      <w:pPr>
        <w:pStyle w:val="ListParagraph"/>
        <w:numPr>
          <w:ilvl w:val="0"/>
          <w:numId w:val="1"/>
        </w:numPr>
        <w:spacing w:after="60"/>
      </w:pPr>
      <w:r>
        <w:t>Personalverwaltung OPM — Bundesfeiertage (</w:t>
      </w:r>
      <w:hyperlink r:id="rId439">
        <w:r w:rsidR="001F7233">
          <w:rPr>
            <w:color w:val="0563C1"/>
            <w:u w:val="single"/>
          </w:rPr>
          <w:t>opm.gov/policy-data-oversight/pay-leave/federal-holidays</w:t>
        </w:r>
      </w:hyperlink>
      <w:r>
        <w:t>)</w:t>
      </w:r>
    </w:p>
    <w:p w14:paraId="432BCEAF" w14:textId="77777777" w:rsidR="001F7233" w:rsidRDefault="00000000">
      <w:pPr>
        <w:pStyle w:val="ListParagraph"/>
        <w:numPr>
          <w:ilvl w:val="0"/>
          <w:numId w:val="1"/>
        </w:numPr>
        <w:spacing w:after="60"/>
      </w:pPr>
      <w:r>
        <w:t>Alkoholforschungsinstitut NIAAA — Alkoholgesetze der Bundesstaaten (</w:t>
      </w:r>
      <w:hyperlink r:id="rId440">
        <w:r w:rsidR="001F7233">
          <w:rPr>
            <w:color w:val="0563C1"/>
            <w:u w:val="single"/>
          </w:rPr>
          <w:t>alcoholpolicy.niaaa.nih.gov</w:t>
        </w:r>
      </w:hyperlink>
      <w:r>
        <w:t>)</w:t>
      </w:r>
    </w:p>
    <w:p w14:paraId="02A4DB2E" w14:textId="77777777" w:rsidR="001F7233" w:rsidRDefault="001F7233">
      <w:pPr>
        <w:spacing w:line="120" w:lineRule="exact"/>
      </w:pPr>
    </w:p>
    <w:p w14:paraId="097931C1" w14:textId="77777777" w:rsidR="001F7233" w:rsidRDefault="00000000">
      <w:pPr>
        <w:pStyle w:val="ListParagraph"/>
      </w:pPr>
      <w:r>
        <w:t xml:space="preserve">J. David Thomas — Jeff Foxworthy’s Redneck Humor and the Boundaries of Middle-Class American Whiteness, SAGE Open (2016): </w:t>
      </w:r>
      <w:hyperlink r:id="rId441">
        <w:r w:rsidR="001F7233">
          <w:rPr>
            <w:rStyle w:val="Hyperlink"/>
          </w:rPr>
          <w:t>journals.sagepub.com/doi/10.1177/2158244016647772</w:t>
        </w:r>
      </w:hyperlink>
    </w:p>
    <w:p w14:paraId="09767BE1" w14:textId="77777777" w:rsidR="001F7233" w:rsidRDefault="00000000">
      <w:r>
        <w:t>• Quellen- und Datenstand: September 2026; Redaktionsschluss: Oktober 2026. Diese Angaben ändern sich schnell: übliche Trinkgeldsätze, Verkaufssteuersätze (Tax Foundation, Mitte 2026: Durchschnitt 7,53 %), Rückgabefristen einzelner Händler, die Zahl der Cannabis-Bundesstaaten, die bundesrechtliche Einstufung von Cannabis (ein Verfahren läuft) sowie Datenschutz- und Waffengesetze der Bundesstaaten. Prüfe vor Entscheidungen die offiziellen Seiten und die Regeln deines Bundesstaats.</w:t>
      </w:r>
    </w:p>
    <w:p w14:paraId="217B2B24" w14:textId="77777777" w:rsidR="001F7233" w:rsidRDefault="001F7233">
      <w:pPr>
        <w:spacing w:line="220" w:lineRule="exact"/>
      </w:pPr>
    </w:p>
    <w:p w14:paraId="0D32C872" w14:textId="77777777" w:rsidR="001F7233" w:rsidRDefault="00000000">
      <w:pPr>
        <w:pStyle w:val="Heading3"/>
      </w:pPr>
      <w:r>
        <w:t>Kaffee bestellen: Größen, Cappuccino und Trinkgeld</w:t>
      </w:r>
    </w:p>
    <w:p w14:paraId="70406B1E" w14:textId="77777777" w:rsidR="001F7233" w:rsidRDefault="00000000">
      <w:r>
        <w:t xml:space="preserve">In den USA sind Filterkaffee, Cold Brew und Espresso-Getränke verbreitet; Größen und Regeln fürs Nachfüllen unterscheiden sich je </w:t>
      </w:r>
      <w:r>
        <w:lastRenderedPageBreak/>
        <w:t>nach Kette. Cappuccino besteht aus Espresso, heißer aufgeschäumter Milch und Milchschaum. Prüfe im Restaurant die Rechnung auf eine bereits enthaltene Servicegebühr, bevor du Trinkgeld gibst. Trinkgeldvorschläge am Tresen sind freiwillig. Bestelle eine kleine Größe, wenn du keinen großen Becher zum Mitnehmen möchtest.</w:t>
      </w:r>
      <w:r>
        <w:br w:type="page"/>
      </w:r>
    </w:p>
    <w:p w14:paraId="725A5675" w14:textId="77777777" w:rsidR="001F7233" w:rsidRDefault="00000000">
      <w:pPr>
        <w:pStyle w:val="Heading2"/>
        <w:keepNext/>
        <w:spacing w:line="341" w:lineRule="auto"/>
        <w:jc w:val="center"/>
      </w:pPr>
      <w:bookmarkStart w:id="65" w:name="k32"/>
      <w:r>
        <w:rPr>
          <w:rFonts w:ascii="Amazon Ember" w:eastAsia="Amazon Ember" w:hAnsi="Amazon Ember" w:cs="Amazon Ember"/>
          <w:color w:val="0000FF"/>
          <w:sz w:val="36"/>
          <w:szCs w:val="36"/>
        </w:rPr>
        <w:lastRenderedPageBreak/>
        <w:t>Kapitel 32: Freunde finden in einem neuen Land</w:t>
      </w:r>
      <w:bookmarkEnd w:id="65"/>
    </w:p>
    <w:p w14:paraId="0EB3AA63" w14:textId="77777777" w:rsidR="001F7233" w:rsidRDefault="00000000">
      <w:pPr>
        <w:spacing w:after="140"/>
      </w:pPr>
      <w:r>
        <w:t>Nach sechs Wochen in der neuen Stadt kennst du den Weg zum nächsten Supermarkt, die Kollegen grüßen freundlich und der Nachbar winkt aus dem Auto. Trotzdem sitzt du am Samstagabend allein in der Wohnung und fragst dich, wann aus alldem Freundschaft wird. Die ehrliche Antwort: später, als dir lieb ist, und nur, wenn du ein wenig nachhilfst. Dieses Kapitel zeigt, wo du Menschen triffst und wie aus Höflichkeitsfloskeln Verabredungen werden. Es zeigt außerdem, wie du die Freundschaften in der Heimat nicht verlierst.</w:t>
      </w:r>
    </w:p>
    <w:p w14:paraId="1D9C5063" w14:textId="77777777" w:rsidR="001F7233" w:rsidRDefault="00000000">
      <w:r>
        <w:rPr>
          <w:b/>
        </w:rPr>
        <w:t xml:space="preserve">KURZ GESAGT: </w:t>
      </w:r>
    </w:p>
    <w:p w14:paraId="10C4B731" w14:textId="77777777" w:rsidR="001F7233" w:rsidRDefault="00000000">
      <w:r>
        <w:t>• Freundschaft ist eine Frage der Zeit: Eine US-Studie nennt rund 50 Stunden gemeinsamer Zeit bis zur lockeren Freundschaft und über 200 bis zur engen. Bei zwei Stunden pro Woche sind das etwa ein halbes Jahr und zwei Jahre.</w:t>
      </w:r>
    </w:p>
    <w:p w14:paraId="65B48261" w14:textId="77777777" w:rsidR="001F7233" w:rsidRDefault="00000000">
      <w:r>
        <w:t>• Wiederholung schlägt Intensität: dieselbe Gruppe, derselbe Ort, jede Woche.</w:t>
      </w:r>
    </w:p>
    <w:p w14:paraId="58FAAA30" w14:textId="77777777" w:rsidR="001F7233" w:rsidRDefault="00000000">
      <w:r>
        <w:t>• Die Initiative liegt meist bei dir. „Let’s get coffee“ wird erst mit Tag, Uhrzeit und Ort zur Verabredung.</w:t>
      </w:r>
    </w:p>
    <w:p w14:paraId="235FE34F" w14:textId="77777777" w:rsidR="001F7233" w:rsidRDefault="00000000">
      <w:r>
        <w:t>• Am schnellsten gelingt es über Kinder, Sport, Gemeinde, Ehrenamt und Kurse; Apps öffnen Türen, ersetzen aber keine Wiederholung.</w:t>
      </w:r>
    </w:p>
    <w:p w14:paraId="30A00872" w14:textId="77777777" w:rsidR="001F7233" w:rsidRDefault="00000000">
      <w:r>
        <w:t>• Zu Einladungen gehören Zu- oder Absage (RSVP), eine kleine Gabe und später die Gegeneinladung.</w:t>
      </w:r>
    </w:p>
    <w:p w14:paraId="0670C07B" w14:textId="77777777" w:rsidR="001F7233" w:rsidRDefault="00000000">
      <w:r>
        <w:t>• Wer nicht arbeiten darf, braucht feste Termine außer der Wohnung. Freunde in Deutschland brauchen feste Rituale.</w:t>
      </w:r>
    </w:p>
    <w:p w14:paraId="2E94D19A" w14:textId="77777777" w:rsidR="001F7233" w:rsidRDefault="001F7233">
      <w:pPr>
        <w:spacing w:line="220" w:lineRule="exact"/>
      </w:pPr>
    </w:p>
    <w:p w14:paraId="1E39CD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es länger dauert, als du denkst</w:t>
      </w:r>
    </w:p>
    <w:p w14:paraId="2A7FFA3B" w14:textId="77777777" w:rsidR="001F7233" w:rsidRDefault="00000000">
      <w:pPr>
        <w:spacing w:after="140"/>
      </w:pPr>
      <w:r>
        <w:t>In Deutschland stammen viele Freundschaften aus Schule, Studium oder Verein und sind über Jahre gewachsen. In den USA beginnst du ohne diese Abkürzung. Drei Dinge bremsen auch.</w:t>
      </w:r>
    </w:p>
    <w:p w14:paraId="0AAF7198" w14:textId="77777777" w:rsidR="001F7233" w:rsidRDefault="00000000">
      <w:pPr>
        <w:spacing w:after="140"/>
      </w:pPr>
      <w:r>
        <w:rPr>
          <w:b/>
          <w:bCs/>
        </w:rPr>
        <w:t>Verbreiteter Irrtum: Amerikaner sind so offen, da hat man schnell Freunde.</w:t>
      </w:r>
      <w:r>
        <w:t xml:space="preserve"> Viele Amerikaner sprechen Fremde offen an, loben deine Jacke und wünschen dir einen schönen Tag. Tatsächlich ist das gelebte Höflichkeit, noch keine Einladung in ihr Leben. Der Abstand zwischen Kontakt und Freundschaft ist in den USA eher größer als in Deutschland, nur die erste Tür geht leichter auf. Warum das so ist, erklärt Kapitel </w:t>
      </w:r>
      <w:hyperlink w:anchor="k31">
        <w:r w:rsidR="001F7233">
          <w:t>31</w:t>
        </w:r>
      </w:hyperlink>
      <w:r>
        <w:t>; hier geht es darum, was du daraus machst.</w:t>
      </w:r>
    </w:p>
    <w:p w14:paraId="07A584A0" w14:textId="77777777" w:rsidR="001F7233" w:rsidRDefault="00000000">
      <w:pPr>
        <w:spacing w:after="140"/>
      </w:pPr>
      <w:r>
        <w:rPr>
          <w:b/>
          <w:bCs/>
        </w:rPr>
        <w:t>Hohe Mobilität. Nach Daten des Census Bureau (amtliche Statistikbehörde) zogen 2024 rund 12 % der Bevölkerung in eines Jahres um, gut 2 % in einen anderen Bundesstaat. Kollegen wechseln den Arbeitgeber, Nachbarn die Stadt, viele Visainhaber Stelle oder Land. Neue Kontakte entstehen dadurch leicht, laufen aber ebenso leicht wieder auseinander.</w:t>
      </w:r>
    </w:p>
    <w:p w14:paraId="73DDAEA3" w14:textId="77777777" w:rsidR="001F7233" w:rsidRDefault="00000000">
      <w:pPr>
        <w:spacing w:after="140"/>
      </w:pPr>
      <w:r>
        <w:rPr>
          <w:b/>
          <w:bCs/>
        </w:rPr>
        <w:t>Volle Kalender.</w:t>
      </w:r>
      <w:r>
        <w:t xml:space="preserve"> Berufstätige Eltern jonglieren Arbeit, Fahrdienste, Turniere am Wochenende und Kindergeburtstage. Wer für morgen fragt, hört häufig: „Not this week, but how about the week after?“ Verabredungen mit Erwachsenen liegen oft Wochen in der Zukunft.</w:t>
      </w:r>
    </w:p>
    <w:p w14:paraId="1A818C1E" w14:textId="77777777" w:rsidR="001F7233" w:rsidRDefault="00000000">
      <w:pPr>
        <w:spacing w:after="140"/>
      </w:pPr>
      <w:r>
        <w:rPr>
          <w:b/>
          <w:bCs/>
        </w:rPr>
        <w:t>Die Rechnung. Der Kommunikationswissenschaftler Jeffrey Hall (University of Kansas) ermittelte 2018: Zwei Erwachsene brauchen etwa 50 Stunden gemeinsamer Zeit bis zur lockeren Freundschaft, rund 90 Stunden bis zur Freundschaft und mehr als 200 bis zur engen. Zeit bei der Arbeit zählt dabei weniger als Freizeit. Bei zwei Stunden Kontakt pro Woche dauert die lockere Freundschaft also etwa ein halbes Jahr, die „richtige“ knapp ein Jahr, die enge rund zwei Jahre. Die Zahlen sind Näherungswerte aus Befragungen. Sie erklären aber, warum sich die ersten Monate zäh anfühlen.</w:t>
      </w:r>
    </w:p>
    <w:p w14:paraId="76E919C3" w14:textId="77777777" w:rsidR="001F7233" w:rsidRDefault="00000000">
      <w:r>
        <w:rPr>
          <w:b/>
        </w:rPr>
        <w:lastRenderedPageBreak/>
        <w:t xml:space="preserve">MERKE: </w:t>
      </w:r>
    </w:p>
    <w:p w14:paraId="678E36E3" w14:textId="77777777" w:rsidR="001F7233" w:rsidRDefault="00000000">
      <w:r>
        <w:t>• Freundschaft entsteht durch Wiederholung, nicht durch einen einzelnen großen Abend. Suche dir wenige Orte, an denen du dieselben Menschen regelmäßig triffst und bleib mindestens zwei Monate am Ball, bevor du urteilst.</w:t>
      </w:r>
    </w:p>
    <w:p w14:paraId="55DC95C7" w14:textId="77777777" w:rsidR="001F7233" w:rsidRDefault="001F7233">
      <w:pPr>
        <w:spacing w:line="220" w:lineRule="exact"/>
      </w:pPr>
    </w:p>
    <w:p w14:paraId="0A6AE2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 „Let’s get coffee“ wird ein Termin</w:t>
      </w:r>
    </w:p>
    <w:p w14:paraId="416E5EF1" w14:textId="77777777" w:rsidR="001F7233" w:rsidRDefault="00000000">
      <w:pPr>
        <w:spacing w:after="140"/>
      </w:pPr>
      <w:r>
        <w:t>Am Ende eines netten Gesprächs sagt jemand: „We should get coffee sometime!“ Manchmal ist das eine Floskel, manchmal ernst gemeint. Von außen erkennst du den Unterschied nicht. Du erfährst ihn, indem du konkret nachfragst, ohne zu drängen. Das ist keine Aufdringlichkeit, sondern die Betriebsanleitung.</w:t>
      </w:r>
    </w:p>
    <w:p w14:paraId="423D1E10" w14:textId="77777777" w:rsidR="001F7233" w:rsidRDefault="00000000">
      <w:pPr>
        <w:pStyle w:val="ListParagraph"/>
        <w:numPr>
          <w:ilvl w:val="0"/>
          <w:numId w:val="32"/>
        </w:numPr>
        <w:spacing w:after="60"/>
      </w:pPr>
      <w:r>
        <w:rPr>
          <w:i/>
          <w:iCs/>
        </w:rPr>
        <w:t>Tausche die Handynummer aus. Verabredungen laufen in den USA meist per Kurznachricht (Text: SMS oder iMessage); WhatsApp ist weniger verbreitet als in Deutschland.</w:t>
      </w:r>
    </w:p>
    <w:p w14:paraId="3DB735D6" w14:textId="77777777" w:rsidR="001F7233" w:rsidRDefault="00000000">
      <w:pPr>
        <w:pStyle w:val="ListParagraph"/>
        <w:numPr>
          <w:ilvl w:val="0"/>
          <w:numId w:val="2"/>
        </w:numPr>
        <w:spacing w:after="60"/>
      </w:pPr>
      <w:r>
        <w:t>Schreibe innerhalb von zwei bis drei Tagen und nenne zwei konkrete Termine: „Hi Jordan, great chatting on Tuesday! Coffee on Saturday at 10 or Thursday after work? I know a café near your office.“</w:t>
      </w:r>
    </w:p>
    <w:p w14:paraId="38992D68" w14:textId="77777777" w:rsidR="001F7233" w:rsidRDefault="00000000">
      <w:pPr>
        <w:pStyle w:val="ListParagraph"/>
        <w:numPr>
          <w:ilvl w:val="0"/>
          <w:numId w:val="2"/>
        </w:numPr>
        <w:spacing w:after="60"/>
      </w:pPr>
      <w:r>
        <w:t>Halte es klein: 30 bis 60 Minuten, ein Getränk, ein öffentlicher Ort. Das gemeinsame Abendessen kommt später.</w:t>
      </w:r>
    </w:p>
    <w:p w14:paraId="676FC060" w14:textId="77777777" w:rsidR="001F7233" w:rsidRDefault="00000000">
      <w:pPr>
        <w:pStyle w:val="ListParagraph"/>
        <w:numPr>
          <w:ilvl w:val="0"/>
          <w:numId w:val="2"/>
        </w:numPr>
        <w:spacing w:after="60"/>
      </w:pPr>
      <w:r>
        <w:t>Bleibt die Antwort aus, erinnere nach etwa einer Woche einmal freundlich („Still up for coffee? No worries if things are busy.“). Danach lässt du es ruhen. Viele schieben Nachrichten auf und antworten Wochen später, gern mit einem fröhlichen „So sorry, just saw this“, das mit der Wahrheit nur locker verwandt ist. Eine Ablehnung deiner Person ist das selten.</w:t>
      </w:r>
    </w:p>
    <w:p w14:paraId="45341BA9" w14:textId="77777777" w:rsidR="001F7233" w:rsidRDefault="00000000">
      <w:pPr>
        <w:pStyle w:val="ListParagraph"/>
        <w:numPr>
          <w:ilvl w:val="0"/>
          <w:numId w:val="2"/>
        </w:numPr>
        <w:spacing w:after="60"/>
      </w:pPr>
      <w:r>
        <w:t>Kommt eine Absage mit „Let’s reschedule“, schlage einen neuen Termin vor. Wird auch der verschoben, verteile deine Energie auf andere Kontakte.</w:t>
      </w:r>
    </w:p>
    <w:p w14:paraId="7B15F4BD" w14:textId="77777777" w:rsidR="001F7233" w:rsidRDefault="001F7233">
      <w:pPr>
        <w:spacing w:line="120" w:lineRule="exact"/>
      </w:pPr>
    </w:p>
    <w:p w14:paraId="145AE868" w14:textId="77777777" w:rsidR="001F7233" w:rsidRDefault="00000000">
      <w:r>
        <w:rPr>
          <w:b/>
        </w:rPr>
        <w:t>„We should hang out sometime!“</w:t>
      </w:r>
    </w:p>
    <w:p w14:paraId="7E928710" w14:textId="77777777" w:rsidR="001F7233" w:rsidRDefault="00000000">
      <w:r>
        <w:rPr>
          <w:b/>
        </w:rPr>
        <w:lastRenderedPageBreak/>
        <w:t xml:space="preserve">Was meist gemeint ist: </w:t>
      </w:r>
      <w:r>
        <w:t>Höflichkeit, oft mit echter Sympathie</w:t>
      </w:r>
    </w:p>
    <w:p w14:paraId="5654743C" w14:textId="77777777" w:rsidR="001F7233" w:rsidRDefault="00000000">
      <w:r>
        <w:rPr>
          <w:b/>
        </w:rPr>
        <w:t xml:space="preserve">Dein nächster Schritt: </w:t>
      </w:r>
      <w:r>
        <w:t>Zwei Terminvorschläge senden</w:t>
      </w:r>
    </w:p>
    <w:p w14:paraId="00FC12B8" w14:textId="77777777" w:rsidR="001F7233" w:rsidRDefault="00000000">
      <w:r>
        <w:rPr>
          <w:b/>
        </w:rPr>
        <w:t>„Let me know when you’re free.“</w:t>
      </w:r>
    </w:p>
    <w:p w14:paraId="6166C60D" w14:textId="77777777" w:rsidR="001F7233" w:rsidRDefault="00000000">
      <w:r>
        <w:rPr>
          <w:b/>
        </w:rPr>
        <w:t xml:space="preserve">Was meist gemeint ist: </w:t>
      </w:r>
      <w:r>
        <w:t>Der Ball liegt bei dir</w:t>
      </w:r>
    </w:p>
    <w:p w14:paraId="3EC8DD2E" w14:textId="77777777" w:rsidR="001F7233" w:rsidRDefault="00000000">
      <w:r>
        <w:rPr>
          <w:b/>
        </w:rPr>
        <w:t xml:space="preserve">Dein nächster Schritt: </w:t>
      </w:r>
      <w:r>
        <w:t>Ein konkretes Datum nennen</w:t>
      </w:r>
    </w:p>
    <w:p w14:paraId="3ADA07B3" w14:textId="77777777" w:rsidR="001F7233" w:rsidRDefault="00000000">
      <w:r>
        <w:rPr>
          <w:b/>
        </w:rPr>
        <w:t>„You should come over sometime.“</w:t>
      </w:r>
    </w:p>
    <w:p w14:paraId="59663DA2" w14:textId="77777777" w:rsidR="001F7233" w:rsidRDefault="00000000">
      <w:r>
        <w:rPr>
          <w:b/>
        </w:rPr>
        <w:t xml:space="preserve">Was meist gemeint ist: </w:t>
      </w:r>
      <w:r>
        <w:t>Offene Tür, noch keine Einladung</w:t>
      </w:r>
    </w:p>
    <w:p w14:paraId="4257675D" w14:textId="77777777" w:rsidR="001F7233" w:rsidRDefault="00000000">
      <w:r>
        <w:rPr>
          <w:b/>
        </w:rPr>
        <w:t xml:space="preserve">Dein nächster Schritt: </w:t>
      </w:r>
      <w:r>
        <w:t>„Gern! Passt der Samstag in zwei Wochen?“</w:t>
      </w:r>
    </w:p>
    <w:p w14:paraId="2E2529C3" w14:textId="77777777" w:rsidR="001F7233" w:rsidRDefault="00000000">
      <w:r>
        <w:rPr>
          <w:b/>
        </w:rPr>
        <w:t>„We’re having people over Saturday at 6. Can you make it?“</w:t>
      </w:r>
    </w:p>
    <w:p w14:paraId="62BFE28C" w14:textId="77777777" w:rsidR="001F7233" w:rsidRDefault="00000000">
      <w:r>
        <w:rPr>
          <w:b/>
        </w:rPr>
        <w:t xml:space="preserve">Was meist gemeint ist: </w:t>
      </w:r>
      <w:r>
        <w:t>Echte Einladung</w:t>
      </w:r>
    </w:p>
    <w:p w14:paraId="7663045A" w14:textId="77777777" w:rsidR="001F7233" w:rsidRDefault="00000000">
      <w:r>
        <w:rPr>
          <w:b/>
        </w:rPr>
        <w:t xml:space="preserve">Dein nächster Schritt: </w:t>
      </w:r>
      <w:r>
        <w:t>Zeitnah antworten, fragen, was du mitbringst</w:t>
      </w:r>
    </w:p>
    <w:p w14:paraId="4FAAD553" w14:textId="77777777" w:rsidR="001F7233" w:rsidRDefault="00000000">
      <w:r>
        <w:rPr>
          <w:b/>
        </w:rPr>
        <w:t>„Maybe next time.“</w:t>
      </w:r>
    </w:p>
    <w:p w14:paraId="67C6A8E4" w14:textId="77777777" w:rsidR="001F7233" w:rsidRDefault="00000000">
      <w:r>
        <w:rPr>
          <w:b/>
        </w:rPr>
        <w:t xml:space="preserve">Was meist gemeint ist: </w:t>
      </w:r>
      <w:r>
        <w:t>Freundliche Absage</w:t>
      </w:r>
    </w:p>
    <w:p w14:paraId="4B4A2791" w14:textId="77777777" w:rsidR="001F7233" w:rsidRDefault="00000000">
      <w:r>
        <w:rPr>
          <w:b/>
        </w:rPr>
        <w:t xml:space="preserve">Dein nächster Schritt: </w:t>
      </w:r>
      <w:r>
        <w:t>Nicht nachhaken, später etwas anderes anbieten</w:t>
      </w:r>
    </w:p>
    <w:p w14:paraId="76DCBF5D" w14:textId="77777777" w:rsidR="001F7233" w:rsidRDefault="001F7233">
      <w:pPr>
        <w:spacing w:line="180" w:lineRule="exact"/>
      </w:pPr>
    </w:p>
    <w:p w14:paraId="0DA63C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lernst du wen kennen?</w:t>
      </w:r>
    </w:p>
    <w:p w14:paraId="3D7A8BBC" w14:textId="77777777" w:rsidR="001F7233" w:rsidRDefault="00000000">
      <w:pPr>
        <w:spacing w:after="140"/>
      </w:pPr>
      <w:r>
        <w:t>Kein Ort passt für alle. Die Tabelle ordnet die wichtigsten Wege nach Zielgruppe, Aufwand und Tempo; die folgenden Abschnitte erklären sie.</w:t>
      </w:r>
    </w:p>
    <w:p w14:paraId="214F78C6" w14:textId="77777777" w:rsidR="001F7233" w:rsidRDefault="00000000">
      <w:r>
        <w:rPr>
          <w:b/>
        </w:rPr>
        <w:t>Schule, Kita, Kindersport</w:t>
      </w:r>
    </w:p>
    <w:p w14:paraId="00D916BB" w14:textId="77777777" w:rsidR="001F7233" w:rsidRDefault="00000000">
      <w:r>
        <w:rPr>
          <w:b/>
        </w:rPr>
        <w:t xml:space="preserve">Passt für: </w:t>
      </w:r>
      <w:r>
        <w:t>Eltern</w:t>
      </w:r>
    </w:p>
    <w:p w14:paraId="2349AC66" w14:textId="77777777" w:rsidR="001F7233" w:rsidRDefault="00000000">
      <w:r>
        <w:rPr>
          <w:b/>
        </w:rPr>
        <w:t xml:space="preserve">Aufwand: </w:t>
      </w:r>
      <w:r>
        <w:t>Mittel: feste Termine, Fahrdienste</w:t>
      </w:r>
    </w:p>
    <w:p w14:paraId="5C677BD4" w14:textId="77777777" w:rsidR="001F7233" w:rsidRDefault="00000000">
      <w:r>
        <w:rPr>
          <w:b/>
        </w:rPr>
        <w:t xml:space="preserve">Tempo: </w:t>
      </w:r>
      <w:r>
        <w:t>Schnell</w:t>
      </w:r>
    </w:p>
    <w:p w14:paraId="090650E5" w14:textId="77777777" w:rsidR="001F7233" w:rsidRDefault="00000000">
      <w:r>
        <w:rPr>
          <w:b/>
        </w:rPr>
        <w:t>Arbeit, Employee Resource Groups</w:t>
      </w:r>
    </w:p>
    <w:p w14:paraId="525A06F4" w14:textId="77777777" w:rsidR="001F7233" w:rsidRDefault="00000000">
      <w:r>
        <w:rPr>
          <w:b/>
        </w:rPr>
        <w:t xml:space="preserve">Passt für: </w:t>
      </w:r>
      <w:r>
        <w:t>Berufstätige</w:t>
      </w:r>
    </w:p>
    <w:p w14:paraId="62C9AD75" w14:textId="77777777" w:rsidR="001F7233" w:rsidRDefault="00000000">
      <w:r>
        <w:rPr>
          <w:b/>
        </w:rPr>
        <w:t xml:space="preserve">Aufwand: </w:t>
      </w:r>
      <w:r>
        <w:t>Gering</w:t>
      </w:r>
    </w:p>
    <w:p w14:paraId="6E105424" w14:textId="77777777" w:rsidR="001F7233" w:rsidRDefault="00000000">
      <w:r>
        <w:rPr>
          <w:b/>
        </w:rPr>
        <w:t xml:space="preserve">Tempo: </w:t>
      </w:r>
      <w:r>
        <w:t>Mittel; Kontakte wechseln oft</w:t>
      </w:r>
    </w:p>
    <w:p w14:paraId="0378E5D6" w14:textId="77777777" w:rsidR="001F7233" w:rsidRDefault="00000000">
      <w:r>
        <w:rPr>
          <w:b/>
        </w:rPr>
        <w:t>Nachbarschaft, Block Party</w:t>
      </w:r>
    </w:p>
    <w:p w14:paraId="501606DA" w14:textId="77777777" w:rsidR="001F7233" w:rsidRDefault="00000000">
      <w:r>
        <w:rPr>
          <w:b/>
        </w:rPr>
        <w:t xml:space="preserve">Passt für: </w:t>
      </w:r>
      <w:r>
        <w:t>Familien, Hausbesitzer, Mieter</w:t>
      </w:r>
    </w:p>
    <w:p w14:paraId="7811B74D" w14:textId="77777777" w:rsidR="001F7233" w:rsidRDefault="00000000">
      <w:r>
        <w:rPr>
          <w:b/>
        </w:rPr>
        <w:t xml:space="preserve">Aufwand: </w:t>
      </w:r>
      <w:r>
        <w:t>Gering</w:t>
      </w:r>
    </w:p>
    <w:p w14:paraId="5AB20A92" w14:textId="77777777" w:rsidR="001F7233" w:rsidRDefault="00000000">
      <w:r>
        <w:rPr>
          <w:b/>
        </w:rPr>
        <w:lastRenderedPageBreak/>
        <w:t xml:space="preserve">Tempo: </w:t>
      </w:r>
      <w:r>
        <w:t>Langsam</w:t>
      </w:r>
    </w:p>
    <w:p w14:paraId="7B4C57C8" w14:textId="77777777" w:rsidR="001F7233" w:rsidRDefault="00000000">
      <w:r>
        <w:rPr>
          <w:b/>
        </w:rPr>
        <w:t>Laufgruppe, Pickleball, Kletterhalle</w:t>
      </w:r>
    </w:p>
    <w:p w14:paraId="3AD07E34" w14:textId="77777777" w:rsidR="001F7233" w:rsidRDefault="00000000">
      <w:r>
        <w:rPr>
          <w:b/>
        </w:rPr>
        <w:t xml:space="preserve">Passt für: </w:t>
      </w:r>
      <w:r>
        <w:t>Fast alle</w:t>
      </w:r>
    </w:p>
    <w:p w14:paraId="6B86761E" w14:textId="77777777" w:rsidR="001F7233" w:rsidRDefault="00000000">
      <w:r>
        <w:rPr>
          <w:b/>
        </w:rPr>
        <w:t xml:space="preserve">Aufwand: </w:t>
      </w:r>
      <w:r>
        <w:t>Mittel</w:t>
      </w:r>
    </w:p>
    <w:p w14:paraId="206E45F3" w14:textId="77777777" w:rsidR="001F7233" w:rsidRDefault="00000000">
      <w:r>
        <w:rPr>
          <w:b/>
        </w:rPr>
        <w:t>Bibliothek, Community College, Kurse</w:t>
      </w:r>
    </w:p>
    <w:p w14:paraId="417E483B" w14:textId="77777777" w:rsidR="001F7233" w:rsidRDefault="00000000">
      <w:r>
        <w:rPr>
          <w:b/>
        </w:rPr>
        <w:t xml:space="preserve">Passt für: </w:t>
      </w:r>
      <w:r>
        <w:t>Fast alle, ideal ohne Job</w:t>
      </w:r>
    </w:p>
    <w:p w14:paraId="24A5C7D1" w14:textId="77777777" w:rsidR="001F7233" w:rsidRDefault="00000000">
      <w:r>
        <w:rPr>
          <w:b/>
        </w:rPr>
        <w:t xml:space="preserve">Aufwand: </w:t>
      </w:r>
      <w:r>
        <w:t>Mittel</w:t>
      </w:r>
    </w:p>
    <w:p w14:paraId="06EF623D" w14:textId="77777777" w:rsidR="001F7233" w:rsidRDefault="00000000">
      <w:r>
        <w:rPr>
          <w:b/>
        </w:rPr>
        <w:t>Glaubensgemeinschaft</w:t>
      </w:r>
    </w:p>
    <w:p w14:paraId="28987250" w14:textId="77777777" w:rsidR="001F7233" w:rsidRDefault="00000000">
      <w:r>
        <w:rPr>
          <w:b/>
        </w:rPr>
        <w:t xml:space="preserve">Passt für: </w:t>
      </w:r>
      <w:r>
        <w:t>Familien, Suchende</w:t>
      </w:r>
    </w:p>
    <w:p w14:paraId="7B662AB8" w14:textId="77777777" w:rsidR="001F7233" w:rsidRDefault="00000000">
      <w:r>
        <w:rPr>
          <w:b/>
        </w:rPr>
        <w:t xml:space="preserve">Aufwand: </w:t>
      </w:r>
      <w:r>
        <w:t>Mittel</w:t>
      </w:r>
    </w:p>
    <w:p w14:paraId="1981D5DF" w14:textId="77777777" w:rsidR="001F7233" w:rsidRDefault="00000000">
      <w:r>
        <w:rPr>
          <w:b/>
        </w:rPr>
        <w:t xml:space="preserve">Tempo: </w:t>
      </w:r>
      <w:r>
        <w:t>Schnell bis mittel</w:t>
      </w:r>
    </w:p>
    <w:p w14:paraId="24F69DC3" w14:textId="77777777" w:rsidR="001F7233" w:rsidRDefault="00000000">
      <w:r>
        <w:rPr>
          <w:b/>
        </w:rPr>
        <w:t>Ehrenamt</w:t>
      </w:r>
    </w:p>
    <w:p w14:paraId="240EFBD6" w14:textId="77777777" w:rsidR="001F7233" w:rsidRDefault="00000000">
      <w:r>
        <w:rPr>
          <w:b/>
        </w:rPr>
        <w:t xml:space="preserve">Passt für: </w:t>
      </w:r>
      <w:r>
        <w:t>Partner ohne Job, Alleinstehende</w:t>
      </w:r>
    </w:p>
    <w:p w14:paraId="6DE00AD8" w14:textId="77777777" w:rsidR="001F7233" w:rsidRDefault="00000000">
      <w:r>
        <w:rPr>
          <w:b/>
        </w:rPr>
        <w:t xml:space="preserve">Aufwand: </w:t>
      </w:r>
      <w:r>
        <w:t>Mittel</w:t>
      </w:r>
    </w:p>
    <w:p w14:paraId="470CF2F6" w14:textId="77777777" w:rsidR="001F7233" w:rsidRDefault="00000000">
      <w:r>
        <w:rPr>
          <w:b/>
        </w:rPr>
        <w:t>Meetup und Apps</w:t>
      </w:r>
    </w:p>
    <w:p w14:paraId="56D18FD2" w14:textId="77777777" w:rsidR="001F7233" w:rsidRDefault="00000000">
      <w:r>
        <w:rPr>
          <w:b/>
        </w:rPr>
        <w:t xml:space="preserve">Passt für: </w:t>
      </w:r>
      <w:r>
        <w:t>Alleinstehende, Zugezogene</w:t>
      </w:r>
    </w:p>
    <w:p w14:paraId="40875DEE" w14:textId="77777777" w:rsidR="001F7233" w:rsidRDefault="00000000">
      <w:r>
        <w:rPr>
          <w:b/>
        </w:rPr>
        <w:t xml:space="preserve">Aufwand: </w:t>
      </w:r>
      <w:r>
        <w:t>Gering</w:t>
      </w:r>
    </w:p>
    <w:p w14:paraId="242B49DB" w14:textId="77777777" w:rsidR="001F7233" w:rsidRDefault="00000000">
      <w:r>
        <w:rPr>
          <w:b/>
        </w:rPr>
        <w:t xml:space="preserve">Tempo: </w:t>
      </w:r>
      <w:r>
        <w:t>Kontakt schnell, Freundschaft langsam</w:t>
      </w:r>
    </w:p>
    <w:p w14:paraId="2BBD1A98" w14:textId="77777777" w:rsidR="001F7233" w:rsidRDefault="00000000">
      <w:r>
        <w:rPr>
          <w:b/>
        </w:rPr>
        <w:t>Deutsche und Expat-Gruppen</w:t>
      </w:r>
    </w:p>
    <w:p w14:paraId="10B2105D" w14:textId="77777777" w:rsidR="001F7233" w:rsidRDefault="00000000">
      <w:r>
        <w:rPr>
          <w:b/>
        </w:rPr>
        <w:t xml:space="preserve">Passt für: </w:t>
      </w:r>
      <w:r>
        <w:t>Neuankömmlinge</w:t>
      </w:r>
    </w:p>
    <w:p w14:paraId="1A2A7CC8" w14:textId="77777777" w:rsidR="001F7233" w:rsidRDefault="00000000">
      <w:r>
        <w:rPr>
          <w:b/>
        </w:rPr>
        <w:t xml:space="preserve">Aufwand: </w:t>
      </w:r>
      <w:r>
        <w:t>Gering</w:t>
      </w:r>
    </w:p>
    <w:p w14:paraId="6B01B296" w14:textId="77777777" w:rsidR="001F7233" w:rsidRDefault="00000000">
      <w:r>
        <w:rPr>
          <w:b/>
        </w:rPr>
        <w:t xml:space="preserve">Tempo: </w:t>
      </w:r>
      <w:r>
        <w:t>Schnell</w:t>
      </w:r>
    </w:p>
    <w:p w14:paraId="3B2D0B98" w14:textId="77777777" w:rsidR="001F7233" w:rsidRDefault="001F7233">
      <w:pPr>
        <w:spacing w:line="180" w:lineRule="exact"/>
      </w:pPr>
    </w:p>
    <w:p w14:paraId="4A229DA9" w14:textId="77777777" w:rsidR="001F7233" w:rsidRDefault="001F7233">
      <w:pPr>
        <w:spacing w:line="220" w:lineRule="exact"/>
      </w:pPr>
    </w:p>
    <w:p w14:paraId="2D0735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Kindern: Schule, Sport, Playdates, Geburtstage</w:t>
      </w:r>
    </w:p>
    <w:p w14:paraId="08930F27" w14:textId="77777777" w:rsidR="001F7233" w:rsidRDefault="00000000">
      <w:pPr>
        <w:spacing w:after="140"/>
      </w:pPr>
      <w:r>
        <w:t>Kinder sind der schnellste Weg zu neuen Kontakten, denn sie bringen Eltern regelmäßig an denselben Ort. An der Schule (mehr in Kapitel </w:t>
      </w:r>
      <w:hyperlink w:anchor="k36">
        <w:r w:rsidR="001F7233">
          <w:t>36</w:t>
        </w:r>
      </w:hyperlink>
      <w:r>
        <w:t xml:space="preserve">) siehst du beim Bringen, am Elternabend und beim Herbstfest immer wieder dieselben Gesichter. Die </w:t>
      </w:r>
      <w:r>
        <w:rPr>
          <w:i/>
          <w:iCs/>
        </w:rPr>
        <w:t>PTA</w:t>
      </w:r>
      <w:r>
        <w:t xml:space="preserve"> (</w:t>
      </w:r>
      <w:r>
        <w:rPr>
          <w:i/>
          <w:iCs/>
        </w:rPr>
        <w:t>Parent-Teacher Association</w:t>
      </w:r>
      <w:r>
        <w:t xml:space="preserve">) oder </w:t>
      </w:r>
      <w:r>
        <w:rPr>
          <w:i/>
          <w:iCs/>
        </w:rPr>
        <w:t>PTO</w:t>
      </w:r>
      <w:r>
        <w:t xml:space="preserve"> (</w:t>
      </w:r>
      <w:r>
        <w:rPr>
          <w:i/>
          <w:iCs/>
        </w:rPr>
        <w:t>Parent-Teacher Organization</w:t>
      </w:r>
      <w:r>
        <w:t xml:space="preserve">), der Elternverein der Schule, sucht ständig Helfer für Feste und </w:t>
      </w:r>
      <w:r>
        <w:lastRenderedPageBreak/>
        <w:t>Spendenaktionen. Wer sich meldet, kennt nach einem Halbjahr viele Eltern. Dasselbe gilt für Klassenausflüge und Elterngruppen der Kita. Beim Kindersport (Fußball, Baseball, Schwimmen, Pfadfinder) stehen Eltern wöchentlich am Spielfeldrand, und Fahrgemeinschaften (</w:t>
      </w:r>
      <w:r>
        <w:rPr>
          <w:i/>
          <w:iCs/>
        </w:rPr>
        <w:t>Carpools</w:t>
      </w:r>
      <w:r>
        <w:t>) entstehen fast von selbst. Für Kleinkinder eignen sich Spielplätze und die Vorlesestunden der Bibliothek (</w:t>
      </w:r>
      <w:r>
        <w:rPr>
          <w:i/>
          <w:iCs/>
        </w:rPr>
        <w:t>Story Time</w:t>
      </w:r>
      <w:r>
        <w:t>), meist kostenlos.</w:t>
      </w:r>
    </w:p>
    <w:p w14:paraId="0CB90D68" w14:textId="77777777" w:rsidR="001F7233" w:rsidRDefault="00000000">
      <w:pPr>
        <w:spacing w:after="140"/>
      </w:pPr>
      <w:r>
        <w:rPr>
          <w:b/>
          <w:bCs/>
        </w:rPr>
        <w:t>Playdates.</w:t>
      </w:r>
      <w:r>
        <w:t xml:space="preserve"> Ein </w:t>
      </w:r>
      <w:r>
        <w:rPr>
          <w:i/>
          <w:iCs/>
        </w:rPr>
        <w:t>Playdate</w:t>
      </w:r>
      <w:r>
        <w:t xml:space="preserve"> ist eine feste Verabredung der Kinder, meist ein bis zwei Stunden an einem Nachmittag oder am Wochenende. Sie läuft über die Eltern: Du schreibst der anderen Mutter oder dem anderen Vater, nicht dem Kind. Bei Vorschulkindern bleibt oft ein Elternteil, bei Grundschulkindern setzt man sie häufig ab. Vorab klärt man Allergien, Haustiere, Abholzeit und Bildschirmregeln. Manche Eltern fragen außerdem, ob im Haus Schusswaffen sind und wie sie gesichert werden. Die Frage ist üblich und nicht persönlich gemeint (Kapitel </w:t>
      </w:r>
      <w:hyperlink w:anchor="k40">
        <w:r w:rsidR="001F7233">
          <w:t>40</w:t>
        </w:r>
      </w:hyperlink>
      <w:r>
        <w:t>).</w:t>
      </w:r>
    </w:p>
    <w:p w14:paraId="32441823" w14:textId="77777777" w:rsidR="001F7233" w:rsidRDefault="00000000">
      <w:pPr>
        <w:spacing w:after="140"/>
      </w:pPr>
      <w:r>
        <w:rPr>
          <w:b/>
          <w:bCs/>
        </w:rPr>
        <w:t>Geburtstagspartys. Einladungen kommen per Text, auf Papier oder über Dienste wie Evite. Die Rückmeldung (RSVP) wird erwartet, auch die Absage. Die Party dauert meist etwa zwei Stunden. Als Geschenk sind nach gängigen Etikette-Ratgebern 15–30 $ üblich, oft mit Karte. Steht „no gifts“ auf der Einladung, halte dich daran. Geschwister kommen nur, wenn sie ausdrücklich eingeladen sind und bei Kindern unter sechs Jahren bleiben Eltern meist dabei, sofern die Gastgeber nichts anderes sagen.</w:t>
      </w:r>
    </w:p>
    <w:p w14:paraId="795EC9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 Job: Kollegen, Happy Hour, Netzwerke</w:t>
      </w:r>
    </w:p>
    <w:p w14:paraId="4473D4C5" w14:textId="77777777" w:rsidR="001F7233" w:rsidRDefault="00000000">
      <w:pPr>
        <w:spacing w:after="140"/>
      </w:pPr>
      <w:r>
        <w:rPr>
          <w:i/>
          <w:iCs/>
        </w:rPr>
        <w:t xml:space="preserve">Kollegen sind ein guter Start, aber selten das Ziel: Nach Halls Zahlen zählt Zeit bei der Arbeit weniger als gemeinsame Freizeit. Nutze die Übergänge: Mittagessen zu zweit, Kaffee in der Küche, die Happy Hour (Getränke und Snacks nach Feierabend in einer Bar, meist ein bis zwei </w:t>
      </w:r>
      <w:r>
        <w:rPr>
          <w:i/>
          <w:iCs/>
        </w:rPr>
        <w:lastRenderedPageBreak/>
        <w:t>Stunden. Alkoholfrei bestellen ist normal, Bleiben keine Pflicht). Firmenfeste und Team-Events sind Gelegenheiten für private Gespräche.</w:t>
      </w:r>
    </w:p>
    <w:p w14:paraId="2AB6522C" w14:textId="77777777" w:rsidR="001F7233" w:rsidRDefault="00000000">
      <w:pPr>
        <w:spacing w:after="140"/>
      </w:pPr>
      <w:r>
        <w:rPr>
          <w:i/>
          <w:iCs/>
        </w:rPr>
        <w:t>Viele Unternehmen haben Employee Resource Groups (ERGs), freiwillige, von der Firma getragene Netzwerke, etwa für Eltern, Frauen in der Technik, Veteranen, LGBTQ+ oder bestimmte Herkunftsländer. Manche stehen auch Unterstützern (Allies) offen. Frage die Personalabteilung nach der Liste, weil Kollegen häufig den Arbeitgeber wechseln, bleibt ein Kontakt nur bestehen, wenn ihr euch auch außer der Firma seht.</w:t>
      </w:r>
    </w:p>
    <w:p w14:paraId="2F7B3C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Nachbarschaft</w:t>
      </w:r>
    </w:p>
    <w:p w14:paraId="25C13EAE" w14:textId="77777777" w:rsidR="001F7233" w:rsidRDefault="00000000">
      <w:pPr>
        <w:spacing w:after="140"/>
      </w:pPr>
      <w:r>
        <w:rPr>
          <w:i/>
          <w:iCs/>
        </w:rPr>
        <w:t>In Vorstädten und Siedlungen hilft ein einfacher Anfang: Stelle dich in den ersten Wochen vor („We just moved in at number 12“), gern mit einem kleinen Mitbringsel wie selbstgebackenen Keksen. Der Moment, in dem der Nachbar die Tüte entgegennimmt und fragt, woher ihr kommt, öffnet oft mehr Türen als jede Nachricht in der Facebook-Gruppe der Straße. Unangekündigt zu klingeln ist unüblich. Kündige Besuche stattdessen per Text an. Gemeinschaftsanlässe: die Block Party (Straßenfest der Anwohner), Feste der Eigentümergemeinschaft (HOA), Halloween (Süßigkeiten an der Haustür) und die National Night Out (Nachbarschaftsabend, meist erster Dienstag im August, in manchen Regionen im Oktober). Wer noch eine Wohnung sucht, achte auf Anlagen mit Gemeinschaftsraum, Spielplatz und Veranstaltungen.</w:t>
      </w:r>
    </w:p>
    <w:p w14:paraId="018E5E0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Hobbys, Vereine und Kurse</w:t>
      </w:r>
    </w:p>
    <w:p w14:paraId="4DB8CFBC" w14:textId="77777777" w:rsidR="001F7233" w:rsidRDefault="00000000">
      <w:pPr>
        <w:spacing w:after="140"/>
      </w:pPr>
      <w:r>
        <w:t>Das deutsche Vereinswesen gibt es in den USA kaum. Stattdessen findest du offene Gruppen, Ligen und Kurse:</w:t>
      </w:r>
    </w:p>
    <w:p w14:paraId="46063FCE" w14:textId="77777777" w:rsidR="001F7233" w:rsidRDefault="00000000">
      <w:pPr>
        <w:pStyle w:val="ListParagraph"/>
        <w:numPr>
          <w:ilvl w:val="0"/>
          <w:numId w:val="1"/>
        </w:numPr>
        <w:spacing w:after="60"/>
      </w:pPr>
      <w:r>
        <w:rPr>
          <w:i/>
          <w:iCs/>
        </w:rPr>
        <w:t>Run Clubs</w:t>
      </w:r>
      <w:r>
        <w:t xml:space="preserve"> (Laufgruppen), oft von Laufgeschäften getragen und kostenlos, meist mit Kaffee oder Bier danach.</w:t>
      </w:r>
    </w:p>
    <w:p w14:paraId="78CAA556" w14:textId="77777777" w:rsidR="001F7233" w:rsidRDefault="00000000">
      <w:pPr>
        <w:pStyle w:val="ListParagraph"/>
        <w:numPr>
          <w:ilvl w:val="0"/>
          <w:numId w:val="1"/>
        </w:numPr>
        <w:spacing w:after="60"/>
      </w:pPr>
      <w:r>
        <w:lastRenderedPageBreak/>
        <w:t>Pickleball, eine Mischung aus Tennis, Badminton und Tischtennis auf kleinem Feld: seit Jahren stark wachsend, in vielen Städten mit offenen Spielzeiten auf öffentlichen Plätzen.</w:t>
      </w:r>
    </w:p>
    <w:p w14:paraId="1135DCD7" w14:textId="77777777" w:rsidR="001F7233" w:rsidRDefault="00000000">
      <w:pPr>
        <w:pStyle w:val="ListParagraph"/>
        <w:numPr>
          <w:ilvl w:val="0"/>
          <w:numId w:val="1"/>
        </w:numPr>
        <w:spacing w:after="60"/>
      </w:pPr>
      <w:r>
        <w:t>Kletterhallen mit Anfängerkursen und Community-Abenden.</w:t>
      </w:r>
    </w:p>
    <w:p w14:paraId="5A65DCAD" w14:textId="77777777" w:rsidR="001F7233" w:rsidRDefault="00000000">
      <w:pPr>
        <w:pStyle w:val="ListParagraph"/>
        <w:numPr>
          <w:ilvl w:val="0"/>
          <w:numId w:val="1"/>
        </w:numPr>
        <w:spacing w:after="60"/>
      </w:pPr>
      <w:r>
        <w:t>Wandergruppen und Outdoor-Clubs, zum Beispiel Ortsgruppen des Sierra Club.</w:t>
      </w:r>
    </w:p>
    <w:p w14:paraId="10CFB803" w14:textId="77777777" w:rsidR="001F7233" w:rsidRDefault="00000000">
      <w:pPr>
        <w:pStyle w:val="ListParagraph"/>
        <w:numPr>
          <w:ilvl w:val="0"/>
          <w:numId w:val="1"/>
        </w:numPr>
        <w:spacing w:after="60"/>
      </w:pPr>
      <w:r>
        <w:t>Chöre und Community-Orchester, oft ohne Vorspiel.</w:t>
      </w:r>
    </w:p>
    <w:p w14:paraId="0BD2F26E" w14:textId="77777777" w:rsidR="001F7233" w:rsidRDefault="00000000">
      <w:pPr>
        <w:pStyle w:val="ListParagraph"/>
        <w:numPr>
          <w:ilvl w:val="0"/>
          <w:numId w:val="1"/>
        </w:numPr>
        <w:spacing w:after="60"/>
      </w:pPr>
      <w:r>
        <w:t>Die städtische Freizeitverwaltung (</w:t>
      </w:r>
      <w:r>
        <w:rPr>
          <w:i/>
          <w:iCs/>
        </w:rPr>
        <w:t>Parks and Recreation</w:t>
      </w:r>
      <w:r>
        <w:t>) mit Erwachsenenligen (Volleyball, Softball, Kickball, Fußball) und günstigen Kursen.</w:t>
      </w:r>
    </w:p>
    <w:p w14:paraId="36AB274D" w14:textId="77777777" w:rsidR="001F7233" w:rsidRDefault="00000000">
      <w:pPr>
        <w:pStyle w:val="ListParagraph"/>
        <w:numPr>
          <w:ilvl w:val="0"/>
          <w:numId w:val="1"/>
        </w:numPr>
        <w:spacing w:after="60"/>
      </w:pPr>
      <w:r>
        <w:t>Öffentliche Bibliotheken mit Buchclubs, Vorträgen, Handarbeitsgruppen und Konversationsrunden.</w:t>
      </w:r>
    </w:p>
    <w:p w14:paraId="5F0F776F" w14:textId="77777777" w:rsidR="001F7233" w:rsidRDefault="00000000">
      <w:pPr>
        <w:pStyle w:val="ListParagraph"/>
        <w:numPr>
          <w:ilvl w:val="0"/>
          <w:numId w:val="1"/>
        </w:numPr>
        <w:spacing w:after="60"/>
      </w:pPr>
      <w:r>
        <w:rPr>
          <w:i/>
          <w:iCs/>
        </w:rPr>
        <w:t>Community Colleges</w:t>
      </w:r>
      <w:r>
        <w:t xml:space="preserve"> (zweijährige, lokal getragene Hochschulen) mit Weiterbildungskursen, etwa Kochen, Fotografie oder Sprachen, auch ohne Abschluss.</w:t>
      </w:r>
    </w:p>
    <w:p w14:paraId="6F65BB95" w14:textId="77777777" w:rsidR="001F7233" w:rsidRDefault="00000000">
      <w:pPr>
        <w:pStyle w:val="ListParagraph"/>
        <w:numPr>
          <w:ilvl w:val="0"/>
          <w:numId w:val="1"/>
        </w:numPr>
        <w:spacing w:after="60"/>
      </w:pPr>
      <w:r>
        <w:t>Toastmasters-Clubs, in denen du das freie Sprechen auf Englisch übst.</w:t>
      </w:r>
    </w:p>
    <w:p w14:paraId="2CDA304D" w14:textId="77777777" w:rsidR="001F7233" w:rsidRDefault="001F7233">
      <w:pPr>
        <w:spacing w:line="120" w:lineRule="exact"/>
      </w:pPr>
    </w:p>
    <w:p w14:paraId="497BC679" w14:textId="77777777" w:rsidR="001F7233" w:rsidRDefault="00000000">
      <w:pPr>
        <w:pStyle w:val="Heading4"/>
      </w:pPr>
      <w:r>
        <w:t>Malen und Vloggen: das neue Land mit eigenen Augen sehen</w:t>
      </w:r>
    </w:p>
    <w:p w14:paraId="2C79FB42" w14:textId="77777777" w:rsidR="001F7233" w:rsidRDefault="00000000">
      <w:r>
        <w:t>Ein kleines Skizzenbuch und ein kurzer YouTube-Vlog können aus einem Spaziergang ein Hobby machen, das zugleich Gespräche eröffnet. Zeichne Landschaften, Häuser und Alltagsszenen; bei erkennbaren Porträts frag vorher. Filme Menschen nicht ungefragt groß im Bild, Kinder nur mit ausdrücklicher Zustimmung ihrer Sorgeberechtigten. Zeig keine Hausnummern, Schulwege, Kennzeichen oder Live-Standorte. Für den Anfang reichen Smartphone, kleiner Ton-Anstecker und eine klare Rubrik: eine Beobachtung, ein Unterschied zu Deutschland, eine Frage an die Zuschauer. Einmal im Monat ist besser als den ganzen Alltag für die Kamera zu inszenieren.</w:t>
      </w:r>
    </w:p>
    <w:p w14:paraId="5EA8CAA6" w14:textId="77777777" w:rsidR="001F7233" w:rsidRDefault="00000000">
      <w:r>
        <w:t xml:space="preserve">In Nationalparks gelten zusätzlich die Regeln des jeweiligen Parks. Beim National Park Service ist für kleine Gruppen bis acht Personen </w:t>
      </w:r>
      <w:r>
        <w:lastRenderedPageBreak/>
        <w:t xml:space="preserve">mit handgeführter Ausrüstung in öffentlich zugänglichen Bereichen meist keine Genehmigung nötig, sofern niemand gestört und nichts beeinträchtigt wird; Sonderregeln einzelner Parks gelten weiter. Vor Werbung, Sponsoring oder Monetarisierung prüfst du außerdem, ob dein Aufenthaltsstatus diese Tätigkeit erlaubt und wie Einnahmen steuerlich zu behandeln sind. Quellen: </w:t>
      </w:r>
      <w:hyperlink r:id="rId442">
        <w:r w:rsidR="001F7233">
          <w:rPr>
            <w:color w:val="0563C1"/>
            <w:u w:val="single"/>
          </w:rPr>
          <w:t>NPS: Film und Foto in Parks</w:t>
        </w:r>
      </w:hyperlink>
      <w:r>
        <w:t xml:space="preserve"> · </w:t>
      </w:r>
      <w:hyperlink r:id="rId443">
        <w:r w:rsidR="001F7233">
          <w:rPr>
            <w:color w:val="0563C1"/>
            <w:u w:val="single"/>
          </w:rPr>
          <w:t>IRS: steuerpflichtige Einkünfte</w:t>
        </w:r>
      </w:hyperlink>
    </w:p>
    <w:p w14:paraId="0C731A93" w14:textId="77777777" w:rsidR="001F7233" w:rsidRDefault="00000000">
      <w:pPr>
        <w:spacing w:after="140"/>
      </w:pPr>
      <w:r>
        <w:rPr>
          <w:b/>
          <w:bCs/>
        </w:rPr>
        <w:t>Kinder als Türöffner.</w:t>
      </w:r>
      <w:r>
        <w:t xml:space="preserve"> Wie im Abschnitt „Mit Kindern“ beschrieben, ist das oft der schnellste Zugang: Trainingszeiten, Elternabende und die Autoschlange beim Abholen (</w:t>
      </w:r>
      <w:r>
        <w:rPr>
          <w:i/>
          <w:iCs/>
        </w:rPr>
        <w:t>Carpool Line</w:t>
      </w:r>
      <w:r>
        <w:t>) bringen dieselben Gesichter so regelmäßig zusammen, dass Small Talk fast von selbst zur Bekanntschaft wird (Kapitel </w:t>
      </w:r>
      <w:hyperlink w:anchor="k36">
        <w:r w:rsidR="001F7233">
          <w:t>36</w:t>
        </w:r>
      </w:hyperlink>
      <w:r>
        <w:t xml:space="preserve"> und </w:t>
      </w:r>
      <w:hyperlink w:anchor="k38">
        <w:r w:rsidR="001F7233">
          <w:t>38</w:t>
        </w:r>
      </w:hyperlink>
      <w:r>
        <w:t>).</w:t>
      </w:r>
    </w:p>
    <w:p w14:paraId="36CF2BD4" w14:textId="77777777" w:rsidR="001F7233" w:rsidRDefault="00000000">
      <w:r>
        <w:rPr>
          <w:b/>
        </w:rPr>
        <w:t xml:space="preserve">SPARTIPP: </w:t>
      </w:r>
    </w:p>
    <w:p w14:paraId="44D14739" w14:textId="77777777" w:rsidR="001F7233" w:rsidRDefault="00000000">
      <w:r>
        <w:t>• Bibliotheksprogramme, Laufgruppen und Wanderungen kosten meist nichts, kommunale Kurse und Ligen wenig und ein Kaffee zu zweit ein paar Dollar. Für den Aufbau eines Freundeskreises brauchst du kein Restaurantbudget.</w:t>
      </w:r>
    </w:p>
    <w:p w14:paraId="2BA61C11" w14:textId="77777777" w:rsidR="001F7233" w:rsidRDefault="001F7233">
      <w:pPr>
        <w:spacing w:line="220" w:lineRule="exact"/>
      </w:pPr>
    </w:p>
    <w:p w14:paraId="1E8F81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Glaubensgemeinschaft und Ehrenamt</w:t>
      </w:r>
    </w:p>
    <w:p w14:paraId="025AB23A" w14:textId="77777777" w:rsidR="001F7233" w:rsidRDefault="00000000">
      <w:pPr>
        <w:spacing w:after="140"/>
      </w:pPr>
      <w:r>
        <w:t>Für viele Amerikaner ist die Gemeinde (Kirche, Synagoge, Moschee, Tempel) ein zentraler sozialer Ort: Kaffee nach dem Gottesdienst, Kleingruppen, Jugendgruppen, Essensausgaben, Feste. Viele Gemeinden begrüßen Neue ausdrücklich. Als Gast musst du nicht gläubig sein. Sei ehrlich, wenn jemand fragt („We’re new in town and looking around”). Offen für Menschen mit ganz unterschiedlichem oder ohne Glauben sind etwa Unitarian-Universalist-Gemeinden. Ein freundliches „No, thank you“ genügt, wenn dir etwas zu weit geht.</w:t>
      </w:r>
    </w:p>
    <w:p w14:paraId="6C74149D" w14:textId="77777777" w:rsidR="001F7233" w:rsidRDefault="00000000">
      <w:pPr>
        <w:spacing w:after="140"/>
      </w:pPr>
      <w:r>
        <w:t xml:space="preserve">Beim Ehrenamt (Volunteering) triffst du Menschen, die Zeit übrig haben und gern helfen: bei Tafeln und Essensausgaben (Food Pantries), Tierheimen, Bibliotheken, Schulen oder Parkpflege. Eine gemeinsame Aufgabe macht Gespräche leicht. Freiwilligenstellen </w:t>
      </w:r>
      <w:r>
        <w:lastRenderedPageBreak/>
        <w:t xml:space="preserve">findest du bei </w:t>
      </w:r>
      <w:hyperlink r:id="rId444">
        <w:r w:rsidR="001F7233">
          <w:rPr>
            <w:color w:val="0563C1"/>
            <w:u w:val="single"/>
          </w:rPr>
          <w:t>idealist.org</w:t>
        </w:r>
      </w:hyperlink>
      <w:r>
        <w:t>, das 2025 mit VolunteerMatch verschmolzen ist, oder direkt bei der Organisation.</w:t>
      </w:r>
    </w:p>
    <w:p w14:paraId="3C47B80F" w14:textId="77777777" w:rsidR="001F7233" w:rsidRDefault="00000000">
      <w:r>
        <w:rPr>
          <w:b/>
        </w:rPr>
        <w:t xml:space="preserve">ACHTUNG: </w:t>
      </w:r>
    </w:p>
    <w:p w14:paraId="266CECF2" w14:textId="77777777" w:rsidR="001F7233" w:rsidRDefault="00000000">
      <w:r>
        <w:t>• Wer keine Arbeitserlaubnis hat, etwa als H-4-Partner ohne EAD (Employment Authorization Document, Arbeitserlaubnis), sollte nur echtes Ehrenamt leisten: bei einer gemeinnützigen Organisation, ohne Vergütung und nicht in einer Rolle, die sonst bezahlt würde. Ein „unbezahltes Praktikum“ bei einer Firma oder Sachleistungen, die wie Lohn wirken, können als unerlaubte Arbeit gelten. Frage im Zweifel vorher eine Einwanderungsanwältin oder einen Einwanderungsanwalt (</w:t>
      </w:r>
      <w:hyperlink w:anchor="k10">
        <w:r w:rsidR="001F7233">
          <w:rPr>
            <w:color w:val="0563C1"/>
            <w:u w:val="single"/>
          </w:rPr>
          <w:t>Kapitel 10</w:t>
        </w:r>
      </w:hyperlink>
      <w:r>
        <w:t xml:space="preserve"> und 11).</w:t>
      </w:r>
    </w:p>
    <w:p w14:paraId="3BCABD0E" w14:textId="77777777" w:rsidR="001F7233" w:rsidRDefault="001F7233">
      <w:pPr>
        <w:spacing w:line="220" w:lineRule="exact"/>
      </w:pPr>
    </w:p>
    <w:p w14:paraId="6BC3A4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Apps und Netzwerke</w:t>
      </w:r>
    </w:p>
    <w:p w14:paraId="4B839649" w14:textId="77777777" w:rsidR="001F7233" w:rsidRDefault="00000000">
      <w:pPr>
        <w:spacing w:after="140"/>
      </w:pPr>
      <w:r>
        <w:t>Apps helfen beim ersten Kontakt, besonders für Alleinstehende und in der Zeit vor dem Umzug:</w:t>
      </w:r>
    </w:p>
    <w:p w14:paraId="122946DD" w14:textId="77777777" w:rsidR="001F7233" w:rsidRDefault="00000000">
      <w:r>
        <w:rPr>
          <w:b/>
        </w:rPr>
        <w:t>Meetup</w:t>
      </w:r>
    </w:p>
    <w:p w14:paraId="549045AE" w14:textId="77777777" w:rsidR="001F7233" w:rsidRDefault="00000000">
      <w:r>
        <w:rPr>
          <w:b/>
        </w:rPr>
        <w:t xml:space="preserve">Wofür: </w:t>
      </w:r>
      <w:r>
        <w:t>Interessengruppen und Termine: Wandern, Brettspiele, Sprachtreffs, Stammtische</w:t>
      </w:r>
    </w:p>
    <w:p w14:paraId="3DCE034C" w14:textId="77777777" w:rsidR="001F7233" w:rsidRDefault="00000000">
      <w:r>
        <w:rPr>
          <w:b/>
        </w:rPr>
        <w:t>Hinweis: Suchen und meist auch Teilnehmen ohne Kosten. Bei Terminen mit Ticket fällt eine Servicegebühr an, ein Abo (Meetup+) bietet Zusatzfunktionen.</w:t>
      </w:r>
    </w:p>
    <w:p w14:paraId="23614158" w14:textId="77777777" w:rsidR="001F7233" w:rsidRDefault="00000000">
      <w:r>
        <w:rPr>
          <w:b/>
        </w:rPr>
        <w:t>BFF (früher Bumble BFF)</w:t>
      </w:r>
    </w:p>
    <w:p w14:paraId="6514926D" w14:textId="77777777" w:rsidR="001F7233" w:rsidRDefault="00000000">
      <w:r>
        <w:rPr>
          <w:b/>
        </w:rPr>
        <w:t xml:space="preserve">Wofür: </w:t>
      </w:r>
      <w:r>
        <w:t>Freundschaften über Profile, Gruppen und Chats</w:t>
      </w:r>
    </w:p>
    <w:p w14:paraId="6142480C" w14:textId="77777777" w:rsidR="001F7233" w:rsidRDefault="00000000">
      <w:r>
        <w:rPr>
          <w:b/>
        </w:rPr>
        <w:t xml:space="preserve">Hinweis: </w:t>
      </w:r>
      <w:r>
        <w:t>Seit Herbst 2025 eigene App mit Fokus auf Gruppen; Stand 2026 prüfen</w:t>
      </w:r>
    </w:p>
    <w:p w14:paraId="46D2D624" w14:textId="77777777" w:rsidR="001F7233" w:rsidRDefault="00000000">
      <w:r>
        <w:rPr>
          <w:b/>
        </w:rPr>
        <w:t>Facebook-Gruppen</w:t>
      </w:r>
    </w:p>
    <w:p w14:paraId="216DFE7E" w14:textId="77777777" w:rsidR="001F7233" w:rsidRDefault="00000000">
      <w:r>
        <w:rPr>
          <w:b/>
        </w:rPr>
        <w:t xml:space="preserve">Wofür: </w:t>
      </w:r>
      <w:r>
        <w:t>Eltern, Expats, Landsleute, Hobbys der Region</w:t>
      </w:r>
    </w:p>
    <w:p w14:paraId="13C8F255" w14:textId="77777777" w:rsidR="001F7233" w:rsidRDefault="00000000">
      <w:r>
        <w:rPr>
          <w:b/>
        </w:rPr>
        <w:t xml:space="preserve">Hinweis: </w:t>
      </w:r>
      <w:r>
        <w:t>Oft die beste Quelle für Lokales; Gruppenregeln lesen</w:t>
      </w:r>
    </w:p>
    <w:p w14:paraId="1F055018" w14:textId="77777777" w:rsidR="001F7233" w:rsidRDefault="00000000">
      <w:r>
        <w:rPr>
          <w:b/>
        </w:rPr>
        <w:t>Nextdoor</w:t>
      </w:r>
    </w:p>
    <w:p w14:paraId="29DE5873" w14:textId="77777777" w:rsidR="001F7233" w:rsidRDefault="00000000">
      <w:r>
        <w:rPr>
          <w:b/>
        </w:rPr>
        <w:t xml:space="preserve">Wofür: </w:t>
      </w:r>
      <w:r>
        <w:t>Nachbarschaft: Empfehlungen, Veranstaltungen, Tauschbörse</w:t>
      </w:r>
    </w:p>
    <w:p w14:paraId="51F4024D" w14:textId="77777777" w:rsidR="001F7233" w:rsidRDefault="00000000">
      <w:r>
        <w:rPr>
          <w:b/>
        </w:rPr>
        <w:t xml:space="preserve">Hinweis: </w:t>
      </w:r>
      <w:r>
        <w:t>Adresse wird verifiziert; nützlich für Tipps und Feste</w:t>
      </w:r>
    </w:p>
    <w:p w14:paraId="19092B9A" w14:textId="77777777" w:rsidR="001F7233" w:rsidRDefault="00000000">
      <w:r>
        <w:rPr>
          <w:b/>
        </w:rPr>
        <w:lastRenderedPageBreak/>
        <w:t>Timeleft</w:t>
      </w:r>
    </w:p>
    <w:p w14:paraId="0FDA6E71" w14:textId="77777777" w:rsidR="001F7233" w:rsidRDefault="00000000">
      <w:r>
        <w:rPr>
          <w:b/>
        </w:rPr>
        <w:t xml:space="preserve">Wofür: </w:t>
      </w:r>
      <w:r>
        <w:t>Abendessen mit fünf Fremden, mittwochs</w:t>
      </w:r>
    </w:p>
    <w:p w14:paraId="49CBA111" w14:textId="77777777" w:rsidR="001F7233" w:rsidRDefault="00000000">
      <w:r>
        <w:rPr>
          <w:b/>
        </w:rPr>
        <w:t xml:space="preserve">Hinweis: </w:t>
      </w:r>
      <w:r>
        <w:t>Restaurant und Gruppe werden zugeteilt, das Essen zahlst du selbst; in vielen Großstädten</w:t>
      </w:r>
    </w:p>
    <w:p w14:paraId="23EEF5F9" w14:textId="77777777" w:rsidR="001F7233" w:rsidRDefault="00000000">
      <w:r>
        <w:rPr>
          <w:b/>
        </w:rPr>
        <w:t>Eventbrite und Stadtkalender</w:t>
      </w:r>
    </w:p>
    <w:p w14:paraId="215F2168" w14:textId="77777777" w:rsidR="001F7233" w:rsidRDefault="00000000">
      <w:r>
        <w:rPr>
          <w:b/>
        </w:rPr>
        <w:t xml:space="preserve">Wofür: </w:t>
      </w:r>
      <w:r>
        <w:t>Einmalige Kurse, Feste, Märkte</w:t>
      </w:r>
    </w:p>
    <w:p w14:paraId="5991655A" w14:textId="77777777" w:rsidR="001F7233" w:rsidRDefault="00000000">
      <w:r>
        <w:rPr>
          <w:b/>
        </w:rPr>
        <w:t xml:space="preserve">Hinweis: </w:t>
      </w:r>
      <w:r>
        <w:t>Gut zum Hineinschnuppern</w:t>
      </w:r>
    </w:p>
    <w:p w14:paraId="39EA0DFB" w14:textId="77777777" w:rsidR="001F7233" w:rsidRDefault="001F7233">
      <w:pPr>
        <w:spacing w:line="180" w:lineRule="exact"/>
      </w:pPr>
    </w:p>
    <w:p w14:paraId="63271951" w14:textId="77777777" w:rsidR="001F7233" w:rsidRDefault="00000000">
      <w:pPr>
        <w:spacing w:after="140"/>
      </w:pPr>
      <w:r>
        <w:t>Der Trick bei allen: erst online, dann persönlich, dann wiederholen. Wer im ersten Monat zehn verschiedene Meetup-Termine besucht und keinen wiederholt, sammelt Bekanntschaften, keine Freunde. Besuche eine Gruppe dreimal, bevor du urteilst.</w:t>
      </w:r>
    </w:p>
    <w:p w14:paraId="6E032F09" w14:textId="77777777" w:rsidR="001F7233" w:rsidRDefault="00000000">
      <w:r>
        <w:rPr>
          <w:b/>
        </w:rPr>
        <w:t xml:space="preserve">ACHTUNG: </w:t>
      </w:r>
    </w:p>
    <w:p w14:paraId="0B305AB8" w14:textId="77777777" w:rsidR="001F7233" w:rsidRDefault="00000000">
      <w:r>
        <w:t>• Bei Online-Kontakten gelten Grundregeln: erste Treffen an öffentlichen Orten, jemandem sagen, wohin du gehst, keine Sozialversicherungsnummer, Bankdaten oder Vorschüsse an neue Bekannte. Auf Betrugsmaschen achten (</w:t>
      </w:r>
      <w:hyperlink w:anchor="k40">
        <w:r w:rsidR="001F7233">
          <w:rPr>
            <w:color w:val="0563C1"/>
            <w:u w:val="single"/>
          </w:rPr>
          <w:t>Kapitel 40</w:t>
        </w:r>
      </w:hyperlink>
      <w:r>
        <w:t>).</w:t>
      </w:r>
    </w:p>
    <w:p w14:paraId="5914EE6E" w14:textId="77777777" w:rsidR="001F7233" w:rsidRDefault="001F7233">
      <w:pPr>
        <w:spacing w:line="220" w:lineRule="exact"/>
      </w:pPr>
    </w:p>
    <w:p w14:paraId="130BC4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und internationale Gemeinschaften</w:t>
      </w:r>
    </w:p>
    <w:p w14:paraId="457F75B0" w14:textId="77777777" w:rsidR="001F7233" w:rsidRDefault="00000000">
      <w:pPr>
        <w:spacing w:after="140"/>
      </w:pPr>
      <w:r>
        <w:t>Landsleute sind eine gute Startrampe: gleiche Sprache, gleicher Humor und Erfahrung mit denselben Fragen zu Schulen, Ärzten, Steuern und Visa. Du findest sie an diesen Orten:</w:t>
      </w:r>
    </w:p>
    <w:p w14:paraId="45D2CA70" w14:textId="77777777" w:rsidR="001F7233" w:rsidRDefault="00000000">
      <w:pPr>
        <w:pStyle w:val="ListParagraph"/>
        <w:numPr>
          <w:ilvl w:val="0"/>
          <w:numId w:val="1"/>
        </w:numPr>
        <w:spacing w:after="60"/>
      </w:pPr>
      <w:r>
        <w:t>Stammtische und Gruppen bei Meetup und Facebook (Suche: „Germans in“ plus Stadtname).</w:t>
      </w:r>
    </w:p>
    <w:p w14:paraId="42ACFAF0" w14:textId="77777777" w:rsidR="001F7233" w:rsidRDefault="00000000">
      <w:pPr>
        <w:pStyle w:val="ListParagraph"/>
        <w:numPr>
          <w:ilvl w:val="0"/>
          <w:numId w:val="1"/>
        </w:numPr>
        <w:spacing w:after="60"/>
      </w:pPr>
      <w:r>
        <w:t>Deutschsprachige evangelische Auslandsgemeinden; die Evangelische Kirche in Deutschland (EKD) führt sie für Amerika auf.</w:t>
      </w:r>
    </w:p>
    <w:p w14:paraId="01239146" w14:textId="77777777" w:rsidR="001F7233" w:rsidRDefault="00000000">
      <w:pPr>
        <w:pStyle w:val="ListParagraph"/>
        <w:numPr>
          <w:ilvl w:val="0"/>
          <w:numId w:val="1"/>
        </w:numPr>
        <w:spacing w:after="60"/>
      </w:pPr>
      <w:r>
        <w:t>Das Goethe-Institut mit Standorten unter anderem in Boston, Chicago, Los Angeles, New York, San Francisco und Washington: Sprachkurse, Filmabende, Kulturprogramm.</w:t>
      </w:r>
    </w:p>
    <w:p w14:paraId="4C88D3DD" w14:textId="77777777" w:rsidR="001F7233" w:rsidRDefault="00000000">
      <w:pPr>
        <w:pStyle w:val="ListParagraph"/>
        <w:numPr>
          <w:ilvl w:val="0"/>
          <w:numId w:val="1"/>
        </w:numPr>
        <w:spacing w:after="60"/>
      </w:pPr>
      <w:r>
        <w:rPr>
          <w:i/>
          <w:iCs/>
        </w:rPr>
        <w:lastRenderedPageBreak/>
        <w:t>Die German American Chambers of Commerce (Deutsch-Amerikanische Handelskammern, AHK USA) mit regionalen Büros und Netzwerkabenden, vor allem für Berufstätige mit Deutschlandbezug.</w:t>
      </w:r>
    </w:p>
    <w:p w14:paraId="3834B049" w14:textId="77777777" w:rsidR="001F7233" w:rsidRDefault="00000000">
      <w:pPr>
        <w:pStyle w:val="ListParagraph"/>
        <w:numPr>
          <w:ilvl w:val="0"/>
          <w:numId w:val="1"/>
        </w:numPr>
        <w:spacing w:after="60"/>
      </w:pPr>
      <w:r>
        <w:t>Deutsch-amerikanische Vereine, Oktoberfeste und Weihnachtsmärkte, auf denen du Menschen mit deutscher Herkunft triffst, die Deutschland mögen.</w:t>
      </w:r>
    </w:p>
    <w:p w14:paraId="585BAE25" w14:textId="77777777" w:rsidR="001F7233" w:rsidRDefault="00000000">
      <w:pPr>
        <w:pStyle w:val="ListParagraph"/>
        <w:numPr>
          <w:ilvl w:val="0"/>
          <w:numId w:val="1"/>
        </w:numPr>
        <w:spacing w:after="60"/>
      </w:pPr>
      <w:r>
        <w:t>Samstagsschulen für deutsche Sprache und Kultur, die zugleich Elternnetzwerke sind (Kapitel </w:t>
      </w:r>
      <w:hyperlink w:anchor="k37">
        <w:r w:rsidR="001F7233">
          <w:t>37</w:t>
        </w:r>
      </w:hyperlink>
      <w:r>
        <w:t>).</w:t>
      </w:r>
    </w:p>
    <w:p w14:paraId="5034A22C" w14:textId="77777777" w:rsidR="001F7233" w:rsidRDefault="00000000">
      <w:pPr>
        <w:pStyle w:val="ListParagraph"/>
        <w:numPr>
          <w:ilvl w:val="0"/>
          <w:numId w:val="1"/>
        </w:numPr>
        <w:spacing w:after="60"/>
      </w:pPr>
      <w:r>
        <w:rPr>
          <w:i/>
          <w:iCs/>
        </w:rPr>
        <w:t>InterNations, ein Netzwerk für Zugewanderte aller Nationen mit lokalen Stammtischen (Umfang und Kosten der Mitgliedschaft prüfst du selbst).</w:t>
      </w:r>
    </w:p>
    <w:p w14:paraId="0E3E5EEF" w14:textId="77777777" w:rsidR="001F7233" w:rsidRDefault="001F7233">
      <w:pPr>
        <w:spacing w:line="120" w:lineRule="exact"/>
      </w:pPr>
    </w:p>
    <w:p w14:paraId="09CCAE5A" w14:textId="77777777" w:rsidR="001F7233" w:rsidRDefault="00000000">
      <w:pPr>
        <w:spacing w:after="140"/>
      </w:pPr>
      <w:r>
        <w:t>Die Kehrseite ist die deutsche Blase: gemütlich wie der Tatort am Sonntagabend. Wer aber nur Deutsche kennt, übt kein Alltagsenglisch und lernt das Land kaum kennen. Außerdem ziehen auch Deutsche mit befristetem Visum oft nach wenigen Jahren weiter. Nimm dir vor, dass mindestens die Hälfte deiner festen Termine unter Englischsprachigen stattfindet.</w:t>
      </w:r>
    </w:p>
    <w:p w14:paraId="0C4956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Grillen, „Bring nichts“</w:t>
      </w:r>
    </w:p>
    <w:p w14:paraId="748E726C" w14:textId="77777777" w:rsidR="001F7233" w:rsidRDefault="00000000">
      <w:pPr>
        <w:spacing w:after="140"/>
      </w:pPr>
      <w:r>
        <w:t>Zu Hause eingeladen zu werden, ist ein gutes Zeichen und die Anlässe sind oft zwanglos: Grillabend, Spieleabend, Sonntagsbrunch. Die Tabelle zeigt, was du mitbringst und worauf du achtest.</w:t>
      </w:r>
    </w:p>
    <w:p w14:paraId="17C8A20E" w14:textId="77777777" w:rsidR="001F7233" w:rsidRDefault="00000000">
      <w:r>
        <w:rPr>
          <w:b/>
        </w:rPr>
        <w:t>Potluck (jeder bringt ein Gericht mit)</w:t>
      </w:r>
    </w:p>
    <w:p w14:paraId="06FDC0A4" w14:textId="77777777" w:rsidR="001F7233" w:rsidRDefault="00000000">
      <w:r>
        <w:rPr>
          <w:b/>
        </w:rPr>
        <w:t xml:space="preserve">Was du mitbringst: </w:t>
      </w:r>
      <w:r>
        <w:t>Ein teilbares Gericht, nach Absprache oder Liste</w:t>
      </w:r>
    </w:p>
    <w:p w14:paraId="4FD406FA" w14:textId="77777777" w:rsidR="001F7233" w:rsidRDefault="00000000">
      <w:r>
        <w:rPr>
          <w:b/>
        </w:rPr>
        <w:t xml:space="preserve">Gut zu wissen: </w:t>
      </w:r>
      <w:r>
        <w:t>Servierbesteck mitbringen; Nachfrage nach dem Rezept ist ein Kompliment</w:t>
      </w:r>
    </w:p>
    <w:p w14:paraId="141C95E4" w14:textId="77777777" w:rsidR="001F7233" w:rsidRDefault="00000000">
      <w:r>
        <w:rPr>
          <w:b/>
        </w:rPr>
        <w:t>Cookout (Grillfest)</w:t>
      </w:r>
    </w:p>
    <w:p w14:paraId="27AF02FA" w14:textId="77777777" w:rsidR="001F7233" w:rsidRDefault="00000000">
      <w:r>
        <w:rPr>
          <w:b/>
        </w:rPr>
        <w:t xml:space="preserve">Was du mitbringst: </w:t>
      </w:r>
      <w:r>
        <w:t>Getränke oder eine Beilage; Fleisch nur nach Absprache</w:t>
      </w:r>
    </w:p>
    <w:p w14:paraId="0011FEAD" w14:textId="77777777" w:rsidR="001F7233" w:rsidRDefault="00000000">
      <w:r>
        <w:rPr>
          <w:b/>
        </w:rPr>
        <w:lastRenderedPageBreak/>
        <w:t xml:space="preserve">Gut zu wissen: </w:t>
      </w:r>
      <w:r>
        <w:t>Beginn ist ein Zeitfenster; Kinder meist willkommen</w:t>
      </w:r>
    </w:p>
    <w:p w14:paraId="4D63DBC2" w14:textId="77777777" w:rsidR="001F7233" w:rsidRDefault="00000000">
      <w:r>
        <w:rPr>
          <w:b/>
        </w:rPr>
        <w:t>Dinner bei Gastgebern</w:t>
      </w:r>
    </w:p>
    <w:p w14:paraId="0AF28210" w14:textId="77777777" w:rsidR="001F7233" w:rsidRDefault="00000000">
      <w:r>
        <w:rPr>
          <w:b/>
        </w:rPr>
        <w:t xml:space="preserve">Was du mitbringst: </w:t>
      </w:r>
      <w:r>
        <w:t>Wein, Dessert oder Blumen</w:t>
      </w:r>
    </w:p>
    <w:p w14:paraId="14746619" w14:textId="77777777" w:rsidR="001F7233" w:rsidRDefault="00000000">
      <w:r>
        <w:rPr>
          <w:b/>
        </w:rPr>
        <w:t xml:space="preserve">Gut zu wissen: </w:t>
      </w:r>
      <w:r>
        <w:t>Dauert meist zwei bis drei Stunden; pünktlich bis etwa 15 Minuten später</w:t>
      </w:r>
    </w:p>
    <w:p w14:paraId="507D8F18" w14:textId="77777777" w:rsidR="001F7233" w:rsidRDefault="00000000">
      <w:r>
        <w:rPr>
          <w:b/>
        </w:rPr>
        <w:t>Game Night (Spieleabend)</w:t>
      </w:r>
    </w:p>
    <w:p w14:paraId="7BE76687" w14:textId="77777777" w:rsidR="001F7233" w:rsidRDefault="00000000">
      <w:r>
        <w:rPr>
          <w:b/>
        </w:rPr>
        <w:t xml:space="preserve">Was du mitbringst: </w:t>
      </w:r>
      <w:r>
        <w:t>Snacks oder ein Getränk</w:t>
      </w:r>
    </w:p>
    <w:p w14:paraId="77554EF0" w14:textId="77777777" w:rsidR="001F7233" w:rsidRDefault="00000000">
      <w:r>
        <w:rPr>
          <w:b/>
        </w:rPr>
        <w:t xml:space="preserve">Gut zu wissen: </w:t>
      </w:r>
      <w:r>
        <w:t>Zwanglos; ein deutsches Brettspiel ist ein guter Einstieg</w:t>
      </w:r>
    </w:p>
    <w:p w14:paraId="1EC23DCF" w14:textId="77777777" w:rsidR="001F7233" w:rsidRDefault="00000000">
      <w:r>
        <w:rPr>
          <w:b/>
        </w:rPr>
        <w:t>Kindergeburtstag</w:t>
      </w:r>
    </w:p>
    <w:p w14:paraId="1CC9E1FA" w14:textId="77777777" w:rsidR="001F7233" w:rsidRDefault="00000000">
      <w:r>
        <w:rPr>
          <w:b/>
        </w:rPr>
        <w:t xml:space="preserve">Was du mitbringst: </w:t>
      </w:r>
      <w:r>
        <w:t>Geschenk (15–30 $) mit Karte</w:t>
      </w:r>
    </w:p>
    <w:p w14:paraId="07EEFB02" w14:textId="77777777" w:rsidR="001F7233" w:rsidRDefault="00000000">
      <w:r>
        <w:rPr>
          <w:b/>
        </w:rPr>
        <w:t xml:space="preserve">Gut zu wissen: </w:t>
      </w:r>
      <w:r>
        <w:t>Zusage nötig, etwa zwei Stunden, Geschwister nur nach Rückfrage</w:t>
      </w:r>
    </w:p>
    <w:p w14:paraId="76201E44" w14:textId="77777777" w:rsidR="001F7233" w:rsidRDefault="00000000">
      <w:r>
        <w:rPr>
          <w:b/>
        </w:rPr>
        <w:t>Housewarming (Einweihungsfeier)</w:t>
      </w:r>
    </w:p>
    <w:p w14:paraId="49360CCA" w14:textId="77777777" w:rsidR="001F7233" w:rsidRDefault="00000000">
      <w:r>
        <w:rPr>
          <w:b/>
        </w:rPr>
        <w:t xml:space="preserve">Was du mitbringst: </w:t>
      </w:r>
      <w:r>
        <w:t>Kleine Gabe: Pflanze, Kerze, Snacks</w:t>
      </w:r>
    </w:p>
    <w:p w14:paraId="3995856A" w14:textId="77777777" w:rsidR="001F7233" w:rsidRDefault="00000000">
      <w:r>
        <w:rPr>
          <w:b/>
        </w:rPr>
        <w:t xml:space="preserve">Gut zu wissen: </w:t>
      </w:r>
      <w:r>
        <w:t>Ein Rundgang durchs Haus ist üblich</w:t>
      </w:r>
    </w:p>
    <w:p w14:paraId="382BF9CB" w14:textId="77777777" w:rsidR="001F7233" w:rsidRDefault="001F7233">
      <w:pPr>
        <w:spacing w:line="180" w:lineRule="exact"/>
      </w:pPr>
    </w:p>
    <w:p w14:paraId="0A1AA2C3" w14:textId="77777777" w:rsidR="001F7233" w:rsidRDefault="00000000">
      <w:pPr>
        <w:spacing w:after="140"/>
      </w:pPr>
      <w:r>
        <w:rPr>
          <w:b/>
          <w:bCs/>
        </w:rPr>
        <w:t>„Bring nichts“. Sagt der Gastgeber „Just bring yourself“, ist das meist ernst gemeint. Eine Flasche Wein, ein Dessert oder etwas Deutsches wie Schokolade oder Lebkuchen wird trotzdem gern gesehen. Sieh es als Geschenk, nicht als Beitrag zum Menü. Die Frage „What can I bring?“ ist immer richtig.</w:t>
      </w:r>
    </w:p>
    <w:p w14:paraId="3AE2C74A" w14:textId="77777777" w:rsidR="001F7233" w:rsidRDefault="00000000">
      <w:pPr>
        <w:spacing w:after="140"/>
      </w:pPr>
      <w:r>
        <w:rPr>
          <w:b/>
          <w:bCs/>
        </w:rPr>
        <w:t>Kinder.</w:t>
      </w:r>
      <w:r>
        <w:t xml:space="preserve"> Steht auf der Einladung nichts dazu, frage „Are kids welcome?“ Bei „adults only“ bleiben sie zu Hause; auf Grill- und Nachbarschaftsfesten sind sie meist willkommen. Im fremden Haus gelten eigene Regeln zu Bildschirmzeit, Süßigkeiten und Schuhen (Kapitel </w:t>
      </w:r>
      <w:hyperlink w:anchor="k34">
        <w:r w:rsidR="001F7233">
          <w:t>34</w:t>
        </w:r>
      </w:hyperlink>
      <w:r>
        <w:t>).</w:t>
      </w:r>
    </w:p>
    <w:p w14:paraId="2904416B" w14:textId="77777777" w:rsidR="001F7233" w:rsidRDefault="00000000">
      <w:pPr>
        <w:spacing w:after="140"/>
      </w:pPr>
      <w:r>
        <w:rPr>
          <w:b/>
          <w:bCs/>
        </w:rPr>
        <w:t>Alkohol.</w:t>
      </w:r>
      <w:r>
        <w:t xml:space="preserve"> Manche Gastgeber stellen Bier und Wein bereit, andere servieren keinen, aus religiösen Gründen, wegen der Kinder oder aus Nüchternheit. Bei </w:t>
      </w:r>
      <w:r>
        <w:rPr>
          <w:i/>
          <w:iCs/>
        </w:rPr>
        <w:t>BYOB</w:t>
      </w:r>
      <w:r>
        <w:t xml:space="preserve"> (</w:t>
      </w:r>
      <w:r>
        <w:rPr>
          <w:i/>
          <w:iCs/>
        </w:rPr>
        <w:t>Bring Your Own Bottle</w:t>
      </w:r>
      <w:r>
        <w:t>: Du bringst dein Getränk selbst) bringst du, was du trinken willst. Ein „No, thanks, I’m good“ braucht keine Begründung. Wer fährt, bleibt nüchtern; die Regeln zu Alkohol stehen in Kapitel </w:t>
      </w:r>
      <w:hyperlink w:anchor="k35">
        <w:r w:rsidR="001F7233">
          <w:t>35</w:t>
        </w:r>
      </w:hyperlink>
      <w:r>
        <w:t>.</w:t>
      </w:r>
    </w:p>
    <w:p w14:paraId="234E700D" w14:textId="77777777" w:rsidR="001F7233" w:rsidRDefault="00000000">
      <w:r>
        <w:rPr>
          <w:b/>
        </w:rPr>
        <w:t xml:space="preserve">ACHTUNG: </w:t>
      </w:r>
    </w:p>
    <w:p w14:paraId="132D75D2" w14:textId="77777777" w:rsidR="001F7233" w:rsidRDefault="00000000">
      <w:r>
        <w:lastRenderedPageBreak/>
        <w:t>• Eine Zusage verpflichtet. Wer ohne Absage fehlt, gilt als unzuverlässig. Eine kurzfristige Absage wegen Krankheit oder fehlender Kinderbetreuung wird dagegen verstanden. Umgekehrt sind kurzfristige Absagen anderer (Flaking) selten ein Urteil über dich.</w:t>
      </w:r>
    </w:p>
    <w:p w14:paraId="520DBD9F" w14:textId="77777777" w:rsidR="001F7233" w:rsidRDefault="001F7233">
      <w:pPr>
        <w:spacing w:line="220" w:lineRule="exact"/>
      </w:pPr>
    </w:p>
    <w:p w14:paraId="74306FC6" w14:textId="77777777" w:rsidR="001F7233" w:rsidRDefault="00000000">
      <w:pPr>
        <w:spacing w:after="140"/>
      </w:pPr>
      <w:r>
        <w:rPr>
          <w:b/>
          <w:bCs/>
        </w:rPr>
        <w:t>Danach.</w:t>
      </w:r>
      <w:r>
        <w:t xml:space="preserve"> Schicke am nächsten Tag ein kurzes „Thank you for having us“ per Text und lade innerhalb weniger Wochen selbst ein. Als Neuling genügt ein einfaches Format: Kaffee und Kuchen am Sonntagnachmittag, zwei Stunden, mit einem deutschen Kuchen als Gesprächsstoff. Auch zu Feiertagen wie Thanksgiving (Kapitel </w:t>
      </w:r>
      <w:hyperlink w:anchor="k31">
        <w:r w:rsidR="001F7233">
          <w:t>31</w:t>
        </w:r>
      </w:hyperlink>
      <w:r>
        <w:t>) laden viele Amerikaner Alleinstehende und Zugezogene ein; die Zusage lohnt.</w:t>
      </w:r>
    </w:p>
    <w:p w14:paraId="013CF8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nicht arbeiten darf</w:t>
      </w:r>
    </w:p>
    <w:p w14:paraId="1B093934" w14:textId="77777777" w:rsidR="001F7233" w:rsidRDefault="00000000">
      <w:pPr>
        <w:spacing w:after="140"/>
      </w:pPr>
      <w:r>
        <w:t>Das Risiko der Isolation ist beim mitreisenden Partner am größten: Die Kinder finden über die Schule Anschluss, die arbeitende Person über die Kollegen. Wer zu Hause bleibt, spricht tagsüber mit niemandem. Das betrifft vor allem H-4-Partner ohne Arbeitserlaubnis; wann eine möglich ist und wie es bei anderen Statusarten aussieht, steht in Kapitel </w:t>
      </w:r>
      <w:hyperlink w:anchor="k10">
        <w:r w:rsidR="001F7233">
          <w:t>10</w:t>
        </w:r>
      </w:hyperlink>
      <w:r>
        <w:t>. Was hilft:</w:t>
      </w:r>
    </w:p>
    <w:p w14:paraId="4BE4407B" w14:textId="77777777" w:rsidR="001F7233" w:rsidRDefault="00000000">
      <w:pPr>
        <w:pStyle w:val="ListParagraph"/>
        <w:numPr>
          <w:ilvl w:val="0"/>
          <w:numId w:val="1"/>
        </w:numPr>
        <w:spacing w:after="60"/>
      </w:pPr>
      <w:r>
        <w:rPr>
          <w:b/>
          <w:bCs/>
        </w:rPr>
        <w:t>Eine feste Wochenstruktur mit drei Terminen außer der Wohnung: ein Kurs, ein Sport- oder Lauftermin, ein Ehrenamt oder ein Elterntermin.</w:t>
      </w:r>
    </w:p>
    <w:p w14:paraId="0E8A83B1" w14:textId="77777777" w:rsidR="001F7233" w:rsidRDefault="00000000">
      <w:pPr>
        <w:pStyle w:val="ListParagraph"/>
        <w:numPr>
          <w:ilvl w:val="0"/>
          <w:numId w:val="1"/>
        </w:numPr>
        <w:spacing w:after="60"/>
      </w:pPr>
      <w:r>
        <w:rPr>
          <w:b/>
          <w:bCs/>
        </w:rPr>
        <w:t>Kurse</w:t>
      </w:r>
      <w:r>
        <w:t xml:space="preserve"> bei Bibliothek, Freizeitverwaltung oder Community College (zum Studium mit H-4 siehe Kapitel </w:t>
      </w:r>
      <w:hyperlink w:anchor="k10">
        <w:r w:rsidR="001F7233">
          <w:t>10</w:t>
        </w:r>
      </w:hyperlink>
      <w:r>
        <w:t>).</w:t>
      </w:r>
    </w:p>
    <w:p w14:paraId="72EAE6BA" w14:textId="77777777" w:rsidR="001F7233" w:rsidRDefault="00000000">
      <w:pPr>
        <w:pStyle w:val="ListParagraph"/>
        <w:numPr>
          <w:ilvl w:val="0"/>
          <w:numId w:val="1"/>
        </w:numPr>
        <w:spacing w:after="60"/>
      </w:pPr>
      <w:r>
        <w:rPr>
          <w:b/>
          <w:bCs/>
        </w:rPr>
        <w:t>Ehrenamt</w:t>
      </w:r>
      <w:r>
        <w:t xml:space="preserve"> nach den Regeln oben.</w:t>
      </w:r>
    </w:p>
    <w:p w14:paraId="38A26E13" w14:textId="77777777" w:rsidR="001F7233" w:rsidRDefault="00000000">
      <w:pPr>
        <w:pStyle w:val="ListParagraph"/>
        <w:numPr>
          <w:ilvl w:val="0"/>
          <w:numId w:val="1"/>
        </w:numPr>
        <w:spacing w:after="60"/>
      </w:pPr>
      <w:r>
        <w:rPr>
          <w:b/>
          <w:bCs/>
        </w:rPr>
        <w:t>Eigene Kontakte</w:t>
      </w:r>
      <w:r>
        <w:t xml:space="preserve"> statt nur der Firmenkreis des Partners, der an dessen Job hängt.</w:t>
      </w:r>
    </w:p>
    <w:p w14:paraId="4A659629" w14:textId="77777777" w:rsidR="001F7233" w:rsidRDefault="00000000">
      <w:pPr>
        <w:pStyle w:val="ListParagraph"/>
        <w:numPr>
          <w:ilvl w:val="0"/>
          <w:numId w:val="1"/>
        </w:numPr>
        <w:spacing w:after="60"/>
      </w:pPr>
      <w:r>
        <w:rPr>
          <w:b/>
          <w:bCs/>
        </w:rPr>
        <w:t>Unterstützung durch den Arbeitgeber: Manche Firmen vermitteln Kontakte oder Netzwerke für mitreisende Partner; frage bei der Personalabteilung.</w:t>
      </w:r>
    </w:p>
    <w:p w14:paraId="363E72C5" w14:textId="77777777" w:rsidR="001F7233" w:rsidRDefault="001F7233">
      <w:pPr>
        <w:spacing w:line="120" w:lineRule="exact"/>
      </w:pPr>
    </w:p>
    <w:p w14:paraId="14C5BB2C" w14:textId="77777777" w:rsidR="001F7233" w:rsidRDefault="00000000">
      <w:pPr>
        <w:spacing w:after="140"/>
      </w:pPr>
      <w:r>
        <w:lastRenderedPageBreak/>
        <w:t>Hält die Isolation über Wochen an oder drückt sie auf die Stimmung, findest du Hilfe in Kapitel </w:t>
      </w:r>
      <w:hyperlink w:anchor="k33">
        <w:r w:rsidR="001F7233">
          <w:t>33</w:t>
        </w:r>
      </w:hyperlink>
      <w:r>
        <w:t>.</w:t>
      </w:r>
    </w:p>
    <w:p w14:paraId="00AA4507" w14:textId="77777777" w:rsidR="001F7233" w:rsidRDefault="001F7233">
      <w:pPr>
        <w:spacing w:line="220" w:lineRule="exact"/>
      </w:pPr>
    </w:p>
    <w:p w14:paraId="1F26E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Freundschaften nach Hause pflegen</w:t>
      </w:r>
    </w:p>
    <w:p w14:paraId="3177E41C" w14:textId="77777777" w:rsidR="001F7233" w:rsidRDefault="00000000">
      <w:pPr>
        <w:spacing w:after="140"/>
      </w:pPr>
      <w:r>
        <w:t>Über Ozean und Zeitzonen hinweg schrumpfen Freundschaften ohne Pflege. Berlin liegt sechs Stunden vor der Ostküste und neun vor Seattle (Standardzeit; Zeitverschiebung und Familienkontakt vertieft Kapitel </w:t>
      </w:r>
      <w:hyperlink w:anchor="k33">
        <w:r w:rsidR="001F7233">
          <w:t>33</w:t>
        </w:r>
      </w:hyperlink>
      <w:r>
        <w:t>). Was hilft:</w:t>
      </w:r>
    </w:p>
    <w:p w14:paraId="5F76C7FF" w14:textId="77777777" w:rsidR="001F7233" w:rsidRDefault="00000000">
      <w:pPr>
        <w:pStyle w:val="ListParagraph"/>
        <w:numPr>
          <w:ilvl w:val="0"/>
          <w:numId w:val="1"/>
        </w:numPr>
        <w:spacing w:after="60"/>
      </w:pPr>
      <w:r>
        <w:rPr>
          <w:b/>
          <w:bCs/>
        </w:rPr>
        <w:t>Rituale statt guter Vorsätze:</w:t>
      </w:r>
      <w:r>
        <w:t xml:space="preserve"> der Videoanruf am Sonntagabend deutscher Zeit (an der Westküste Sonntagvormittag), der monatliche Online-Stammtisch, gemeinsam Serien schauen oder online spielen.</w:t>
      </w:r>
    </w:p>
    <w:p w14:paraId="6AE35E35" w14:textId="77777777" w:rsidR="001F7233" w:rsidRDefault="00000000">
      <w:pPr>
        <w:pStyle w:val="ListParagraph"/>
        <w:numPr>
          <w:ilvl w:val="0"/>
          <w:numId w:val="1"/>
        </w:numPr>
        <w:spacing w:after="60"/>
      </w:pPr>
      <w:r>
        <w:rPr>
          <w:b/>
          <w:bCs/>
        </w:rPr>
        <w:t>Sprachnachrichten,</w:t>
      </w:r>
      <w:r>
        <w:t xml:space="preserve"> die zur Zeitverschiebung passen: zwei Minuten beim Kochen, beantwortet, wenn der andere aufwacht.</w:t>
      </w:r>
    </w:p>
    <w:p w14:paraId="2FA2143C" w14:textId="77777777" w:rsidR="001F7233" w:rsidRDefault="00000000">
      <w:pPr>
        <w:pStyle w:val="ListParagraph"/>
        <w:numPr>
          <w:ilvl w:val="0"/>
          <w:numId w:val="1"/>
        </w:numPr>
        <w:spacing w:after="60"/>
      </w:pPr>
      <w:r>
        <w:rPr>
          <w:b/>
          <w:bCs/>
        </w:rPr>
        <w:t>Gruppenchats</w:t>
      </w:r>
      <w:r>
        <w:t xml:space="preserve"> für Fotos und Alltagskleinigkeiten, damit Kontakt nicht nur aus Großereignissen besteht.</w:t>
      </w:r>
    </w:p>
    <w:p w14:paraId="77EF1ABC" w14:textId="77777777" w:rsidR="001F7233" w:rsidRDefault="00000000">
      <w:pPr>
        <w:pStyle w:val="ListParagraph"/>
        <w:numPr>
          <w:ilvl w:val="0"/>
          <w:numId w:val="1"/>
        </w:numPr>
        <w:spacing w:after="60"/>
      </w:pPr>
      <w:r>
        <w:rPr>
          <w:b/>
          <w:bCs/>
        </w:rPr>
        <w:t>Besuche mit Plan:</w:t>
      </w:r>
      <w:r>
        <w:t xml:space="preserve"> Freunde reisen für kurze Besuche meist mit ESTA ein (Kapitel </w:t>
      </w:r>
      <w:hyperlink w:anchor="k9">
        <w:r w:rsidR="001F7233">
          <w:t>9</w:t>
        </w:r>
      </w:hyperlink>
      <w:r>
        <w:t>). Bei Heimatbesuchen sind zwei feste Abende mit der ganzen Runde besser als 15 Einzeltreffen.</w:t>
      </w:r>
    </w:p>
    <w:p w14:paraId="2AE18F71" w14:textId="77777777" w:rsidR="001F7233" w:rsidRDefault="00000000">
      <w:pPr>
        <w:pStyle w:val="ListParagraph"/>
        <w:numPr>
          <w:ilvl w:val="0"/>
          <w:numId w:val="1"/>
        </w:numPr>
        <w:spacing w:after="60"/>
      </w:pPr>
      <w:r>
        <w:rPr>
          <w:b/>
          <w:bCs/>
        </w:rPr>
        <w:t>Interesse zeigen: Erzähle nicht nur vom neuen Leben, frage nach dem Alltag zu Hause und lass Vergleiche wie „Hier ist alles besser“ weg.</w:t>
      </w:r>
    </w:p>
    <w:p w14:paraId="2A48A051" w14:textId="77777777" w:rsidR="001F7233" w:rsidRDefault="001F7233">
      <w:pPr>
        <w:spacing w:line="120" w:lineRule="exact"/>
      </w:pPr>
    </w:p>
    <w:p w14:paraId="3F3B1B18" w14:textId="77777777" w:rsidR="001F7233" w:rsidRDefault="00000000">
      <w:pPr>
        <w:spacing w:after="140"/>
      </w:pPr>
      <w:r>
        <w:t>Rechne damit, dass einige Freundschaften leiser werden. Das ist normal und kein Verrat: Die engen bleiben, die übrigen leben bei Besuchen wieder auf.</w:t>
      </w:r>
    </w:p>
    <w:p w14:paraId="598B2F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und Erwartungen</w:t>
      </w:r>
    </w:p>
    <w:p w14:paraId="4B9BBC6F" w14:textId="77777777" w:rsidR="001F7233" w:rsidRDefault="00000000">
      <w:pPr>
        <w:pStyle w:val="ListParagraph"/>
        <w:numPr>
          <w:ilvl w:val="0"/>
          <w:numId w:val="1"/>
        </w:numPr>
        <w:spacing w:after="60"/>
      </w:pPr>
      <w:r>
        <w:rPr>
          <w:b/>
          <w:bCs/>
        </w:rPr>
        <w:t xml:space="preserve">Der Alles-in-einem-Freund. Amerikanische Freundschaften hängen oft an einer Aktivität: Laufpartner, Eltern-Freundin, </w:t>
      </w:r>
      <w:r>
        <w:rPr>
          <w:b/>
          <w:bCs/>
        </w:rPr>
        <w:lastRenderedPageBreak/>
        <w:t>Kollege. Wer alle Lebensbereiche in einer Person sucht, sucht lange. Das Wort friend ist zudem weiter gefasst als „Freund“. Für enge Bindungen gibt es „close friend“ und „best friend“.</w:t>
      </w:r>
    </w:p>
    <w:p w14:paraId="3098D80D" w14:textId="77777777" w:rsidR="001F7233" w:rsidRDefault="00000000">
      <w:pPr>
        <w:pStyle w:val="ListParagraph"/>
        <w:numPr>
          <w:ilvl w:val="0"/>
          <w:numId w:val="1"/>
        </w:numPr>
        <w:spacing w:after="60"/>
      </w:pPr>
      <w:r>
        <w:rPr>
          <w:b/>
          <w:bCs/>
        </w:rPr>
        <w:t>Schnelle Tiefe.</w:t>
      </w:r>
      <w:r>
        <w:t xml:space="preserve"> Gehalt, Politik und Religion sind beim Kennenlernen heikel (Kapitel </w:t>
      </w:r>
      <w:hyperlink w:anchor="k31">
        <w:r w:rsidR="001F7233">
          <w:t>31</w:t>
        </w:r>
      </w:hyperlink>
      <w:r>
        <w:t>). Tiefe kommt nach Wiederholung, nicht vorher.</w:t>
      </w:r>
    </w:p>
    <w:p w14:paraId="72A52983" w14:textId="77777777" w:rsidR="001F7233" w:rsidRDefault="00000000">
      <w:pPr>
        <w:pStyle w:val="ListParagraph"/>
        <w:numPr>
          <w:ilvl w:val="0"/>
          <w:numId w:val="1"/>
        </w:numPr>
        <w:spacing w:after="60"/>
      </w:pPr>
      <w:r>
        <w:rPr>
          <w:b/>
          <w:bCs/>
        </w:rPr>
        <w:t>Nur ein Standbein.</w:t>
      </w:r>
      <w:r>
        <w:t xml:space="preserve"> Wer alle Kontakte über den Job hat, verliert sie beim Jobwechsel oder Stellenabbau (Kapitel </w:t>
      </w:r>
      <w:hyperlink w:anchor="k30">
        <w:r w:rsidR="001F7233">
          <w:t>30</w:t>
        </w:r>
      </w:hyperlink>
      <w:r>
        <w:t>). Baue mindestens zwei Kreise auf, etwa Job und Sport oder Kinder und Gemeinde.</w:t>
      </w:r>
    </w:p>
    <w:p w14:paraId="453668AC" w14:textId="77777777" w:rsidR="001F7233" w:rsidRDefault="00000000">
      <w:pPr>
        <w:pStyle w:val="ListParagraph"/>
        <w:numPr>
          <w:ilvl w:val="0"/>
          <w:numId w:val="1"/>
        </w:numPr>
        <w:spacing w:after="60"/>
      </w:pPr>
      <w:r>
        <w:rPr>
          <w:b/>
          <w:bCs/>
        </w:rPr>
        <w:t>Zu früh urteilen.</w:t>
      </w:r>
      <w:r>
        <w:t xml:space="preserve"> Wer nach drei Wochen „Die Amerikaner sind oberflächlich“ sagt, hört auf zu fragen und bestätigt sich selbst.</w:t>
      </w:r>
    </w:p>
    <w:p w14:paraId="535A5F7B" w14:textId="77777777" w:rsidR="001F7233" w:rsidRDefault="00000000">
      <w:pPr>
        <w:pStyle w:val="ListParagraph"/>
        <w:numPr>
          <w:ilvl w:val="0"/>
          <w:numId w:val="1"/>
        </w:numPr>
        <w:spacing w:after="60"/>
      </w:pPr>
      <w:r>
        <w:rPr>
          <w:b/>
          <w:bCs/>
        </w:rPr>
        <w:t>Krisenzeiten.</w:t>
      </w:r>
      <w:r>
        <w:t xml:space="preserve"> Der erste Winter und die ersten Feiertage sind für viele die einsamsten Wochen. Das ist kein Zeichen von Versagen (Kapitel </w:t>
      </w:r>
      <w:hyperlink w:anchor="k33">
        <w:r w:rsidR="001F7233">
          <w:t>33</w:t>
        </w:r>
      </w:hyperlink>
      <w:r>
        <w:t>).</w:t>
      </w:r>
    </w:p>
    <w:p w14:paraId="4D0DD916" w14:textId="77777777" w:rsidR="001F7233" w:rsidRDefault="001F7233">
      <w:pPr>
        <w:spacing w:line="120" w:lineRule="exact"/>
      </w:pPr>
    </w:p>
    <w:p w14:paraId="274DEDF2" w14:textId="77777777" w:rsidR="001F7233" w:rsidRDefault="00000000">
      <w:r>
        <w:rPr>
          <w:b/>
        </w:rPr>
        <w:t xml:space="preserve">ACHTUNG: </w:t>
      </w:r>
    </w:p>
    <w:p w14:paraId="73AE254B" w14:textId="77777777" w:rsidR="001F7233" w:rsidRDefault="00000000">
      <w:r>
        <w:t>• Die größte Falle ist der Rückzug. Wer nach mehreren enttäuschenden Versuchen aufhört, verlängert die Einsamkeit. Setze dir ein Minimum: eine feste Gruppe pro Woche und pro Woche einen Kaffeevorschlag.</w:t>
      </w:r>
    </w:p>
    <w:p w14:paraId="7AD999EA" w14:textId="77777777" w:rsidR="001F7233" w:rsidRDefault="001F7233">
      <w:pPr>
        <w:spacing w:line="220" w:lineRule="exact"/>
      </w:pPr>
    </w:p>
    <w:p w14:paraId="08F2A6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Freunde finden in einem neuen Land</w:t>
      </w:r>
    </w:p>
    <w:p w14:paraId="5FFBF612" w14:textId="77777777" w:rsidR="001F7233" w:rsidRDefault="00000000">
      <w:r>
        <w:rPr>
          <w:b/>
        </w:rPr>
        <w:t xml:space="preserve">Plus: </w:t>
      </w:r>
      <w:r>
        <w:t>Die amerikanische Freundschaftskultur im Vergleich zu deinen Erfahrungen in Deutschland:</w:t>
      </w:r>
    </w:p>
    <w:p w14:paraId="601BEE0C" w14:textId="77777777" w:rsidR="001F7233" w:rsidRDefault="00000000">
      <w:r>
        <w:rPr>
          <w:b/>
        </w:rPr>
        <w:t>Plus: Offenheit: Kontakt zu Fremden gelingt schnell und meist unkompliziert</w:t>
      </w:r>
    </w:p>
    <w:p w14:paraId="2A883693" w14:textId="77777777" w:rsidR="001F7233" w:rsidRDefault="00000000">
      <w:r>
        <w:rPr>
          <w:b/>
        </w:rPr>
        <w:t xml:space="preserve">Minus: </w:t>
      </w:r>
      <w:r>
        <w:t>Schneller Kontakt heißt nicht tiefe Bindung; Vertiefung dauert</w:t>
      </w:r>
    </w:p>
    <w:p w14:paraId="46A274AD" w14:textId="77777777" w:rsidR="001F7233" w:rsidRDefault="00000000">
      <w:r>
        <w:rPr>
          <w:b/>
        </w:rPr>
        <w:lastRenderedPageBreak/>
        <w:t>Plus: Einladungen zu Grillen, Potlucks und Kinderpartys haben niedrige Hürden</w:t>
      </w:r>
    </w:p>
    <w:p w14:paraId="6162F16E" w14:textId="77777777" w:rsidR="001F7233" w:rsidRDefault="00000000">
      <w:r>
        <w:rPr>
          <w:b/>
        </w:rPr>
        <w:t xml:space="preserve">Minus: </w:t>
      </w:r>
      <w:r>
        <w:t>Kurzfristige Absagen kommen häufiger vor, als du es gewohnt sein magst</w:t>
      </w:r>
    </w:p>
    <w:p w14:paraId="2BD4E7F9" w14:textId="77777777" w:rsidR="001F7233" w:rsidRDefault="00000000">
      <w:r>
        <w:rPr>
          <w:b/>
        </w:rPr>
        <w:t>Plus: Viele organisierte Angebote: Clubs, Ligen, Meetups, Kurse in fast jeder Stadt</w:t>
      </w:r>
    </w:p>
    <w:p w14:paraId="21D3FB39" w14:textId="77777777" w:rsidR="001F7233" w:rsidRDefault="00000000">
      <w:r>
        <w:rPr>
          <w:b/>
        </w:rPr>
        <w:t xml:space="preserve">Minus: </w:t>
      </w:r>
      <w:r>
        <w:t>Freundschaften hängen oft an einer Aktivität und enden mit ihr</w:t>
      </w:r>
    </w:p>
    <w:p w14:paraId="5C598349" w14:textId="77777777" w:rsidR="001F7233" w:rsidRDefault="00000000">
      <w:r>
        <w:rPr>
          <w:b/>
        </w:rPr>
        <w:t>Plus: Neuanfang ohne alte Rollen: Du bist, wie du dich zeigst</w:t>
      </w:r>
    </w:p>
    <w:p w14:paraId="710E6F98" w14:textId="77777777" w:rsidR="001F7233" w:rsidRDefault="00000000">
      <w:r>
        <w:rPr>
          <w:b/>
        </w:rPr>
        <w:t xml:space="preserve">Minus: </w:t>
      </w:r>
      <w:r>
        <w:t>Hohe Mobilität: Freunde und Kollegen ziehen weiter</w:t>
      </w:r>
    </w:p>
    <w:p w14:paraId="51DBFF85" w14:textId="77777777" w:rsidR="001F7233" w:rsidRDefault="00000000">
      <w:r>
        <w:rPr>
          <w:b/>
        </w:rPr>
        <w:t>Plus: Große Hilfsbereitschaft bei Tipps, Empfehlungen und Fahrdiensten</w:t>
      </w:r>
    </w:p>
    <w:p w14:paraId="7FE68155" w14:textId="77777777" w:rsidR="001F7233" w:rsidRDefault="00000000">
      <w:r>
        <w:rPr>
          <w:b/>
        </w:rPr>
        <w:t xml:space="preserve">Minus: </w:t>
      </w:r>
      <w:r>
        <w:t>Volle Kalender: Verabredungen liegen oft Wochen im Voraus</w:t>
      </w:r>
    </w:p>
    <w:p w14:paraId="48FC88EC" w14:textId="77777777" w:rsidR="001F7233" w:rsidRDefault="00000000">
      <w:r>
        <w:rPr>
          <w:b/>
        </w:rPr>
        <w:t>Plus: Gastgeber laden gern nach Hause ein, oft zu zwanglosen Anlässen</w:t>
      </w:r>
    </w:p>
    <w:p w14:paraId="1B1DA712" w14:textId="77777777" w:rsidR="001F7233" w:rsidRDefault="00000000">
      <w:r>
        <w:rPr>
          <w:b/>
        </w:rPr>
        <w:t xml:space="preserve">Minus: </w:t>
      </w:r>
      <w:r>
        <w:t>Ohne eigenes Nachfassen passiert wenig</w:t>
      </w:r>
    </w:p>
    <w:p w14:paraId="5B9F0F24" w14:textId="77777777" w:rsidR="001F7233" w:rsidRDefault="001F7233">
      <w:pPr>
        <w:spacing w:line="180" w:lineRule="exact"/>
      </w:pPr>
    </w:p>
    <w:p w14:paraId="0014BB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66485C0" w14:textId="77777777" w:rsidR="001F7233" w:rsidRDefault="00000000">
      <w:pPr>
        <w:spacing w:after="140"/>
      </w:pPr>
      <w:r>
        <w:t>Wähle vor dem Umzug zwei Wege aus der Tabelle, tritt den Online-Gruppen deiner Zielstadt bei und plane in den ersten zwei Wochen nach der Ankunft je einen festen Wochentermin. Nach jedem netten Gespräch schreibst du binnen drei Tagen zwei Terminvorschläge.</w:t>
      </w:r>
    </w:p>
    <w:p w14:paraId="496BDB9C" w14:textId="77777777" w:rsidR="001F7233" w:rsidRDefault="00000000">
      <w:r>
        <w:t>• Vor dem Umzug Facebook- und Meetup-Gruppen deiner Zielstadt suchen und mitlesen</w:t>
      </w:r>
    </w:p>
    <w:p w14:paraId="49D4D460" w14:textId="77777777" w:rsidR="001F7233" w:rsidRDefault="00000000">
      <w:r>
        <w:t>• Zwei feste Wochentermine wählen (Sport, Kurs, Gemeinde oder Ehrenamt) und mindestens sechs Wochen durchhalten</w:t>
      </w:r>
    </w:p>
    <w:p w14:paraId="04E44583" w14:textId="77777777" w:rsidR="001F7233" w:rsidRDefault="00000000">
      <w:r>
        <w:t>• Nach jedem netten Gespräch binnen drei Tagen per Text zwei konkrete Terminvorschläge senden</w:t>
      </w:r>
    </w:p>
    <w:p w14:paraId="444B75E0" w14:textId="77777777" w:rsidR="001F7233" w:rsidRDefault="00000000">
      <w:r>
        <w:t>• Mit Kindern: bei der PTA oder PTO der Schule ein Helferangebot machen, Playdates über die Eltern absprechen</w:t>
      </w:r>
    </w:p>
    <w:p w14:paraId="1DF5F090" w14:textId="77777777" w:rsidR="001F7233" w:rsidRDefault="00000000">
      <w:r>
        <w:t>• Beim Arbeitgeber nach Employee Resource Groups und Team-Anlässen fragen</w:t>
      </w:r>
    </w:p>
    <w:p w14:paraId="7F1A8426" w14:textId="77777777" w:rsidR="001F7233" w:rsidRDefault="00000000">
      <w:r>
        <w:lastRenderedPageBreak/>
        <w:t>• Ohne Arbeitserlaubnis nur echtes Ehrenamt bei gemeinnützigen Organisationen, im Zweifel vorher Rat einholen</w:t>
      </w:r>
    </w:p>
    <w:p w14:paraId="374C9CB7" w14:textId="77777777" w:rsidR="001F7233" w:rsidRDefault="00000000">
      <w:r>
        <w:t>• Einladungen binnen zwei Tagen zu- oder absagen, eine kleine Gabe mitbringen, binnen weniger Wochen zurückladen</w:t>
      </w:r>
    </w:p>
    <w:p w14:paraId="1124FC83" w14:textId="77777777" w:rsidR="001F7233" w:rsidRDefault="00000000">
      <w:r>
        <w:t>• Deutschsprachige Angebote nutzen, aber die Hälfte der festen Termine unter Englischsprachigen halten</w:t>
      </w:r>
    </w:p>
    <w:p w14:paraId="52F7F3DF" w14:textId="77777777" w:rsidR="001F7233" w:rsidRDefault="00000000">
      <w:r>
        <w:t>• Rituale mit Freunden in Deutschland vereinbaren (Videoanruf, Sprachnachrichten) und die Zeitverschiebung prüfen</w:t>
      </w:r>
    </w:p>
    <w:p w14:paraId="0D539A64" w14:textId="77777777" w:rsidR="001F7233" w:rsidRDefault="00000000">
      <w:r>
        <w:t>• Nach drei Monaten Bilanz ziehen: Welche Gruppe hat funktioniert, welche nicht?</w:t>
      </w:r>
    </w:p>
    <w:p w14:paraId="5B56A2C7" w14:textId="77777777" w:rsidR="001F7233" w:rsidRDefault="001F7233">
      <w:pPr>
        <w:spacing w:line="220" w:lineRule="exact"/>
      </w:pPr>
    </w:p>
    <w:p w14:paraId="25AF8B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A940E31" w14:textId="77777777" w:rsidR="001F7233" w:rsidRDefault="00000000">
      <w:pPr>
        <w:pStyle w:val="ListParagraph"/>
        <w:numPr>
          <w:ilvl w:val="0"/>
          <w:numId w:val="1"/>
        </w:numPr>
        <w:spacing w:after="60"/>
      </w:pPr>
      <w:r>
        <w:t>University of Kansas — Studie zur Zeit, die Freundschaft braucht (</w:t>
      </w:r>
      <w:hyperlink r:id="rId445">
        <w:r w:rsidR="001F7233">
          <w:rPr>
            <w:color w:val="0563C1"/>
            <w:u w:val="single"/>
          </w:rPr>
          <w:t>news.ku.edu</w:t>
        </w:r>
      </w:hyperlink>
      <w:r>
        <w:t>, Suche: hours to make a friend)</w:t>
      </w:r>
    </w:p>
    <w:p w14:paraId="7CF16742" w14:textId="77777777" w:rsidR="001F7233" w:rsidRDefault="00000000">
      <w:pPr>
        <w:pStyle w:val="ListParagraph"/>
        <w:numPr>
          <w:ilvl w:val="0"/>
          <w:numId w:val="1"/>
        </w:numPr>
        <w:spacing w:after="60"/>
      </w:pPr>
      <w:r>
        <w:t>US Census Bureau — Umzüge und regionale Mobilität (</w:t>
      </w:r>
      <w:hyperlink r:id="rId446">
        <w:r w:rsidR="001F7233">
          <w:rPr>
            <w:color w:val="0563C1"/>
            <w:u w:val="single"/>
          </w:rPr>
          <w:t>census.gov/topics/population/migration</w:t>
        </w:r>
      </w:hyperlink>
      <w:r>
        <w:t>)</w:t>
      </w:r>
    </w:p>
    <w:p w14:paraId="541339AC" w14:textId="77777777" w:rsidR="001F7233" w:rsidRDefault="00000000">
      <w:pPr>
        <w:pStyle w:val="ListParagraph"/>
        <w:numPr>
          <w:ilvl w:val="0"/>
          <w:numId w:val="1"/>
        </w:numPr>
        <w:spacing w:after="60"/>
      </w:pPr>
      <w:r>
        <w:t>Evangelische Kirche in Deutschland — deutschsprachige Auslandsgemeinden in Amerika (</w:t>
      </w:r>
      <w:hyperlink r:id="rId447">
        <w:r w:rsidR="001F7233">
          <w:rPr>
            <w:color w:val="0563C1"/>
            <w:u w:val="single"/>
          </w:rPr>
          <w:t>ekd.de/auslandsgemeinden-amerika-47196.htm</w:t>
        </w:r>
      </w:hyperlink>
      <w:r>
        <w:t>)</w:t>
      </w:r>
    </w:p>
    <w:p w14:paraId="00986E81" w14:textId="77777777" w:rsidR="001F7233" w:rsidRDefault="00000000">
      <w:pPr>
        <w:pStyle w:val="ListParagraph"/>
        <w:numPr>
          <w:ilvl w:val="0"/>
          <w:numId w:val="1"/>
        </w:numPr>
        <w:spacing w:after="60"/>
      </w:pPr>
      <w:r>
        <w:t>Goethe-Institut USA — Standorte und Programme (</w:t>
      </w:r>
      <w:hyperlink r:id="rId448">
        <w:r w:rsidR="001F7233">
          <w:rPr>
            <w:color w:val="0563C1"/>
            <w:u w:val="single"/>
          </w:rPr>
          <w:t>goethe.de/ins/us</w:t>
        </w:r>
      </w:hyperlink>
      <w:r>
        <w:t>)</w:t>
      </w:r>
    </w:p>
    <w:p w14:paraId="72D3F75E" w14:textId="77777777" w:rsidR="001F7233" w:rsidRDefault="00000000">
      <w:pPr>
        <w:pStyle w:val="ListParagraph"/>
        <w:numPr>
          <w:ilvl w:val="0"/>
          <w:numId w:val="1"/>
        </w:numPr>
        <w:spacing w:after="60"/>
      </w:pPr>
      <w:r>
        <w:t>Idealist — Freiwilligenarbeit finden (</w:t>
      </w:r>
      <w:hyperlink r:id="rId449">
        <w:r w:rsidR="001F7233">
          <w:rPr>
            <w:color w:val="0563C1"/>
            <w:u w:val="single"/>
          </w:rPr>
          <w:t>idealist.org</w:t>
        </w:r>
      </w:hyperlink>
      <w:r>
        <w:t>)</w:t>
      </w:r>
    </w:p>
    <w:p w14:paraId="48C5CD4E" w14:textId="77777777" w:rsidR="001F7233" w:rsidRDefault="00000000">
      <w:pPr>
        <w:pStyle w:val="ListParagraph"/>
        <w:numPr>
          <w:ilvl w:val="0"/>
          <w:numId w:val="1"/>
        </w:numPr>
        <w:spacing w:after="60"/>
      </w:pPr>
      <w:r>
        <w:t>Einwanderungsbehörde USCIS — Arbeitserlaubnis für H-4-Ehepartner (</w:t>
      </w:r>
      <w:hyperlink r:id="rId450">
        <w:r w:rsidR="001F7233">
          <w:rPr>
            <w:color w:val="0563C1"/>
            <w:u w:val="single"/>
          </w:rPr>
          <w:t>uscis.gov</w:t>
        </w:r>
      </w:hyperlink>
      <w:r>
        <w:t>, Suche: H-4 employment authorization)</w:t>
      </w:r>
    </w:p>
    <w:p w14:paraId="67620DF6" w14:textId="77777777" w:rsidR="001F7233" w:rsidRDefault="00000000">
      <w:pPr>
        <w:pStyle w:val="ListParagraph"/>
        <w:numPr>
          <w:ilvl w:val="0"/>
          <w:numId w:val="1"/>
        </w:numPr>
        <w:spacing w:after="60"/>
      </w:pPr>
      <w:r>
        <w:t>Meetup — Hilfebereich zu Gebühren und Abos (</w:t>
      </w:r>
      <w:hyperlink r:id="rId451">
        <w:r w:rsidR="001F7233">
          <w:rPr>
            <w:color w:val="0563C1"/>
            <w:u w:val="single"/>
          </w:rPr>
          <w:t>help.meetup.com</w:t>
        </w:r>
      </w:hyperlink>
      <w:r>
        <w:t>)</w:t>
      </w:r>
    </w:p>
    <w:p w14:paraId="37BE9466" w14:textId="77777777" w:rsidR="001F7233" w:rsidRDefault="001F7233">
      <w:pPr>
        <w:spacing w:line="120" w:lineRule="exact"/>
      </w:pPr>
    </w:p>
    <w:p w14:paraId="254FD477" w14:textId="77777777" w:rsidR="001F7233" w:rsidRDefault="00000000">
      <w:r>
        <w:t xml:space="preserve">• Quellen- und Datenstand: September 2026; Redaktionsschluss: Oktober 2026. Diese Angaben ändern sich schnell: Preise und Funktionen von Apps (Meetup, BFF, Timeleft, Nextdoor), Standorte des Goethe-Instituts, die Regeln zur Arbeitserlaubnis für H-4-Partner sowie die Mobilitätsdaten des Census Bureau (Datenjahr 2024). </w:t>
      </w:r>
      <w:r>
        <w:lastRenderedPageBreak/>
        <w:t>Prüfe vor jeder Entscheidung die aktuellen Angaben der Anbieter und offiziellen Stellen.</w:t>
      </w:r>
    </w:p>
    <w:p w14:paraId="029690AE" w14:textId="77777777" w:rsidR="001F7233" w:rsidRDefault="001F7233">
      <w:pPr>
        <w:spacing w:line="220" w:lineRule="exact"/>
      </w:pPr>
    </w:p>
    <w:p w14:paraId="65392692" w14:textId="77777777" w:rsidR="001F7233" w:rsidRDefault="00000000">
      <w:pPr>
        <w:pStyle w:val="Heading3"/>
      </w:pPr>
      <w:r>
        <w:t>Obdachlosigkeit, Ansprechen auf der Straße und Haustürbesuche</w:t>
      </w:r>
    </w:p>
    <w:p w14:paraId="5C899431" w14:textId="77777777" w:rsidR="001F7233" w:rsidRDefault="00000000">
      <w:r>
        <w:t xml:space="preserve">In manchen US-Städten ist Wohnungslosigkeit sichtbar. Sie sagt für sich nichts darüber aus, ob jemand gefährlich ist. Ursachen können Jobverlust, zu hohe Wohnkosten, Krankheit, familiäre Krisen, Behinderung oder andere Belastungen sein. „Hobo“ ist eine veraltete Bezeichnung, die oft mit Wanderarbeit verbunden ist; besser sind „wohnungslose Menschen“ oder „Menschen ohne festen Wohnsitz“. Wer freiwillig im Fahrzeug lebt, vorübergehend keine Unterkunft hat oder seine Wohnung verloren hat, erlebt jeweils etwas anderes. Wenn du helfen möchtest, wende dich an eine lokale Hilfsstelle oder wähle 211; Bargeld, Essen oder direkte Hilfe sind nicht immer erwünscht. Achte auf deine Umgebung, halte Abstand, wenn jemand in einer akuten Krise ist, und rufe den Notruf bei unmittelbarer Gefahr oder einem medizinischen Notfall. An der Haustür können Religionsgemeinschaften, Vereine, Wohltätigkeitsorganisationen oder Verkäufer stehen; Kinder verkaufen etwa Kekse für eine Spendenaktion. Du kannst ablehnen, ohne die Tür zu öffnen, Nachweise unabhängig prüfen und ein Schild „No Soliciting“ oder die Hausregeln nutzen; die Rechtslage ist örtlich unterschiedlich. Prüfe Spenden über die offizielle Website der Organisation, nicht über einen QR-Code oder Link von der Haustür. Du kannst dich in Nachbarschaftsgruppen, bei freiwilligen Helfern, in Schule oder Gemeinde, in der HOA und bei öffentlichen Anhörungen engagieren. Stimmrecht und Vorstandssitz in einer HOA richten sich meist nach Eigentum und Satzung; öffentliche Wahlen sind davon getrennt und setzen in der Regel US-Staatsbürgerschaft voraus. </w:t>
      </w:r>
    </w:p>
    <w:p w14:paraId="250714E3" w14:textId="77777777" w:rsidR="001F7233" w:rsidRDefault="00000000">
      <w:r>
        <w:t>Quelle: </w:t>
      </w:r>
      <w:hyperlink r:id="rId452">
        <w:r w:rsidR="001F7233">
          <w:rPr>
            <w:color w:val="0563C1"/>
            <w:u w:val="single"/>
          </w:rPr>
          <w:t>HUD: Find homelessness assistance through local 211</w:t>
        </w:r>
      </w:hyperlink>
    </w:p>
    <w:p w14:paraId="1BB91053" w14:textId="77777777" w:rsidR="001F7233" w:rsidRDefault="00000000">
      <w:r>
        <w:t>Quelle: </w:t>
      </w:r>
      <w:hyperlink r:id="rId453">
        <w:r w:rsidR="001F7233">
          <w:rPr>
            <w:color w:val="0563C1"/>
            <w:u w:val="single"/>
          </w:rPr>
          <w:t>USA.gov: Who can vote</w:t>
        </w:r>
      </w:hyperlink>
      <w:r>
        <w:br w:type="page"/>
      </w:r>
    </w:p>
    <w:p w14:paraId="25B3FB0C" w14:textId="77777777" w:rsidR="001F7233" w:rsidRDefault="00000000">
      <w:pPr>
        <w:pStyle w:val="Heading2"/>
        <w:keepNext/>
        <w:spacing w:line="341" w:lineRule="auto"/>
        <w:jc w:val="center"/>
      </w:pPr>
      <w:bookmarkStart w:id="66" w:name="k33"/>
      <w:r>
        <w:rPr>
          <w:rFonts w:ascii="Amazon Ember" w:eastAsia="Amazon Ember" w:hAnsi="Amazon Ember" w:cs="Amazon Ember"/>
          <w:color w:val="0000FF"/>
          <w:sz w:val="36"/>
          <w:szCs w:val="36"/>
        </w:rPr>
        <w:lastRenderedPageBreak/>
        <w:t>Kapitel 33: Heimweh, Kulturschock und mentale Gesundheit</w:t>
      </w:r>
      <w:bookmarkEnd w:id="66"/>
    </w:p>
    <w:p w14:paraId="04B2CC5C" w14:textId="77777777" w:rsidR="001F7233" w:rsidRDefault="00000000">
      <w:pPr>
        <w:spacing w:after="140"/>
      </w:pPr>
      <w:r>
        <w:t>Es ist der vierte Samstagabend in Folge, an dem du früh das Licht ausmachst, während in der Familien-Chat-Gruppe Fotos vom Herbstfest der alten Nachbarschaft eintrudeln. Job, Wohnung und Auto sind organisiert, alles läuft nach Plan. Trotzdem liegt seit Wochen ein Kloß im Hals, sobald jemand fragt, wie es dir geht. Das ist kein Ausrutscher und kein Zeichen, dass der Umzug ein Fehler war. Es ist Kulturschock, und er hat einen ziemlich vorhersagbaren Verlauf.</w:t>
      </w:r>
    </w:p>
    <w:p w14:paraId="5A56A675" w14:textId="77777777" w:rsidR="001F7233" w:rsidRDefault="00000000">
      <w:r>
        <w:rPr>
          <w:b/>
        </w:rPr>
        <w:t xml:space="preserve">KURZ GESAGT: </w:t>
      </w:r>
    </w:p>
    <w:p w14:paraId="493CC9D1" w14:textId="77777777" w:rsidR="001F7233" w:rsidRDefault="00000000">
      <w:r>
        <w:t>• Kulturschock verläuft in Phasen und ist zeitlich meist begrenzt – keine Schwäche und kein Fehlurteil.</w:t>
      </w:r>
    </w:p>
    <w:p w14:paraId="3C1745AC" w14:textId="77777777" w:rsidR="001F7233" w:rsidRDefault="00000000">
      <w:r>
        <w:t>• Die kritischsten Monate sind der dritte bis sechste, dazu der erste Winter und die ersten Feiertage fern der Familie.</w:t>
      </w:r>
    </w:p>
    <w:p w14:paraId="63D89CCB" w14:textId="77777777" w:rsidR="001F7233" w:rsidRDefault="00000000">
      <w:r>
        <w:t>• Mitreisende Partner und Kinder durchleben eigene Formen des Kulturschocks, oft zeitversetzt zueinander.</w:t>
      </w:r>
    </w:p>
    <w:p w14:paraId="0803F243" w14:textId="77777777" w:rsidR="001F7233" w:rsidRDefault="00000000">
      <w:r>
        <w:t>• Routinen, Rituale, Bewegung und Sprache wirken gegen das Tief oft stärker als guter Wille allein.</w:t>
      </w:r>
    </w:p>
    <w:p w14:paraId="1A71B801" w14:textId="77777777" w:rsidR="001F7233" w:rsidRDefault="00000000">
      <w:r>
        <w:t>• Professionelle Hilfe ist in den USA erreichbar: betriebliche Beratung, Telehealth, günstige Anbieter, deutschsprachige Therapeuten.</w:t>
      </w:r>
    </w:p>
    <w:p w14:paraId="17ACB2AB" w14:textId="77777777" w:rsidR="001F7233" w:rsidRDefault="00000000">
      <w:r>
        <w:t>• Bei akuter Gefahr zählt ein Anruf, Chat oder Text: 988, kostenlos, rund um die Uhr.</w:t>
      </w:r>
    </w:p>
    <w:p w14:paraId="574EF55B" w14:textId="77777777" w:rsidR="001F7233" w:rsidRDefault="001F7233">
      <w:pPr>
        <w:spacing w:line="220" w:lineRule="exact"/>
      </w:pPr>
    </w:p>
    <w:p w14:paraId="0B2776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Phasen des Kulturschocks</w:t>
      </w:r>
    </w:p>
    <w:p w14:paraId="03F91F09" w14:textId="77777777" w:rsidR="001F7233" w:rsidRDefault="00000000">
      <w:pPr>
        <w:spacing w:after="140"/>
      </w:pPr>
      <w:r>
        <w:t xml:space="preserve">Verbreiteter Irrtum: Wer nach einem harten dritten Monat an der Entscheidung zweifelt, war offenbar nicht bereit für den Umzug. Tatsächlich beschreibt ein verbreitetes Modell (nach dem </w:t>
      </w:r>
      <w:r>
        <w:lastRenderedPageBreak/>
        <w:t>Anthropologen Kalervo Oberg, 1960) Kulturschock als Kurve mit vier Abschnitten, die fast jeden erfasst, der längere Zeit in einem fremden Land lebt. Sie verläuft nicht bei allen gleich, nicht linear und nicht bei allen Familienmitgliedern gleichzeitig, aber sie hilft, das eigene Tief einzuordnen.</w:t>
      </w:r>
    </w:p>
    <w:p w14:paraId="0728414A" w14:textId="77777777" w:rsidR="001F7233" w:rsidRDefault="00000000">
      <w:r>
        <w:rPr>
          <w:b/>
        </w:rPr>
        <w:t>Honeymoon-Phase (Anfangseuphorie)</w:t>
      </w:r>
    </w:p>
    <w:p w14:paraId="2E5D5D05" w14:textId="77777777" w:rsidR="001F7233" w:rsidRDefault="00000000">
      <w:r>
        <w:rPr>
          <w:b/>
        </w:rPr>
        <w:t xml:space="preserve">Typische Dauer: </w:t>
      </w:r>
      <w:r>
        <w:t>erste Wochen bis ca. 2 Monate</w:t>
      </w:r>
    </w:p>
    <w:p w14:paraId="4EC657F1" w14:textId="77777777" w:rsidR="001F7233" w:rsidRDefault="00000000">
      <w:r>
        <w:rPr>
          <w:b/>
        </w:rPr>
        <w:t xml:space="preserve">Typisches Gefühl: </w:t>
      </w:r>
      <w:r>
        <w:t>Neugier, Begeisterung, alles wirkt aufregend</w:t>
      </w:r>
    </w:p>
    <w:p w14:paraId="2A288B33" w14:textId="77777777" w:rsidR="001F7233" w:rsidRDefault="00000000">
      <w:r>
        <w:rPr>
          <w:b/>
        </w:rPr>
        <w:t xml:space="preserve">Was hilft: </w:t>
      </w:r>
      <w:r>
        <w:t>Genießen, aber früh kleine Routinen aufbauen</w:t>
      </w:r>
    </w:p>
    <w:p w14:paraId="7070E46A" w14:textId="77777777" w:rsidR="001F7233" w:rsidRDefault="00000000">
      <w:r>
        <w:rPr>
          <w:b/>
        </w:rPr>
        <w:t>Kulturschock-Talsohle</w:t>
      </w:r>
    </w:p>
    <w:p w14:paraId="35F79BE3" w14:textId="77777777" w:rsidR="001F7233" w:rsidRDefault="00000000">
      <w:r>
        <w:rPr>
          <w:b/>
        </w:rPr>
        <w:t xml:space="preserve">Typische Dauer: </w:t>
      </w:r>
      <w:r>
        <w:t>häufig Monat 3 bis 6</w:t>
      </w:r>
    </w:p>
    <w:p w14:paraId="77242429" w14:textId="77777777" w:rsidR="001F7233" w:rsidRDefault="00000000">
      <w:r>
        <w:rPr>
          <w:b/>
        </w:rPr>
        <w:t xml:space="preserve">Typisches Gefühl: </w:t>
      </w:r>
      <w:r>
        <w:t>Erschöpfung, Reizbarkeit, Heimweh, Zweifel an der Entscheidung</w:t>
      </w:r>
    </w:p>
    <w:p w14:paraId="408C2AC9" w14:textId="77777777" w:rsidR="001F7233" w:rsidRDefault="00000000">
      <w:r>
        <w:rPr>
          <w:b/>
        </w:rPr>
        <w:t xml:space="preserve">Was hilft: </w:t>
      </w:r>
      <w:r>
        <w:t>Struktur, Bewegung, echte Kontakte, bei Bedarf Hilfe</w:t>
      </w:r>
    </w:p>
    <w:p w14:paraId="5C523E74" w14:textId="77777777" w:rsidR="001F7233" w:rsidRDefault="00000000">
      <w:r>
        <w:rPr>
          <w:b/>
        </w:rPr>
        <w:t>Anpassung</w:t>
      </w:r>
    </w:p>
    <w:p w14:paraId="5A32D563" w14:textId="77777777" w:rsidR="001F7233" w:rsidRDefault="00000000">
      <w:r>
        <w:rPr>
          <w:b/>
        </w:rPr>
        <w:t xml:space="preserve">Typische Dauer: </w:t>
      </w:r>
      <w:r>
        <w:t>häufig Monat 6 bis 12</w:t>
      </w:r>
    </w:p>
    <w:p w14:paraId="6B310A5C" w14:textId="77777777" w:rsidR="001F7233" w:rsidRDefault="00000000">
      <w:r>
        <w:rPr>
          <w:b/>
        </w:rPr>
        <w:t xml:space="preserve">Typisches Gefühl: </w:t>
      </w:r>
      <w:r>
        <w:t>Alltag wird Routine, Unterschiede eher komisch als bedrohlich</w:t>
      </w:r>
    </w:p>
    <w:p w14:paraId="53674BA1" w14:textId="77777777" w:rsidR="001F7233" w:rsidRDefault="00000000">
      <w:r>
        <w:rPr>
          <w:b/>
        </w:rPr>
        <w:t xml:space="preserve">Was hilft: </w:t>
      </w:r>
      <w:r>
        <w:t>Neue Gewohnheiten festigen, Kontakte pflegen</w:t>
      </w:r>
    </w:p>
    <w:p w14:paraId="3CCD4205" w14:textId="77777777" w:rsidR="001F7233" w:rsidRDefault="00000000">
      <w:r>
        <w:rPr>
          <w:b/>
        </w:rPr>
        <w:t>Integration</w:t>
      </w:r>
    </w:p>
    <w:p w14:paraId="296A8E30" w14:textId="77777777" w:rsidR="001F7233" w:rsidRDefault="00000000">
      <w:r>
        <w:rPr>
          <w:b/>
        </w:rPr>
        <w:t xml:space="preserve">Typische Dauer: </w:t>
      </w:r>
      <w:r>
        <w:t>ab etwa Jahr 1 bis 2</w:t>
      </w:r>
    </w:p>
    <w:p w14:paraId="77DD8F24" w14:textId="77777777" w:rsidR="001F7233" w:rsidRDefault="00000000">
      <w:r>
        <w:rPr>
          <w:b/>
        </w:rPr>
        <w:t xml:space="preserve">Typisches Gefühl: </w:t>
      </w:r>
      <w:r>
        <w:t>Sicherheit in beiden Kulturen, Vergleich ohne Wertung</w:t>
      </w:r>
    </w:p>
    <w:p w14:paraId="09C951C4" w14:textId="77777777" w:rsidR="001F7233" w:rsidRDefault="00000000">
      <w:r>
        <w:rPr>
          <w:b/>
        </w:rPr>
        <w:t xml:space="preserve">Was hilft: </w:t>
      </w:r>
      <w:r>
        <w:t>Das Pendeln zwischen Identitäten als Normalzustand annehmen</w:t>
      </w:r>
    </w:p>
    <w:p w14:paraId="0B527F15" w14:textId="77777777" w:rsidR="001F7233" w:rsidRDefault="001F7233">
      <w:pPr>
        <w:spacing w:line="180" w:lineRule="exact"/>
      </w:pPr>
    </w:p>
    <w:p w14:paraId="76E208EA" w14:textId="77777777" w:rsidR="001F7233" w:rsidRDefault="00000000">
      <w:r>
        <w:rPr>
          <w:b/>
        </w:rPr>
        <w:t xml:space="preserve">MERKE: </w:t>
      </w:r>
    </w:p>
    <w:p w14:paraId="587CF35D" w14:textId="77777777" w:rsidR="001F7233" w:rsidRDefault="00000000">
      <w:r>
        <w:t>• Kulturschock ist die normale Reaktion eines Gehirns, das gerade zu viele neue Reize und zu wenig vertraute Bezugspunkte verarbeitet. Er ist kein Charakterfehler und kein Beweis, dass die Entscheidung für die USA falsch war.</w:t>
      </w:r>
    </w:p>
    <w:p w14:paraId="4C912873" w14:textId="77777777" w:rsidR="001F7233" w:rsidRDefault="001F7233">
      <w:pPr>
        <w:spacing w:line="220" w:lineRule="exact"/>
      </w:pPr>
    </w:p>
    <w:p w14:paraId="77C9B2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kritischen Monate: 3 bis 6, der erste Winter, die ersten Feiertage</w:t>
      </w:r>
    </w:p>
    <w:p w14:paraId="0FD843BC" w14:textId="77777777" w:rsidR="001F7233" w:rsidRDefault="00000000">
      <w:pPr>
        <w:spacing w:after="140"/>
      </w:pPr>
      <w:r>
        <w:t xml:space="preserve">Drei Zeitpunkte treffen die meisten Neuankömmlinge besonders hart. Erstens die </w:t>
      </w:r>
      <w:r>
        <w:rPr>
          <w:b/>
          <w:bCs/>
        </w:rPr>
        <w:t>Monate 3 bis 6</w:t>
      </w:r>
      <w:r>
        <w:t xml:space="preserve">: Der anfängliche Schwung ist weg, die Behördengänge sind erledigt, aber der Alltag fühlt sich noch fremd an, während zu Hause das Leben ohne dich weiterläuft. Zweitens der </w:t>
      </w:r>
      <w:r>
        <w:rPr>
          <w:b/>
          <w:bCs/>
        </w:rPr>
        <w:t>erste Winter</w:t>
      </w:r>
      <w:r>
        <w:t>: In vielen Regionen bedeuten kürzere Tage, Kälte und mehr Zeit drinnen zusätzlichen Druck, gerade wenn noch kein fester Freundeskreis besteht (mehr dazu in Kapitel </w:t>
      </w:r>
      <w:hyperlink w:anchor="k32">
        <w:r w:rsidR="001F7233">
          <w:t>32</w:t>
        </w:r>
      </w:hyperlink>
      <w:r>
        <w:t xml:space="preserve">). Drittens die </w:t>
      </w:r>
      <w:r>
        <w:rPr>
          <w:b/>
          <w:bCs/>
        </w:rPr>
        <w:t>ersten Feiertage</w:t>
      </w:r>
      <w:r>
        <w:t xml:space="preserve"> fern der Familie. Thanksgiving kennst du noch nicht als eigene Tradition (Kapitel </w:t>
      </w:r>
      <w:hyperlink w:anchor="k31">
        <w:r w:rsidR="001F7233">
          <w:t>31</w:t>
        </w:r>
      </w:hyperlink>
      <w:r>
        <w:t>), aber spätestens Weihnachten und Silvester ohne die gewohnte Runde schlagen oft unerwartet stark zu. Manchmal genügt ein einziges Foto aus der Familien-Chat-Gruppe am Heiligabend – der gedeckte Tisch, die vertrauten Gesichter –, um einen ganzen Abend zu kippen.</w:t>
      </w:r>
    </w:p>
    <w:p w14:paraId="76AB2F47" w14:textId="77777777" w:rsidR="001F7233" w:rsidRDefault="00000000">
      <w:r>
        <w:rPr>
          <w:b/>
        </w:rPr>
        <w:t xml:space="preserve">ACHTUNG: </w:t>
      </w:r>
    </w:p>
    <w:p w14:paraId="2041A889" w14:textId="77777777" w:rsidR="001F7233" w:rsidRDefault="00000000">
      <w:r>
        <w:t>• Wer sich im Tief zum ersten Weihnachtsfest spontan einen teuren Last-Minute-Flug nach Deutschland kauft, zahlt oft ein Vielfaches des Normalpreises und kehrt erschöpft statt erholt zurück. Plane Heimatbesuche zu Feiertagen Monate im Voraus oder gestalte den Tag selbst bewusst: ein Videoanruf zur Bescherung, ein deutsches Essen, eine kleine eigene Tradition.</w:t>
      </w:r>
    </w:p>
    <w:p w14:paraId="11EB5F6C" w14:textId="77777777" w:rsidR="001F7233" w:rsidRDefault="00000000">
      <w:r>
        <w:t>Nach dem Buchen: US-Stornoregel prüfen</w:t>
      </w:r>
    </w:p>
    <w:p w14:paraId="0DB868EF" w14:textId="77777777" w:rsidR="001F7233" w:rsidRDefault="00000000">
      <w:r>
        <w:t>Bei Tickets, die direkt bei einer Airline gebucht werden, können die US-DOT-24-Stunden-Regeln greifen, wenn der Abflug mindestens sieben Tage entfernt ist. Bei Reisebüros und Buchungsportalen gilt diese Regel nicht automatisch. Lies die Bedingungen des Verkäufers vor Zahlung und prüfe, wer bei einer Erstattung dein Vertragspartner ist. Quelle: transportation.gov/individuals/aviation-consumer-protection/refunds.</w:t>
      </w:r>
    </w:p>
    <w:p w14:paraId="769E633A" w14:textId="77777777" w:rsidR="001F7233" w:rsidRDefault="001F7233">
      <w:pPr>
        <w:spacing w:line="220" w:lineRule="exact"/>
      </w:pPr>
    </w:p>
    <w:p w14:paraId="355190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der Partner zurücksteht</w:t>
      </w:r>
    </w:p>
    <w:p w14:paraId="1510E0E0" w14:textId="77777777" w:rsidR="001F7233" w:rsidRDefault="00000000">
      <w:pPr>
        <w:spacing w:after="140"/>
      </w:pPr>
      <w:r>
        <w:t xml:space="preserve">Am stärksten trifft der Kulturschock häufig den mitreisenden Partner – meist mit </w:t>
      </w:r>
      <w:r>
        <w:rPr>
          <w:i/>
          <w:iCs/>
        </w:rPr>
        <w:t>H-4</w:t>
      </w:r>
      <w:r>
        <w:t>-Status ohne eigene Arbeitserlaubnis (Kapitel </w:t>
      </w:r>
      <w:hyperlink w:anchor="k10">
        <w:r w:rsidR="001F7233">
          <w:t>10</w:t>
        </w:r>
      </w:hyperlink>
      <w:r>
        <w:t>). Wer in Deutschland einen Beruf, Kollegen und ein eigenes Einkommen hatte, verliert das in den USA oft komplett und ist finanziell und sozial vom Partner abhängig. Dazu kommt: Die Kinder finden über die Schule Anschluss, der arbeitende Partner über die Kollegen. Wer zu Hause bleibt, hat diese Struktur nicht automatisch. Der Tag hat dann oft keinen äußeren Rhythmus mehr: kein Wecker fürs Büro, kein Kollege, der beim Kaffee fragt, wie das Wochenende war – nur die stille Wohnung, nachdem Kinder und Partner losgefahren sind. Das ist kein Randthema, sondern einer der häufigsten Gründe für anhaltende Unzufriedenheit im ersten Jahr. Wege aus der Isolation über Routinen, Kurse und Ehrenamt beschreibt Kapitel </w:t>
      </w:r>
      <w:hyperlink w:anchor="k32">
        <w:r w:rsidR="001F7233">
          <w:t>32</w:t>
        </w:r>
      </w:hyperlink>
      <w:r>
        <w:t xml:space="preserve"> ausführlich; hier geht es um den emotionalen Preis, wenn Identität und Tagesstruktur gleichzeitig wegbrechen. Sprich offen aus, was fehlt, statt es als Undankbarkeit gegenüber der gemeinsamen Entscheidung zu werten.</w:t>
      </w:r>
    </w:p>
    <w:p w14:paraId="438FBF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Jugendliche im Kulturschock</w:t>
      </w:r>
    </w:p>
    <w:p w14:paraId="7CA50378" w14:textId="77777777" w:rsidR="001F7233" w:rsidRDefault="00000000">
      <w:pPr>
        <w:spacing w:after="140"/>
      </w:pPr>
      <w:r>
        <w:t>Kinder verarbeiten den Wechsel anders als Erwachsene, und jüngere anders als ältere. Vorschul- und Grundschulkinder finden über Schule und Sport meist vergleichsweise schnell Anschluss (Kapitel </w:t>
      </w:r>
      <w:hyperlink w:anchor="k36">
        <w:r w:rsidR="001F7233">
          <w:t>36</w:t>
        </w:r>
      </w:hyperlink>
      <w:r>
        <w:t>), zeigen den Stress aber manchmal körperlich: Bauchweh vor der Schule, gestörter Schlaf, ein Rückfall ins Einnässen, mehr Klammern als sonst. Jugendliche haben es oft schwerer: Der Freundeskreis, den sie über Jahre aufgebaut haben, fällt in einer besonders wichtigen Lebensphase weg. Dazu kommt die neue Unterrichtssprache (Kapitel </w:t>
      </w:r>
      <w:hyperlink w:anchor="k37">
        <w:r w:rsidR="001F7233">
          <w:t>37</w:t>
        </w:r>
      </w:hyperlink>
      <w:r>
        <w:t xml:space="preserve">), und das neue Leben wird ständig, </w:t>
      </w:r>
      <w:r>
        <w:lastRenderedPageBreak/>
        <w:t>auch über soziale Medien, mit dem der zurückgelassenen Freunde verglichen.</w:t>
      </w:r>
    </w:p>
    <w:p w14:paraId="61831DA9" w14:textId="77777777" w:rsidR="001F7233" w:rsidRDefault="00000000">
      <w:r>
        <w:rPr>
          <w:b/>
        </w:rPr>
        <w:t xml:space="preserve">ACHTUNG: </w:t>
      </w:r>
    </w:p>
    <w:p w14:paraId="7E15BB07" w14:textId="77777777" w:rsidR="001F7233" w:rsidRDefault="00000000">
      <w:r>
        <w:t>• Rückzug, plötzlich schlechtere Noten, Schlafprobleme oder anhaltende Gereiztheit bei einem Teenager sind selten reine Pubertät oder Trotz gegen die Eltern. Sprich das direkt an, ohne es kleinzureden („Das legt sich schon“) oder zu dramatisieren. Schulberater (School Counselor) sind an amerikanischen Schulen üblich und kostenlos ansprechbar (</w:t>
      </w:r>
      <w:hyperlink w:anchor="k36">
        <w:r w:rsidR="001F7233">
          <w:rPr>
            <w:color w:val="0563C1"/>
            <w:u w:val="single"/>
          </w:rPr>
          <w:t>Kapitel 36</w:t>
        </w:r>
      </w:hyperlink>
      <w:r>
        <w:t xml:space="preserve"> und 38).</w:t>
      </w:r>
    </w:p>
    <w:p w14:paraId="22B4E532" w14:textId="77777777" w:rsidR="001F7233" w:rsidRDefault="001F7233">
      <w:pPr>
        <w:spacing w:line="220" w:lineRule="exact"/>
      </w:pPr>
    </w:p>
    <w:p w14:paraId="10C967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hilft: Routinen, Rituale, Bewegung, Sprache</w:t>
      </w:r>
    </w:p>
    <w:p w14:paraId="1986777E" w14:textId="77777777" w:rsidR="001F7233" w:rsidRDefault="00000000">
      <w:pPr>
        <w:spacing w:after="140"/>
      </w:pPr>
      <w:r>
        <w:t>Vier Dinge wirken erfahrungsgemäß zuverlässiger gegen die Talsohle als reine Willenskraft:</w:t>
      </w:r>
    </w:p>
    <w:p w14:paraId="56A2E514" w14:textId="77777777" w:rsidR="001F7233" w:rsidRDefault="00000000">
      <w:pPr>
        <w:pStyle w:val="ListParagraph"/>
        <w:numPr>
          <w:ilvl w:val="0"/>
          <w:numId w:val="1"/>
        </w:numPr>
        <w:spacing w:after="60"/>
      </w:pPr>
      <w:r>
        <w:rPr>
          <w:b/>
          <w:bCs/>
        </w:rPr>
        <w:t>Routinen. Feste Termine außer der Wohnung – Sport, Kurs, Gottesdienst, Ehrenamt. Geben Halt, wenn sonst wenig vertraut ist. Der Kalender lügt nicht: Was nicht eingetragen ist, findet in stressigen Wochen zuerst nicht statt.</w:t>
      </w:r>
    </w:p>
    <w:p w14:paraId="423B14F8" w14:textId="77777777" w:rsidR="001F7233" w:rsidRDefault="00000000">
      <w:pPr>
        <w:pStyle w:val="ListParagraph"/>
        <w:numPr>
          <w:ilvl w:val="0"/>
          <w:numId w:val="1"/>
        </w:numPr>
        <w:spacing w:after="60"/>
      </w:pPr>
      <w:r>
        <w:rPr>
          <w:b/>
          <w:bCs/>
        </w:rPr>
        <w:t>Rituale.</w:t>
      </w:r>
      <w:r>
        <w:t xml:space="preserve"> Kleine, wiederkehrende Anker verbinden altes und neues Leben: der Sonntagsanruf nach Deutschland zur gleichen Uhrzeit, der deutsche Brotbäcker im Ort, ein selbst gestalteter Nikolaustag für die Kinder, obwohl ihn hier niemand kennt.</w:t>
      </w:r>
    </w:p>
    <w:p w14:paraId="6FA04CBA" w14:textId="77777777" w:rsidR="001F7233" w:rsidRDefault="00000000">
      <w:pPr>
        <w:pStyle w:val="ListParagraph"/>
        <w:numPr>
          <w:ilvl w:val="0"/>
          <w:numId w:val="1"/>
        </w:numPr>
        <w:spacing w:after="60"/>
      </w:pPr>
      <w:r>
        <w:rPr>
          <w:b/>
          <w:bCs/>
        </w:rPr>
        <w:t>Bewegung.</w:t>
      </w:r>
      <w:r>
        <w:t xml:space="preserve"> Regelmäßige körperliche Aktivität wirkt nachweislich stimmungsaufhellend und ist zugleich ein einfacher Weg zu neuen Kontakten (Lauf- oder Sportgruppen, Kapitel </w:t>
      </w:r>
      <w:hyperlink w:anchor="k32">
        <w:r w:rsidR="001F7233">
          <w:t>32</w:t>
        </w:r>
      </w:hyperlink>
      <w:r>
        <w:t>).</w:t>
      </w:r>
    </w:p>
    <w:p w14:paraId="73AC6537" w14:textId="77777777" w:rsidR="001F7233" w:rsidRDefault="00000000">
      <w:pPr>
        <w:pStyle w:val="ListParagraph"/>
        <w:numPr>
          <w:ilvl w:val="0"/>
          <w:numId w:val="1"/>
        </w:numPr>
        <w:spacing w:after="60"/>
      </w:pPr>
      <w:r>
        <w:rPr>
          <w:b/>
          <w:bCs/>
        </w:rPr>
        <w:t>Sprache.</w:t>
      </w:r>
      <w:r>
        <w:t xml:space="preserve"> Jeder Fortschritt im Englischen senkt die tägliche Erschöpfung durch ständiges Übersetzen im Kopf und öffnet zugleich soziale Türen. Wie du Englisch lernst, ohne das Deutsche der Kinder zu vernachlässigen, steht in Kapitel </w:t>
      </w:r>
      <w:hyperlink w:anchor="k37">
        <w:r w:rsidR="001F7233">
          <w:t>37</w:t>
        </w:r>
      </w:hyperlink>
      <w:r>
        <w:t>.</w:t>
      </w:r>
    </w:p>
    <w:p w14:paraId="37B3F3AE" w14:textId="77777777" w:rsidR="001F7233" w:rsidRDefault="001F7233">
      <w:pPr>
        <w:spacing w:line="120" w:lineRule="exact"/>
      </w:pPr>
    </w:p>
    <w:p w14:paraId="0D982811" w14:textId="77777777" w:rsidR="001F7233" w:rsidRDefault="00000000">
      <w:r>
        <w:rPr>
          <w:b/>
        </w:rPr>
        <w:t xml:space="preserve">SPARTIPP: </w:t>
      </w:r>
    </w:p>
    <w:p w14:paraId="2145BD17" w14:textId="77777777" w:rsidR="001F7233" w:rsidRDefault="00000000">
      <w:r>
        <w:lastRenderedPageBreak/>
        <w:t>• Laufgruppen, Bibliotheksprogramme und die Angebote der städtischen Freizeitverwaltung kosten meist nichts oder wenig und liefern gleichzeitig Struktur, Bewegung und Kontakt. Drei Bausteine gegen die Talsohle auf einmal.</w:t>
      </w:r>
    </w:p>
    <w:p w14:paraId="0B73D594" w14:textId="77777777" w:rsidR="001F7233" w:rsidRDefault="001F7233">
      <w:pPr>
        <w:spacing w:line="220" w:lineRule="exact"/>
      </w:pPr>
    </w:p>
    <w:p w14:paraId="75D547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dir Hilfe holen solltest</w:t>
      </w:r>
    </w:p>
    <w:p w14:paraId="12216D46" w14:textId="77777777" w:rsidR="001F7233" w:rsidRDefault="00000000">
      <w:pPr>
        <w:spacing w:after="140"/>
      </w:pPr>
      <w:r>
        <w:rPr>
          <w:b/>
          <w:bCs/>
        </w:rPr>
        <w:t>Heimweh und ein hartes erstes Jahr sind normal. Professionelle Unterstützung ist sinnvoll, wenn eines oder mehrere der folgenden Anzeichen über etwa zwei Wochen fast täglich auftreten:</w:t>
      </w:r>
    </w:p>
    <w:p w14:paraId="2769E016" w14:textId="77777777" w:rsidR="001F7233" w:rsidRDefault="00000000">
      <w:pPr>
        <w:pStyle w:val="ListParagraph"/>
        <w:numPr>
          <w:ilvl w:val="0"/>
          <w:numId w:val="1"/>
        </w:numPr>
        <w:spacing w:after="60"/>
      </w:pPr>
      <w:r>
        <w:t>anhaltende Traurigkeit, Leere oder Reizbarkeit, die sich nicht mehr von selbst bessert</w:t>
      </w:r>
    </w:p>
    <w:p w14:paraId="23C674AD" w14:textId="77777777" w:rsidR="001F7233" w:rsidRDefault="00000000">
      <w:pPr>
        <w:pStyle w:val="ListParagraph"/>
        <w:numPr>
          <w:ilvl w:val="0"/>
          <w:numId w:val="1"/>
        </w:numPr>
        <w:spacing w:after="60"/>
      </w:pPr>
      <w:r>
        <w:t>Interessenverlust an Dingen, die sonst Freude machen</w:t>
      </w:r>
    </w:p>
    <w:p w14:paraId="0F76CBAB" w14:textId="77777777" w:rsidR="001F7233" w:rsidRDefault="00000000">
      <w:pPr>
        <w:pStyle w:val="ListParagraph"/>
        <w:numPr>
          <w:ilvl w:val="0"/>
          <w:numId w:val="1"/>
        </w:numPr>
        <w:spacing w:after="60"/>
      </w:pPr>
      <w:r>
        <w:t>Schlaf- oder Appetitveränderungen, ständige Erschöpfung</w:t>
      </w:r>
    </w:p>
    <w:p w14:paraId="5B702926" w14:textId="77777777" w:rsidR="001F7233" w:rsidRDefault="00000000">
      <w:pPr>
        <w:pStyle w:val="ListParagraph"/>
        <w:numPr>
          <w:ilvl w:val="0"/>
          <w:numId w:val="1"/>
        </w:numPr>
        <w:spacing w:after="60"/>
      </w:pPr>
      <w:r>
        <w:t>spürbar schlechtere Leistung bei Arbeit, Schule oder im Alltag</w:t>
      </w:r>
    </w:p>
    <w:p w14:paraId="78E78253" w14:textId="77777777" w:rsidR="001F7233" w:rsidRDefault="00000000">
      <w:pPr>
        <w:pStyle w:val="ListParagraph"/>
        <w:numPr>
          <w:ilvl w:val="0"/>
          <w:numId w:val="1"/>
        </w:numPr>
        <w:spacing w:after="60"/>
      </w:pPr>
      <w:r>
        <w:t>Rückzug von Familie und den wenigen neuen Kontakten</w:t>
      </w:r>
    </w:p>
    <w:p w14:paraId="647F9D17" w14:textId="77777777" w:rsidR="001F7233" w:rsidRDefault="00000000">
      <w:pPr>
        <w:pStyle w:val="ListParagraph"/>
        <w:numPr>
          <w:ilvl w:val="0"/>
          <w:numId w:val="1"/>
        </w:numPr>
        <w:spacing w:after="60"/>
      </w:pPr>
      <w:r>
        <w:t>mehr Alkohol oder Beruhigungsmittel als sonst, um den Tag zu überstehen</w:t>
      </w:r>
    </w:p>
    <w:p w14:paraId="0EBA6DC6" w14:textId="77777777" w:rsidR="001F7233" w:rsidRDefault="00000000">
      <w:pPr>
        <w:pStyle w:val="ListParagraph"/>
        <w:numPr>
          <w:ilvl w:val="0"/>
          <w:numId w:val="1"/>
        </w:numPr>
        <w:spacing w:after="60"/>
      </w:pPr>
      <w:r>
        <w:t>körperliche Beschwerden ohne erkennbare Ursache</w:t>
      </w:r>
    </w:p>
    <w:p w14:paraId="2112066B" w14:textId="77777777" w:rsidR="001F7233" w:rsidRDefault="001F7233">
      <w:pPr>
        <w:spacing w:line="120" w:lineRule="exact"/>
      </w:pPr>
    </w:p>
    <w:p w14:paraId="4B8D0745" w14:textId="77777777" w:rsidR="001F7233" w:rsidRDefault="00000000">
      <w:pPr>
        <w:spacing w:after="140"/>
      </w:pPr>
      <w:r>
        <w:t>Das ist kein Diagnoseinstrument, sondern eine Einladung, das Gefühl ernst zu nehmen und sich fachlich beraten zu lassen, statt es auszusitzen.</w:t>
      </w:r>
    </w:p>
    <w:p w14:paraId="7C5CB815" w14:textId="77777777" w:rsidR="001F7233" w:rsidRDefault="00000000">
      <w:r>
        <w:rPr>
          <w:b/>
        </w:rPr>
        <w:t xml:space="preserve">ACHTUNG: </w:t>
      </w:r>
    </w:p>
    <w:p w14:paraId="0C0EEB8D" w14:textId="77777777" w:rsidR="001F7233" w:rsidRDefault="00000000">
      <w:r>
        <w:t xml:space="preserve">• Bei akuten Gedanken, sich selbst oder anderen etwas anzutun, wartest du nicht ab. Ruf, chatte oder schreibe sofort 988 (die 988 Suicide &amp; Crisis Lifeline, kostenlose Krisenhilfe rund um die Uhr) oder wähle in unmittelbarer Gefahr 911. Die deutsche Auslandsvertretung ist keine Krisenhotline, hilft aber in echten Notlagen (etwa nach einem Verbrechen, Unfall oder Todesfall) rund </w:t>
      </w:r>
      <w:r>
        <w:lastRenderedPageBreak/>
        <w:t>um die Uhr weiter; die Nummer des zuständigen Generalkonsulats trägst du dir am besten schon vor dem Umzug ein (</w:t>
      </w:r>
      <w:hyperlink w:anchor="k16">
        <w:r w:rsidR="001F7233">
          <w:rPr>
            <w:color w:val="0563C1"/>
            <w:u w:val="single"/>
          </w:rPr>
          <w:t>Kapitel 16</w:t>
        </w:r>
      </w:hyperlink>
      <w:r>
        <w:t>).</w:t>
      </w:r>
    </w:p>
    <w:p w14:paraId="336F45AF" w14:textId="77777777" w:rsidR="001F7233" w:rsidRDefault="001F7233">
      <w:pPr>
        <w:spacing w:line="220" w:lineRule="exact"/>
      </w:pPr>
    </w:p>
    <w:p w14:paraId="4ED10C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Therapie in den USA funktioniert</w:t>
      </w:r>
    </w:p>
    <w:p w14:paraId="44DF912D" w14:textId="77777777" w:rsidR="001F7233" w:rsidRDefault="00000000">
      <w:pPr>
        <w:spacing w:after="140"/>
      </w:pPr>
      <w:r>
        <w:t>Anders als die vertraute Krankenkassen-Überweisung in Deutschland ist Psychotherapie in den USA meist Verhandlungssache zwischen Angebot, Versicherung und Geldbeutel. Hier ein Überblick über die wichtigsten Wege:</w:t>
      </w:r>
    </w:p>
    <w:p w14:paraId="4FD146C2" w14:textId="77777777" w:rsidR="001F7233" w:rsidRDefault="00000000">
      <w:pPr>
        <w:pStyle w:val="ListParagraph"/>
        <w:numPr>
          <w:ilvl w:val="0"/>
          <w:numId w:val="1"/>
        </w:numPr>
        <w:spacing w:after="60"/>
      </w:pPr>
      <w:r>
        <w:rPr>
          <w:b/>
          <w:bCs/>
        </w:rPr>
        <w:t>Direkt bezahlen.</w:t>
      </w:r>
      <w:r>
        <w:t xml:space="preserve"> Eine reguläre Sitzung bei einer Therapeutin oder einem Therapeuten kostet ohne Versicherung meist etwa 80–200 $ (Stand 2026). Ob und wie viel deine Krankenversicherung übernimmt, hängt vom </w:t>
      </w:r>
      <w:r>
        <w:rPr>
          <w:i/>
          <w:iCs/>
        </w:rPr>
        <w:t>Deductible</w:t>
      </w:r>
      <w:r>
        <w:t xml:space="preserve"> (Jahres-Selbstbehalt) und </w:t>
      </w:r>
      <w:r>
        <w:rPr>
          <w:i/>
          <w:iCs/>
        </w:rPr>
        <w:t>Copay</w:t>
      </w:r>
      <w:r>
        <w:t xml:space="preserve"> (Zuzahlung pro Sitzung) deines Plans ab (Kapitel </w:t>
      </w:r>
      <w:hyperlink w:anchor="k26">
        <w:r w:rsidR="001F7233">
          <w:t>26</w:t>
        </w:r>
      </w:hyperlink>
      <w:r>
        <w:t>); frage vor dem ersten Termin gezielt nach, ob die Praxis „in-network“ ist.</w:t>
      </w:r>
    </w:p>
    <w:p w14:paraId="2A947165" w14:textId="77777777" w:rsidR="001F7233" w:rsidRDefault="00000000">
      <w:pPr>
        <w:pStyle w:val="ListParagraph"/>
        <w:numPr>
          <w:ilvl w:val="0"/>
          <w:numId w:val="1"/>
        </w:numPr>
        <w:spacing w:after="60"/>
      </w:pPr>
      <w:r>
        <w:rPr>
          <w:b/>
          <w:bCs/>
        </w:rPr>
        <w:t>Betriebliche Beratung. Viele Arbeitgeber bieten ein Employee Assistance Program (EAP, betriebliches Beratungs- und Vermittlungsprogramm) an, das meist mehrere. Häufig drei bis acht – kostenlose Sitzungen pro Thema und Jahr umfasst, oft auch für mitversicherte Angehörige. Frage beim Arbeitgeber gezielt nach der Zahl der Sitzungen und ob Familienmitglieder eingeschlossen sind.</w:t>
      </w:r>
    </w:p>
    <w:p w14:paraId="1BCEFF45" w14:textId="77777777" w:rsidR="001F7233" w:rsidRDefault="00000000">
      <w:pPr>
        <w:pStyle w:val="ListParagraph"/>
        <w:numPr>
          <w:ilvl w:val="0"/>
          <w:numId w:val="1"/>
        </w:numPr>
        <w:spacing w:after="60"/>
      </w:pPr>
      <w:r>
        <w:rPr>
          <w:b/>
          <w:bCs/>
        </w:rPr>
        <w:t>Telehealth. Fernbehandlung per Video oder Telefon (Telehealth) ist in den USA weit verbreitet und oft der schnellste Einstieg. Plattformen wie BetterHelp oder Talkspace verlangen im Abo meist umgerechnet etwa 260–400 $ im Monat ohne Versicherung. Mit Versicherung liegt die Zuzahlung pro Sitzung oft deutlich niedriger. Achte darauf, dass die Therapeutin oder der Therapeut in deinem Bundesstaat lizenziert ist. Das ist in den USA Pflicht.</w:t>
      </w:r>
    </w:p>
    <w:p w14:paraId="6F23A9CB" w14:textId="77777777" w:rsidR="001F7233" w:rsidRDefault="00000000">
      <w:pPr>
        <w:pStyle w:val="ListParagraph"/>
        <w:numPr>
          <w:ilvl w:val="0"/>
          <w:numId w:val="1"/>
        </w:numPr>
        <w:spacing w:after="60"/>
      </w:pPr>
      <w:r>
        <w:lastRenderedPageBreak/>
        <w:t xml:space="preserve">Günstige und kostenlose Angebote. Open Path Collective vermittelt Sitzungen für etwa 40–70 $ (einmalige Mitgliedsgebühr rund 65 $); Community Mental Health Centers und, bei Studierenden, Universitätskliniken arbeiten oft nach Einkommen gestaffelt. </w:t>
      </w:r>
      <w:hyperlink r:id="rId454">
        <w:r w:rsidR="001F7233">
          <w:rPr>
            <w:color w:val="0563C1"/>
            <w:u w:val="single"/>
          </w:rPr>
          <w:t>FindTreatment.gov</w:t>
        </w:r>
      </w:hyperlink>
      <w:r>
        <w:t xml:space="preserve"> (eine Datenbank der US-Bundesbehörde SAMHSA) hilft bei der Suche nach lokalen Anlaufstellen.</w:t>
      </w:r>
    </w:p>
    <w:p w14:paraId="4635C5A2" w14:textId="77777777" w:rsidR="001F7233" w:rsidRDefault="00000000">
      <w:pPr>
        <w:pStyle w:val="ListParagraph"/>
        <w:numPr>
          <w:ilvl w:val="0"/>
          <w:numId w:val="1"/>
        </w:numPr>
        <w:spacing w:after="60"/>
      </w:pPr>
      <w:r>
        <w:t xml:space="preserve">Deutschsprachige Therapeuten. Verzeichnisse wie Psychology Today (Sprachfilter „German“), Zencare oder </w:t>
      </w:r>
      <w:hyperlink r:id="rId455">
        <w:r w:rsidR="001F7233">
          <w:rPr>
            <w:color w:val="0563C1"/>
            <w:u w:val="single"/>
          </w:rPr>
          <w:t>therapist.com</w:t>
        </w:r>
      </w:hyperlink>
      <w:r>
        <w:t xml:space="preserve"> listen deutschsprachige Therapeutinnen und Therapeuten, viele davon auch per Telehealth über Bundesstaatsgrenzen hinweg erreichbar, solange die Lizenz zum Wohnsitzstaat passt.</w:t>
      </w:r>
    </w:p>
    <w:p w14:paraId="17EBBF7B" w14:textId="77777777" w:rsidR="001F7233" w:rsidRDefault="00000000">
      <w:pPr>
        <w:pStyle w:val="ListParagraph"/>
        <w:numPr>
          <w:ilvl w:val="0"/>
          <w:numId w:val="1"/>
        </w:numPr>
        <w:spacing w:after="60"/>
      </w:pPr>
      <w:r>
        <w:rPr>
          <w:b/>
          <w:bCs/>
        </w:rPr>
        <w:t>Krisenhilfe 988. Die 988 Suicide &amp; Crisis Lifeline ist rund um die Uhr per Anruf, SMS oder Chat erreichbar, kostenlos, mit Dolmetscherdiensten in über 240 Sprachen für Anrufe. Ob Deutsch namentlich gelistet ist, war zuletzt nicht sicher zu bestätigen. Im Zweifel einfach die gewünschte Sprache nennen.</w:t>
      </w:r>
    </w:p>
    <w:p w14:paraId="4A1D8D2D" w14:textId="77777777" w:rsidR="001F7233" w:rsidRDefault="001F7233">
      <w:pPr>
        <w:spacing w:line="120" w:lineRule="exact"/>
      </w:pPr>
    </w:p>
    <w:p w14:paraId="6ABDD9BA" w14:textId="77777777" w:rsidR="001F7233" w:rsidRDefault="00000000">
      <w:r>
        <w:rPr>
          <w:b/>
        </w:rPr>
        <w:t xml:space="preserve">ACHTUNG: </w:t>
      </w:r>
    </w:p>
    <w:p w14:paraId="1056A15F" w14:textId="77777777" w:rsidR="001F7233" w:rsidRDefault="00000000">
      <w:r>
        <w:t>• Gespräche im EAP gelten meist als vertraulich, doch in kleinen Firmen erfährt die Personalabteilung mitunter, dass jemand das Programm nutzt (ohne Gesprächsinhalte). Frage beim Erstkontakt offen nach den Vertraulichkeitsregeln, wenn dir das wichtig ist.</w:t>
      </w:r>
    </w:p>
    <w:p w14:paraId="66796318" w14:textId="77777777" w:rsidR="001F7233" w:rsidRDefault="001F7233">
      <w:pPr>
        <w:spacing w:line="220" w:lineRule="exact"/>
      </w:pPr>
    </w:p>
    <w:p w14:paraId="59DB88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Kontakt zur Familie: Zeitverschiebung und Pflegefall zu Hause</w:t>
      </w:r>
    </w:p>
    <w:p w14:paraId="56164EF3" w14:textId="77777777" w:rsidR="001F7233" w:rsidRDefault="00000000">
      <w:pPr>
        <w:spacing w:after="140"/>
      </w:pPr>
      <w:r>
        <w:t>Berlin liegt sechs Stunden vor der Ostküste und neun vor der Westküste (Standardzeit; Details zur Zeitverschiebung im Alltag stehen in Kapitel </w:t>
      </w:r>
      <w:hyperlink w:anchor="k32">
        <w:r w:rsidR="001F7233">
          <w:t>32</w:t>
        </w:r>
      </w:hyperlink>
      <w:r>
        <w:t xml:space="preserve">). Für regelmäßigen Kontakt hilft ein fester Termin mehr als spontane Anrufe, die an der Zeitverschiebung meist </w:t>
      </w:r>
      <w:r>
        <w:lastRenderedPageBreak/>
        <w:t>scheitern – etwa der Sonntagabend deutscher Zeit, an der Westküste eher der Vormittag.</w:t>
      </w:r>
    </w:p>
    <w:p w14:paraId="30DFA9C7" w14:textId="77777777" w:rsidR="001F7233" w:rsidRDefault="00000000">
      <w:pPr>
        <w:spacing w:after="140"/>
      </w:pPr>
      <w:r>
        <w:t>Schwieriger wird es, wenn ein Elternteil oder Angehöriger zu Hause pflegebedürftig wird. Drei Dinge helfen, wenn dieser Fall eintritt: eine Vorsorgevollmacht für eine Person vor Ort, die im Ernstfall handeln kann; ein realistischer Plan, wer die Pflege organisiert (Geschwister, ambulanter Pflegedienst, Heimplatz); und Klarheit über deinen eigenen Status, bevor du kurzfristig fliegst. Wer mitten im Green-Card-Verfahren steckt, braucht unter Umständen vorab eine Reiseerlaubnis (Advance Parole), um die USA ohne Nachteile für das Verfahren zu verlassen und wieder einzureisen (Kapitel 6). Bei anderen Visa reicht meist ein gültiger Einreisestempel beziehungsweise ein gültiges Visum im Pass. Das unbezahlte Family and Medical Leave Act (FMLA, Bundesgesetz zur Familienfreistellung) erlaubt unter bestimmten Voraussetzungen bis zu zwölf Wochen Freistellung. Du musst mindestens zwölf Monate beschäftigt und 1.250 Stunden gearbeitet haben; außerdem muss dein Arbeitgeber mindestens 50 Beschäftigte im Umkreis von 75 Meilen haben. Die Freistellung kann auch der Pflege eines Elternteils dienen. Kläre früh mit der Personalabteilung, ob dies auch für Angehörige im Ausland gilt.</w:t>
      </w:r>
      <w:r>
        <w:rPr>
          <w:b/>
          <w:bCs/>
        </w:rPr>
      </w:r>
      <w:r/>
      <w:r>
        <w:rPr>
          <w:b/>
          <w:bCs/>
        </w:rPr>
      </w:r>
      <w:r/>
      <w:r>
        <w:rPr>
          <w:b/>
          <w:bCs/>
        </w:rPr>
      </w:r>
      <w:r/>
      <w:r>
        <w:rPr>
          <w:i/>
          <w:iCs/>
        </w:rPr>
      </w:r>
      <w:r/>
      <w:hyperlink w:anchor="k6">
        <w:r w:rsidR="001F7233">
          <w:t>6</w:t>
        </w:r>
      </w:hyperlink>
      <w:r/>
      <w:r>
        <w:rPr>
          <w:i/>
          <w:iCs/>
        </w:rPr>
      </w:r>
      <w:r/>
    </w:p>
    <w:p w14:paraId="0F81078B" w14:textId="77777777" w:rsidR="001F7233" w:rsidRDefault="00000000">
      <w:r>
        <w:rPr>
          <w:b/>
        </w:rPr>
        <w:t xml:space="preserve">ACHTUNG: </w:t>
      </w:r>
    </w:p>
    <w:p w14:paraId="640B2793" w14:textId="77777777" w:rsidR="001F7233" w:rsidRDefault="001F7233">
      <w:pPr>
        <w:spacing w:line="220" w:lineRule="exact"/>
      </w:pPr>
    </w:p>
    <w:p w14:paraId="1AFA2891" w14:textId="77777777" w:rsidR="001F7233" w:rsidRDefault="001F7233">
      <w:pPr>
        <w:spacing w:line="220" w:lineRule="exact"/>
      </w:pPr>
    </w:p>
    <w:p w14:paraId="09F307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Paare unter Stress</w:t>
      </w:r>
    </w:p>
    <w:p w14:paraId="4B6C4A39" w14:textId="77777777" w:rsidR="001F7233" w:rsidRDefault="00000000">
      <w:pPr>
        <w:spacing w:after="140"/>
      </w:pPr>
      <w:r>
        <w:t>Ein Umzug in die USA belastet auch stabile Beziehungen. Häufige Gründe: unterschiedliches Anpassungstempo (oft läuft es beim einen Partner über die Arbeit runder als beim anderen zu Hause), die längeren, weniger planbaren Arbeitszeiten vieler US-Jobs (Kapitel </w:t>
      </w:r>
      <w:hyperlink w:anchor="k29">
        <w:r w:rsidR="001F7233">
          <w:t>29</w:t>
        </w:r>
      </w:hyperlink>
      <w:r>
        <w:t xml:space="preserve">), finanzielle Abhängigkeit bei fehlender Arbeitserlaubnis </w:t>
      </w:r>
      <w:r>
        <w:lastRenderedPageBreak/>
        <w:t>und der Wegfall des gewohnten Unterstützungsnetzes aus Familie und alten Freunden, das in Krisen sonst auffängt. Wer das offen anspricht, statt es zu verdrängen, kommt meist besser durch die ersten Jahre.</w:t>
      </w:r>
    </w:p>
    <w:p w14:paraId="14685576" w14:textId="77777777" w:rsidR="001F7233" w:rsidRDefault="00000000">
      <w:pPr>
        <w:pStyle w:val="ListParagraph"/>
        <w:numPr>
          <w:ilvl w:val="0"/>
          <w:numId w:val="1"/>
        </w:numPr>
        <w:spacing w:after="60"/>
      </w:pPr>
      <w:r>
        <w:t>Vereinbart ein festes wöchentliches Gespräch nur zu zweit, ohne Handy, in dem beide offen sagen dürfen, was fehlt.</w:t>
      </w:r>
    </w:p>
    <w:p w14:paraId="01A340CD" w14:textId="77777777" w:rsidR="001F7233" w:rsidRDefault="00000000">
      <w:pPr>
        <w:pStyle w:val="ListParagraph"/>
        <w:numPr>
          <w:ilvl w:val="0"/>
          <w:numId w:val="1"/>
        </w:numPr>
        <w:spacing w:after="60"/>
      </w:pPr>
      <w:r>
        <w:t>Verteilt Verantwortung neu, wenn ein Partner zu Hause bleibt. Finanzielle Abhängigkeit heißt nicht automatisch weniger Mitsprache.</w:t>
      </w:r>
    </w:p>
    <w:p w14:paraId="6EF99D09" w14:textId="77777777" w:rsidR="001F7233" w:rsidRDefault="00000000">
      <w:pPr>
        <w:pStyle w:val="ListParagraph"/>
        <w:numPr>
          <w:ilvl w:val="0"/>
          <w:numId w:val="1"/>
        </w:numPr>
        <w:spacing w:after="60"/>
      </w:pPr>
      <w:r>
        <w:t>Nutzt bei Bedarf Paarberatung; viele EAPs und Telehealth-Anbieter vermitteln auch Paarsitzungen, nicht nur Einzeltherapie.</w:t>
      </w:r>
    </w:p>
    <w:p w14:paraId="790A54AF" w14:textId="77777777" w:rsidR="001F7233" w:rsidRDefault="001F7233">
      <w:pPr>
        <w:spacing w:line="120" w:lineRule="exact"/>
      </w:pPr>
    </w:p>
    <w:p w14:paraId="1C5FB10B" w14:textId="77777777" w:rsidR="001F7233" w:rsidRDefault="00000000">
      <w:r>
        <w:rPr>
          <w:b/>
        </w:rPr>
        <w:t xml:space="preserve">ACHTUNG: </w:t>
      </w:r>
    </w:p>
    <w:p w14:paraId="1E17A307" w14:textId="77777777" w:rsidR="001F7233" w:rsidRDefault="00000000">
      <w:r>
        <w:t xml:space="preserve">• Große Entscheidungen – Kündigung, vorzeitige Rückkehr nach Deutschland, Trennung – solltest du nach Möglichkeit nicht mitten in der Kulturschock-Talsohle treffen. Was sich im dritten Monat unerträglich anfühlt, sieht im siebten oft anders aus. Zum ehrlichen Plan B gehört </w:t>
      </w:r>
      <w:hyperlink w:anchor="k42">
        <w:r w:rsidR="001F7233">
          <w:rPr>
            <w:color w:val="0563C1"/>
            <w:u w:val="single"/>
          </w:rPr>
          <w:t>Kapitel 42</w:t>
        </w:r>
      </w:hyperlink>
      <w:r>
        <w:t>.</w:t>
      </w:r>
    </w:p>
    <w:p w14:paraId="0BD60795" w14:textId="77777777" w:rsidR="001F7233" w:rsidRDefault="001F7233">
      <w:pPr>
        <w:spacing w:line="220" w:lineRule="exact"/>
      </w:pPr>
    </w:p>
    <w:p w14:paraId="2CED8FE9" w14:textId="77777777" w:rsidR="001F7233" w:rsidRDefault="00000000">
      <w:r>
        <w:rPr>
          <w:b/>
        </w:rPr>
        <w:t xml:space="preserve">MERKE: </w:t>
      </w:r>
    </w:p>
    <w:p w14:paraId="30B69AA3" w14:textId="77777777" w:rsidR="001F7233" w:rsidRDefault="00000000">
      <w:r>
        <w:t>• Sich professionelle Hilfe zu holen, ist in den USA weit verbreitet und kein Zeichen des Scheiterns. Es ist eher die Ausnahme, die niemand in Anspruch nimmt, die auffällt.</w:t>
      </w:r>
    </w:p>
    <w:p w14:paraId="68573382" w14:textId="77777777" w:rsidR="001F7233" w:rsidRDefault="001F7233">
      <w:pPr>
        <w:spacing w:line="220" w:lineRule="exact"/>
      </w:pPr>
    </w:p>
    <w:p w14:paraId="745FE95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Heimweh, Kulturschock und mentale Gesundheit</w:t>
      </w:r>
    </w:p>
    <w:p w14:paraId="1E8712F6" w14:textId="77777777" w:rsidR="001F7233" w:rsidRDefault="00000000">
      <w:r>
        <w:rPr>
          <w:b/>
        </w:rPr>
        <w:t>Plus: Neue Herausforderungen stärken oft Selbstvertrauen und Problemlösefähigkeit</w:t>
      </w:r>
    </w:p>
    <w:p w14:paraId="3EEF19F2" w14:textId="77777777" w:rsidR="001F7233" w:rsidRDefault="00000000">
      <w:r>
        <w:rPr>
          <w:b/>
        </w:rPr>
        <w:t xml:space="preserve">Minus: </w:t>
      </w:r>
      <w:r>
        <w:t>Der Wegfall vertrauter Netzwerke wiegt in Krisen schwer</w:t>
      </w:r>
    </w:p>
    <w:p w14:paraId="75C323B1" w14:textId="77777777" w:rsidR="001F7233" w:rsidRDefault="00000000">
      <w:r>
        <w:rPr>
          <w:b/>
        </w:rPr>
        <w:t>Plus: US-Arbeitgeber bieten häufiger EAP und Telehealth als deutsche Betriebe</w:t>
      </w:r>
    </w:p>
    <w:p w14:paraId="5A3D21C7" w14:textId="77777777" w:rsidR="001F7233" w:rsidRDefault="00000000">
      <w:r>
        <w:rPr>
          <w:b/>
        </w:rPr>
        <w:lastRenderedPageBreak/>
        <w:t xml:space="preserve">Minus: </w:t>
      </w:r>
      <w:r>
        <w:t>Therapiekosten und Versicherungsregeln sind ohne Plan unübersichtlich</w:t>
      </w:r>
    </w:p>
    <w:p w14:paraId="7645BF75" w14:textId="77777777" w:rsidR="001F7233" w:rsidRDefault="00000000">
      <w:r>
        <w:rPr>
          <w:b/>
        </w:rPr>
        <w:t>Plus: Videotelefonie hält Familie und Freunde näher als frühere Auswanderergenerationen es kannten</w:t>
      </w:r>
    </w:p>
    <w:p w14:paraId="6CCEE87B" w14:textId="77777777" w:rsidR="001F7233" w:rsidRDefault="00000000">
      <w:r>
        <w:rPr>
          <w:b/>
        </w:rPr>
        <w:t xml:space="preserve">Minus: </w:t>
      </w:r>
      <w:r>
        <w:t>Zeitverschiebung erschwert spontane Nähe im Notfall</w:t>
      </w:r>
    </w:p>
    <w:p w14:paraId="58B9B5FC" w14:textId="77777777" w:rsidR="001F7233" w:rsidRDefault="00000000">
      <w:r>
        <w:rPr>
          <w:b/>
        </w:rPr>
        <w:t>Plus: Der Kulturschock ist zeitlich begrenzt und meist überwindbar</w:t>
      </w:r>
    </w:p>
    <w:p w14:paraId="678775C3" w14:textId="77777777" w:rsidR="001F7233" w:rsidRDefault="00000000">
      <w:r>
        <w:rPr>
          <w:b/>
        </w:rPr>
        <w:t xml:space="preserve">Minus: </w:t>
      </w:r>
      <w:r>
        <w:t>Manche Beziehungen zerbrechen am Druck der ersten Jahre</w:t>
      </w:r>
    </w:p>
    <w:p w14:paraId="52BDA549" w14:textId="77777777" w:rsidR="001F7233" w:rsidRDefault="00000000">
      <w:r>
        <w:rPr>
          <w:b/>
        </w:rPr>
        <w:t>Plus: Wer die Talsohle übersteht, gewinnt oft eine stabilere, bikulturelle Identität</w:t>
      </w:r>
    </w:p>
    <w:p w14:paraId="507ACD7E" w14:textId="77777777" w:rsidR="001F7233" w:rsidRDefault="00000000">
      <w:r>
        <w:rPr>
          <w:b/>
        </w:rPr>
        <w:t xml:space="preserve">Minus: </w:t>
      </w:r>
      <w:r>
        <w:t>Rückzug in die eigene Wohnung verlängert die Einsamkeit zusätzlich</w:t>
      </w:r>
    </w:p>
    <w:p w14:paraId="122A2ACD" w14:textId="77777777" w:rsidR="001F7233" w:rsidRDefault="001F7233">
      <w:pPr>
        <w:spacing w:line="180" w:lineRule="exact"/>
      </w:pPr>
    </w:p>
    <w:p w14:paraId="76B8AD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5EA9578" w14:textId="77777777" w:rsidR="001F7233" w:rsidRDefault="00000000">
      <w:pPr>
        <w:spacing w:after="140"/>
      </w:pPr>
      <w:r>
        <w:t>Baue schon in den ersten Wochen zwei bis drei feste Termine außer der Wohnung ein, bevor die Talsohle überhaupt erreicht ist. Sucht dir und deinem Partner gemeinsam heraus, was dein Arbeitgeber an EAP bietet und speichere dir eine deutschsprachige Therapeutin oder einen Therapeuten sowie 988, bevor du sie brauchst. Vereinbart einen festen Familientermin trotz Zeitverschiebung und sprecht als Paar einmal wöchentlich offen darüber, wie es beiden wirklich geht.</w:t>
      </w:r>
    </w:p>
    <w:p w14:paraId="3374E041" w14:textId="77777777" w:rsidR="001F7233" w:rsidRDefault="00000000">
      <w:r>
        <w:t>• Zwei bis drei feste Wochentermine außerhalb der Wohnung von Anfang an einplanen</w:t>
      </w:r>
    </w:p>
    <w:p w14:paraId="25CBF847" w14:textId="77777777" w:rsidR="001F7233" w:rsidRDefault="00000000">
      <w:r>
        <w:t>• EAP-Leistungen des Arbeitgebers erfragen: Zahl der Sitzungen, Einschluss von Angehörigen, Vertraulichkeit</w:t>
      </w:r>
    </w:p>
    <w:p w14:paraId="1D008D64" w14:textId="77777777" w:rsidR="001F7233" w:rsidRDefault="00000000">
      <w:r>
        <w:t>• Eine deutschsprachige Therapeutin oder einen Therapeuten über ein Online-Verzeichnis vormerken, bevor akuter Bedarf besteht</w:t>
      </w:r>
    </w:p>
    <w:p w14:paraId="393D07C0" w14:textId="77777777" w:rsidR="001F7233" w:rsidRDefault="00000000">
      <w:r>
        <w:t>• 988 in den Kontakten speichern; wissen, dass Anruf, SMS und Chat möglich sind</w:t>
      </w:r>
    </w:p>
    <w:p w14:paraId="755F2318" w14:textId="77777777" w:rsidR="001F7233" w:rsidRDefault="00000000">
      <w:r>
        <w:t>• Vor Heimatbesuchen zu Feiertagen früh buchen statt im Tief spontan</w:t>
      </w:r>
    </w:p>
    <w:p w14:paraId="5DD24175" w14:textId="77777777" w:rsidR="001F7233" w:rsidRDefault="00000000">
      <w:r>
        <w:lastRenderedPageBreak/>
        <w:t>• Bei Kindern und Teenagern auf Schlaf, Noten, Rückzug und körperliche Beschwerden achten und offen ansprechen</w:t>
      </w:r>
    </w:p>
    <w:p w14:paraId="66261B84" w14:textId="77777777" w:rsidR="001F7233" w:rsidRDefault="00000000">
      <w:r>
        <w:t>• Eine Vorsorgevollmacht für Angehörige zu Hause klären, bevor ein Pflegefall eintritt</w:t>
      </w:r>
    </w:p>
    <w:p w14:paraId="5EFA7403" w14:textId="77777777" w:rsidR="001F7233" w:rsidRDefault="00000000">
      <w:r>
        <w:t>• Bei laufendem Green-Card-Verfahren die Regeln zu Advance Parole vor jeder Reise prüfen</w:t>
      </w:r>
    </w:p>
    <w:p w14:paraId="494187DB" w14:textId="77777777" w:rsidR="001F7233" w:rsidRDefault="00000000">
      <w:r>
        <w:t>• Als Paar ein festes wöchentliches Gespräch ohne Ablenkung vereinbaren</w:t>
      </w:r>
    </w:p>
    <w:p w14:paraId="7205C48E" w14:textId="77777777" w:rsidR="001F7233" w:rsidRDefault="00000000">
      <w:r>
        <w:t>• Große Entscheidungen (Kündigung, Rückkehr, Trennung) nicht in der akuten Talsohle treffen</w:t>
      </w:r>
    </w:p>
    <w:p w14:paraId="62528048" w14:textId="77777777" w:rsidR="001F7233" w:rsidRDefault="001F7233">
      <w:pPr>
        <w:spacing w:line="220" w:lineRule="exact"/>
      </w:pPr>
    </w:p>
    <w:p w14:paraId="12103E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43591CA" w14:textId="77777777" w:rsidR="001F7233" w:rsidRDefault="00000000">
      <w:pPr>
        <w:pStyle w:val="ListParagraph"/>
        <w:numPr>
          <w:ilvl w:val="0"/>
          <w:numId w:val="1"/>
        </w:numPr>
        <w:spacing w:after="60"/>
      </w:pPr>
      <w:r>
        <w:t>988 Suicide &amp; Crisis Lifeline — Krisenhilfe, Sprachen, Kontaktwege (</w:t>
      </w:r>
      <w:hyperlink r:id="rId456">
        <w:r w:rsidR="001F7233">
          <w:rPr>
            <w:color w:val="0563C1"/>
            <w:u w:val="single"/>
          </w:rPr>
          <w:t>988lifeline.org</w:t>
        </w:r>
      </w:hyperlink>
      <w:r>
        <w:t>)</w:t>
      </w:r>
    </w:p>
    <w:p w14:paraId="6626AC9A" w14:textId="77777777" w:rsidR="001F7233" w:rsidRDefault="00000000">
      <w:pPr>
        <w:pStyle w:val="ListParagraph"/>
        <w:numPr>
          <w:ilvl w:val="0"/>
          <w:numId w:val="1"/>
        </w:numPr>
        <w:spacing w:after="60"/>
      </w:pPr>
      <w:r>
        <w:t>SAMHSA — Häufige Fragen zu 988 (</w:t>
      </w:r>
      <w:hyperlink r:id="rId457">
        <w:r w:rsidR="001F7233">
          <w:rPr>
            <w:color w:val="0563C1"/>
            <w:u w:val="single"/>
          </w:rPr>
          <w:t>samhsa.gov/mental-health/988/faqs</w:t>
        </w:r>
      </w:hyperlink>
      <w:r>
        <w:t>)</w:t>
      </w:r>
    </w:p>
    <w:p w14:paraId="74B86EF4" w14:textId="77777777" w:rsidR="001F7233" w:rsidRDefault="00000000">
      <w:pPr>
        <w:pStyle w:val="ListParagraph"/>
        <w:numPr>
          <w:ilvl w:val="0"/>
          <w:numId w:val="1"/>
        </w:numPr>
        <w:spacing w:after="60"/>
      </w:pPr>
      <w:r>
        <w:t>SAMHSA — Behandlungssuche FindTreatment.gov (</w:t>
      </w:r>
      <w:hyperlink r:id="rId458">
        <w:r w:rsidR="001F7233">
          <w:rPr>
            <w:color w:val="0563C1"/>
            <w:u w:val="single"/>
          </w:rPr>
          <w:t>findtreatment.gov</w:t>
        </w:r>
      </w:hyperlink>
      <w:r>
        <w:t>)</w:t>
      </w:r>
    </w:p>
    <w:p w14:paraId="62856CC4" w14:textId="77777777" w:rsidR="001F7233" w:rsidRDefault="00000000">
      <w:pPr>
        <w:pStyle w:val="ListParagraph"/>
        <w:numPr>
          <w:ilvl w:val="0"/>
          <w:numId w:val="1"/>
        </w:numPr>
        <w:spacing w:after="60"/>
      </w:pPr>
      <w:r>
        <w:t>Psychology Today — deutschsprachige Therapeutensuche (</w:t>
      </w:r>
      <w:hyperlink r:id="rId459">
        <w:r w:rsidR="001F7233">
          <w:rPr>
            <w:color w:val="0563C1"/>
            <w:u w:val="single"/>
          </w:rPr>
          <w:t>psychologytoday.com/us/therapists/german</w:t>
        </w:r>
      </w:hyperlink>
      <w:r>
        <w:t>)</w:t>
      </w:r>
    </w:p>
    <w:p w14:paraId="33AA8B39" w14:textId="77777777" w:rsidR="001F7233" w:rsidRDefault="00000000">
      <w:pPr>
        <w:pStyle w:val="ListParagraph"/>
        <w:numPr>
          <w:ilvl w:val="0"/>
          <w:numId w:val="1"/>
        </w:numPr>
        <w:spacing w:after="60"/>
      </w:pPr>
      <w:r>
        <w:t>Open Path Collective — reduzierte Therapiepreise (</w:t>
      </w:r>
      <w:hyperlink r:id="rId460">
        <w:r w:rsidR="001F7233">
          <w:rPr>
            <w:color w:val="0563C1"/>
            <w:u w:val="single"/>
          </w:rPr>
          <w:t>openpathcollective.org</w:t>
        </w:r>
      </w:hyperlink>
      <w:r>
        <w:t>)</w:t>
      </w:r>
    </w:p>
    <w:p w14:paraId="30ABD264" w14:textId="77777777" w:rsidR="001F7233" w:rsidRDefault="00000000">
      <w:pPr>
        <w:pStyle w:val="ListParagraph"/>
        <w:numPr>
          <w:ilvl w:val="0"/>
          <w:numId w:val="1"/>
        </w:numPr>
        <w:spacing w:after="60"/>
      </w:pPr>
      <w:r>
        <w:t>US Office of Personnel Management — Employee Assistance Programs (</w:t>
      </w:r>
      <w:hyperlink r:id="rId461">
        <w:r w:rsidR="001F7233">
          <w:rPr>
            <w:color w:val="0563C1"/>
            <w:u w:val="single"/>
          </w:rPr>
          <w:t>opm.gov</w:t>
        </w:r>
      </w:hyperlink>
      <w:r>
        <w:t>, Suche: employee assistance program)</w:t>
      </w:r>
    </w:p>
    <w:p w14:paraId="4AB30126" w14:textId="77777777" w:rsidR="001F7233" w:rsidRDefault="001F7233">
      <w:pPr>
        <w:spacing w:line="120" w:lineRule="exact"/>
      </w:pPr>
    </w:p>
    <w:p w14:paraId="503FD8D5" w14:textId="77777777" w:rsidR="001F7233" w:rsidRDefault="00000000">
      <w:r>
        <w:t>• Quellen- und Datenstand: September 2026; Redaktionsschluss: Oktober 2026. Diese Angaben ändern sich schnell: Preise für Telehealth-Anbieter, die genaue Sitzungszahl einzelner EAPs, die Sprachabdeckung von 988 sowie Versicherungsregeln für Psychotherapie. Prüfe vor einer Entscheidung die aktuellen Angaben deines Arbeitgebers, deiner Versicherung und der genannten Stellen.</w:t>
      </w:r>
    </w:p>
    <w:p w14:paraId="3C6E4EE7" w14:textId="77777777" w:rsidR="001F7233" w:rsidRDefault="00000000">
      <w:pPr>
        <w:spacing w:line="220" w:lineRule="exact"/>
      </w:pPr>
      <w:r>
        <w:br w:type="page"/>
      </w:r>
    </w:p>
    <w:p w14:paraId="6ED5C07E" w14:textId="77777777" w:rsidR="001F7233" w:rsidRDefault="00000000">
      <w:pPr>
        <w:pStyle w:val="Heading2"/>
        <w:keepNext/>
        <w:spacing w:line="341" w:lineRule="auto"/>
        <w:jc w:val="center"/>
      </w:pPr>
      <w:bookmarkStart w:id="67" w:name="k34"/>
      <w:bookmarkStart w:id="68" w:name="kapitel34_kleidung"/>
      <w:r>
        <w:lastRenderedPageBreak/>
        <w:t>Kapitel 34: Kleidung im Vier-Länder-Vergleich</w:t>
      </w:r>
      <w:bookmarkEnd w:id="67"/>
      <w:bookmarkEnd w:id="68"/>
    </w:p>
    <w:p w14:paraId="1946940B" w14:textId="77777777" w:rsidR="001F7233" w:rsidRDefault="00000000">
      <w:pPr>
        <w:spacing w:after="140"/>
      </w:pPr>
      <w:r>
        <w:t>Am ersten Arbeitstag steht der Abteilungsleiter in Jeans und Kapuzenpullover im Flur, die Kollegin trägt Leggings und Sneaker und der Einzige mit Sakko bist du. Im Supermarkt schiebt jemand im Schlafanzugoberteil den Einkaufswagen, und niemand dreht sich um. Kleidung ist eines der wenigen Themen, bei denen du den Unterschied zu Deutschland schon am ersten Tag siehst. In allen vier Ländern dieses Buches, nur mit unterschiedlicher Note: in den USA vor allem Legerheit, in Kanada Kälteschutz, in Australien und Neuseeland Sonnenschutz und Schuluniform. Die Regeln dahinter stehen selten irgendwo geschrieben, aber man kann sie gut beobachten.</w:t>
      </w:r>
    </w:p>
    <w:p w14:paraId="43AA1D9F" w14:textId="77777777" w:rsidR="001F7233" w:rsidRDefault="00000000">
      <w:r>
        <w:rPr>
          <w:b/>
        </w:rPr>
        <w:t xml:space="preserve">KURZ GESAGT: </w:t>
      </w:r>
    </w:p>
    <w:p w14:paraId="703F3C5E" w14:textId="77777777" w:rsidR="001F7233" w:rsidRDefault="00000000">
      <w:r>
        <w:t>• Komfort geht vor Anlass: In allen vier Ländern ist Legeres im Alltag und in den meisten Büros normal. Anzüge bleiben Finanzen, Recht und formellen Anlässen vorbehalten.</w:t>
      </w:r>
    </w:p>
    <w:p w14:paraId="44FBD9A9" w14:textId="77777777" w:rsidR="001F7233" w:rsidRDefault="00000000">
      <w:r>
        <w:t>• Einen Dresscode findest du selten schriftlich. Frag nach und komm zum Vorstellungsgespräch eine Stufe formeller als der Firmenalltag.</w:t>
      </w:r>
    </w:p>
    <w:p w14:paraId="0CD9F773" w14:textId="77777777" w:rsidR="001F7233" w:rsidRDefault="00000000">
      <w:r>
        <w:t>• Größen schwanken je Marke und je Land. US-Größen unterscheiden sich von den UK-basierten Größen in Australien und Neuseeland, Kanada mischt beide Systeme. Die Tabellen in diesem Kapitel sind ein Startpunkt, anprobieren bleibt Pflicht.</w:t>
      </w:r>
    </w:p>
    <w:p w14:paraId="20F69C18" w14:textId="77777777" w:rsidR="001F7233" w:rsidRDefault="00000000">
      <w:r>
        <w:t>• Basics, Kinderkleidung und Kleidung für ein anderes Klima kaufst du vor Ort, oft im Sale oder gebraucht.</w:t>
      </w:r>
    </w:p>
    <w:p w14:paraId="2FCF09BB" w14:textId="77777777" w:rsidR="001F7233" w:rsidRDefault="00000000">
      <w:r>
        <w:t>• Mitnehmen lohnen gute Schuhe, eine warme Jacke für kalte Regionen, ein bis zwei Business-Outfits, Tracht und Outdoor-Ausrüstung.</w:t>
      </w:r>
    </w:p>
    <w:p w14:paraId="34B50993" w14:textId="77777777" w:rsidR="001F7233" w:rsidRDefault="00000000">
      <w:r>
        <w:t xml:space="preserve">• Am Strand und im Pool ist Badebekleidung in den USA und Kanada Pflicht. Australien und Neuseeland sind an einzelnen Stränden etwas </w:t>
      </w:r>
      <w:r>
        <w:lastRenderedPageBreak/>
        <w:t>entspannter. FKK gibt es überall nur an wenigen gekennzeichneten Orten.</w:t>
      </w:r>
    </w:p>
    <w:p w14:paraId="203D208D" w14:textId="77777777" w:rsidR="001F7233" w:rsidRDefault="001F7233">
      <w:pPr>
        <w:spacing w:line="220" w:lineRule="exact"/>
      </w:pPr>
    </w:p>
    <w:p w14:paraId="64167406" w14:textId="77777777" w:rsidR="001F7233" w:rsidRDefault="00000000">
      <w:pPr>
        <w:pStyle w:val="Heading3"/>
        <w:keepNext/>
        <w:spacing w:line="341" w:lineRule="auto"/>
        <w:jc w:val="center"/>
      </w:pPr>
      <w:bookmarkStart w:id="69" w:name="s41"/>
      <w:r>
        <w:rPr>
          <w:rFonts w:ascii="Amazon Ember" w:eastAsia="Amazon Ember" w:hAnsi="Amazon Ember" w:cs="Amazon Ember"/>
          <w:color w:val="0000FF"/>
          <w:sz w:val="30"/>
          <w:szCs w:val="30"/>
        </w:rPr>
        <w:t>Kleidung USA</w:t>
      </w:r>
      <w:bookmarkEnd w:id="69"/>
    </w:p>
    <w:p w14:paraId="4C6DE9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Grundprinzip: Komfort vor Anlass</w:t>
      </w:r>
    </w:p>
    <w:p w14:paraId="2FB19B67" w14:textId="77777777" w:rsidR="001F7233" w:rsidRDefault="00000000">
      <w:pPr>
        <w:spacing w:after="140"/>
      </w:pPr>
      <w:r>
        <w:t>Verbreiteter Irrtum: Wer Amerika vor allem aus Filmen kennt, erwartet im Büro Anzug und Krawatte wie im Wall-Street-Klischee. Tatsächlich gilt meist das Gegenteil: Wer sich wohlfühlt, ist richtig angezogen. Sneaker, Jeans, Kapuzenpullover und Sportkleidung als Alltagskleidung (</w:t>
      </w:r>
      <w:r>
        <w:rPr>
          <w:i/>
          <w:iCs/>
        </w:rPr>
        <w:t>Athleisure</w:t>
      </w:r>
      <w:r>
        <w:t>: Leggings, Jogginghosen, Funktionsshirts) gehen im Büro, im Klassenzimmer und oft auch im Restaurant. Flip-Flops sind in warmen Regionen von Frühjahr bis Herbst allgegenwärtig. Wer im Januar in Shorts zur Schule geht, hat meist nur den Weg vom beheizten Auto ins beheizte Gebäude vor sich.</w:t>
      </w:r>
    </w:p>
    <w:p w14:paraId="4BA38945" w14:textId="77777777" w:rsidR="001F7233" w:rsidRDefault="00000000">
      <w:pPr>
        <w:spacing w:after="140"/>
      </w:pPr>
      <w:r>
        <w:t>Legerheit heißt nicht Gleichgültigkeit. Sauber, heil und zum Anlass passend zählt weiterhin. Wer im Anzug erscheint, wo alle Jeans tragen, wird selten schief angesehen, fällt aber auf. Als hätte er die Einladung zum Grillabend mit der zur Hochzeit verwechselt.</w:t>
      </w:r>
    </w:p>
    <w:p w14:paraId="5BD607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Dresscodes im Job: nach Branche und Region</w:t>
      </w:r>
    </w:p>
    <w:p w14:paraId="3CEB1890" w14:textId="77777777" w:rsidR="001F7233" w:rsidRDefault="00000000">
      <w:pPr>
        <w:spacing w:after="140"/>
      </w:pPr>
      <w:r>
        <w:rPr>
          <w:i/>
          <w:iCs/>
        </w:rPr>
        <w:t>Kein Gesetz schreibt dir vor, was du im Büro trägst. Jeder Arbeitgeber regelt das selbst, oft im Employee Handbook (Mitarbeiterhandbuch). Drei Stufen begegnen dir am häufigsten: Business Formal (Anzug und Krawatte oder Kostüm), Business Casual (Hemd oder Bluse, Chino oder Stoffhose, keine Krawatte) und Casual (Jeans, T-Shirt, Sneaker). Die meisten Büros liegen bei Business Casual oder darunter.</w:t>
      </w:r>
    </w:p>
    <w:p w14:paraId="221A1C57" w14:textId="77777777" w:rsidR="001F7233" w:rsidRDefault="00000000">
      <w:r>
        <w:rPr>
          <w:b/>
        </w:rPr>
        <w:t>Tech und Software</w:t>
      </w:r>
    </w:p>
    <w:p w14:paraId="5EBDE8C8" w14:textId="77777777" w:rsidR="001F7233" w:rsidRDefault="00000000">
      <w:r>
        <w:rPr>
          <w:b/>
        </w:rPr>
        <w:lastRenderedPageBreak/>
        <w:t xml:space="preserve">Üblich im Alltag: </w:t>
      </w:r>
      <w:r>
        <w:t>Jeans, T-Shirt oder Hoodie, Sneaker</w:t>
      </w:r>
    </w:p>
    <w:p w14:paraId="36981CD2" w14:textId="77777777" w:rsidR="001F7233" w:rsidRDefault="00000000">
      <w:r>
        <w:rPr>
          <w:b/>
        </w:rPr>
        <w:t xml:space="preserve">Hinweis: </w:t>
      </w:r>
      <w:r>
        <w:t>Ein Anzug wirkt eher deplatziert</w:t>
      </w:r>
    </w:p>
    <w:p w14:paraId="049667CE" w14:textId="77777777" w:rsidR="001F7233" w:rsidRDefault="00000000">
      <w:r>
        <w:rPr>
          <w:b/>
        </w:rPr>
        <w:t>Ingenieurbüro, Fertigung</w:t>
      </w:r>
    </w:p>
    <w:p w14:paraId="1918F034" w14:textId="77777777" w:rsidR="001F7233" w:rsidRDefault="00000000">
      <w:r>
        <w:rPr>
          <w:b/>
        </w:rPr>
        <w:t xml:space="preserve">Üblich im Alltag: </w:t>
      </w:r>
      <w:r>
        <w:t>Business Casual im Büro, Polo und Arbeitshose in der Halle</w:t>
      </w:r>
    </w:p>
    <w:p w14:paraId="6CC3AE5D" w14:textId="77777777" w:rsidR="001F7233" w:rsidRDefault="00000000">
      <w:r>
        <w:rPr>
          <w:b/>
        </w:rPr>
        <w:t xml:space="preserve">Hinweis: </w:t>
      </w:r>
      <w:r>
        <w:t>Schutzbrille und Sicherheitsschuhe meist Pflicht; kläre, wer zahlt</w:t>
      </w:r>
    </w:p>
    <w:p w14:paraId="2A051DD2" w14:textId="77777777" w:rsidR="001F7233" w:rsidRDefault="00000000">
      <w:r>
        <w:rPr>
          <w:b/>
        </w:rPr>
        <w:t>Finanzen und Recht</w:t>
      </w:r>
    </w:p>
    <w:p w14:paraId="2155DAD5" w14:textId="77777777" w:rsidR="001F7233" w:rsidRDefault="00000000">
      <w:r>
        <w:rPr>
          <w:b/>
        </w:rPr>
        <w:t xml:space="preserve">Üblich im Alltag: </w:t>
      </w:r>
      <w:r>
        <w:t>Anzug oder Kostüm bei Kunden und Gericht, sonst Business Casual</w:t>
      </w:r>
    </w:p>
    <w:p w14:paraId="75B8D32D" w14:textId="77777777" w:rsidR="001F7233" w:rsidRDefault="00000000">
      <w:r>
        <w:rPr>
          <w:b/>
        </w:rPr>
        <w:t xml:space="preserve">Hinweis: </w:t>
      </w:r>
      <w:r>
        <w:t>Je nach Firma streng</w:t>
      </w:r>
    </w:p>
    <w:p w14:paraId="4E8A4F39" w14:textId="77777777" w:rsidR="001F7233" w:rsidRDefault="00000000">
      <w:r>
        <w:rPr>
          <w:b/>
        </w:rPr>
        <w:t>Medizin</w:t>
      </w:r>
    </w:p>
    <w:p w14:paraId="2B0E0A83" w14:textId="77777777" w:rsidR="001F7233" w:rsidRDefault="00000000">
      <w:r>
        <w:rPr>
          <w:b/>
        </w:rPr>
        <w:t xml:space="preserve">Üblich im Alltag: </w:t>
      </w:r>
      <w:r>
        <w:t>Kittel oder Scrubs (OP-Kleidung)</w:t>
      </w:r>
    </w:p>
    <w:p w14:paraId="54B5FE08" w14:textId="77777777" w:rsidR="001F7233" w:rsidRDefault="00000000">
      <w:r>
        <w:rPr>
          <w:b/>
        </w:rPr>
        <w:t xml:space="preserve">Hinweis: </w:t>
      </w:r>
      <w:r>
        <w:t>Kleidung und geschlossene Schuhe meist vorgegeben</w:t>
      </w:r>
    </w:p>
    <w:p w14:paraId="64DF6CD2" w14:textId="77777777" w:rsidR="001F7233" w:rsidRDefault="00000000">
      <w:r>
        <w:rPr>
          <w:b/>
        </w:rPr>
        <w:t>Universität</w:t>
      </w:r>
    </w:p>
    <w:p w14:paraId="6A5E8E0D" w14:textId="77777777" w:rsidR="001F7233" w:rsidRDefault="00000000">
      <w:r>
        <w:rPr>
          <w:b/>
        </w:rPr>
        <w:t xml:space="preserve">Üblich im Alltag: </w:t>
      </w:r>
      <w:r>
        <w:t>Casual bis Business Casual</w:t>
      </w:r>
    </w:p>
    <w:p w14:paraId="487C79CA" w14:textId="77777777" w:rsidR="001F7233" w:rsidRDefault="00000000">
      <w:r>
        <w:rPr>
          <w:b/>
        </w:rPr>
        <w:t xml:space="preserve">Hinweis: </w:t>
      </w:r>
      <w:r>
        <w:t>Lehrende eher Hemd und Sakko, Studierende Uni-Sweatshirt</w:t>
      </w:r>
    </w:p>
    <w:p w14:paraId="6A5917E4" w14:textId="77777777" w:rsidR="001F7233" w:rsidRDefault="001F7233">
      <w:pPr>
        <w:spacing w:line="180" w:lineRule="exact"/>
      </w:pPr>
    </w:p>
    <w:p w14:paraId="76F67A0A" w14:textId="77777777" w:rsidR="001F7233" w:rsidRDefault="00000000">
      <w:pPr>
        <w:spacing w:after="140"/>
      </w:pPr>
      <w:r>
        <w:t>Auch die Region prägt den Ton. An der Westküste, in Kalifornien und Seattle, kleidet man sich am legersten, Fleece und Outdoor-Jacken gehören selbst ins Büro. In New York und Boston fällt die Kleidung in Finanzen, Recht und Beratung formeller aus. Im Süden zählt für Kirche, Feiern und gute Restaurants ordentliche Kleidung, im Alltag die Hitze. Im Mittleren Westen, etwa im Großraum Detroit, überwiegt das Funktionale: Fleecejacke, Flanellhemd, Arbeitsstiefel. Das sind Tendenzen. Zwei Firmen in derselben Stadt unterscheiden sich oft stärker als zwei Regionen.</w:t>
      </w:r>
    </w:p>
    <w:p w14:paraId="68B4C745" w14:textId="77777777" w:rsidR="001F7233" w:rsidRDefault="00000000">
      <w:r>
        <w:rPr>
          <w:b/>
        </w:rPr>
        <w:t xml:space="preserve">ACHTUNG: </w:t>
      </w:r>
    </w:p>
    <w:p w14:paraId="7A4D82CC" w14:textId="77777777" w:rsidR="001F7233" w:rsidRDefault="00000000">
      <w:r>
        <w:t>• Zum Vorstellungsgespräch gilt eine Stufe formeller als der Firmenalltag: bei Tech-Unternehmen Business Casual, bei Banken, Kanzleien und Beratungen der Anzug. Frag die Personalabteilung ruhig: „What is the dress code for the interview?“ Das ist üblich und wirkt nicht unsicher.</w:t>
      </w:r>
    </w:p>
    <w:p w14:paraId="0A9FB90F" w14:textId="77777777" w:rsidR="001F7233" w:rsidRDefault="001F7233">
      <w:pPr>
        <w:spacing w:line="220" w:lineRule="exact"/>
      </w:pPr>
    </w:p>
    <w:p w14:paraId="2C8B2C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Anlässe: Restaurant, Hochzeit, Halloween</w:t>
      </w:r>
    </w:p>
    <w:p w14:paraId="72287986" w14:textId="77777777" w:rsidR="001F7233" w:rsidRDefault="00000000">
      <w:pPr>
        <w:spacing w:after="140"/>
      </w:pPr>
      <w:r>
        <w:t>Restaurants sind meist casual. An vielen Türen hängt das Schild „No Shirt, No Shoes, No Service“. Gehobene Häuser erwarten Business Casual, manche ein Jackett; das steht auf der Website.</w:t>
      </w:r>
    </w:p>
    <w:p w14:paraId="15CB08D6" w14:textId="77777777" w:rsidR="001F7233" w:rsidRDefault="00000000">
      <w:pPr>
        <w:spacing w:after="140"/>
      </w:pPr>
      <w:r>
        <w:rPr>
          <w:i/>
          <w:iCs/>
        </w:rPr>
        <w:t>Hochzeitseinladungen nennen häufig den Dresscode: Black Tie (Smoking, langes Kleid), Cocktail Attire (Anzug, Cocktailkleid) oder Casual. Weiß trägt traditionell nur die Braut. In der Kirche reicht die Spanne von Jeans bis Sonntagsstaat. Schau beim ersten Besuch, was die Gemeinde trägt. Bei Konzerten und Sportveranstaltungen tragen viele Trikot oder Sweatshirt ihres Teams oder Colleges. Viele Stadien lassen nur durchsichtige Taschen ein, das steht auf der Website des Stadions.</w:t>
      </w:r>
    </w:p>
    <w:p w14:paraId="291EB6A9" w14:textId="77777777" w:rsidR="001F7233" w:rsidRDefault="00000000">
      <w:pPr>
        <w:spacing w:after="140"/>
      </w:pPr>
      <w:r>
        <w:t>Halloween am 31. Oktober ist auch für Erwachsene ein Kostümanlass. Kinder ziehen verkleidet von Haustür zu Haustür (</w:t>
      </w:r>
      <w:r>
        <w:rPr>
          <w:i/>
          <w:iCs/>
        </w:rPr>
        <w:t>Trick-or-Treating</w:t>
      </w:r>
      <w:r>
        <w:t>), Schulen veranstalten Kostümparaden, manche Büros Kostümtage. Kostüme, die Kulturen oder Gruppen karikieren, gelten als anstößig und können am Arbeitsplatz Folgen haben. Figuren, Tiere und Berufe sind die sichere Wahl.</w:t>
      </w:r>
    </w:p>
    <w:p w14:paraId="1A523E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603D0411" w14:textId="77777777" w:rsidR="001F7233" w:rsidRDefault="00000000">
      <w:pPr>
        <w:spacing w:after="140"/>
      </w:pPr>
      <w:r>
        <w:t>Schuluniformen sind an öffentlichen Schulen die Ausnahme. Nach der US-Bildungsstatistik (NCES) verlangten im Schuljahr 2019/20 rund 19 % der öffentlichen Schulen Uniformen, an Grundschulen 21 %, an weiteren Schulen 12 %. Häufiger sind sie an privaten und kirchlichen Schulen, meist als Poloshirt und Hose oder Rock in festen Farben.</w:t>
      </w:r>
    </w:p>
    <w:p w14:paraId="1FD1D73F" w14:textId="77777777" w:rsidR="001F7233" w:rsidRDefault="00000000">
      <w:pPr>
        <w:spacing w:after="140"/>
      </w:pPr>
      <w:r>
        <w:t xml:space="preserve">Die übrigen Schulen haben einen </w:t>
      </w:r>
      <w:r>
        <w:rPr>
          <w:i/>
          <w:iCs/>
        </w:rPr>
        <w:t>Dress Code</w:t>
      </w:r>
      <w:r>
        <w:t xml:space="preserve">, den der Schuldistrikt im Schülerhandbuch festlegt. Typisch sind Regeln zur Länge von Shorts und Röcken, zu sehr schmalen Trägern, zu Kopfbedeckungen im Unterricht und zu Aufdrucken mit Gewalt-, Drogen- oder </w:t>
      </w:r>
      <w:r>
        <w:lastRenderedPageBreak/>
        <w:t>Alkoholbezug. Lies das Handbuch bei der Anmeldung (Kapitel </w:t>
      </w:r>
      <w:hyperlink w:anchor="k36">
        <w:r w:rsidR="001F7233">
          <w:t>36</w:t>
        </w:r>
      </w:hyperlink>
      <w:r>
        <w:t>). Viele Schulen schicken die Kinder auch bei Frost in die Pause nach draußen und erwarten dann Schneehose, Stiefel, Mütze und Handschuhe.</w:t>
      </w:r>
    </w:p>
    <w:p w14:paraId="503B41E9" w14:textId="77777777" w:rsidR="001F7233" w:rsidRDefault="00000000">
      <w:pPr>
        <w:spacing w:after="140"/>
      </w:pPr>
      <w:r>
        <w:t>Für den Sportunterricht sind feste Sportschuhe Pflicht. Im Vereins- und Schulsport stellt das Team das Trikot meist gegen Gebühr, Stollenschuhe und Schienbeinschoner kaufst du selbst. Ein Detail für Eltern: Kinderschlafanzüge müssen nach den Vorschriften der Verbraucherschutzbehörde CPSC schwer entflammbar oder eng geschnitten sein. Der schmale Baumwollpyjama ist also kein Fehlkauf, sondern Absicht.</w:t>
      </w:r>
    </w:p>
    <w:p w14:paraId="0C5C60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 Damen, Herren, Kinder, Schuhe</w:t>
      </w:r>
    </w:p>
    <w:p w14:paraId="4EDE062D" w14:textId="77777777" w:rsidR="001F7233" w:rsidRDefault="00000000">
      <w:pPr>
        <w:spacing w:after="140"/>
      </w:pPr>
      <w:r>
        <w:t>Damen kaufen in den USA nach Zahlen (0–16), Herren nach Zoll (</w:t>
      </w:r>
      <w:r>
        <w:rPr>
          <w:i/>
          <w:iCs/>
        </w:rPr>
        <w:t>inch</w:t>
      </w:r>
      <w:r>
        <w:t>: 1 Zoll = 2,54 cm), Kinder grob nach Lebensjahr. Die Tabellen sind Näherungswerte. Verlässlich ist nur die Maßtabelle der Marke, bei der du kaufst.</w:t>
      </w:r>
    </w:p>
    <w:p w14:paraId="369FC750" w14:textId="77777777" w:rsidR="001F7233" w:rsidRDefault="00000000">
      <w:pPr>
        <w:spacing w:after="140"/>
      </w:pPr>
      <w:r>
        <w:rPr>
          <w:b/>
          <w:bCs/>
        </w:rPr>
        <w:t>Damen: Als Faustformel ergibt US-Größe plus 30 die deutsche Größe. In Frankreich und Italien fallen die Zahlen höher aus. „EU“ im Online-Shop meint deshalb nicht immer Deutschland.</w:t>
      </w:r>
    </w:p>
    <w:p w14:paraId="2AAE0F2C" w14:textId="77777777" w:rsidR="001F7233" w:rsidRDefault="00000000">
      <w:r>
        <w:rPr>
          <w:b/>
        </w:rPr>
        <w:t>0–2</w:t>
      </w:r>
    </w:p>
    <w:p w14:paraId="7288CCEB" w14:textId="77777777" w:rsidR="001F7233" w:rsidRDefault="00000000">
      <w:r>
        <w:rPr>
          <w:b/>
        </w:rPr>
        <w:t xml:space="preserve">Deutschland: </w:t>
      </w:r>
      <w:r>
        <w:t>30–32</w:t>
      </w:r>
    </w:p>
    <w:p w14:paraId="052A4D95" w14:textId="77777777" w:rsidR="001F7233" w:rsidRDefault="00000000">
      <w:r>
        <w:rPr>
          <w:b/>
        </w:rPr>
        <w:t xml:space="preserve">Buchstabe (US-Handel): </w:t>
      </w:r>
      <w:r>
        <w:t>XS</w:t>
      </w:r>
    </w:p>
    <w:p w14:paraId="42EF0A7F" w14:textId="77777777" w:rsidR="001F7233" w:rsidRDefault="00000000">
      <w:r>
        <w:rPr>
          <w:b/>
        </w:rPr>
        <w:t>4–6</w:t>
      </w:r>
    </w:p>
    <w:p w14:paraId="67727AE8" w14:textId="77777777" w:rsidR="001F7233" w:rsidRDefault="00000000">
      <w:r>
        <w:rPr>
          <w:b/>
        </w:rPr>
        <w:t xml:space="preserve">Deutschland: </w:t>
      </w:r>
      <w:r>
        <w:t>34–36</w:t>
      </w:r>
    </w:p>
    <w:p w14:paraId="2DE20F24" w14:textId="77777777" w:rsidR="001F7233" w:rsidRDefault="00000000">
      <w:r>
        <w:rPr>
          <w:b/>
        </w:rPr>
        <w:t xml:space="preserve">Buchstabe (US-Handel): </w:t>
      </w:r>
      <w:r>
        <w:t>S</w:t>
      </w:r>
    </w:p>
    <w:p w14:paraId="546BB164" w14:textId="77777777" w:rsidR="001F7233" w:rsidRDefault="00000000">
      <w:r>
        <w:rPr>
          <w:b/>
        </w:rPr>
        <w:t>8–10</w:t>
      </w:r>
    </w:p>
    <w:p w14:paraId="428136F3" w14:textId="77777777" w:rsidR="001F7233" w:rsidRDefault="00000000">
      <w:r>
        <w:rPr>
          <w:b/>
        </w:rPr>
        <w:t xml:space="preserve">Deutschland: </w:t>
      </w:r>
      <w:r>
        <w:t>38–40</w:t>
      </w:r>
    </w:p>
    <w:p w14:paraId="7225D826" w14:textId="77777777" w:rsidR="001F7233" w:rsidRDefault="00000000">
      <w:r>
        <w:rPr>
          <w:b/>
        </w:rPr>
        <w:t xml:space="preserve">Buchstabe (US-Handel): </w:t>
      </w:r>
      <w:r>
        <w:t>M</w:t>
      </w:r>
    </w:p>
    <w:p w14:paraId="30E21BC6" w14:textId="77777777" w:rsidR="001F7233" w:rsidRDefault="00000000">
      <w:r>
        <w:rPr>
          <w:b/>
        </w:rPr>
        <w:t>12–14</w:t>
      </w:r>
    </w:p>
    <w:p w14:paraId="6D50390B" w14:textId="77777777" w:rsidR="001F7233" w:rsidRDefault="00000000">
      <w:r>
        <w:rPr>
          <w:b/>
        </w:rPr>
        <w:lastRenderedPageBreak/>
        <w:t xml:space="preserve">Deutschland: </w:t>
      </w:r>
      <w:r>
        <w:t>42–44</w:t>
      </w:r>
    </w:p>
    <w:p w14:paraId="39A94B17" w14:textId="77777777" w:rsidR="001F7233" w:rsidRDefault="00000000">
      <w:r>
        <w:rPr>
          <w:b/>
        </w:rPr>
        <w:t xml:space="preserve">Buchstabe (US-Handel): </w:t>
      </w:r>
      <w:r>
        <w:t>L</w:t>
      </w:r>
    </w:p>
    <w:p w14:paraId="2EB28101" w14:textId="77777777" w:rsidR="001F7233" w:rsidRDefault="00000000">
      <w:r>
        <w:rPr>
          <w:b/>
        </w:rPr>
        <w:t>16</w:t>
      </w:r>
    </w:p>
    <w:p w14:paraId="110BE06D" w14:textId="77777777" w:rsidR="001F7233" w:rsidRDefault="00000000">
      <w:r>
        <w:rPr>
          <w:b/>
        </w:rPr>
        <w:t xml:space="preserve">Deutschland: </w:t>
      </w:r>
      <w:r>
        <w:t>46</w:t>
      </w:r>
    </w:p>
    <w:p w14:paraId="0FAD8001" w14:textId="77777777" w:rsidR="001F7233" w:rsidRDefault="00000000">
      <w:r>
        <w:rPr>
          <w:b/>
        </w:rPr>
        <w:t xml:space="preserve">Buchstabe (US-Handel): </w:t>
      </w:r>
      <w:r>
        <w:t>XL</w:t>
      </w:r>
    </w:p>
    <w:p w14:paraId="0E146801" w14:textId="77777777" w:rsidR="001F7233" w:rsidRDefault="001F7233">
      <w:pPr>
        <w:spacing w:line="180" w:lineRule="exact"/>
      </w:pPr>
    </w:p>
    <w:p w14:paraId="3FE6A656" w14:textId="77777777" w:rsidR="001F7233" w:rsidRDefault="00000000">
      <w:pPr>
        <w:spacing w:after="140"/>
      </w:pPr>
      <w:r>
        <w:rPr>
          <w:b/>
          <w:bCs/>
        </w:rPr>
        <w:t>Herren:</w:t>
      </w:r>
      <w:r>
        <w:t xml:space="preserve"> Anzüge und Sakkos tragen den Brustumfang in Zoll, Hemden die Kragenweite in Zoll. Jeans gibt es wie in Deutschland als Bundweite und Schrittlänge in Zoll, etwa 32/32.</w:t>
      </w:r>
    </w:p>
    <w:p w14:paraId="0E87FF05" w14:textId="77777777" w:rsidR="001F7233" w:rsidRDefault="00000000">
      <w:r>
        <w:rPr>
          <w:b/>
        </w:rPr>
        <w:t>Anzug, Sakko</w:t>
      </w:r>
    </w:p>
    <w:p w14:paraId="124F2B20" w14:textId="77777777" w:rsidR="001F7233" w:rsidRDefault="00000000">
      <w:r>
        <w:rPr>
          <w:b/>
        </w:rPr>
        <w:t xml:space="preserve">Deutschland: </w:t>
      </w:r>
      <w:r>
        <w:t>46 / 48 / 50 / 52 / 54</w:t>
      </w:r>
    </w:p>
    <w:p w14:paraId="023628F8" w14:textId="77777777" w:rsidR="001F7233" w:rsidRDefault="00000000">
      <w:r>
        <w:rPr>
          <w:b/>
        </w:rPr>
        <w:t xml:space="preserve">USA: </w:t>
      </w:r>
      <w:r>
        <w:t>36 / 38 / 40 / 42 / 44</w:t>
      </w:r>
    </w:p>
    <w:p w14:paraId="72CE6A5D" w14:textId="77777777" w:rsidR="001F7233" w:rsidRDefault="00000000">
      <w:r>
        <w:rPr>
          <w:b/>
        </w:rPr>
        <w:t>Hemdkragen</w:t>
      </w:r>
    </w:p>
    <w:p w14:paraId="73D35B6F" w14:textId="77777777" w:rsidR="001F7233" w:rsidRDefault="00000000">
      <w:r>
        <w:rPr>
          <w:b/>
        </w:rPr>
        <w:t xml:space="preserve">Deutschland: </w:t>
      </w:r>
      <w:r>
        <w:t>38 / 40 / 42 / 44 cm</w:t>
      </w:r>
    </w:p>
    <w:p w14:paraId="0E67A697" w14:textId="77777777" w:rsidR="001F7233" w:rsidRDefault="00000000">
      <w:r>
        <w:rPr>
          <w:b/>
        </w:rPr>
        <w:t xml:space="preserve">USA: </w:t>
      </w:r>
      <w:r>
        <w:t>15 / 15¾ / 16½ / 17½ Zoll</w:t>
      </w:r>
    </w:p>
    <w:p w14:paraId="396EACAC" w14:textId="77777777" w:rsidR="001F7233" w:rsidRDefault="00000000">
      <w:r>
        <w:rPr>
          <w:b/>
        </w:rPr>
        <w:t>Hosenbund</w:t>
      </w:r>
    </w:p>
    <w:p w14:paraId="65E316B4" w14:textId="77777777" w:rsidR="001F7233" w:rsidRDefault="00000000">
      <w:r>
        <w:rPr>
          <w:b/>
        </w:rPr>
        <w:t xml:space="preserve">Deutschland: </w:t>
      </w:r>
      <w:r>
        <w:t>76 / 81 / 86 / 91 cm</w:t>
      </w:r>
    </w:p>
    <w:p w14:paraId="53EAD786" w14:textId="77777777" w:rsidR="001F7233" w:rsidRDefault="00000000">
      <w:r>
        <w:rPr>
          <w:b/>
        </w:rPr>
        <w:t xml:space="preserve">USA: </w:t>
      </w:r>
      <w:r>
        <w:t>30 / 32 / 34 / 36 Zoll</w:t>
      </w:r>
    </w:p>
    <w:p w14:paraId="735B0B3D" w14:textId="77777777" w:rsidR="001F7233" w:rsidRDefault="001F7233">
      <w:pPr>
        <w:spacing w:line="180" w:lineRule="exact"/>
      </w:pPr>
    </w:p>
    <w:p w14:paraId="06CB2204" w14:textId="77777777" w:rsidR="001F7233" w:rsidRDefault="00000000">
      <w:pPr>
        <w:spacing w:after="140"/>
      </w:pPr>
      <w:r>
        <w:rPr>
          <w:b/>
          <w:bCs/>
        </w:rPr>
        <w:t>Kinder:</w:t>
      </w:r>
      <w:r>
        <w:t xml:space="preserve"> Deutsche Größen entsprechen der Körpergröße in Zentimetern, US-Größen folgen grob dem Lebensjahr („T“ steht für </w:t>
      </w:r>
      <w:r>
        <w:rPr>
          <w:i/>
          <w:iCs/>
        </w:rPr>
        <w:t>Toddler</w:t>
      </w:r>
      <w:r>
        <w:t>, Kleinkind).</w:t>
      </w:r>
    </w:p>
    <w:p w14:paraId="39E4BADC" w14:textId="77777777" w:rsidR="001F7233" w:rsidRDefault="00000000">
      <w:r>
        <w:rPr>
          <w:b/>
        </w:rPr>
        <w:t>92</w:t>
      </w:r>
    </w:p>
    <w:p w14:paraId="16E167BC" w14:textId="77777777" w:rsidR="001F7233" w:rsidRDefault="00000000">
      <w:r>
        <w:rPr>
          <w:b/>
        </w:rPr>
        <w:t xml:space="preserve">US-Größe: </w:t>
      </w:r>
      <w:r>
        <w:t>2T</w:t>
      </w:r>
    </w:p>
    <w:p w14:paraId="60555AA8" w14:textId="77777777" w:rsidR="001F7233" w:rsidRDefault="00000000">
      <w:r>
        <w:rPr>
          <w:b/>
        </w:rPr>
        <w:t xml:space="preserve">Alter (ca.): </w:t>
      </w:r>
      <w:r>
        <w:t>2 Jahre</w:t>
      </w:r>
    </w:p>
    <w:p w14:paraId="4583C42F" w14:textId="77777777" w:rsidR="001F7233" w:rsidRDefault="00000000">
      <w:r>
        <w:rPr>
          <w:b/>
        </w:rPr>
        <w:t>104</w:t>
      </w:r>
    </w:p>
    <w:p w14:paraId="6B0A2127" w14:textId="77777777" w:rsidR="001F7233" w:rsidRDefault="00000000">
      <w:r>
        <w:rPr>
          <w:b/>
        </w:rPr>
        <w:t xml:space="preserve">US-Größe: </w:t>
      </w:r>
      <w:r>
        <w:t>4T</w:t>
      </w:r>
    </w:p>
    <w:p w14:paraId="7EA6CC73" w14:textId="77777777" w:rsidR="001F7233" w:rsidRDefault="00000000">
      <w:r>
        <w:rPr>
          <w:b/>
        </w:rPr>
        <w:t xml:space="preserve">Alter (ca.): </w:t>
      </w:r>
      <w:r>
        <w:t>4 Jahre</w:t>
      </w:r>
    </w:p>
    <w:p w14:paraId="5FFE5E92" w14:textId="77777777" w:rsidR="001F7233" w:rsidRDefault="00000000">
      <w:r>
        <w:rPr>
          <w:b/>
        </w:rPr>
        <w:t>116</w:t>
      </w:r>
    </w:p>
    <w:p w14:paraId="3C7EFE8D" w14:textId="77777777" w:rsidR="001F7233" w:rsidRDefault="00000000">
      <w:r>
        <w:rPr>
          <w:b/>
        </w:rPr>
        <w:t xml:space="preserve">US-Größe: </w:t>
      </w:r>
      <w:r>
        <w:t>6</w:t>
      </w:r>
    </w:p>
    <w:p w14:paraId="6EF83632" w14:textId="77777777" w:rsidR="001F7233" w:rsidRDefault="00000000">
      <w:r>
        <w:rPr>
          <w:b/>
        </w:rPr>
        <w:t xml:space="preserve">Alter (ca.): </w:t>
      </w:r>
      <w:r>
        <w:t>6 Jahre</w:t>
      </w:r>
    </w:p>
    <w:p w14:paraId="4344073D" w14:textId="77777777" w:rsidR="001F7233" w:rsidRDefault="00000000">
      <w:r>
        <w:rPr>
          <w:b/>
        </w:rPr>
        <w:t>140</w:t>
      </w:r>
    </w:p>
    <w:p w14:paraId="23D6785E" w14:textId="77777777" w:rsidR="001F7233" w:rsidRDefault="00000000">
      <w:r>
        <w:rPr>
          <w:b/>
        </w:rPr>
        <w:t xml:space="preserve">US-Größe: </w:t>
      </w:r>
      <w:r>
        <w:t>10</w:t>
      </w:r>
    </w:p>
    <w:p w14:paraId="75D47361" w14:textId="77777777" w:rsidR="001F7233" w:rsidRDefault="00000000">
      <w:r>
        <w:rPr>
          <w:b/>
        </w:rPr>
        <w:t xml:space="preserve">Alter (ca.): </w:t>
      </w:r>
      <w:r>
        <w:t>10 Jahre</w:t>
      </w:r>
    </w:p>
    <w:p w14:paraId="725B4A25" w14:textId="77777777" w:rsidR="001F7233" w:rsidRDefault="00000000">
      <w:r>
        <w:rPr>
          <w:b/>
        </w:rPr>
        <w:t>152</w:t>
      </w:r>
    </w:p>
    <w:p w14:paraId="33385BA9" w14:textId="77777777" w:rsidR="001F7233" w:rsidRDefault="00000000">
      <w:r>
        <w:rPr>
          <w:b/>
        </w:rPr>
        <w:lastRenderedPageBreak/>
        <w:t xml:space="preserve">US-Größe: </w:t>
      </w:r>
      <w:r>
        <w:t>14</w:t>
      </w:r>
    </w:p>
    <w:p w14:paraId="142143BB" w14:textId="77777777" w:rsidR="001F7233" w:rsidRDefault="00000000">
      <w:r>
        <w:rPr>
          <w:b/>
        </w:rPr>
        <w:t xml:space="preserve">Alter (ca.): </w:t>
      </w:r>
      <w:r>
        <w:t>14 Jahre</w:t>
      </w:r>
    </w:p>
    <w:p w14:paraId="5B300E89" w14:textId="77777777" w:rsidR="001F7233" w:rsidRDefault="001F7233">
      <w:pPr>
        <w:spacing w:line="180" w:lineRule="exact"/>
      </w:pPr>
    </w:p>
    <w:p w14:paraId="5DAA810C" w14:textId="77777777" w:rsidR="001F7233" w:rsidRDefault="00000000">
      <w:pPr>
        <w:spacing w:after="140"/>
      </w:pPr>
      <w:r>
        <w:rPr>
          <w:b/>
          <w:bCs/>
        </w:rPr>
        <w:t>Schuhe:</w:t>
      </w:r>
      <w:r>
        <w:t xml:space="preserve"> Herren- und Damengrößen laufen getrennt. Die Damengröße liegt anderthalb Nummern über der Herrengröße desselben Schuhs.</w:t>
      </w:r>
    </w:p>
    <w:p w14:paraId="71259D0C" w14:textId="77777777" w:rsidR="001F7233" w:rsidRDefault="00000000">
      <w:r>
        <w:rPr>
          <w:b/>
        </w:rPr>
        <w:t>38</w:t>
      </w:r>
    </w:p>
    <w:p w14:paraId="4B06C095" w14:textId="77777777" w:rsidR="001F7233" w:rsidRDefault="00000000">
      <w:r>
        <w:rPr>
          <w:b/>
        </w:rPr>
        <w:t xml:space="preserve">US Damen: </w:t>
      </w:r>
      <w:r>
        <w:t>7</w:t>
      </w:r>
    </w:p>
    <w:p w14:paraId="5D16EB45" w14:textId="77777777" w:rsidR="001F7233" w:rsidRDefault="00000000">
      <w:r>
        <w:rPr>
          <w:b/>
        </w:rPr>
        <w:t xml:space="preserve">US Herren: </w:t>
      </w:r>
      <w:r>
        <w:t>5,5</w:t>
      </w:r>
    </w:p>
    <w:p w14:paraId="534C996C" w14:textId="77777777" w:rsidR="001F7233" w:rsidRDefault="00000000">
      <w:r>
        <w:rPr>
          <w:b/>
        </w:rPr>
        <w:t>40</w:t>
      </w:r>
    </w:p>
    <w:p w14:paraId="3CA69887" w14:textId="77777777" w:rsidR="001F7233" w:rsidRDefault="00000000">
      <w:r>
        <w:rPr>
          <w:b/>
        </w:rPr>
        <w:t xml:space="preserve">US Damen: </w:t>
      </w:r>
      <w:r>
        <w:t>8,5</w:t>
      </w:r>
    </w:p>
    <w:p w14:paraId="5E365A25" w14:textId="77777777" w:rsidR="001F7233" w:rsidRDefault="00000000">
      <w:r>
        <w:rPr>
          <w:b/>
        </w:rPr>
        <w:t xml:space="preserve">US Herren: </w:t>
      </w:r>
      <w:r>
        <w:t>7</w:t>
      </w:r>
    </w:p>
    <w:p w14:paraId="662D14E1" w14:textId="77777777" w:rsidR="001F7233" w:rsidRDefault="00000000">
      <w:r>
        <w:rPr>
          <w:b/>
        </w:rPr>
        <w:t>42</w:t>
      </w:r>
    </w:p>
    <w:p w14:paraId="6A86FAF7" w14:textId="77777777" w:rsidR="001F7233" w:rsidRDefault="00000000">
      <w:r>
        <w:rPr>
          <w:b/>
        </w:rPr>
        <w:t xml:space="preserve">US Damen: </w:t>
      </w:r>
      <w:r>
        <w:t>10</w:t>
      </w:r>
    </w:p>
    <w:p w14:paraId="5756BFE7" w14:textId="77777777" w:rsidR="001F7233" w:rsidRDefault="00000000">
      <w:r>
        <w:rPr>
          <w:b/>
        </w:rPr>
        <w:t xml:space="preserve">US Herren: </w:t>
      </w:r>
      <w:r>
        <w:t>8,5</w:t>
      </w:r>
    </w:p>
    <w:p w14:paraId="360CE985" w14:textId="77777777" w:rsidR="001F7233" w:rsidRDefault="00000000">
      <w:r>
        <w:rPr>
          <w:b/>
        </w:rPr>
        <w:t>44</w:t>
      </w:r>
    </w:p>
    <w:p w14:paraId="28675CAC" w14:textId="77777777" w:rsidR="001F7233" w:rsidRDefault="00000000">
      <w:r>
        <w:rPr>
          <w:b/>
        </w:rPr>
        <w:t xml:space="preserve">US Damen: </w:t>
      </w:r>
      <w:r>
        <w:t>11,5</w:t>
      </w:r>
    </w:p>
    <w:p w14:paraId="205B05A8" w14:textId="77777777" w:rsidR="001F7233" w:rsidRDefault="00000000">
      <w:r>
        <w:rPr>
          <w:b/>
        </w:rPr>
        <w:t xml:space="preserve">US Herren: </w:t>
      </w:r>
      <w:r>
        <w:t>10</w:t>
      </w:r>
    </w:p>
    <w:p w14:paraId="5EF4C955" w14:textId="77777777" w:rsidR="001F7233" w:rsidRDefault="00000000">
      <w:r>
        <w:rPr>
          <w:b/>
        </w:rPr>
        <w:t>46</w:t>
      </w:r>
    </w:p>
    <w:p w14:paraId="6FDCB0C5" w14:textId="77777777" w:rsidR="001F7233" w:rsidRDefault="00000000">
      <w:r>
        <w:rPr>
          <w:b/>
        </w:rPr>
        <w:t xml:space="preserve">US Damen: </w:t>
      </w:r>
      <w:r>
        <w:t>13,5</w:t>
      </w:r>
    </w:p>
    <w:p w14:paraId="00766F2E" w14:textId="77777777" w:rsidR="001F7233" w:rsidRDefault="00000000">
      <w:r>
        <w:rPr>
          <w:b/>
        </w:rPr>
        <w:t xml:space="preserve">US Herren: </w:t>
      </w:r>
      <w:r>
        <w:t>12</w:t>
      </w:r>
    </w:p>
    <w:p w14:paraId="5A93E3B1" w14:textId="77777777" w:rsidR="001F7233" w:rsidRDefault="001F7233">
      <w:pPr>
        <w:spacing w:line="180" w:lineRule="exact"/>
      </w:pPr>
    </w:p>
    <w:p w14:paraId="7692EF0A" w14:textId="77777777" w:rsidR="001F7233" w:rsidRDefault="00000000">
      <w:pPr>
        <w:spacing w:after="140"/>
      </w:pPr>
      <w:r>
        <w:rPr>
          <w:i/>
          <w:iCs/>
        </w:rPr>
        <w:t>Kinderschuhe haben ein eigenes System: „C“ (Children) bis 13,5, danach „Y“ (Youth). Viele Modelle gibt es auch in Weiten (Medium, Wide), ein Vorteil bei breiten Füßen.</w:t>
      </w:r>
    </w:p>
    <w:p w14:paraId="7DE953F5" w14:textId="77777777" w:rsidR="001F7233" w:rsidRDefault="00000000">
      <w:r>
        <w:rPr>
          <w:b/>
        </w:rPr>
        <w:t xml:space="preserve">ACHTUNG: </w:t>
      </w:r>
    </w:p>
    <w:p w14:paraId="7B46CB9F" w14:textId="77777777" w:rsidR="001F7233" w:rsidRDefault="00000000">
      <w:r>
        <w:t>• Dieselbe Person trägt bei einer Marke Größe 6 und bei der nächsten Größe 10. Marken schneiden großzügiger, damit die Zahl im Etikett kleiner ausfällt (Vanity Sizing). Nett fürs Ego, wenig hilfreich beim Online-Kauf. Miss Brust, Taille, Hüfte und Fußlänge einmal in Zoll und vergleiche mit der Maßtabelle, nicht mit der Zahl.</w:t>
      </w:r>
    </w:p>
    <w:p w14:paraId="65FE8912" w14:textId="77777777" w:rsidR="001F7233" w:rsidRDefault="001F7233">
      <w:pPr>
        <w:spacing w:line="220" w:lineRule="exact"/>
      </w:pPr>
    </w:p>
    <w:p w14:paraId="70DD70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w:t>
      </w:r>
    </w:p>
    <w:p w14:paraId="7A33921B" w14:textId="77777777" w:rsidR="001F7233" w:rsidRDefault="00000000">
      <w:pPr>
        <w:spacing w:after="140"/>
      </w:pPr>
      <w:r>
        <w:t>Jede Sorte Laden hat ihre Rolle:</w:t>
      </w:r>
    </w:p>
    <w:p w14:paraId="277921B4" w14:textId="77777777" w:rsidR="001F7233" w:rsidRDefault="00000000">
      <w:pPr>
        <w:pStyle w:val="ListParagraph"/>
        <w:numPr>
          <w:ilvl w:val="0"/>
          <w:numId w:val="1"/>
        </w:numPr>
        <w:spacing w:after="60"/>
      </w:pPr>
      <w:r>
        <w:rPr>
          <w:b/>
          <w:bCs/>
        </w:rPr>
        <w:t>Off-Price-Ketten</w:t>
      </w:r>
      <w:r>
        <w:t xml:space="preserve"> wie TJ Maxx, Marshalls, Ross oder Nordstrom Rack verkaufen Markenware aus Überbeständen deutlich reduziert. Das Sortiment wechselt, die Größen sind lückenhaft, die Suche lohnt sich trotzdem.</w:t>
      </w:r>
    </w:p>
    <w:p w14:paraId="6D0EAEA9" w14:textId="77777777" w:rsidR="001F7233" w:rsidRDefault="00000000">
      <w:pPr>
        <w:pStyle w:val="ListParagraph"/>
        <w:numPr>
          <w:ilvl w:val="0"/>
          <w:numId w:val="1"/>
        </w:numPr>
        <w:spacing w:after="60"/>
      </w:pPr>
      <w:r>
        <w:rPr>
          <w:b/>
          <w:bCs/>
        </w:rPr>
        <w:t>Kaufhäuser und Ketten</w:t>
      </w:r>
      <w:r>
        <w:t xml:space="preserve"> wie Macy’s, Nordstrom, Kohl’s, Gap oder Old Navy. Old Navy und Target sind feste Adressen für Basics und Kinderkleidung.</w:t>
      </w:r>
    </w:p>
    <w:p w14:paraId="674F730B" w14:textId="77777777" w:rsidR="001F7233" w:rsidRDefault="00000000">
      <w:pPr>
        <w:pStyle w:val="ListParagraph"/>
        <w:numPr>
          <w:ilvl w:val="0"/>
          <w:numId w:val="1"/>
        </w:numPr>
        <w:spacing w:after="60"/>
      </w:pPr>
      <w:r>
        <w:rPr>
          <w:b/>
          <w:bCs/>
        </w:rPr>
        <w:t>Outlets liegen meist außer der Städte. Nicht jeder Outlet-Preis ist ein Schnäppchen, manche Ware wird eigens für Outlets produziert.</w:t>
      </w:r>
    </w:p>
    <w:p w14:paraId="6DFD4B54" w14:textId="77777777" w:rsidR="001F7233" w:rsidRDefault="00000000">
      <w:pPr>
        <w:pStyle w:val="ListParagraph"/>
        <w:numPr>
          <w:ilvl w:val="0"/>
          <w:numId w:val="1"/>
        </w:numPr>
        <w:spacing w:after="60"/>
      </w:pPr>
      <w:r>
        <w:rPr>
          <w:b/>
          <w:bCs/>
        </w:rPr>
        <w:t>Costco und Amazon:</w:t>
      </w:r>
      <w:r>
        <w:t xml:space="preserve"> Costco führt Basics unter der Eigenmarke Kirkland Signature (Mitgliedschaft nötig, Kapitel </w:t>
      </w:r>
      <w:hyperlink w:anchor="k21">
        <w:r w:rsidR="001F7233">
          <w:t>21</w:t>
        </w:r>
      </w:hyperlink>
      <w:r>
        <w:t>). Bei Amazon prüfst du vor dem Kauf Größentabelle und Rückgabebedingungen.</w:t>
      </w:r>
    </w:p>
    <w:p w14:paraId="293FC9A8" w14:textId="77777777" w:rsidR="001F7233" w:rsidRDefault="00000000">
      <w:pPr>
        <w:pStyle w:val="ListParagraph"/>
        <w:numPr>
          <w:ilvl w:val="0"/>
          <w:numId w:val="1"/>
        </w:numPr>
        <w:spacing w:after="60"/>
      </w:pPr>
      <w:r>
        <w:rPr>
          <w:b/>
          <w:bCs/>
        </w:rPr>
        <w:t>REI:</w:t>
      </w:r>
      <w:r>
        <w:t xml:space="preserve"> Genossenschaft für Outdoor-Ausrüstung mit guter Beratung und Rückvergütung für Mitglieder.</w:t>
      </w:r>
    </w:p>
    <w:p w14:paraId="0F27FA7D" w14:textId="77777777" w:rsidR="001F7233" w:rsidRDefault="00000000">
      <w:pPr>
        <w:pStyle w:val="ListParagraph"/>
        <w:numPr>
          <w:ilvl w:val="0"/>
          <w:numId w:val="1"/>
        </w:numPr>
        <w:spacing w:after="60"/>
      </w:pPr>
      <w:r>
        <w:rPr>
          <w:b/>
          <w:bCs/>
        </w:rPr>
        <w:t>Second Hand: Thrift Stores wie Goodwill und die Heilsarmee, Kommissionsläden für Kinderkleidung, online ThredUp, Poshmark oder Facebook Marketplace. Gebrauchtes zu tragen ist gesellschaftlich völlig normal und für Kinderkleidung, Winterjacken und Sportausrüstung oft die günstigste Quelle.</w:t>
      </w:r>
    </w:p>
    <w:p w14:paraId="0BC159B1" w14:textId="77777777" w:rsidR="001F7233" w:rsidRDefault="001F7233">
      <w:pPr>
        <w:spacing w:line="120" w:lineRule="exact"/>
      </w:pPr>
    </w:p>
    <w:p w14:paraId="139A8B55" w14:textId="77777777" w:rsidR="001F7233" w:rsidRDefault="00000000">
      <w:pPr>
        <w:spacing w:after="140"/>
      </w:pPr>
      <w:r>
        <w:rPr>
          <w:b/>
          <w:bCs/>
        </w:rPr>
        <w:t>Große Verkaufstermine sind Memorial Day (letzter Montag im Mai), Labor Day (erster Montag im September) und Black Friday (der Freitag nach Thanksgiving). Winterware wird ab Januar herabgesetzt, Sommerware ab August, Schulkleidung im Juli und August.</w:t>
      </w:r>
    </w:p>
    <w:p w14:paraId="2ADFFFEA" w14:textId="77777777" w:rsidR="001F7233" w:rsidRDefault="00000000">
      <w:pPr>
        <w:spacing w:after="140"/>
      </w:pPr>
      <w:r>
        <w:t xml:space="preserve">Ein gesetzliches Widerrufsrecht wie in Deutschland gibt es nicht. Die Rückgabe regelt jeder Händler in seiner </w:t>
      </w:r>
      <w:r>
        <w:rPr>
          <w:i/>
          <w:iCs/>
        </w:rPr>
        <w:t>Return Policy</w:t>
      </w:r>
      <w:r>
        <w:t xml:space="preserve">, mit Fristen </w:t>
      </w:r>
      <w:r>
        <w:lastRenderedPageBreak/>
        <w:t>und Bedingungen, die du vor dem Kauf liest (mehr zur Rückgabekultur in Kapitel </w:t>
      </w:r>
      <w:hyperlink w:anchor="k31">
        <w:r w:rsidR="001F7233">
          <w:t>31</w:t>
        </w:r>
      </w:hyperlink>
      <w:r>
        <w:t>). Bewahre Kassenbon und Etikett auf, bis du sicher bist.</w:t>
      </w:r>
    </w:p>
    <w:p w14:paraId="6E698B26" w14:textId="77777777" w:rsidR="001F7233" w:rsidRDefault="00000000">
      <w:r>
        <w:rPr>
          <w:b/>
        </w:rPr>
        <w:t xml:space="preserve">SPARTIPP: </w:t>
      </w:r>
    </w:p>
    <w:p w14:paraId="620C1428" w14:textId="77777777" w:rsidR="001F7233" w:rsidRDefault="00000000">
      <w:r>
        <w:t>• In einigen Bundesstaaten ist Kleidung ganz oder teilweise von der Verkaufssteuer befreit: Pennsylvania, New Jersey, Minnesota und Vermont für normale Kleidung, New York für Stücke unter 110 $ (lokale Steuern können trotzdem anfallen), Massachusetts bis 175 $ und Rhode Island bis 250 $ je Stück (Stand: 2026). Sportausrüstung, Pelz und teils Abendgarderobe sind meist ausgenommen. Die Regel deines Bundesstaats steht auf der Seite seiner Finanzbehörde.</w:t>
      </w:r>
    </w:p>
    <w:p w14:paraId="046E3D58" w14:textId="77777777" w:rsidR="001F7233" w:rsidRDefault="001F7233">
      <w:pPr>
        <w:spacing w:line="220" w:lineRule="exact"/>
      </w:pPr>
    </w:p>
    <w:p w14:paraId="1434014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 Schichten, Regen, Hitze, Kälte</w:t>
      </w:r>
    </w:p>
    <w:p w14:paraId="2A21F65B" w14:textId="77777777" w:rsidR="001F7233" w:rsidRDefault="00000000">
      <w:pPr>
        <w:spacing w:after="140"/>
      </w:pPr>
      <w:r>
        <w:t>Das Klima prägt deine Garderobe stärker als jeder Dresscode (Regionen und Naturrisiken: Kapitel </w:t>
      </w:r>
      <w:hyperlink w:anchor="k12">
        <w:r w:rsidR="001F7233">
          <w:t>12</w:t>
        </w:r>
      </w:hyperlink>
      <w:r>
        <w:t>). Bewährt ist das Schichtenprinzip (</w:t>
      </w:r>
      <w:r>
        <w:rPr>
          <w:i/>
          <w:iCs/>
        </w:rPr>
        <w:t>Layering</w:t>
      </w:r>
      <w:r>
        <w:t>): eine Basisschicht aus Merino oder Kunstfaser, eine wärmende Schicht aus Fleece oder Daune und eine Schale gegen Wind und Nässe. Innenräume sind im Winter stark geheizt und im Sommer oft kräftig heruntergekühlt. Eine Strickjacke im Büro ist auch im Juli normal.</w:t>
      </w:r>
    </w:p>
    <w:p w14:paraId="73F4DAAC" w14:textId="77777777" w:rsidR="001F7233" w:rsidRDefault="00000000">
      <w:pPr>
        <w:spacing w:after="140"/>
      </w:pPr>
      <w:r>
        <w:rPr>
          <w:b/>
          <w:bCs/>
        </w:rPr>
        <w:t>Kälte: In Michigan, Minnesota oder Neuengland brauchst du einen Daunenparka, Mütze, Handschuhe, wasserdichte gefütterte Stiefel und Thermounterwäsche. Wind zählt mehr als die Gradzahl: Bei 0 °F (−18 °C) und 15 mph (24 km/h) Wind fühlt es sich nach der Tabelle des Nationalen Wetterdienstes wie −19 °F (−28 °C) an und ungeschützte Haut kann in rund 30 Minuten Erfrierungen bekommen.</w:t>
      </w:r>
    </w:p>
    <w:p w14:paraId="1375DB9E" w14:textId="77777777" w:rsidR="001F7233" w:rsidRDefault="00000000">
      <w:pPr>
        <w:spacing w:after="140"/>
      </w:pPr>
      <w:r>
        <w:rPr>
          <w:b/>
          <w:bCs/>
        </w:rPr>
        <w:t xml:space="preserve">Regen: Im Nordwesten genügt meist eine atmungsaktive Regenjacke mit Kapuze. Ein Schirm verrät dort den </w:t>
      </w:r>
      <w:r>
        <w:rPr>
          <w:b/>
          <w:bCs/>
        </w:rPr>
        <w:lastRenderedPageBreak/>
        <w:t>Neuankömmling. Im Südosten kommt der Regen in Wolkenbrüchen, schnell trocknende Stoffe und wasserfeste Sandalen schlagen dort Leder.</w:t>
      </w:r>
    </w:p>
    <w:p w14:paraId="2B76FBDD" w14:textId="77777777" w:rsidR="001F7233" w:rsidRDefault="00000000">
      <w:pPr>
        <w:spacing w:after="140"/>
      </w:pPr>
      <w:r>
        <w:rPr>
          <w:b/>
          <w:bCs/>
        </w:rPr>
        <w:t>Hitze und Sonne: In Arizona, Texas oder Florida trägst du leichte, helle Stoffe, einen Hut mit breiter Krempe und eine Sonnenbrille mit UV-Schutz. Kleidung mit UPF-Angabe (Lichtschutzfaktor von Textilien) gibt es bei Outdoor-Händlern.</w:t>
      </w:r>
    </w:p>
    <w:p w14:paraId="0EA9215C" w14:textId="77777777" w:rsidR="001F7233" w:rsidRDefault="00000000">
      <w:r>
        <w:rPr>
          <w:b/>
        </w:rPr>
        <w:t xml:space="preserve">ACHTUNG: </w:t>
      </w:r>
    </w:p>
    <w:p w14:paraId="09717242" w14:textId="77777777" w:rsidR="001F7233" w:rsidRDefault="00000000">
      <w:r>
        <w:t>• Unterschätze die Sonne im Süden und Südwesten nicht. Die amerikanische Hautärztevereinigung (AAD) empfiehlt breitbandigen, wasserfesten Sonnenschutz mit Lichtschutzfaktor 30 oder höher, dazu schützende Kleidung und Schatten in der Mittagszeit.</w:t>
      </w:r>
    </w:p>
    <w:p w14:paraId="60390B6B" w14:textId="77777777" w:rsidR="001F7233" w:rsidRDefault="001F7233">
      <w:pPr>
        <w:spacing w:line="220" w:lineRule="exact"/>
      </w:pPr>
    </w:p>
    <w:p w14:paraId="0777DF9E" w14:textId="77777777" w:rsidR="001F7233" w:rsidRDefault="001F7233">
      <w:pPr>
        <w:spacing w:line="220" w:lineRule="exact"/>
      </w:pPr>
    </w:p>
    <w:p w14:paraId="1CCA586A" w14:textId="77777777" w:rsidR="001F7233" w:rsidRDefault="00000000">
      <w:pPr>
        <w:pStyle w:val="Heading3"/>
      </w:pPr>
      <w:r>
        <w:t>Sandalen: Strand ja, Allzweckschuh nein</w:t>
      </w:r>
    </w:p>
    <w:p w14:paraId="19AE8DD6" w14:textId="77777777" w:rsidR="001F7233" w:rsidRDefault="00000000">
      <w:r>
        <w:t>Für den Strand und heiße Tage reicht oft ein Paar Sandalen; für Stadtwege, Felsen, Wanderungen und wechselhaftes Wetter brauchst du einen festen Schuh mit Halt. Die Bezeichnungen wechseln: In den USA und Kanada hörst du meist „flip-flops“, in Australien „thongs“, in Neuseeland „jandals“. In den USA kann „thong“ etwas anderes bedeuten als in Australien. Nimm eingelaufene, sichere Schuhe mit und entscheide vor Ort nach Klima, Wegen und Arbeits- oder Schulregeln. Eine dünne Strandsohle ersetzt weder Wanderschuh noch Sicherheitsschuh.</w:t>
      </w:r>
    </w:p>
    <w:p w14:paraId="58840E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Waschen und Trocknen</w:t>
      </w:r>
    </w:p>
    <w:p w14:paraId="5D2C3FF3" w14:textId="77777777" w:rsidR="001F7233" w:rsidRDefault="00000000">
      <w:pPr>
        <w:spacing w:after="140"/>
      </w:pPr>
      <w:r>
        <w:rPr>
          <w:i/>
          <w:iCs/>
        </w:rPr>
        <w:t xml:space="preserve">Der Wäschetrockner (Dryer) ist in den USA Standard, und er arbeitet heiß. Der erste eingelaufene Lieblingspullover ist für viele Neuankömmlinge eine Art Aufnahmeritual: Baumwolle und Wolle laufen ein, Funktionsjacken und elastische Stoffe leiden. Kleidung muss in den USA ein dauerhaftes Pflegeetikett tragen, das schreibt die </w:t>
      </w:r>
      <w:r>
        <w:rPr>
          <w:i/>
          <w:iCs/>
        </w:rPr>
        <w:lastRenderedPageBreak/>
        <w:t>Handelsbehörde FTC vor. Wähle im Zweifel „Tumble Dry Low“ (niedrige Stufe) oder trockne an der Luft.</w:t>
      </w:r>
    </w:p>
    <w:p w14:paraId="059E411F" w14:textId="77777777" w:rsidR="001F7233" w:rsidRDefault="00000000">
      <w:pPr>
        <w:spacing w:after="140"/>
      </w:pPr>
      <w:r>
        <w:t>Ob und wo du wäschst, hängt von der Wohnung ab: Maschinen in der Wohnung (</w:t>
      </w:r>
      <w:r>
        <w:rPr>
          <w:i/>
          <w:iCs/>
        </w:rPr>
        <w:t>In-Unit Laundry</w:t>
      </w:r>
      <w:r>
        <w:t>), ein Waschraum im Haus mit Münz- oder Kartenbetrieb, der Waschsalon (</w:t>
      </w:r>
      <w:r>
        <w:rPr>
          <w:i/>
          <w:iCs/>
        </w:rPr>
        <w:t>Laundromat</w:t>
      </w:r>
      <w:r>
        <w:t>) oder nur Anschlüsse für eigene Geräte (</w:t>
      </w:r>
      <w:r>
        <w:rPr>
          <w:i/>
          <w:iCs/>
        </w:rPr>
        <w:t>Hookups</w:t>
      </w:r>
      <w:r>
        <w:t>). Frag bei der Wohnungssuche danach (Kapitel </w:t>
      </w:r>
      <w:hyperlink w:anchor="k13">
        <w:r w:rsidR="001F7233">
          <w:t>13</w:t>
        </w:r>
      </w:hyperlink>
      <w:r>
        <w:t>). Eine Wäscheleine im Freien ist in vielen Mietanlagen und Eigentümergemeinschaften (</w:t>
      </w:r>
      <w:r>
        <w:rPr>
          <w:i/>
          <w:iCs/>
        </w:rPr>
        <w:t>HOA</w:t>
      </w:r>
      <w:r>
        <w:t>) untersagt. Einige Bundesstaaten schützen das Trocknen an der Leine ausdrücklich per Gesetz (</w:t>
      </w:r>
      <w:r>
        <w:rPr>
          <w:i/>
          <w:iCs/>
        </w:rPr>
        <w:t>Right to Dry</w:t>
      </w:r>
      <w:r>
        <w:t>); was bei dir gilt, steht in den Regeln der Anlage und im Recht deines Bundesstaats.</w:t>
      </w:r>
    </w:p>
    <w:p w14:paraId="2334EE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 und was nicht</w:t>
      </w:r>
    </w:p>
    <w:p w14:paraId="40B5F17D" w14:textId="77777777" w:rsidR="001F7233" w:rsidRDefault="00000000">
      <w:pPr>
        <w:spacing w:after="140"/>
      </w:pPr>
      <w:r>
        <w:rPr>
          <w:b/>
          <w:bCs/>
        </w:rPr>
        <w:t>Mitnehmen:</w:t>
      </w:r>
    </w:p>
    <w:p w14:paraId="1EFE258C" w14:textId="77777777" w:rsidR="001F7233" w:rsidRDefault="00000000">
      <w:pPr>
        <w:pStyle w:val="ListParagraph"/>
        <w:numPr>
          <w:ilvl w:val="0"/>
          <w:numId w:val="1"/>
        </w:numPr>
        <w:spacing w:after="60"/>
      </w:pPr>
      <w:r>
        <w:rPr>
          <w:b/>
          <w:bCs/>
        </w:rPr>
        <w:t>Winterjacke:</w:t>
      </w:r>
      <w:r>
        <w:t xml:space="preserve"> In kalten Regionen sinnvoll, vor allem bei Ankunft im Herbst. In Kalifornien oder im Süden reicht eine Übergangsjacke.</w:t>
      </w:r>
    </w:p>
    <w:p w14:paraId="16F33D3C" w14:textId="77777777" w:rsidR="001F7233" w:rsidRDefault="00000000">
      <w:pPr>
        <w:pStyle w:val="ListParagraph"/>
        <w:numPr>
          <w:ilvl w:val="0"/>
          <w:numId w:val="1"/>
        </w:numPr>
        <w:spacing w:after="60"/>
      </w:pPr>
      <w:r>
        <w:rPr>
          <w:b/>
          <w:bCs/>
        </w:rPr>
        <w:t>Hochwertige Schuhe:</w:t>
      </w:r>
      <w:r>
        <w:t xml:space="preserve"> Eingelaufene Lederschuhe, Wanderstiefel und Laufschuhe sind schwer zu ersetzen.</w:t>
      </w:r>
    </w:p>
    <w:p w14:paraId="0C80E451" w14:textId="77777777" w:rsidR="001F7233" w:rsidRDefault="00000000">
      <w:pPr>
        <w:pStyle w:val="ListParagraph"/>
        <w:numPr>
          <w:ilvl w:val="0"/>
          <w:numId w:val="1"/>
        </w:numPr>
        <w:spacing w:after="60"/>
      </w:pPr>
      <w:r>
        <w:rPr>
          <w:b/>
          <w:bCs/>
        </w:rPr>
        <w:t>Business-Kleidung: Ein bis zwei gute Anzüge oder Kostüme mit Hemden und Blusen reichen für Interviews und den Anfang.</w:t>
      </w:r>
    </w:p>
    <w:p w14:paraId="47C3AFC6" w14:textId="77777777" w:rsidR="001F7233" w:rsidRDefault="00000000">
      <w:pPr>
        <w:pStyle w:val="ListParagraph"/>
        <w:numPr>
          <w:ilvl w:val="0"/>
          <w:numId w:val="1"/>
        </w:numPr>
        <w:spacing w:after="60"/>
      </w:pPr>
      <w:r>
        <w:rPr>
          <w:b/>
          <w:bCs/>
        </w:rPr>
        <w:t>Tracht: Dirndl und Lederhose sind bei den vielen amerikanischen Oktoberfesten willkommen, etwa in Cincinnati oder im bayerisch gestalteten Leavenworth (Washington).</w:t>
      </w:r>
    </w:p>
    <w:p w14:paraId="393B092F" w14:textId="77777777" w:rsidR="001F7233" w:rsidRDefault="00000000">
      <w:pPr>
        <w:pStyle w:val="ListParagraph"/>
        <w:numPr>
          <w:ilvl w:val="0"/>
          <w:numId w:val="1"/>
        </w:numPr>
        <w:spacing w:after="60"/>
      </w:pPr>
      <w:r>
        <w:rPr>
          <w:b/>
          <w:bCs/>
        </w:rPr>
        <w:t>Outdoor-Ausrüstung:</w:t>
      </w:r>
      <w:r>
        <w:t xml:space="preserve"> Rucksack, Wanderjacke und Schlafsack sind bewährt und eingelaufen. Fahrräder und Sportgeräte behandelt Kapitel </w:t>
      </w:r>
      <w:hyperlink w:anchor="k21">
        <w:r w:rsidR="001F7233">
          <w:t>21</w:t>
        </w:r>
      </w:hyperlink>
      <w:r>
        <w:t>.</w:t>
      </w:r>
    </w:p>
    <w:p w14:paraId="28DC2A24" w14:textId="77777777" w:rsidR="001F7233" w:rsidRDefault="001F7233">
      <w:pPr>
        <w:spacing w:line="120" w:lineRule="exact"/>
      </w:pPr>
    </w:p>
    <w:p w14:paraId="2149674B" w14:textId="77777777" w:rsidR="001F7233" w:rsidRDefault="00000000">
      <w:pPr>
        <w:spacing w:after="140"/>
      </w:pPr>
      <w:r>
        <w:rPr>
          <w:b/>
          <w:bCs/>
        </w:rPr>
        <w:t>Besser vor Ort kaufen:</w:t>
      </w:r>
      <w:r>
        <w:t xml:space="preserve"> Basics wie T-Shirts, Socken und Unterwäsche, Kinderkleidung und alles für ein Klima, das du noch </w:t>
      </w:r>
      <w:r>
        <w:lastRenderedPageBreak/>
        <w:t>nicht kennst. Umzugsvolumen kostet Geld (Kapitel </w:t>
      </w:r>
      <w:hyperlink w:anchor="k20">
        <w:r w:rsidR="001F7233">
          <w:t>20</w:t>
        </w:r>
      </w:hyperlink>
      <w:r>
        <w:t>). Bettwäsche und Handtücher sind wegen der US-Bettgrößen ein Sonderfall (Kapitel </w:t>
      </w:r>
      <w:hyperlink w:anchor="k21">
        <w:r w:rsidR="001F7233">
          <w:t>21</w:t>
        </w:r>
      </w:hyperlink>
      <w:r>
        <w:t>).</w:t>
      </w:r>
    </w:p>
    <w:p w14:paraId="180C7546" w14:textId="77777777" w:rsidR="001F7233" w:rsidRDefault="00000000">
      <w:r>
        <w:rPr>
          <w:b/>
        </w:rPr>
        <w:t xml:space="preserve">MERKE: </w:t>
      </w:r>
    </w:p>
    <w:p w14:paraId="30FBCDC8" w14:textId="77777777" w:rsidR="001F7233" w:rsidRDefault="00000000">
      <w:r>
        <w:t>• Nimm mit, was schwer zu ersetzen ist (Qualität, Passform, Erinnerung) und kaufe vor Ort, was leicht zu ersetzen ist. Beobachte vier bis sechs Wochen, was in deiner Gegend getragen wird, bevor du eine Garderobe kaufst.</w:t>
      </w:r>
    </w:p>
    <w:p w14:paraId="471232D8" w14:textId="77777777" w:rsidR="001F7233" w:rsidRDefault="001F7233">
      <w:pPr>
        <w:spacing w:line="220" w:lineRule="exact"/>
      </w:pPr>
    </w:p>
    <w:p w14:paraId="203563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Badekleidung, Sauna und Nacktheit</w:t>
      </w:r>
    </w:p>
    <w:p w14:paraId="3B318090" w14:textId="77777777" w:rsidR="001F7233" w:rsidRDefault="00000000">
      <w:pPr>
        <w:spacing w:after="140"/>
      </w:pPr>
      <w:r>
        <w:t>Am öffentlichen Strand, im Freibad und im Hotelpool ist Badebekleidung Pflicht. Männer tragen meist knielange Badeshorts, enge Badehosen sieht man vor allem im Schwimmsport. Oben ohne ist an den meisten Stränden unüblich und vielerorts durch örtliche Vorschriften verboten.</w:t>
      </w:r>
    </w:p>
    <w:p w14:paraId="751DDA5E" w14:textId="77777777" w:rsidR="001F7233" w:rsidRDefault="00000000">
      <w:pPr>
        <w:spacing w:after="140"/>
      </w:pPr>
      <w:r>
        <w:t>Saunen gibt es vor allem in Fitnessstudios, Hotels und Spas und sie sind fast immer Textilsaunen: Du trägst Badebekleidung oder ein Handtuch. In den Umkleiden nutzen viele Einzelduschkabinen. Eine Ausnahme sind koreanische Spas mit nach Geschlecht getrennten Bereichen ohne Kleidung. Gemischte Bereiche verlangen dort Spa-Kleidung.</w:t>
      </w:r>
    </w:p>
    <w:p w14:paraId="154F41FC" w14:textId="77777777" w:rsidR="001F7233" w:rsidRDefault="00000000">
      <w:r>
        <w:rPr>
          <w:b/>
        </w:rPr>
        <w:t xml:space="preserve">ACHTUNG: </w:t>
      </w:r>
    </w:p>
    <w:p w14:paraId="1CA32183" w14:textId="77777777" w:rsidR="001F7233" w:rsidRDefault="00000000">
      <w:r>
        <w:t>• Nacktheit in der Öffentlichkeit ist in den meisten Bundesstaaten und Gemeinden als Indecent Exposure (unsittliche Entblößung) strafbar, manchmal auch im eigenen Garten, wenn Nachbarn es sehen können. FKK ist nur an einzelnen gekennzeichneten Orten erlaubt, etwa im nördlichen Abschnitt von Haulover Beach bei Miami. Ohne Schild gilt: Textil.</w:t>
      </w:r>
    </w:p>
    <w:p w14:paraId="39496493" w14:textId="77777777" w:rsidR="001F7233" w:rsidRDefault="001F7233">
      <w:pPr>
        <w:spacing w:line="220" w:lineRule="exact"/>
      </w:pPr>
    </w:p>
    <w:p w14:paraId="4FA427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Schuhe im Haus</w:t>
      </w:r>
    </w:p>
    <w:p w14:paraId="679BB437" w14:textId="77777777" w:rsidR="001F7233" w:rsidRDefault="00000000">
      <w:pPr>
        <w:spacing w:after="140"/>
      </w:pPr>
      <w:r>
        <w:t>Ob du im Haus die Schuhe ausziehst, ist Sache jedes Haushalts. In vielen Familien, vor allem mit Kleinkindern oder bei Schnee, stehen die Schuhe an der Tür, in anderen bleiben sie an. Achte beim ersten Besuch auf den Eingang oder frag: „Should I take my shoes off?“ Sagt der Gastgeber „Oh, keep them on“, behältst du sie an. Ein Paar heile Socken kann trotzdem nicht schaden.</w:t>
      </w:r>
    </w:p>
    <w:p w14:paraId="5B5D80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Kleidung, Nacktheit und Schuhe im Alltag</w:t>
      </w:r>
    </w:p>
    <w:p w14:paraId="2D04F1B8" w14:textId="77777777" w:rsidR="001F7233" w:rsidRDefault="00000000">
      <w:r>
        <w:rPr>
          <w:b/>
        </w:rPr>
        <w:t>Plus: Große Toleranz im Alltag, Bequemes ist überall akzeptiert</w:t>
      </w:r>
    </w:p>
    <w:p w14:paraId="31B9F8A3" w14:textId="77777777" w:rsidR="001F7233" w:rsidRDefault="00000000">
      <w:r>
        <w:rPr>
          <w:b/>
        </w:rPr>
        <w:t xml:space="preserve">Minus: </w:t>
      </w:r>
      <w:r>
        <w:t>Ungeschriebene Regeln für Job und Anlass; beobachten und fragen</w:t>
      </w:r>
    </w:p>
    <w:p w14:paraId="4684420E" w14:textId="77777777" w:rsidR="001F7233" w:rsidRDefault="00000000">
      <w:r>
        <w:rPr>
          <w:b/>
        </w:rPr>
        <w:t>Plus: Riesige Auswahl, Sales, Off-Price und Second Hand</w:t>
      </w:r>
    </w:p>
    <w:p w14:paraId="5AE6FFCE" w14:textId="77777777" w:rsidR="001F7233" w:rsidRDefault="00000000">
      <w:r>
        <w:rPr>
          <w:b/>
        </w:rPr>
        <w:t xml:space="preserve">Minus: </w:t>
      </w:r>
      <w:r>
        <w:t>Größen schwanken je Marke, Umrechnung bleibt Näherung</w:t>
      </w:r>
    </w:p>
    <w:p w14:paraId="6AF0712D" w14:textId="77777777" w:rsidR="001F7233" w:rsidRDefault="00000000">
      <w:r>
        <w:rPr>
          <w:b/>
        </w:rPr>
        <w:t>Plus: Kulante Rückgabe bei vielen Ketten</w:t>
      </w:r>
    </w:p>
    <w:p w14:paraId="2532C868" w14:textId="77777777" w:rsidR="001F7233" w:rsidRDefault="00000000">
      <w:r>
        <w:rPr>
          <w:b/>
        </w:rPr>
        <w:t xml:space="preserve">Minus: </w:t>
      </w:r>
      <w:r>
        <w:t>Kein gesetzliches Widerrufsrecht, jede Kette hat eigene Regeln</w:t>
      </w:r>
    </w:p>
    <w:p w14:paraId="283EF767" w14:textId="77777777" w:rsidR="001F7233" w:rsidRDefault="00000000">
      <w:r>
        <w:rPr>
          <w:b/>
        </w:rPr>
        <w:t>Plus: Gute Outdoor- und Arbeitskleidung</w:t>
      </w:r>
    </w:p>
    <w:p w14:paraId="12A5F80C" w14:textId="77777777" w:rsidR="001F7233" w:rsidRDefault="00000000">
      <w:r>
        <w:rPr>
          <w:b/>
        </w:rPr>
        <w:t xml:space="preserve">Minus: </w:t>
      </w:r>
      <w:r>
        <w:t>Heißer Trockner schadet Wolle und Funktionskleidung</w:t>
      </w:r>
    </w:p>
    <w:p w14:paraId="04299EBC" w14:textId="77777777" w:rsidR="001F7233" w:rsidRDefault="00000000">
      <w:r>
        <w:rPr>
          <w:b/>
        </w:rPr>
        <w:t>Plus: Gebrauchtes zu kaufen ist völlig normal</w:t>
      </w:r>
    </w:p>
    <w:p w14:paraId="4BBB3284" w14:textId="77777777" w:rsidR="001F7233" w:rsidRDefault="00000000">
      <w:r>
        <w:rPr>
          <w:b/>
        </w:rPr>
        <w:t xml:space="preserve">Minus: </w:t>
      </w:r>
      <w:r>
        <w:t>Verkaufssteuer kommt erst an der Kasse dazu</w:t>
      </w:r>
    </w:p>
    <w:p w14:paraId="678DCFD6" w14:textId="77777777" w:rsidR="001F7233" w:rsidRDefault="00000000">
      <w:r>
        <w:rPr>
          <w:b/>
        </w:rPr>
        <w:t>Plus: Viel Spielraum bei Arbeitgebern und Schulen</w:t>
      </w:r>
    </w:p>
    <w:p w14:paraId="466B356F" w14:textId="77777777" w:rsidR="001F7233" w:rsidRDefault="00000000">
      <w:r>
        <w:rPr>
          <w:b/>
        </w:rPr>
        <w:t xml:space="preserve">Minus: </w:t>
      </w:r>
      <w:r>
        <w:t>Klimaanlagen kühlen Büros im Sommer stark herunter</w:t>
      </w:r>
    </w:p>
    <w:p w14:paraId="19EDC45C" w14:textId="77777777" w:rsidR="001F7233" w:rsidRDefault="001F7233">
      <w:pPr>
        <w:spacing w:line="180" w:lineRule="exact"/>
      </w:pPr>
    </w:p>
    <w:p w14:paraId="5192B9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4E3CA5C" w14:textId="77777777" w:rsidR="001F7233" w:rsidRDefault="00000000">
      <w:pPr>
        <w:spacing w:after="140"/>
      </w:pPr>
      <w:r>
        <w:t xml:space="preserve">Frag Arbeitgeber und Schule nach dem Üblichen, notiere deine Maße in Zoll und entscheide, was in Koffer oder Container kommt. Kaufe in </w:t>
      </w:r>
      <w:r>
        <w:lastRenderedPageBreak/>
        <w:t>den ersten Wochen nur das Nötigste, bis du siehst, was in deiner Region getragen wird.</w:t>
      </w:r>
    </w:p>
    <w:p w14:paraId="31D6D0E3" w14:textId="77777777" w:rsidR="001F7233" w:rsidRDefault="00000000">
      <w:r>
        <w:t>• Beim Arbeitgeber nach dem Dresscode gefragt, auch für das Vorstellungsgespräch</w:t>
      </w:r>
    </w:p>
    <w:p w14:paraId="1918676A" w14:textId="77777777" w:rsidR="001F7233" w:rsidRDefault="00000000">
      <w:r>
        <w:t>• Maße in Zoll notiert: Brust, Taille, Hüfte, Schrittlänge, Fußlänge, dazu die Kindergrößen</w:t>
      </w:r>
    </w:p>
    <w:p w14:paraId="584403E8" w14:textId="77777777" w:rsidR="001F7233" w:rsidRDefault="00000000">
      <w:r>
        <w:t>• Entschieden: Winterjacke, gute Schuhe, Business-Outfits, Tracht und Outdoor-Ausrüstung</w:t>
      </w:r>
    </w:p>
    <w:p w14:paraId="4456B02D" w14:textId="77777777" w:rsidR="001F7233" w:rsidRDefault="00000000">
      <w:r>
        <w:t>• Kinderkleidung nicht in Mengen eingepackt, sondern für den Kauf vor Ort eingeplant</w:t>
      </w:r>
    </w:p>
    <w:p w14:paraId="4CB18078" w14:textId="77777777" w:rsidR="001F7233" w:rsidRDefault="00000000">
      <w:r>
        <w:t>• Dresscode und Winterregeln im Schülerhandbuch gelesen</w:t>
      </w:r>
    </w:p>
    <w:p w14:paraId="509A586E" w14:textId="77777777" w:rsidR="001F7233" w:rsidRDefault="00000000">
      <w:r>
        <w:t>• Bei der Wohnungssuche geklärt: Waschmaschine und Trockner in Wohnung oder Haus?</w:t>
      </w:r>
    </w:p>
    <w:p w14:paraId="4C3F4FD3" w14:textId="77777777" w:rsidR="001F7233" w:rsidRDefault="00000000">
      <w:r>
        <w:t>• Sonnenschutz und Regenjacke eingeplant, Kassenbons bis zum Ende der Rückgabefrist aufbewahrt</w:t>
      </w:r>
    </w:p>
    <w:p w14:paraId="33E61FA7" w14:textId="77777777" w:rsidR="001F7233" w:rsidRDefault="001F7233">
      <w:pPr>
        <w:spacing w:line="220" w:lineRule="exact"/>
      </w:pPr>
    </w:p>
    <w:p w14:paraId="1E5926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D355E14" w14:textId="77777777" w:rsidR="001F7233" w:rsidRDefault="00000000">
      <w:pPr>
        <w:pStyle w:val="ListParagraph"/>
        <w:numPr>
          <w:ilvl w:val="0"/>
          <w:numId w:val="1"/>
        </w:numPr>
        <w:spacing w:after="60"/>
      </w:pPr>
      <w:r>
        <w:t>US-Bildungsstatistik (NCES) — Schuluniformen an öffentlichen Schulen (</w:t>
      </w:r>
      <w:hyperlink r:id="rId462">
        <w:r w:rsidR="001F7233">
          <w:rPr>
            <w:color w:val="0563C1"/>
            <w:u w:val="single"/>
          </w:rPr>
          <w:t>nces.ed.gov/fastfacts</w:t>
        </w:r>
      </w:hyperlink>
      <w:r>
        <w:t>)</w:t>
      </w:r>
    </w:p>
    <w:p w14:paraId="63670506" w14:textId="77777777" w:rsidR="001F7233" w:rsidRDefault="00000000">
      <w:pPr>
        <w:pStyle w:val="ListParagraph"/>
        <w:numPr>
          <w:ilvl w:val="0"/>
          <w:numId w:val="1"/>
        </w:numPr>
        <w:spacing w:after="60"/>
      </w:pPr>
      <w:r>
        <w:t>Verbraucherschutzbehörde CPSC — Vorschriften für Kinderschlafkleidung (</w:t>
      </w:r>
      <w:hyperlink r:id="rId463">
        <w:r w:rsidR="001F7233">
          <w:rPr>
            <w:color w:val="0563C1"/>
            <w:u w:val="single"/>
          </w:rPr>
          <w:t>cpsc.gov</w:t>
        </w:r>
      </w:hyperlink>
      <w:r>
        <w:t>)</w:t>
      </w:r>
    </w:p>
    <w:p w14:paraId="02389645" w14:textId="77777777" w:rsidR="001F7233" w:rsidRDefault="00000000">
      <w:pPr>
        <w:pStyle w:val="ListParagraph"/>
        <w:numPr>
          <w:ilvl w:val="0"/>
          <w:numId w:val="1"/>
        </w:numPr>
        <w:spacing w:after="60"/>
      </w:pPr>
      <w:r>
        <w:t>Handelsbehörde FTC — Pflegekennzeichnung von Kleidung, Care Labeling Rule (</w:t>
      </w:r>
      <w:hyperlink r:id="rId464">
        <w:r w:rsidR="001F7233">
          <w:rPr>
            <w:color w:val="0563C1"/>
            <w:u w:val="single"/>
          </w:rPr>
          <w:t>ftc.gov</w:t>
        </w:r>
      </w:hyperlink>
      <w:r>
        <w:t>)</w:t>
      </w:r>
    </w:p>
    <w:p w14:paraId="4FE9756F" w14:textId="77777777" w:rsidR="001F7233" w:rsidRDefault="00000000">
      <w:pPr>
        <w:pStyle w:val="ListParagraph"/>
        <w:numPr>
          <w:ilvl w:val="0"/>
          <w:numId w:val="1"/>
        </w:numPr>
        <w:spacing w:after="60"/>
      </w:pPr>
      <w:r>
        <w:t>Nationaler Wetterdienst (NWS) — Windchill-Tabelle (</w:t>
      </w:r>
      <w:hyperlink r:id="rId465">
        <w:r w:rsidR="001F7233">
          <w:rPr>
            <w:color w:val="0563C1"/>
            <w:u w:val="single"/>
          </w:rPr>
          <w:t>weather.gov/safety/cold-wind-chill-chart</w:t>
        </w:r>
      </w:hyperlink>
      <w:r>
        <w:t>)</w:t>
      </w:r>
    </w:p>
    <w:p w14:paraId="4A4B0F26" w14:textId="77777777" w:rsidR="001F7233" w:rsidRDefault="00000000">
      <w:pPr>
        <w:pStyle w:val="ListParagraph"/>
        <w:numPr>
          <w:ilvl w:val="0"/>
          <w:numId w:val="1"/>
        </w:numPr>
        <w:spacing w:after="60"/>
      </w:pPr>
      <w:r>
        <w:t>American Academy of Dermatology — Sonnenschutz (</w:t>
      </w:r>
      <w:hyperlink r:id="rId466">
        <w:r w:rsidR="001F7233">
          <w:rPr>
            <w:color w:val="0563C1"/>
            <w:u w:val="single"/>
          </w:rPr>
          <w:t>aad.org</w:t>
        </w:r>
      </w:hyperlink>
      <w:r>
        <w:t>)</w:t>
      </w:r>
    </w:p>
    <w:p w14:paraId="3C90FDE5" w14:textId="77777777" w:rsidR="001F7233" w:rsidRDefault="00000000">
      <w:pPr>
        <w:pStyle w:val="ListParagraph"/>
        <w:numPr>
          <w:ilvl w:val="0"/>
          <w:numId w:val="1"/>
        </w:numPr>
        <w:spacing w:after="60"/>
      </w:pPr>
      <w:r>
        <w:t>Finanzbehörden der Bundesstaaten — Verkaufssteuer auf Kleidung, z. B. New York (</w:t>
      </w:r>
      <w:hyperlink r:id="rId467">
        <w:r w:rsidR="001F7233">
          <w:rPr>
            <w:color w:val="0563C1"/>
            <w:u w:val="single"/>
          </w:rPr>
          <w:t>tax.ny.gov</w:t>
        </w:r>
      </w:hyperlink>
      <w:r>
        <w:t>) und Massachusetts (</w:t>
      </w:r>
      <w:hyperlink r:id="rId468">
        <w:r w:rsidR="001F7233">
          <w:rPr>
            <w:color w:val="0563C1"/>
            <w:u w:val="single"/>
          </w:rPr>
          <w:t>mass.gov/dor</w:t>
        </w:r>
      </w:hyperlink>
      <w:r>
        <w:t>)</w:t>
      </w:r>
    </w:p>
    <w:p w14:paraId="216912E9" w14:textId="77777777" w:rsidR="001F7233" w:rsidRDefault="00000000">
      <w:pPr>
        <w:spacing w:line="120" w:lineRule="exact"/>
      </w:pPr>
      <w:r>
        <w:br w:type="page"/>
      </w:r>
    </w:p>
    <w:p w14:paraId="57072A84" w14:textId="77777777" w:rsidR="001F7233" w:rsidRDefault="00000000">
      <w:pPr>
        <w:pStyle w:val="Heading3"/>
        <w:keepNext/>
        <w:spacing w:line="341" w:lineRule="auto"/>
        <w:jc w:val="center"/>
      </w:pPr>
      <w:bookmarkStart w:id="70" w:name="s42"/>
      <w:r>
        <w:rPr>
          <w:rFonts w:ascii="Amazon Ember" w:eastAsia="Amazon Ember" w:hAnsi="Amazon Ember" w:cs="Amazon Ember"/>
          <w:color w:val="0000FF"/>
          <w:sz w:val="30"/>
          <w:szCs w:val="30"/>
        </w:rPr>
        <w:lastRenderedPageBreak/>
        <w:t>Kleidung Kanada</w:t>
      </w:r>
      <w:bookmarkEnd w:id="70"/>
    </w:p>
    <w:p w14:paraId="48F6F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46002CB7" w14:textId="77777777" w:rsidR="001F7233" w:rsidRDefault="00000000">
      <w:pPr>
        <w:spacing w:after="140"/>
      </w:pPr>
      <w:r>
        <w:t>Wie in den USA gilt in kanadischen Büros meist Business Casual oder lockerer. Außer in Banken, Kanzleien und bei Gerichtsterminen ist ein Anzug eher die Ausnahme. Der spürbarste Unterschied zu den USA ist nicht der Dresscode, sondern das Klima: Kanada zwingt zu einer ernsthaften Winterausstattung, die in den meisten US-Bundesstaaten außer dem Norden niemand braucht.</w:t>
      </w:r>
    </w:p>
    <w:p w14:paraId="0FC042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5DCB74D0" w14:textId="77777777" w:rsidR="001F7233" w:rsidRDefault="00000000">
      <w:pPr>
        <w:spacing w:after="140"/>
      </w:pPr>
      <w:r>
        <w:t>Schuluniformen sind an kanadischen öffentlichen Schulen die Ausnahme, an privaten und katholischen Schulen dagegen üblich. Wie in den USA gilt „kostenlos“ nur für den Unterricht. Für Sportuniformen, Musikinstrumente und Exkursionen fällt eine „freiwillige“ Schulgebühr an (mehr dazu: Kapitel zu Kindern, Schule und Sprache im Kanada-Teil). Wichtiger als die Uniform ist die Winterausrüstung für den Schulweg: Schneehose, wasserdichte Winterstiefel, Fäustlinge statt Fingerhandschuhe für sehr kalte Tage und eine Mütze, die Ohren bedeckt. Viele Schulen schicken Kinder bis weit in den Winter hinein zur Pause nach draußen.</w:t>
      </w:r>
    </w:p>
    <w:p w14:paraId="614D3A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w:t>
      </w:r>
    </w:p>
    <w:p w14:paraId="6AD22837" w14:textId="77777777" w:rsidR="001F7233" w:rsidRDefault="00000000">
      <w:pPr>
        <w:spacing w:after="140"/>
      </w:pPr>
      <w:r>
        <w:rPr>
          <w:i/>
          <w:iCs/>
        </w:rPr>
        <w:t>Kanada mischt US- und metrische Größen: Kleidung trägt oft US-Größen (Damen 0–16, Herren in Zoll), während Schuhe teils in US-, teils in UK-Größen ausgezeichnet sind. Ein Blick auf die cm-Angabe im Etikett schafft Klarheit, wo sie vorhanden ist. Wichtig für den Kleidungskauf: Kanadisches Recht (Textile Labelling Act) verlangt zweisprachige Pflegeetiketten in Englisch und Französisch, unabhängig von der Provinz.</w:t>
      </w:r>
    </w:p>
    <w:p w14:paraId="1B5DA6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 Steuern</w:t>
      </w:r>
    </w:p>
    <w:p w14:paraId="72C8E173" w14:textId="77777777" w:rsidR="001F7233" w:rsidRDefault="00000000">
      <w:pPr>
        <w:spacing w:after="140"/>
      </w:pPr>
      <w:r>
        <w:t>Neben US-Ketten wie Costco, Old Navy und Winners (die kanadische Variante von TJ Maxx) ist Canadian Tire für Winterausrüstung, Arbeitskleidung und Gummistiefel eine feste Adresse, Value Village die bekannteste Second-Hand-Kette. Ob auf Kleidung Verkaufssteuer anfällt, hängt von der Provinz ab: Alberta erhebt gar keine Provinzsteuer, Ontario befreit Kinderkleidung und -schuhe unter einer bestimmten Größe von seinem Provinzanteil der HST, British Columbia und Québec besteuern Kleidung regulär. Die genaue Regel deiner Provinz steht auf der Seite ihrer Steuerbehörde.</w:t>
      </w:r>
    </w:p>
    <w:p w14:paraId="1F7DE3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3B7B4CE6" w14:textId="77777777" w:rsidR="001F7233" w:rsidRDefault="00000000">
      <w:pPr>
        <w:spacing w:after="140"/>
      </w:pPr>
      <w:r>
        <w:t>Das Schichtenprinzip aus dem USA-Abschnitt gilt in Kanada noch dringlicher: Basisschicht, wärmende Mittelschicht, winddichte Außenschicht. In weiten Teilen Kanadas – Prairie-Provinzen, Québec, Ontario außer der Großstädte. Unterschreiten die Temperaturen im Januar regelmäßig −20 °C, mit Windchill-Werten, die Erfrierungsgefahr binnen Minuten bedeuten können. Ein echter Winterparka (bis etwa −30 °C ausgelegt), isolierte Winterstiefel und Fäustlinge sind keine Kür, sondern Pflicht. An der Westküste (Vancouver) und im Süden Ontarios fällt der Winter deutlich milder aus, dafür regnet es dort häufiger.</w:t>
      </w:r>
    </w:p>
    <w:p w14:paraId="0441E6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w:t>
      </w:r>
    </w:p>
    <w:p w14:paraId="6F3D38DF" w14:textId="77777777" w:rsidR="001F7233" w:rsidRDefault="00000000">
      <w:pPr>
        <w:spacing w:after="140"/>
      </w:pPr>
      <w:r>
        <w:t>Mitnehmen lohnt sich vor allem bei Outdoor-Ausrüstung und eingelaufenen Wanderschuhen. Einen hochwertigen Winterparka kaufst du dagegen besser vor Ort, weil kanadische Marken (Canada Goose, Arc’teryx und preisgünstigere Alternativen bei Canadian Tire oder Costco) gezielt auf das dortige Klima ausgelegt sind und die Auswahl größer ist.</w:t>
      </w:r>
      <w:r>
        <w:br w:type="page"/>
      </w:r>
    </w:p>
    <w:p w14:paraId="1ABBB1E8" w14:textId="77777777" w:rsidR="001F7233" w:rsidRDefault="00000000">
      <w:pPr>
        <w:pStyle w:val="Heading3"/>
        <w:keepNext/>
        <w:spacing w:line="341" w:lineRule="auto"/>
        <w:jc w:val="center"/>
      </w:pPr>
      <w:bookmarkStart w:id="71" w:name="s43"/>
      <w:r>
        <w:rPr>
          <w:rFonts w:ascii="Amazon Ember" w:eastAsia="Amazon Ember" w:hAnsi="Amazon Ember" w:cs="Amazon Ember"/>
          <w:color w:val="0000FF"/>
          <w:sz w:val="30"/>
          <w:szCs w:val="30"/>
        </w:rPr>
        <w:lastRenderedPageBreak/>
        <w:t>Kleidung Australien</w:t>
      </w:r>
      <w:bookmarkEnd w:id="71"/>
    </w:p>
    <w:p w14:paraId="2DA4E4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29DFE151" w14:textId="77777777" w:rsidR="001F7233" w:rsidRDefault="00000000">
      <w:pPr>
        <w:spacing w:after="140"/>
      </w:pPr>
      <w:r>
        <w:t>Australische Büros sind, wie in den USA und Kanada, überwiegend leger: Business Casual ist Standard, und Flip-Flops. In Australien „thongs“ genannt, ein Wort, das anderswo etwas ganz anderes bedeutet. Sind selbst beim Bankbesuch ein normaler Anblick (mehr zum Alltagsstil: Kapitel zur Alltagskultur im Australien-Teil). Was den australischen Kleidungsalltag wirklich prägt, ist nicht der Dresscode, sondern die Sonne.</w:t>
      </w:r>
    </w:p>
    <w:p w14:paraId="0CD3A4D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Sonnenschutz: keine Option, sondern Alltag</w:t>
      </w:r>
    </w:p>
    <w:p w14:paraId="2E67795D" w14:textId="77777777" w:rsidR="001F7233" w:rsidRDefault="00000000">
      <w:pPr>
        <w:spacing w:after="140"/>
      </w:pPr>
      <w:r>
        <w:t>Australien hat die höchste Hautkrebsrate der Welt und das zeigt sich in der Kleidung: Die staatliche Kampagne „Slip, Slop, Slap, Seek, Slide“ (Shirt anziehen, Sonnencreme auftragen, Hut aufsetzen, Schatten suchen, Sonnenbrille tragen) ist Allgemeinwissen, nicht Werbesprache. Schulen verlangen fast überall Sonnenhüte nach dem „No Hat, No Play“-Prinzip. Ohne Hut keine Pause im Freien. UPF-Kleidung (Lichtschutzfaktor von Textilien) ist im normalen Handel üblich, nicht nur bei Outdoor-Spezialisten und ein breitkrempiger Hut gehört für Kinder zur Standardausstattung, nicht zum Extra.</w:t>
      </w:r>
    </w:p>
    <w:p w14:paraId="52A7B3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069F64F1" w14:textId="77777777" w:rsidR="001F7233" w:rsidRDefault="00000000">
      <w:pPr>
        <w:spacing w:after="140"/>
      </w:pPr>
      <w:r>
        <w:t>Schuluniformen sind an staatlichen wie privaten Schulen die Regel, inklusive Sonnenhut und oft einer eigenen Sportuniform (mehr dazu und zu den Kosten: Kapitel zu Kindern, Schule und Sprache im Australien-Teil). Für die Grundausstattung lohnt sich der Second-Hand-Markt der Schule.</w:t>
      </w:r>
    </w:p>
    <w:p w14:paraId="2BF020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w14:paraId="362296B7" w14:textId="77777777" w:rsidR="001F7233" w:rsidRDefault="00000000">
      <w:pPr>
        <w:spacing w:after="140"/>
      </w:pPr>
      <w:r>
        <w:t>Australische Kleidergrößen folgen dem britischen System, nicht dem amerikanischen: Eine australische Damengröße 10 entspricht etwa einer deutschen Größe 38, eine US-Größe 10 dagegen eher einer deutschen 40. Schuhe werden meist in AU/UK-Größen ausgezeichnet, die von US-Größen leicht abweichen (AU/UK-Herrengröße 9 ≈ US-Größe 10). Beim Online-Kauf bei US-Anbietern lohnt daher immer der Blick auf die cm-Angabe im Etikett.</w:t>
      </w:r>
    </w:p>
    <w:p w14:paraId="67FCCC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w14:paraId="684640F9" w14:textId="77777777" w:rsidR="001F7233" w:rsidRDefault="00000000">
      <w:pPr>
        <w:spacing w:after="140"/>
      </w:pPr>
      <w:r>
        <w:rPr>
          <w:i/>
          <w:iCs/>
        </w:rPr>
        <w:t>Kmart und Target Australia (unabhängig vom US-Target) sind die Anlaufstellen für günstige Basics und Kinderkleidung, Big W ebenso. Op-Shops (Second-Hand-Läden von Wohlfahrtsorganisationen wie Vinnies oder der Salvos) sind gesellschaftlich völlig normal und oft die günstigste Quelle für Kinderkleidung und Verkleidungen. Ein gesetzliches Widerrufsrecht wie in Deutschland gibt es auch hier nicht, dafür garantiert das Australian Consumer Law bei tatsächlich fehlerhafter Ware einen Anspruch auf Reparatur, Ersatz oder Erstattung, unabhängig von der Kulanzregel des Händlers.</w:t>
      </w:r>
    </w:p>
    <w:p w14:paraId="6A378F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707637E9" w14:textId="77777777" w:rsidR="001F7233" w:rsidRDefault="00000000">
      <w:pPr>
        <w:spacing w:after="140"/>
      </w:pPr>
      <w:r>
        <w:t>Das Klima reicht von tropisch (Darwin, Cairns) über subtropisch-feucht (Brisbane) und gemäßigt-wechselhaft (Melbourne, mit seinem sprichwörtlichen „four seasons in one day“) bis gemäßigt-trocken (Adelaide, Perth) und alpin in den Bergen Victorias und New South Wales’ im Winter. Leichte, luftige, UV-schützende Kleidung ist über weite Teile des Jahres Standard. Eine echte Winterjacke brauchst du nur in den südlichen Bundesstaaten und dort nur für wenige Wochen.</w:t>
      </w:r>
    </w:p>
    <w:p w14:paraId="024BCCF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Baden</w:t>
      </w:r>
    </w:p>
    <w:p w14:paraId="31033284" w14:textId="77777777" w:rsidR="001F7233" w:rsidRDefault="00000000">
      <w:pPr>
        <w:spacing w:after="140"/>
      </w:pPr>
      <w:r>
        <w:t>Am Strand ist Badebekleidung Pflicht, oben ohne ist an einigen ausgewiesenen Stränden (etwa Teilen von Sydneys South Head oder Victorias Strände mit entsprechender Kennzeichnung) toleriert, bundesweit einheitlich geregelt ist das nicht. FKK ist, wie in den USA, nur an einzelnen gekennzeichneten Orten erlaubt.</w:t>
      </w:r>
      <w:r>
        <w:br w:type="page"/>
      </w:r>
    </w:p>
    <w:p w14:paraId="62B5C56C" w14:textId="77777777" w:rsidR="001F7233" w:rsidRDefault="00000000">
      <w:pPr>
        <w:pStyle w:val="Heading3"/>
        <w:keepNext/>
        <w:spacing w:line="341" w:lineRule="auto"/>
        <w:jc w:val="center"/>
      </w:pPr>
      <w:bookmarkStart w:id="72" w:name="s44"/>
      <w:r>
        <w:rPr>
          <w:rFonts w:ascii="Amazon Ember" w:eastAsia="Amazon Ember" w:hAnsi="Amazon Ember" w:cs="Amazon Ember"/>
          <w:color w:val="0000FF"/>
          <w:sz w:val="30"/>
          <w:szCs w:val="30"/>
        </w:rPr>
        <w:lastRenderedPageBreak/>
        <w:t>Kleidung Neuseeland</w:t>
      </w:r>
      <w:bookmarkEnd w:id="72"/>
    </w:p>
    <w:p w14:paraId="7263BE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778CBDD9" w14:textId="77777777" w:rsidR="001F7233" w:rsidRDefault="00000000">
      <w:pPr>
        <w:spacing w:after="140"/>
      </w:pPr>
      <w:r>
        <w:t>Neuseeland ist, wie im Kapitel zur Alltagskultur beschrieben, eines der informellsten Länder dieses Buches: Außer in Kanzleien und Banken wird ein Anzug nur selten erwartet, und der Umgangston passt zur Kleidung. Was dagegen auffällt: Gummistiefel (meist die Marke Red Band) sind nicht nur Landarbeits-, sondern durchaus auch Alltagskleidung, besonders außerhalb der großen Städte.</w:t>
      </w:r>
    </w:p>
    <w:p w14:paraId="6D5C29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Sprachliche Fallen: Togs, Jandals, Jumper</w:t>
      </w:r>
    </w:p>
    <w:p w14:paraId="03BDE843" w14:textId="77777777" w:rsidR="001F7233" w:rsidRDefault="00000000">
      <w:pPr>
        <w:spacing w:after="140"/>
      </w:pPr>
      <w:r>
        <w:t>Wie in Australien unterscheidet sich das englische Vokabular für Kleidung von US- und UK-Englisch: Badebekleidung heißt „togs“ (nicht „swimsuit“ oder „bathers“), Flip-Flops heißen „jandals“ (nicht „thongs“ wie in Australien), ein Pullover ist ein „jumper“. Wer mit US-Englisch aus der Schule kommt, versteht sich trotzdem, braucht aber beim ersten Einkauf etwas Geduld.</w:t>
      </w:r>
    </w:p>
    <w:p w14:paraId="27840D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0FF3E830" w14:textId="77777777" w:rsidR="001F7233" w:rsidRDefault="00000000">
      <w:pPr>
        <w:spacing w:after="140"/>
      </w:pPr>
      <w:r>
        <w:t>Schuluniformen sind an staatlichen wie privaten Schulen praktisch überall üblich (ausführlich, inklusive Kosten: Kapitel zu Kindern, Schule und Sprache im Neuseeland-Teil). Für Sonnenschutz gilt dieselbe Ernsthaftigkeit wie in Australien: Neuseeland hat eine der höchsten Hautkrebsraten weltweit, Schulen verlangen meist Sonnenhüte in der warmen Jahreszeit.</w:t>
      </w:r>
    </w:p>
    <w:p w14:paraId="1B1F20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w14:paraId="142DB427" w14:textId="77777777" w:rsidR="001F7233" w:rsidRDefault="00000000">
      <w:pPr>
        <w:spacing w:after="140"/>
      </w:pPr>
      <w:r>
        <w:t>Wie Australien folgt Neuseeland dem britischen Größensystem, nicht dem amerikanischen. Dieselben Umrechnungen wie im Australien-Abschnitt gelten auch hier (NZ-Damengröße 10 ≈ deutsche 38).</w:t>
      </w:r>
    </w:p>
    <w:p w14:paraId="3864E8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w14:paraId="1241EA84" w14:textId="77777777" w:rsidR="001F7233" w:rsidRDefault="00000000">
      <w:pPr>
        <w:spacing w:after="140"/>
      </w:pPr>
      <w:r>
        <w:rPr>
          <w:i/>
          <w:iCs/>
        </w:rPr>
        <w:t>Kmart und The Warehouse sind die Anlaufstellen für günstige Basics, Op-Shops (Second-Hand) sind. Wie in Australien – gesellschaftlich normal und verbreitet, oft angeschlossen an wohltätige Organisationen wie das Hospiz. Merinowolle aus heimischer Produktion (Marken wie Icebreaker oder Macpac) ist hochwertig, aber teurer als Importware und lohnt sich vor allem für Outdoor- und Winterkleidung. Das Consumer Guarantees Act garantiert, ähnlich wie in Australien, einen Mindeststandard unabhängig von der Kulanz des Händlers.</w:t>
      </w:r>
    </w:p>
    <w:p w14:paraId="05CE78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5CF0FF2B" w14:textId="77777777" w:rsidR="001F7233" w:rsidRDefault="00000000">
      <w:pPr>
        <w:spacing w:after="140"/>
      </w:pPr>
      <w:r>
        <w:t>Neuseeland ist, wie Melbourne, berühmt für sein wechselhaftes Wetter. „four seasons in one day“ gilt hier ebenso wie in Victoria, besonders in Wellington mit seinem Wind. Das Schichtenprinzip ist Standard. Der Süden der Südinsel (Queenstown, Dunedin) bringt echte Winter mit Schnee, der Norden der Nordinsel (Auckland, Northland) bleibt meist mild bis subtropisch. Eine gute Regenjacke ist landesweit wichtiger als eine Winterjacke.</w:t>
      </w:r>
    </w:p>
    <w:p w14:paraId="2479F1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 (Kanada, Australien, Neuseeland)</w:t>
      </w:r>
    </w:p>
    <w:p w14:paraId="7530F15D" w14:textId="77777777" w:rsidR="001F7233" w:rsidRDefault="00000000">
      <w:pPr>
        <w:spacing w:after="140"/>
      </w:pPr>
      <w:r>
        <w:t xml:space="preserve">Frag beim neuen Arbeitgeber nach dem Dresscode, notiere deine Maße und das passende Größensystem (US für Kanada, UK-basiert </w:t>
      </w:r>
      <w:r>
        <w:lastRenderedPageBreak/>
        <w:t>für Australien und Neuseeland) und entscheide, was mit Container oder Koffer kommt. Für Kanada auch: Winterausrüstung vor dem ersten Winter vollständig besorgt, nicht erst, wenn die Kälte schon da ist. Für Australien und Neuseeland auch: Sonnenhut und UPF-Kleidung für Kinder von Anfang an einplanen, nicht erst nachkaufen.</w:t>
      </w:r>
    </w:p>
    <w:p w14:paraId="71A871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 (Kanada, Australien, Neuseeland)</w:t>
      </w:r>
    </w:p>
    <w:p w14:paraId="66099C17" w14:textId="77777777" w:rsidR="001F7233" w:rsidRDefault="00000000">
      <w:pPr>
        <w:pStyle w:val="ListParagraph"/>
        <w:numPr>
          <w:ilvl w:val="0"/>
          <w:numId w:val="1"/>
        </w:numPr>
        <w:spacing w:after="60"/>
      </w:pPr>
      <w:r>
        <w:t>Kanada: Competition Bureau / Textile Labelling Act — zweisprachige Pflegeetiketten (</w:t>
      </w:r>
      <w:hyperlink r:id="rId469">
        <w:r w:rsidR="001F7233">
          <w:rPr>
            <w:color w:val="0563C1"/>
            <w:u w:val="single"/>
          </w:rPr>
          <w:t>ised-isde.canada.ca</w:t>
        </w:r>
      </w:hyperlink>
      <w:r>
        <w:t>)</w:t>
      </w:r>
    </w:p>
    <w:p w14:paraId="19B5FDBE" w14:textId="77777777" w:rsidR="001F7233" w:rsidRDefault="00000000">
      <w:pPr>
        <w:pStyle w:val="ListParagraph"/>
        <w:numPr>
          <w:ilvl w:val="0"/>
          <w:numId w:val="1"/>
        </w:numPr>
        <w:spacing w:after="60"/>
      </w:pPr>
      <w:r>
        <w:t>Kanada: Environment and Climate Change Canada — Windchill-Warnstufen (</w:t>
      </w:r>
      <w:hyperlink r:id="rId470">
        <w:r w:rsidR="001F7233">
          <w:rPr>
            <w:color w:val="0563C1"/>
            <w:u w:val="single"/>
          </w:rPr>
          <w:t>canada.ca/en/environment-climate-change</w:t>
        </w:r>
      </w:hyperlink>
      <w:r>
        <w:t>)</w:t>
      </w:r>
    </w:p>
    <w:p w14:paraId="75D41E43" w14:textId="77777777" w:rsidR="001F7233" w:rsidRDefault="00000000">
      <w:pPr>
        <w:pStyle w:val="ListParagraph"/>
        <w:numPr>
          <w:ilvl w:val="0"/>
          <w:numId w:val="1"/>
        </w:numPr>
        <w:spacing w:after="60"/>
      </w:pPr>
      <w:r>
        <w:t>Australien: SunSmart / Cancer Council — Slip, Slop, Slap, Seek, Slide (</w:t>
      </w:r>
      <w:hyperlink r:id="rId471">
        <w:r w:rsidR="001F7233">
          <w:rPr>
            <w:color w:val="0563C1"/>
            <w:u w:val="single"/>
          </w:rPr>
          <w:t>sunsmart.com.au</w:t>
        </w:r>
      </w:hyperlink>
      <w:r>
        <w:t>)</w:t>
      </w:r>
    </w:p>
    <w:p w14:paraId="6599F20A" w14:textId="77777777" w:rsidR="001F7233" w:rsidRDefault="00000000">
      <w:pPr>
        <w:pStyle w:val="ListParagraph"/>
        <w:numPr>
          <w:ilvl w:val="0"/>
          <w:numId w:val="1"/>
        </w:numPr>
        <w:spacing w:after="60"/>
      </w:pPr>
      <w:r>
        <w:t>Australien: Australian Competition and Consumer Commission (ACCC) — Australian Consumer Law, Garantierechte (</w:t>
      </w:r>
      <w:hyperlink r:id="rId472">
        <w:r w:rsidR="001F7233">
          <w:rPr>
            <w:color w:val="0563C1"/>
            <w:u w:val="single"/>
          </w:rPr>
          <w:t>accc.gov.au</w:t>
        </w:r>
      </w:hyperlink>
      <w:r>
        <w:t>)</w:t>
      </w:r>
    </w:p>
    <w:p w14:paraId="5DE753A8" w14:textId="77777777" w:rsidR="001F7233" w:rsidRDefault="00000000">
      <w:pPr>
        <w:pStyle w:val="ListParagraph"/>
        <w:numPr>
          <w:ilvl w:val="0"/>
          <w:numId w:val="1"/>
        </w:numPr>
        <w:spacing w:after="60"/>
      </w:pPr>
      <w:r>
        <w:t>Neuseeland: Sun Smart / Health New Zealand — Sonnenschutz an Schulen (</w:t>
      </w:r>
      <w:hyperlink r:id="rId473">
        <w:r w:rsidR="001F7233">
          <w:rPr>
            <w:color w:val="0563C1"/>
            <w:u w:val="single"/>
          </w:rPr>
          <w:t>sunsmart.org.nz</w:t>
        </w:r>
      </w:hyperlink>
      <w:r>
        <w:t>)</w:t>
      </w:r>
    </w:p>
    <w:p w14:paraId="0E812EB3" w14:textId="77777777" w:rsidR="001F7233" w:rsidRDefault="00000000">
      <w:pPr>
        <w:pStyle w:val="ListParagraph"/>
        <w:numPr>
          <w:ilvl w:val="0"/>
          <w:numId w:val="1"/>
        </w:numPr>
        <w:spacing w:after="60"/>
      </w:pPr>
      <w:r>
        <w:t>Neuseeland: Consumer Protection — Consumer Guarantees Act (</w:t>
      </w:r>
      <w:hyperlink r:id="rId474">
        <w:r w:rsidR="001F7233">
          <w:rPr>
            <w:color w:val="0563C1"/>
            <w:u w:val="single"/>
          </w:rPr>
          <w:t>consumerprotection.govt.nz</w:t>
        </w:r>
      </w:hyperlink>
      <w:r>
        <w:t>)</w:t>
      </w:r>
    </w:p>
    <w:p w14:paraId="0CE93444" w14:textId="77777777" w:rsidR="001F7233" w:rsidRDefault="001F7233">
      <w:pPr>
        <w:spacing w:line="120" w:lineRule="exact"/>
      </w:pPr>
    </w:p>
    <w:p w14:paraId="6986C0C2" w14:textId="77777777" w:rsidR="001F7233" w:rsidRDefault="00000000">
      <w:r>
        <w:t>• Quellen- und Datenstand: September 2026; Redaktionsschluss: Oktober 2026. Steuerregeln für Kleidung, Rückgaberegeln der Händler, Schul-Dresscodes und Größentabellen ändern sich oder bleiben Näherungswerte. Prüfe vor dem Kauf die Maßtabelle der Marke, die Return- oder Garantieregel des Händlers und die Steuerregel deiner Provinz oder deines Bundesstaats.</w:t>
      </w:r>
    </w:p>
    <w:p w14:paraId="719DCB2F" w14:textId="77777777" w:rsidR="001F7233" w:rsidRDefault="00000000">
      <w:pPr>
        <w:spacing w:line="220" w:lineRule="exact"/>
      </w:pPr>
      <w:r>
        <w:br w:type="page"/>
      </w:r>
    </w:p>
    <w:p w14:paraId="4D88BBD1" w14:textId="77777777" w:rsidR="001F7233" w:rsidRDefault="00000000">
      <w:pPr>
        <w:pStyle w:val="Heading2"/>
        <w:keepNext/>
        <w:spacing w:line="341" w:lineRule="auto"/>
        <w:jc w:val="center"/>
      </w:pPr>
      <w:bookmarkStart w:id="73" w:name="k35"/>
      <w:r>
        <w:rPr>
          <w:rFonts w:ascii="Amazon Ember" w:eastAsia="Amazon Ember" w:hAnsi="Amazon Ember" w:cs="Amazon Ember"/>
          <w:color w:val="0000FF"/>
          <w:sz w:val="36"/>
          <w:szCs w:val="36"/>
        </w:rPr>
        <w:lastRenderedPageBreak/>
        <w:t>Kapitel 35: Essen, Trinken, Einkaufen</w:t>
      </w:r>
      <w:bookmarkEnd w:id="73"/>
    </w:p>
    <w:p w14:paraId="119A1094" w14:textId="77777777" w:rsidR="001F7233" w:rsidRDefault="00000000">
      <w:pPr>
        <w:spacing w:after="140"/>
      </w:pPr>
      <w:r>
        <w:t>Der erste Wocheneinkauf dauert länger als geplant. Die Milch steht in Kanistern von knapp vier Litern im Kühlregal, die Eier stehen gleich daneben, das Toastbrot lässt sich mit einer Hand zusammendrücken und das Fleisch wird nach Pfund berechnet. Das Essen ist in den USA nicht besser oder schlechter als in Deutschland, sondern anders organisiert. Wer Ketten, Maßeinheiten und Ersatzprodukte kennt, spart Geld und Nerven.</w:t>
      </w:r>
    </w:p>
    <w:p w14:paraId="5E7AB476" w14:textId="77777777" w:rsidR="001F7233" w:rsidRDefault="00000000">
      <w:r>
        <w:rPr>
          <w:b/>
        </w:rPr>
        <w:t xml:space="preserve">KURZ GESAGT: </w:t>
      </w:r>
    </w:p>
    <w:p w14:paraId="246A03A3" w14:textId="77777777" w:rsidR="001F7233" w:rsidRDefault="00000000">
      <w:r>
        <w:t>• Für den Wocheneinkauf sind Aldi, Walmart und Costco günstig, Kroger, Meijer oder Target liegen in der Mitte, Whole Foods darüber. Eine Familie mit zwei Schulkindern rechnet für Lebensmittel zu Hause mit rund 1.000–1.700 $ im Monat.</w:t>
      </w:r>
    </w:p>
    <w:p w14:paraId="121A45DB" w14:textId="77777777" w:rsidR="001F7233" w:rsidRDefault="00000000">
      <w:r>
        <w:t>• Eier und Milch stehen gekühlt im Regal; Milch gibt es in Gallonen (3,8 l). Unverarbeitete Lebensmittel sind in den meisten Bundesstaaten steuerfrei oder niedriger besteuert.</w:t>
      </w:r>
    </w:p>
    <w:p w14:paraId="14F69A88" w14:textId="77777777" w:rsidR="001F7233" w:rsidRDefault="00000000">
      <w:r>
        <w:t>• Brot, Wurst und Käse in deutscher Qualität findest du nur in Spezialläden, bei Saisonaktionen oder online. Vieles backst und kochst du selbst.</w:t>
      </w:r>
    </w:p>
    <w:p w14:paraId="5393212E" w14:textId="77777777" w:rsidR="001F7233" w:rsidRDefault="00000000">
      <w:r>
        <w:t>• Alkohol gibt es ab 21 gegen Ausweis. Verkauf und Uhrzeiten regelt jeder Bundesstaat; geöffnete Flaschen im Auto und Trinken im Park sind fast überall verboten.</w:t>
      </w:r>
    </w:p>
    <w:p w14:paraId="4E6CD061" w14:textId="77777777" w:rsidR="001F7233" w:rsidRDefault="00000000">
      <w:r>
        <w:t>• Leitungswasser ist meist trinkbar; in Häusern vor 1986 prüfst du auf Blei.</w:t>
      </w:r>
    </w:p>
    <w:p w14:paraId="3F82FDF1" w14:textId="77777777" w:rsidR="001F7233" w:rsidRDefault="00000000">
      <w:r>
        <w:t>• Rezepte rechnest du von Cups und Fahrenheit um. Eine Küchenwaage mit Gramm und Unzen erspart Ärger.</w:t>
      </w:r>
    </w:p>
    <w:p w14:paraId="1F54E530" w14:textId="77777777" w:rsidR="001F7233" w:rsidRDefault="001F7233">
      <w:pPr>
        <w:spacing w:line="220" w:lineRule="exact"/>
      </w:pPr>
    </w:p>
    <w:p w14:paraId="16E925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Supermarktketten: Wo du einkaufst</w:t>
      </w:r>
    </w:p>
    <w:p w14:paraId="09590865" w14:textId="77777777" w:rsidR="001F7233" w:rsidRDefault="00000000">
      <w:pPr>
        <w:spacing w:after="140"/>
      </w:pPr>
      <w:r>
        <w:t xml:space="preserve">Ein Ladenschlussgesetz wie in Deutschland gibt es nicht: Die meisten Supermärkte öffnen täglich, auch sonntags, oft von 7 oder 8 bis </w:t>
      </w:r>
      <w:r>
        <w:lastRenderedPageBreak/>
        <w:t>22 Uhr. Welche Kette in deiner Nähe liegt, hängt stark von der Region ab. Aldi wächst schnell: Der US-Ableger (betrieben von Aldi Süd) will bis Ende 2026 fast 2.800 Filialen erreichen und zieht als 40. Bundesstaat nach Maine. Lidl hat rund 200 Filialen, überwiegend an der Ostküste.</w:t>
      </w:r>
    </w:p>
    <w:p w14:paraId="37A3CA88" w14:textId="77777777" w:rsidR="001F7233" w:rsidRDefault="00000000">
      <w:r>
        <w:rPr>
          <w:b/>
        </w:rPr>
        <w:t>Aldi</w:t>
      </w:r>
    </w:p>
    <w:p w14:paraId="219D93F5" w14:textId="77777777" w:rsidR="001F7233" w:rsidRDefault="00000000">
      <w:r>
        <w:rPr>
          <w:b/>
        </w:rPr>
        <w:t xml:space="preserve">Stärke: </w:t>
      </w:r>
      <w:r>
        <w:t>Eigenmarken, kleines Sortiment, vertrautes Prinzip</w:t>
      </w:r>
    </w:p>
    <w:p w14:paraId="3541DB99" w14:textId="77777777" w:rsidR="001F7233" w:rsidRDefault="00000000">
      <w:r>
        <w:rPr>
          <w:b/>
        </w:rPr>
        <w:t xml:space="preserve">Preisniveau: </w:t>
      </w:r>
      <w:r>
        <w:t>günstig</w:t>
      </w:r>
    </w:p>
    <w:p w14:paraId="3A923BE6" w14:textId="77777777" w:rsidR="001F7233" w:rsidRDefault="00000000">
      <w:r>
        <w:rPr>
          <w:b/>
        </w:rPr>
        <w:t xml:space="preserve">Hinweis: </w:t>
      </w:r>
      <w:r>
        <w:t>Wagen gegen 25-Cent-Münze, Tüten kosten extra</w:t>
      </w:r>
    </w:p>
    <w:p w14:paraId="1710ACB1" w14:textId="77777777" w:rsidR="001F7233" w:rsidRDefault="00000000">
      <w:r>
        <w:rPr>
          <w:b/>
        </w:rPr>
        <w:t>Lidl</w:t>
      </w:r>
    </w:p>
    <w:p w14:paraId="75BDB65F" w14:textId="77777777" w:rsidR="001F7233" w:rsidRDefault="00000000">
      <w:r>
        <w:rPr>
          <w:b/>
        </w:rPr>
        <w:t xml:space="preserve">Stärke: </w:t>
      </w:r>
      <w:r>
        <w:t>Backstation im Laden, europäische Produkte</w:t>
      </w:r>
    </w:p>
    <w:p w14:paraId="0A0A63EF" w14:textId="77777777" w:rsidR="001F7233" w:rsidRDefault="00000000">
      <w:r>
        <w:rPr>
          <w:b/>
        </w:rPr>
        <w:t xml:space="preserve">Preisniveau: </w:t>
      </w:r>
      <w:r>
        <w:t>günstig</w:t>
      </w:r>
    </w:p>
    <w:p w14:paraId="4BA88065" w14:textId="77777777" w:rsidR="001F7233" w:rsidRDefault="00000000">
      <w:r>
        <w:rPr>
          <w:b/>
        </w:rPr>
        <w:t xml:space="preserve">Hinweis: </w:t>
      </w:r>
      <w:r>
        <w:t>Nur an der Ostküste verbreitet</w:t>
      </w:r>
    </w:p>
    <w:p w14:paraId="1A5281DA" w14:textId="77777777" w:rsidR="001F7233" w:rsidRDefault="00000000">
      <w:r>
        <w:rPr>
          <w:b/>
        </w:rPr>
        <w:t>Walmart</w:t>
      </w:r>
    </w:p>
    <w:p w14:paraId="6A4C55E5" w14:textId="77777777" w:rsidR="001F7233" w:rsidRDefault="00000000">
      <w:r>
        <w:rPr>
          <w:b/>
        </w:rPr>
        <w:t xml:space="preserve">Stärke: </w:t>
      </w:r>
      <w:r>
        <w:t>Alles unter einem Dach, Eigenmarke Great Value</w:t>
      </w:r>
    </w:p>
    <w:p w14:paraId="0D8819E5" w14:textId="77777777" w:rsidR="001F7233" w:rsidRDefault="00000000">
      <w:r>
        <w:rPr>
          <w:b/>
        </w:rPr>
        <w:t xml:space="preserve">Preisniveau: </w:t>
      </w:r>
      <w:r>
        <w:t>günstig</w:t>
      </w:r>
    </w:p>
    <w:p w14:paraId="395628A7" w14:textId="77777777" w:rsidR="001F7233" w:rsidRDefault="00000000">
      <w:r>
        <w:rPr>
          <w:b/>
        </w:rPr>
        <w:t xml:space="preserve">Hinweis: </w:t>
      </w:r>
      <w:r>
        <w:t>Größte Lebensmittelkette des Landes</w:t>
      </w:r>
    </w:p>
    <w:p w14:paraId="39626CEE" w14:textId="77777777" w:rsidR="001F7233" w:rsidRDefault="00000000">
      <w:r>
        <w:rPr>
          <w:b/>
        </w:rPr>
        <w:t>Costco, Sam’s Club</w:t>
      </w:r>
    </w:p>
    <w:p w14:paraId="0FF9AD45" w14:textId="77777777" w:rsidR="001F7233" w:rsidRDefault="00000000">
      <w:r>
        <w:rPr>
          <w:b/>
        </w:rPr>
        <w:t xml:space="preserve">Stärke: </w:t>
      </w:r>
      <w:r>
        <w:t>Großpackungen, Fleisch, Milch, Tanken</w:t>
      </w:r>
    </w:p>
    <w:p w14:paraId="7878FC7D" w14:textId="77777777" w:rsidR="001F7233" w:rsidRDefault="00000000">
      <w:r>
        <w:rPr>
          <w:b/>
        </w:rPr>
        <w:t xml:space="preserve">Preisniveau: </w:t>
      </w:r>
      <w:r>
        <w:t>günstig je Einheit</w:t>
      </w:r>
    </w:p>
    <w:p w14:paraId="547B521A" w14:textId="77777777" w:rsidR="001F7233" w:rsidRDefault="00000000">
      <w:r>
        <w:rPr>
          <w:b/>
        </w:rPr>
        <w:t xml:space="preserve">Hinweis: </w:t>
      </w:r>
      <w:r>
        <w:t>Mitgliedschaft nötig, bei Costco ab 65 $ im Jahr</w:t>
      </w:r>
    </w:p>
    <w:p w14:paraId="1A0991AE" w14:textId="77777777" w:rsidR="001F7233" w:rsidRDefault="00000000">
      <w:r>
        <w:rPr>
          <w:b/>
        </w:rPr>
        <w:t>Trader Joe’s</w:t>
      </w:r>
    </w:p>
    <w:p w14:paraId="7C2678B4" w14:textId="77777777" w:rsidR="001F7233" w:rsidRDefault="00000000">
      <w:r>
        <w:rPr>
          <w:b/>
        </w:rPr>
        <w:t xml:space="preserve">Stärke: </w:t>
      </w:r>
      <w:r>
        <w:t>Eigenmarken, Tiefkühlkost, saisonale Importe</w:t>
      </w:r>
    </w:p>
    <w:p w14:paraId="6AF18FF1" w14:textId="77777777" w:rsidR="001F7233" w:rsidRDefault="00000000">
      <w:r>
        <w:rPr>
          <w:b/>
        </w:rPr>
        <w:t xml:space="preserve">Preisniveau: </w:t>
      </w:r>
      <w:r>
        <w:t>günstig bis mittel</w:t>
      </w:r>
    </w:p>
    <w:p w14:paraId="502C08CF" w14:textId="77777777" w:rsidR="001F7233" w:rsidRDefault="00000000">
      <w:r>
        <w:rPr>
          <w:b/>
        </w:rPr>
        <w:t xml:space="preserve">Hinweis: </w:t>
      </w:r>
      <w:r>
        <w:t>Kleine Läden, begrenzte Auswahl</w:t>
      </w:r>
    </w:p>
    <w:p w14:paraId="445ADB92" w14:textId="77777777" w:rsidR="001F7233" w:rsidRDefault="00000000">
      <w:r>
        <w:rPr>
          <w:b/>
        </w:rPr>
        <w:t>Kroger, Safeway, Meijer, Publix, H-E-B, Wegmans</w:t>
      </w:r>
    </w:p>
    <w:p w14:paraId="6CA638DE" w14:textId="77777777" w:rsidR="001F7233" w:rsidRDefault="00000000">
      <w:r>
        <w:rPr>
          <w:b/>
        </w:rPr>
        <w:t xml:space="preserve">Stärke: </w:t>
      </w:r>
      <w:r>
        <w:t>Vollsortiment, Frischetheken, Apotheke</w:t>
      </w:r>
    </w:p>
    <w:p w14:paraId="3FE08BC4" w14:textId="77777777" w:rsidR="001F7233" w:rsidRDefault="00000000">
      <w:r>
        <w:rPr>
          <w:b/>
        </w:rPr>
        <w:t xml:space="preserve">Preisniveau: </w:t>
      </w:r>
      <w:r>
        <w:t>mittel</w:t>
      </w:r>
    </w:p>
    <w:p w14:paraId="245EC66E" w14:textId="77777777" w:rsidR="001F7233" w:rsidRDefault="00000000">
      <w:r>
        <w:rPr>
          <w:b/>
        </w:rPr>
        <w:t xml:space="preserve">Hinweis: </w:t>
      </w:r>
      <w:r>
        <w:t>Regional verschieden; Angebote nur mit Kundenkarte</w:t>
      </w:r>
    </w:p>
    <w:p w14:paraId="62EF36D6" w14:textId="77777777" w:rsidR="001F7233" w:rsidRDefault="00000000">
      <w:r>
        <w:rPr>
          <w:b/>
        </w:rPr>
        <w:t>Whole Foods, Sprouts</w:t>
      </w:r>
    </w:p>
    <w:p w14:paraId="0E179785" w14:textId="77777777" w:rsidR="001F7233" w:rsidRDefault="00000000">
      <w:r>
        <w:rPr>
          <w:b/>
        </w:rPr>
        <w:t xml:space="preserve">Stärke: </w:t>
      </w:r>
      <w:r>
        <w:t>Bio, Naturkost, Backwaren, Käsetheke</w:t>
      </w:r>
    </w:p>
    <w:p w14:paraId="3A1C92BF" w14:textId="77777777" w:rsidR="001F7233" w:rsidRDefault="00000000">
      <w:r>
        <w:rPr>
          <w:b/>
        </w:rPr>
        <w:t xml:space="preserve">Preisniveau: </w:t>
      </w:r>
      <w:r>
        <w:t>mittel bis hoch</w:t>
      </w:r>
    </w:p>
    <w:p w14:paraId="75368386" w14:textId="77777777" w:rsidR="001F7233" w:rsidRDefault="00000000">
      <w:r>
        <w:rPr>
          <w:b/>
        </w:rPr>
        <w:t xml:space="preserve">Hinweis: </w:t>
      </w:r>
      <w:r>
        <w:t>Whole Foods gehört zu Amazon</w:t>
      </w:r>
    </w:p>
    <w:p w14:paraId="4760993A" w14:textId="77777777" w:rsidR="001F7233" w:rsidRDefault="00000000">
      <w:r>
        <w:rPr>
          <w:b/>
        </w:rPr>
        <w:t>H Mart, Patel Brothers, Latino-Märkte</w:t>
      </w:r>
    </w:p>
    <w:p w14:paraId="5FE30F20" w14:textId="77777777" w:rsidR="001F7233" w:rsidRDefault="00000000">
      <w:r>
        <w:rPr>
          <w:b/>
        </w:rPr>
        <w:lastRenderedPageBreak/>
        <w:t xml:space="preserve">Stärke: </w:t>
      </w:r>
      <w:r>
        <w:t>Gemüse, Fisch, Fleisch, Gewürze</w:t>
      </w:r>
    </w:p>
    <w:p w14:paraId="24C81C4A" w14:textId="77777777" w:rsidR="001F7233" w:rsidRDefault="00000000">
      <w:r>
        <w:rPr>
          <w:b/>
        </w:rPr>
        <w:t xml:space="preserve">Preisniveau: </w:t>
      </w:r>
      <w:r>
        <w:t>günstig</w:t>
      </w:r>
    </w:p>
    <w:p w14:paraId="2BF1F84F" w14:textId="77777777" w:rsidR="001F7233" w:rsidRDefault="00000000">
      <w:r>
        <w:rPr>
          <w:b/>
        </w:rPr>
        <w:t xml:space="preserve">Hinweis: </w:t>
      </w:r>
      <w:r>
        <w:t>Große Auswahl an Zutaten der jeweiligen Küche</w:t>
      </w:r>
    </w:p>
    <w:p w14:paraId="7CCFB5BA" w14:textId="77777777" w:rsidR="001F7233" w:rsidRDefault="001F7233">
      <w:pPr>
        <w:spacing w:line="180" w:lineRule="exact"/>
      </w:pPr>
    </w:p>
    <w:p w14:paraId="477BA844" w14:textId="77777777" w:rsidR="001F7233" w:rsidRDefault="00000000">
      <w:pPr>
        <w:spacing w:after="140"/>
      </w:pPr>
      <w:r>
        <w:rPr>
          <w:i/>
          <w:iCs/>
        </w:rPr>
        <w:t>Wochenmärkte (Farmers Markets) laufen meist von Frühjahr bis Herbst. Die Preise liegen oft über denen im Discounter.</w:t>
      </w:r>
    </w:p>
    <w:p w14:paraId="6DF310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Preise und Monatsbudget</w:t>
      </w:r>
    </w:p>
    <w:p w14:paraId="20D63346" w14:textId="77777777" w:rsidR="001F7233" w:rsidRDefault="00000000">
      <w:pPr>
        <w:spacing w:after="140"/>
      </w:pPr>
      <w:r>
        <w:t>Die Preise schwanken nach Region stark; an den Küsten und in Großstädten liegen sie deutlich über dem Mittleren Westen (Kapitel 12). Als Orientierung dienen die US-Durchschnittspreise der Statistikbehörde BLS für Juli 2026: 12 Eier kosteten 2,19 $ (im August 2025 waren es wegen der Vogelgrippe noch 3,59 $). Eine Gallone Vollmilch lag bei 4,31 $, ein Pfund Weißbrot (454 g) bei 1,82 $. Rinderhack kostete 6,89 $ pro Pfund (rund 15 $ pro Kilo), ein ganzes Hähnchen 2,01 $ pro Pfund und gemahlener Kaffee 9,32 $ pro Pfund. </w:t>
      </w:r>
      <w:hyperlink w:anchor="k12">
        <w:r w:rsidR="001F7233">
          <w:t>12</w:t>
        </w:r>
      </w:hyperlink>
      <w:r/>
    </w:p>
    <w:p w14:paraId="5479CDC9" w14:textId="77777777" w:rsidR="001F7233" w:rsidRDefault="00000000">
      <w:pPr>
        <w:spacing w:after="140"/>
      </w:pPr>
      <w:r>
        <w:t>Für das Monatsbudget liefert das Landwirtschaftsministerium USDA vier Richtwerte für Lebensmittel zu Hause (</w:t>
      </w:r>
      <w:r>
        <w:rPr>
          <w:i/>
          <w:iCs/>
        </w:rPr>
        <w:t>Food Plans</w:t>
      </w:r>
      <w:r>
        <w:t>). Für ein Paar mit zwei Kindern im Grundschulalter liegen sie 2026 bei rund 1.010 $ (</w:t>
      </w:r>
      <w:r>
        <w:rPr>
          <w:i/>
          <w:iCs/>
        </w:rPr>
        <w:t>Thrifty</w:t>
      </w:r>
      <w:r>
        <w:t>, sparsam), 1.120 $ (</w:t>
      </w:r>
      <w:r>
        <w:rPr>
          <w:i/>
          <w:iCs/>
        </w:rPr>
        <w:t>Low-Cost</w:t>
      </w:r>
      <w:r>
        <w:t>), 1.380 $ (</w:t>
      </w:r>
      <w:r>
        <w:rPr>
          <w:i/>
          <w:iCs/>
        </w:rPr>
        <w:t>Moderate</w:t>
      </w:r>
      <w:r>
        <w:t>) und 1.670 $ (</w:t>
      </w:r>
      <w:r>
        <w:rPr>
          <w:i/>
          <w:iCs/>
        </w:rPr>
        <w:t>Liberal</w:t>
      </w:r>
      <w:r>
        <w:t>) im Monat. Alleinstehende brauchen pro Kopf etwa ein Fünftel mehr, also grob 300–500 $. Restaurant, Lieferdienste, Alkohol und Haushaltswaren wie Putzmittel und Küchenpapier sind darin nicht enthalten.</w:t>
      </w:r>
    </w:p>
    <w:p w14:paraId="5FD86B30" w14:textId="77777777" w:rsidR="001F7233" w:rsidRDefault="001F7233">
      <w:pPr>
        <w:spacing w:line="220" w:lineRule="exact"/>
      </w:pPr>
    </w:p>
    <w:p w14:paraId="0C9502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Einkaufsalltag: Einheiten, Kundenkarte, Steuer, Pfand</w:t>
      </w:r>
    </w:p>
    <w:p w14:paraId="4B7E8E57" w14:textId="77777777" w:rsidR="001F7233" w:rsidRDefault="00000000">
      <w:pPr>
        <w:spacing w:after="140"/>
      </w:pPr>
      <w:r>
        <w:rPr>
          <w:b/>
          <w:bCs/>
        </w:rPr>
        <w:t xml:space="preserve">Einheiten. Verpackungen und Preisschilder rechnen in Gallons, Pounds (lb) und Ounces (oz): 1 lb = 454 g, 1 oz = 28 g. Neben dem Verkaufspreis steht der Preis pro Einheit (Unit Price, etwa </w:t>
      </w:r>
      <w:r>
        <w:rPr>
          <w:b/>
          <w:bCs/>
        </w:rPr>
        <w:lastRenderedPageBreak/>
        <w:t>pro Unze). Er ist der einzige faire Vergleich, weil Packungsgrößen ständig wechseln.</w:t>
      </w:r>
    </w:p>
    <w:p w14:paraId="512772DA" w14:textId="77777777" w:rsidR="001F7233" w:rsidRDefault="00000000">
      <w:pPr>
        <w:spacing w:after="140"/>
      </w:pPr>
      <w:r>
        <w:rPr>
          <w:b/>
          <w:bCs/>
        </w:rPr>
        <w:t>Kundenkarte.</w:t>
      </w:r>
      <w:r>
        <w:t xml:space="preserve"> Bei Kroger, Safeway, Meijer und vielen anderen Ketten gelten die Angebotspreise nur mit </w:t>
      </w:r>
      <w:r>
        <w:rPr>
          <w:i/>
          <w:iCs/>
        </w:rPr>
        <w:t>Loyalty Card</w:t>
      </w:r>
      <w:r>
        <w:t xml:space="preserve"> (Kundenkarte) oder App. Die Anmeldung dauert eine Minute; an der Kasse genügt oft die Telefonnummer.</w:t>
      </w:r>
    </w:p>
    <w:p w14:paraId="716DE777" w14:textId="77777777" w:rsidR="001F7233" w:rsidRDefault="00000000">
      <w:pPr>
        <w:spacing w:after="140"/>
      </w:pPr>
      <w:r>
        <w:rPr>
          <w:b/>
          <w:bCs/>
        </w:rPr>
        <w:t>Steuer und Tüten.</w:t>
      </w:r>
      <w:r>
        <w:t xml:space="preserve"> Restaurantessen, Alkohol und Nichtlebensmittel zahlen den vollen Steuersatz (Kapitel </w:t>
      </w:r>
      <w:hyperlink w:anchor="k31">
        <w:r w:rsidR="001F7233">
          <w:t>31</w:t>
        </w:r>
      </w:hyperlink>
      <w:r>
        <w:t>). In Michigan bleibt der Supermarkteinkauf steuerfrei, das Restaurantessen kostet 6 %. In Kalifornien, New York, Oregon und Washington sind Einwegplastiktüten verboten oder kostenpflichtig; bring eigene Taschen mit.</w:t>
      </w:r>
    </w:p>
    <w:p w14:paraId="2055AB01" w14:textId="77777777" w:rsidR="001F7233" w:rsidRDefault="00000000">
      <w:pPr>
        <w:spacing w:after="140"/>
      </w:pPr>
      <w:r>
        <w:rPr>
          <w:b/>
          <w:bCs/>
        </w:rPr>
        <w:t>Pfand.</w:t>
      </w:r>
      <w:r>
        <w:t xml:space="preserve"> Zehn Bundesstaaten kennen Pfand auf Flaschen und Dosen, meist 5 Cent, in Michigan und Oregon 10 Cent. Die Rückgabe läuft über Automaten im Supermarkt.</w:t>
      </w:r>
    </w:p>
    <w:p w14:paraId="118E1910" w14:textId="77777777" w:rsidR="001F7233" w:rsidRDefault="00000000">
      <w:r>
        <w:rPr>
          <w:b/>
        </w:rPr>
        <w:t xml:space="preserve">SPARTIPP: </w:t>
      </w:r>
    </w:p>
    <w:p w14:paraId="13642A2C" w14:textId="77777777" w:rsidR="001F7233" w:rsidRDefault="00000000">
      <w:r>
        <w:t>• Kaufe Eigenmarken (Store Brands wie Great Value, Kirkland Signature oder die Aldi-Marken). Sie kosten oft ein Fünftel bis ein Drittel weniger als Markenware. Costco rechnet sich für Familien, die dort regelmäßig Fleisch, Milch und Getränke kaufen; Einpersonenhaushalte bleiben meist bei Aldi.</w:t>
      </w:r>
    </w:p>
    <w:p w14:paraId="04B285AC" w14:textId="77777777" w:rsidR="001F7233" w:rsidRDefault="001F7233">
      <w:pPr>
        <w:spacing w:line="220" w:lineRule="exact"/>
      </w:pPr>
    </w:p>
    <w:p w14:paraId="4FBEC6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Qualität, Zusatzstoffe und Bio-Siegel</w:t>
      </w:r>
    </w:p>
    <w:p w14:paraId="64E4B7E4" w14:textId="77777777" w:rsidR="001F7233" w:rsidRDefault="00000000">
      <w:pPr>
        <w:spacing w:after="140"/>
      </w:pPr>
      <w:r>
        <w:t>Für Sicherheit sorgen zwei Behörden: Die FDA (Arzneimittel- und Lebensmittelbehörde) überwacht die meisten Lebensmittel, das Landwirtschaftsministerium USDA Fleisch und Geflügel. Einige Regeln weichen von der EU ab: Erlaubt sind etwa Wachstumshormone in der Rindermast, antimikrobielle Waschbäder für Geflügel und mehr Farb- und Zusatzstoffe. Wie schwer das wiegt, ist auch in den USA umstritten; praktisch hilft die Zutatenliste.</w:t>
      </w:r>
    </w:p>
    <w:p w14:paraId="356F99D1" w14:textId="77777777" w:rsidR="001F7233" w:rsidRDefault="00000000">
      <w:pPr>
        <w:spacing w:after="140"/>
      </w:pPr>
      <w:r>
        <w:lastRenderedPageBreak/>
        <w:t>Bei Farbstoffen ändert sich gerade viel (Datenstand September 2026, geprüft im Oktober 2026): Die FDA hat die Zulassung von Red No. 3 für Lebensmittel widerrufen, Hersteller müssen bis 15. Januar 2027 umstellen. Für sechs weitere synthetische Farbstoffe wie Red 40 und Yellow 5 gibt es einen freiwilligen Ausstieg der Industrie, kein Verbot. Texas und West Virginia haben Warnhinweise oder Verbote beschlossen; die Gerichte haben sie vorerst ausgesetzt.</w:t>
      </w:r>
    </w:p>
    <w:p w14:paraId="156CC7A9" w14:textId="77777777" w:rsidR="001F7233" w:rsidRDefault="00000000">
      <w:pPr>
        <w:spacing w:after="140"/>
      </w:pPr>
      <w:r>
        <w:rPr>
          <w:i/>
          <w:iCs/>
        </w:rPr>
        <w:t>Die Nährwerttabelle (Nutrition Facts) nennt Werte pro Portion (Serving Size), nicht pro 100 g und eine Packung enthält oft mehrere Portionen. Zugesetzter Zucker (Added Sugars) hat eine eigene Zeile, ein Blick lohnt bei Cerealien, Joghurt und Softdrinks. Allergene stehen in einer Contains-Zeile; seit 2023 gehört Sesam zu den neun Hauptallergenen.</w:t>
      </w:r>
    </w:p>
    <w:p w14:paraId="093464FB" w14:textId="77777777" w:rsidR="001F7233" w:rsidRDefault="00000000">
      <w:pPr>
        <w:spacing w:after="140"/>
      </w:pPr>
      <w:r>
        <w:rPr>
          <w:i/>
          <w:iCs/>
        </w:rPr>
        <w:t>USDA Organic ist streng geregelt: „Organic“ verlangt mindestens 95 % Bio-Zutaten, „100 % Organic“ alle. Gentechnik ist ausgeschlossen, synthetische Pestizide sind weitgehend untersagt. „Made with Organic Ingredients“ (mindestens 70 %) darf das Siegel nicht tragen. „Natural“ hat dagegen keine feste Bedeutung. Lebensmittel mit gentechnisch verändertem Erbgut müssen seit 2022 als Bioengineered gekennzeichnet sein.</w:t>
      </w:r>
    </w:p>
    <w:p w14:paraId="3A12A8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Milch, Eier und Butter</w:t>
      </w:r>
    </w:p>
    <w:p w14:paraId="78DEF214" w14:textId="77777777" w:rsidR="001F7233" w:rsidRDefault="00000000">
      <w:pPr>
        <w:spacing w:after="140"/>
      </w:pPr>
      <w:r>
        <w:rPr>
          <w:i/>
          <w:iCs/>
        </w:rPr>
        <w:t>Verbreiteter Irrtum: Wer aus Deutschland kommt, hält gekühlte Eier im Regal zunächst für einen Verpackungsfehler. Dort liegen sie schließlich ungekühlt neben dem Mehl. Tatsächlich werden Eier in den USA vor dem Verkauf gewaschen und desinfiziert; dabei geht der natürliche Schutzfilm verloren. Deshalb stehen sie im Laden gekühlt und gehören auch bei dir in den Kühlschrank, anders als die ungewaschenen Eier im deutschen Regal. Standard ist Größe Large (ca. 57 g), meist zwölf Stück (Dozen); für Tiramisu oder Mayonnaise gibt es pasteurisierte Eier in der Schale.</w:t>
      </w:r>
    </w:p>
    <w:p w14:paraId="1BF9F0AA" w14:textId="77777777" w:rsidR="001F7233" w:rsidRDefault="00000000">
      <w:pPr>
        <w:spacing w:after="140"/>
      </w:pPr>
      <w:r>
        <w:rPr>
          <w:i/>
          <w:iCs/>
        </w:rPr>
        <w:lastRenderedPageBreak/>
        <w:t>Milch kommt in Gallonen (3,8 l), halben Gallonen und Quarts (0,95 l) als Whole Milk (mindestens 3,25 % Fett), 2 %, 1 % oder Skim (entrahmt), dazu laktosefrei und pflanzlich (Hafer, Mandel, Soja). H-Milch ist eine Nische. Butter gibt es in Riegeln (Sticks, je 113 g), meist gesalzen. Für deutsche Backrezepte nimmst du Unsalted.</w:t>
      </w:r>
    </w:p>
    <w:p w14:paraId="5E9265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Brot, Wurst, Käse: Wo bekommt man was?</w:t>
      </w:r>
    </w:p>
    <w:p w14:paraId="315D0978" w14:textId="77777777" w:rsidR="001F7233" w:rsidRDefault="00000000">
      <w:pPr>
        <w:spacing w:after="140"/>
      </w:pPr>
      <w:r>
        <w:t>Hier liegt der größte Umstellungsbedarf – der Moment, in dem viele Deutsche zum ersten Mal ernsthaft übers Brotbacken nachdenken. Amerikanische Supermärkte führen viel, aber selten deutschen Aufschnitt, Roggenbrot oder Quark. Die Tabelle zeigt, wo du am ehesten Ersatz findest.</w:t>
      </w:r>
    </w:p>
    <w:p w14:paraId="5941084D" w14:textId="77777777" w:rsidR="001F7233" w:rsidRDefault="00000000">
      <w:r>
        <w:rPr>
          <w:b/>
        </w:rPr>
        <w:t>Brot</w:t>
      </w:r>
    </w:p>
    <w:p w14:paraId="2EE8454B" w14:textId="77777777" w:rsidR="001F7233" w:rsidRDefault="00000000">
      <w:r>
        <w:rPr>
          <w:b/>
        </w:rPr>
        <w:t xml:space="preserve">Was es gibt: </w:t>
      </w:r>
      <w:r>
        <w:t>Weiches Sandwichbrot, Sourdough, Rye (Roggenmischbrot mit Kümmel)</w:t>
      </w:r>
    </w:p>
    <w:p w14:paraId="1FB7277D" w14:textId="77777777" w:rsidR="001F7233" w:rsidRDefault="00000000">
      <w:r>
        <w:rPr>
          <w:b/>
        </w:rPr>
        <w:t xml:space="preserve">Wo du suchst: </w:t>
      </w:r>
      <w:r>
        <w:t>Bäckereitheke bei Whole Foods, Wegmans, Publix, Lidl; Bäckereien, Wochenmärkte</w:t>
      </w:r>
    </w:p>
    <w:p w14:paraId="5072A6B3" w14:textId="77777777" w:rsidR="001F7233" w:rsidRDefault="00000000">
      <w:r>
        <w:rPr>
          <w:b/>
        </w:rPr>
        <w:t>Brötchen</w:t>
      </w:r>
    </w:p>
    <w:p w14:paraId="5971F505" w14:textId="77777777" w:rsidR="001F7233" w:rsidRDefault="00000000">
      <w:r>
        <w:rPr>
          <w:b/>
        </w:rPr>
        <w:t xml:space="preserve">Was es gibt: </w:t>
      </w:r>
      <w:r>
        <w:t>Hard Rolls, Kaiser Rolls, Pretzel Rolls, Ciabatta</w:t>
      </w:r>
    </w:p>
    <w:p w14:paraId="03D1B269" w14:textId="77777777" w:rsidR="001F7233" w:rsidRDefault="00000000">
      <w:r>
        <w:rPr>
          <w:b/>
        </w:rPr>
        <w:t xml:space="preserve">Wo du suchst: </w:t>
      </w:r>
      <w:r>
        <w:t>Bäckerei im Supermarkt, Costco</w:t>
      </w:r>
    </w:p>
    <w:p w14:paraId="1EB627B6" w14:textId="77777777" w:rsidR="001F7233" w:rsidRDefault="00000000">
      <w:r>
        <w:rPr>
          <w:b/>
        </w:rPr>
        <w:t>Wurst</w:t>
      </w:r>
    </w:p>
    <w:p w14:paraId="4D1E221F" w14:textId="77777777" w:rsidR="001F7233" w:rsidRDefault="00000000">
      <w:r>
        <w:rPr>
          <w:b/>
        </w:rPr>
        <w:t xml:space="preserve">Was es gibt: </w:t>
      </w:r>
      <w:r>
        <w:t>Deli Meats (Schinken, Truthahn, Salami, dünn geschnitten), Bratwurst (Brats), Kielbasa, Hot Dogs</w:t>
      </w:r>
    </w:p>
    <w:p w14:paraId="180FD129" w14:textId="77777777" w:rsidR="001F7233" w:rsidRDefault="00000000">
      <w:r>
        <w:rPr>
          <w:b/>
        </w:rPr>
        <w:t xml:space="preserve">Wo du suchst: </w:t>
      </w:r>
      <w:r>
        <w:t>Deli Counter; Brats vor allem im Mittleren Westen, Kielbasa in polnischen Läden</w:t>
      </w:r>
    </w:p>
    <w:p w14:paraId="31D7D9D4" w14:textId="77777777" w:rsidR="001F7233" w:rsidRDefault="00000000">
      <w:r>
        <w:rPr>
          <w:b/>
        </w:rPr>
        <w:t>Deutscher Aufschnitt</w:t>
      </w:r>
    </w:p>
    <w:p w14:paraId="40CC5BE1" w14:textId="77777777" w:rsidR="001F7233" w:rsidRDefault="00000000">
      <w:r>
        <w:rPr>
          <w:b/>
        </w:rPr>
        <w:t xml:space="preserve">Was es gibt: </w:t>
      </w:r>
      <w:r>
        <w:t>Lyoner, Leberkäse, Teewurst: selten</w:t>
      </w:r>
    </w:p>
    <w:p w14:paraId="7AED939D" w14:textId="77777777" w:rsidR="001F7233" w:rsidRDefault="00000000">
      <w:r>
        <w:rPr>
          <w:b/>
        </w:rPr>
        <w:t xml:space="preserve">Wo du suchst: </w:t>
      </w:r>
      <w:r>
        <w:t>German Delis in Städten mit deutscher Einwanderung (etwa Milwaukee, Cincinnati, Chicago, New York); Onlineshops</w:t>
      </w:r>
    </w:p>
    <w:p w14:paraId="0744D5D1" w14:textId="77777777" w:rsidR="001F7233" w:rsidRDefault="00000000">
      <w:r>
        <w:rPr>
          <w:b/>
        </w:rPr>
        <w:t>Käse</w:t>
      </w:r>
    </w:p>
    <w:p w14:paraId="76CB5610" w14:textId="77777777" w:rsidR="001F7233" w:rsidRDefault="00000000">
      <w:r>
        <w:rPr>
          <w:b/>
        </w:rPr>
        <w:lastRenderedPageBreak/>
        <w:t xml:space="preserve">Was es gibt: </w:t>
      </w:r>
      <w:r>
        <w:t>Cheddar, Gouda, Emmentaler (Swiss), Havarti, Mozzarella, Parmesan</w:t>
      </w:r>
    </w:p>
    <w:p w14:paraId="71B1AB48" w14:textId="77777777" w:rsidR="001F7233" w:rsidRDefault="00000000">
      <w:r>
        <w:rPr>
          <w:b/>
        </w:rPr>
        <w:t xml:space="preserve">Wo du suchst: </w:t>
      </w:r>
      <w:r>
        <w:t>Käseregal und -theke; Costco, Trader Joe’s, Whole Foods</w:t>
      </w:r>
    </w:p>
    <w:p w14:paraId="4804D295" w14:textId="77777777" w:rsidR="001F7233" w:rsidRDefault="00000000">
      <w:r>
        <w:rPr>
          <w:b/>
        </w:rPr>
        <w:t>Quark, Schmand</w:t>
      </w:r>
    </w:p>
    <w:p w14:paraId="7C0F677B" w14:textId="77777777" w:rsidR="001F7233" w:rsidRDefault="00000000">
      <w:r>
        <w:rPr>
          <w:b/>
        </w:rPr>
        <w:t xml:space="preserve">Was es gibt: </w:t>
      </w:r>
      <w:r>
        <w:t>Quark selten; Ersatz: Skyr, abgetropfter Greek Yogurt, Sour Cream</w:t>
      </w:r>
    </w:p>
    <w:p w14:paraId="7601D337" w14:textId="77777777" w:rsidR="001F7233" w:rsidRDefault="00000000">
      <w:r>
        <w:rPr>
          <w:b/>
        </w:rPr>
        <w:t xml:space="preserve">Wo du suchst: </w:t>
      </w:r>
      <w:r>
        <w:t>Joghurtregal; Farmer Cheese in osteuropäischen Läden</w:t>
      </w:r>
    </w:p>
    <w:p w14:paraId="3F10D6CC" w14:textId="77777777" w:rsidR="001F7233" w:rsidRDefault="001F7233">
      <w:pPr>
        <w:spacing w:line="180" w:lineRule="exact"/>
      </w:pPr>
    </w:p>
    <w:p w14:paraId="040D26A8" w14:textId="77777777" w:rsidR="001F7233" w:rsidRDefault="00000000">
      <w:pPr>
        <w:spacing w:after="140"/>
      </w:pPr>
      <w:r>
        <w:rPr>
          <w:i/>
          <w:iCs/>
        </w:rPr>
        <w:t>Beim Brot lohnt der Blick aufs Etikett: „Wheat Bread“ ist nicht automatisch Vollkorn, gesucht ist „100 % Whole Wheat“. Roggenmehl (Rye Flour), Dinkelmehl (Spelt) und Sauerteigstarter gibt es im Backregal oder online; viele Deutsche backen ihr Brot selbst. Käse aus Rohmilch darf meist nur verkauft werden, wenn er mindestens 60 Tage gereift ist. Camembert und Brie sind daher meist pasteurisiert. Rohes Hackfleisch zum Essen (Mett, Hackepeter) verkauft niemand; Hackfleisch wird durchgegart.</w:t>
      </w:r>
    </w:p>
    <w:p w14:paraId="0790A6A5" w14:textId="77777777" w:rsidR="001F7233" w:rsidRDefault="00000000">
      <w:r>
        <w:rPr>
          <w:b/>
        </w:rPr>
        <w:t xml:space="preserve">MERKE: </w:t>
      </w:r>
    </w:p>
    <w:p w14:paraId="5355B07A" w14:textId="77777777" w:rsidR="001F7233" w:rsidRDefault="00000000">
      <w:r>
        <w:t>• Bei Grundnahrungsmitteln sind US-Supermärkte günstig und vielfältig; der Aufwand steckt bei Brot, Wurst und Käse. Behandle das als kleines Projekt der ersten Monate, nicht als tägliche Enttäuschung.</w:t>
      </w:r>
    </w:p>
    <w:p w14:paraId="19601C6D" w14:textId="77777777" w:rsidR="001F7233" w:rsidRDefault="001F7233">
      <w:pPr>
        <w:spacing w:line="220" w:lineRule="exact"/>
      </w:pPr>
    </w:p>
    <w:p w14:paraId="172F4E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Lebensmittel finden und mitbringen</w:t>
      </w:r>
    </w:p>
    <w:p w14:paraId="0CF0BF17" w14:textId="77777777" w:rsidR="001F7233" w:rsidRDefault="00000000">
      <w:pPr>
        <w:spacing w:after="140"/>
      </w:pPr>
      <w:r>
        <w:t xml:space="preserve">Haribo, Ritter Sport, Milka und Maggi stehen oft im Regal für internationale Lebensmittel oder lassen sich online bestellen. Zum Oktoberfest im Herbst und in der Weihnachtszeit führen Aldi, Lidl, Trader Joe’s und Whole Foods teils Brezeln, Senf, Spekulatius, Lebkuchen und Stollen. Sauerkraut und Essiggurken gibt es fast überall, Spätzle und Backzutaten in </w:t>
      </w:r>
      <w:r>
        <w:rPr>
          <w:i/>
          <w:iCs/>
        </w:rPr>
        <w:t>German Delis</w:t>
      </w:r>
      <w:r>
        <w:t xml:space="preserve"> und Onlineshops; </w:t>
      </w:r>
      <w:r>
        <w:lastRenderedPageBreak/>
        <w:t>der Versand kostet oft so viel wie die Ware. Lokale Gruppen von Deutschen kennen die besten Bezugsquellen (Kapitel </w:t>
      </w:r>
      <w:hyperlink w:anchor="k32">
        <w:r w:rsidR="001F7233">
          <w:t>32</w:t>
        </w:r>
      </w:hyperlink>
      <w:r>
        <w:t>).</w:t>
      </w:r>
    </w:p>
    <w:p w14:paraId="0ADF8A2F" w14:textId="77777777" w:rsidR="001F7233" w:rsidRDefault="00000000">
      <w:r>
        <w:rPr>
          <w:b/>
        </w:rPr>
        <w:t xml:space="preserve">ACHTUNG: </w:t>
      </w:r>
    </w:p>
    <w:p w14:paraId="3CC4E2B9" w14:textId="77777777" w:rsidR="001F7233" w:rsidRDefault="00000000">
      <w:r>
        <w:t>• Das klassische Überraschungsei ist in den USA verboten, weil Spielzeug in Lebensmitteln als Erstickungsgefahr gilt; erlaubt sind Varianten mit getrennten Fächern wie Kinder Joy. Wer eines im Koffer hat, riskiert Beschlagnahme und Bußgeld. Bei der Einreise musst du alle Lebensmittel angeben: Fleisch- und Wurstwaren sind meist verboten oder streng eingeschränkt, Käse und Backwaren eher unproblematisch (</w:t>
      </w:r>
      <w:hyperlink w:anchor="k23">
        <w:r w:rsidR="001F7233">
          <w:rPr>
            <w:color w:val="0563C1"/>
            <w:u w:val="single"/>
          </w:rPr>
          <w:t>Kapitel 23</w:t>
        </w:r>
      </w:hyperlink>
      <w:r>
        <w:t>).</w:t>
      </w:r>
    </w:p>
    <w:p w14:paraId="683AAF24" w14:textId="77777777" w:rsidR="001F7233" w:rsidRDefault="001F7233">
      <w:pPr>
        <w:spacing w:line="220" w:lineRule="exact"/>
      </w:pPr>
    </w:p>
    <w:p w14:paraId="2E5DF3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ab 21, Regeln je Bundesstaat</w:t>
      </w:r>
    </w:p>
    <w:p w14:paraId="654FDC3B" w14:textId="77777777" w:rsidR="001F7233" w:rsidRDefault="00000000">
      <w:pPr>
        <w:spacing w:after="140"/>
      </w:pPr>
      <w:r>
        <w:rPr>
          <w:i/>
          <w:iCs/>
        </w:rPr>
        <w:t>Das Mindestalter für Kauf und Konsum liegt in allen Bundesstaaten bei 21 Jahren. In Deutschland sind es 16 für Bier und Wein und 18 für Spirituosen. Läden und Bars kontrollieren streng, oft jeden, der jünger als 30 aussieht: Führerschein, State ID oder Reisepass gehören in die Tasche, eine Kopie genügt nicht. Auch das Glas Wein für ein 16-jähriges Kind am Familientisch ist heikel: Wer Alkohol an unter 21-Jährige abgibt, kann sich strafbar machen. Einige Bundesstaaten nehmen Eltern zu Hause aus.</w:t>
      </w:r>
    </w:p>
    <w:p w14:paraId="43C0C283" w14:textId="77777777" w:rsidR="001F7233" w:rsidRDefault="00000000">
      <w:pPr>
        <w:spacing w:after="140"/>
      </w:pPr>
      <w:r>
        <w:rPr>
          <w:i/>
          <w:iCs/>
        </w:rPr>
        <w:t>Wo und wann du Alkohol kaufst, regelt jeder Bundesstaat, teils der Landkreis. In vielen Staaten verkaufen Supermärkte Bier und Wein, Spirituosen nur Liquor Stores. In Kalifornien und Michigan gibt es Spirituosen auch im Supermarkt. In 17 Control States kontrolliert der Staat den Großhandel, in einigen (etwa Pennsylvania, Utah, Virginia) auch den Verkauf in eigenen Läden mit festen Öffnungszeiten. Sonntags gelten teils Einschränkungen, und in Dry Counties (vor allem im Süden, etwa in Teilen von Kentucky und Tennessee) ist der Verkauf ganz oder teilweise verboten. Die Regeln aller Staaten stehen in der NIAAA-Datenbank (Quellenliste).</w:t>
      </w:r>
    </w:p>
    <w:p w14:paraId="54F2F7D3" w14:textId="77777777" w:rsidR="001F7233" w:rsidRDefault="00000000">
      <w:pPr>
        <w:spacing w:after="140"/>
      </w:pPr>
      <w:r>
        <w:lastRenderedPageBreak/>
        <w:t>In Bars liegt die letzte Bestellung (</w:t>
      </w:r>
      <w:r>
        <w:rPr>
          <w:i/>
          <w:iCs/>
        </w:rPr>
        <w:t>Last Call</w:t>
      </w:r>
      <w:r>
        <w:t>) je nach Stadt zwischen etwa 1 und 4 Uhr. In Großstädten kostet ein Bier oft 7–10 $, ein Cocktail 14–20 $, dazu Steuer und Trinkgeld (Kapitel </w:t>
      </w:r>
      <w:hyperlink w:anchor="k31">
        <w:r w:rsidR="001F7233">
          <w:t>31</w:t>
        </w:r>
      </w:hyperlink>
      <w:r>
        <w:t>). Craft-Brauereien brauen häufig Pils, Kölsch und Weizen.</w:t>
      </w:r>
    </w:p>
    <w:p w14:paraId="081A4A80" w14:textId="77777777" w:rsidR="001F7233" w:rsidRDefault="00000000">
      <w:r>
        <w:rPr>
          <w:b/>
        </w:rPr>
        <w:t xml:space="preserve">ACHTUNG: </w:t>
      </w:r>
    </w:p>
    <w:p w14:paraId="73A8B2BD" w14:textId="77777777" w:rsidR="001F7233" w:rsidRDefault="00000000">
      <w:r>
        <w:t>• Ein geöffneter Alkoholbehälter im Fahrgastraum (Open Container) ist fast überall verboten, auch für Beifahrer; angebrochene Flaschen gehören verschlossen in den Kofferraum. Trinken auf der Straße, im Park oder am Strand ist in den meisten Städten untersagt, Ausnahmen gibt es etwa in Teilen von New Orleans und Las Vegas. Am Steuer gilt 0,08 % (in Utah 0,05 %); eine Trunkenheitsfahrt (DUI) kostet Führerschein und Geld und kann Visum und Green Card gefährden (</w:t>
      </w:r>
      <w:hyperlink w:anchor="k27">
        <w:r w:rsidR="001F7233">
          <w:rPr>
            <w:color w:val="0563C1"/>
            <w:u w:val="single"/>
          </w:rPr>
          <w:t>Kapitel 27</w:t>
        </w:r>
      </w:hyperlink>
      <w:r>
        <w:t xml:space="preserve"> und 40).</w:t>
      </w:r>
    </w:p>
    <w:p w14:paraId="29DDFD3D" w14:textId="77777777" w:rsidR="001F7233" w:rsidRDefault="001F7233">
      <w:pPr>
        <w:spacing w:line="220" w:lineRule="exact"/>
      </w:pPr>
    </w:p>
    <w:p w14:paraId="4448DB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Restaurants und Lieferdienste</w:t>
      </w:r>
    </w:p>
    <w:p w14:paraId="3A1250D9" w14:textId="77777777" w:rsidR="001F7233" w:rsidRDefault="00000000">
      <w:pPr>
        <w:spacing w:after="140"/>
      </w:pPr>
      <w:r>
        <w:t>Trinkgeld, Preise ohne Steuer, Reste und Rechnung teilen stehen in Kapitel </w:t>
      </w:r>
      <w:hyperlink w:anchor="k31">
        <w:r w:rsidR="001F7233">
          <w:t>31</w:t>
        </w:r>
      </w:hyperlink>
      <w:r>
        <w:t>. Im Alltag zählt außerdem: Du wartest am Eingang auf die Platzanweisung (</w:t>
      </w:r>
      <w:r>
        <w:rPr>
          <w:i/>
          <w:iCs/>
        </w:rPr>
        <w:t>Please wait to be seated</w:t>
      </w:r>
      <w:r>
        <w:t>), beliebte Lokale nehmen Reservierungen über Apps wie OpenTable oder Resy an, sonst kommst du auf eine Warteliste. Die Küche schließt früh, in Kleinstädten oft um 21 Uhr.</w:t>
      </w:r>
    </w:p>
    <w:p w14:paraId="6BB464EE" w14:textId="77777777" w:rsidR="001F7233" w:rsidRDefault="00000000">
      <w:pPr>
        <w:spacing w:after="140"/>
      </w:pPr>
      <w:r>
        <w:rPr>
          <w:i/>
          <w:iCs/>
        </w:rPr>
        <w:t>Lieferdienste wie DoorDash, Uber Eats und Grubhub bringen Restaurantessen, Instacart, Walmart und Amazon Supermarktware. Die App-Preise liegen oft über denen im Lokal, dazu kommen Lieferpauschale, Servicegebühr, Steuer und Trinkgeld: Aus 20 $ Essen werden schnell 30 $. Abos wie DashPass, Uber One oder Instacart+ kosten rund 10 $ im Monat und lohnen nur bei regelmäßigen Bestellungen. Günstiger ist die Abholung am Supermarkt (Curbside Pickup): Du bestellst online, ein Mitarbeiter lädt die Ware in dein Auto, meist kostenlos oder gegen kleine Gebühr.</w:t>
      </w:r>
    </w:p>
    <w:p w14:paraId="0290DEF9" w14:textId="77777777" w:rsidR="001F7233" w:rsidRDefault="00000000">
      <w:pPr>
        <w:spacing w:after="140"/>
      </w:pPr>
      <w:r>
        <w:lastRenderedPageBreak/>
        <w:t>Neben Liefer-Apps kannst du Babysitting, Nanny, Reinigung, Gartenpflege oder Poolservice einzeln organisieren. Verfügbarkeit, Preis, Versicherung und örtliche Anforderungen unterscheiden sich stark nach Region. Vereinbare Aufgaben, Stunden, Preis, Stornierung und Haftung schriftlich und prüfe Referenzen sowie falls nötig Lizenz und Versicherung. In den USA entscheidet bei Haushaltshilfen nicht allein die Bezeichnung „Freelancer“ oder die Vermittlung über eine Agentur: Wer Arbeitsablauf und Durchführung kontrolliert, kann Haushaltsarbeitgeber sein. Für 2026 löst eine Zahlung von mindestens 3.000 USD Bargeldlohn an eine einzelne Haushaltskraft meist Sozialversicherungs- und Medicare-Abgaben aus. Weitere Steuer- und Landespflichten können daneben gelten. Maßgeblich sind die Fakten und IRS Publication 926 (irs.gov/publications/p926).</w:t>
      </w:r>
    </w:p>
    <w:p w14:paraId="0AC6A8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Kochen: Cups, Ounces und Fahrenheit</w:t>
      </w:r>
    </w:p>
    <w:p w14:paraId="022D0A9B" w14:textId="77777777" w:rsidR="001F7233" w:rsidRDefault="00000000">
      <w:pPr>
        <w:spacing w:after="140"/>
      </w:pPr>
      <w:r>
        <w:rPr>
          <w:i/>
          <w:iCs/>
        </w:rPr>
        <w:t>US-Rezepte messen Volumen statt Gewicht – wer nach deutschem Rezept 250 g Mehl abwiegen will, steht zunächst ratlos vor einem Becherset ohne Waage. Ein Satz Messbecher (Measuring Cups), eine Küchenwaage mit Gramm- und Unzen-Anzeige und ein Fleischthermometer erleichtern alles. Die wichtigsten Werte:</w:t>
      </w:r>
    </w:p>
    <w:p w14:paraId="14FC9626" w14:textId="77777777" w:rsidR="001F7233" w:rsidRDefault="00000000">
      <w:r>
        <w:rPr>
          <w:b/>
        </w:rPr>
        <w:t>1 cup</w:t>
      </w:r>
    </w:p>
    <w:p w14:paraId="3918DCB8" w14:textId="77777777" w:rsidR="001F7233" w:rsidRDefault="00000000">
      <w:r>
        <w:rPr>
          <w:b/>
        </w:rPr>
        <w:t xml:space="preserve">Metrisch: </w:t>
      </w:r>
      <w:r>
        <w:t>237 ml</w:t>
      </w:r>
    </w:p>
    <w:p w14:paraId="09D84928" w14:textId="77777777" w:rsidR="001F7233" w:rsidRDefault="00000000">
      <w:r>
        <w:rPr>
          <w:b/>
        </w:rPr>
        <w:t xml:space="preserve">Hinweis: </w:t>
      </w:r>
      <w:r>
        <w:t>1 cup Mehl ca. 125 g, Zucker ca. 200 g, Butter ca. 225 g</w:t>
      </w:r>
    </w:p>
    <w:p w14:paraId="497B4611" w14:textId="77777777" w:rsidR="001F7233" w:rsidRDefault="00000000">
      <w:r>
        <w:rPr>
          <w:b/>
        </w:rPr>
        <w:t>1 tablespoon (Tbsp)</w:t>
      </w:r>
    </w:p>
    <w:p w14:paraId="193BDF68" w14:textId="77777777" w:rsidR="001F7233" w:rsidRDefault="00000000">
      <w:r>
        <w:rPr>
          <w:b/>
        </w:rPr>
        <w:t xml:space="preserve">Metrisch: </w:t>
      </w:r>
      <w:r>
        <w:t>ca. 15 ml</w:t>
      </w:r>
    </w:p>
    <w:p w14:paraId="28F65B78" w14:textId="77777777" w:rsidR="001F7233" w:rsidRDefault="00000000">
      <w:r>
        <w:rPr>
          <w:b/>
        </w:rPr>
        <w:t xml:space="preserve">Hinweis: </w:t>
      </w:r>
      <w:r>
        <w:t>1 teaspoon (tsp) ca. 5 ml</w:t>
      </w:r>
    </w:p>
    <w:p w14:paraId="0E1FD766" w14:textId="77777777" w:rsidR="001F7233" w:rsidRDefault="00000000">
      <w:r>
        <w:rPr>
          <w:b/>
        </w:rPr>
        <w:t>1 fluid ounce (fl oz)</w:t>
      </w:r>
    </w:p>
    <w:p w14:paraId="76971E7F" w14:textId="77777777" w:rsidR="001F7233" w:rsidRDefault="00000000">
      <w:r>
        <w:rPr>
          <w:b/>
        </w:rPr>
        <w:t xml:space="preserve">Metrisch: </w:t>
      </w:r>
      <w:r>
        <w:t>ca. 30 ml</w:t>
      </w:r>
    </w:p>
    <w:p w14:paraId="1E79E20E" w14:textId="77777777" w:rsidR="001F7233" w:rsidRDefault="00000000">
      <w:r>
        <w:rPr>
          <w:b/>
        </w:rPr>
        <w:t xml:space="preserve">Hinweis: </w:t>
      </w:r>
      <w:r>
        <w:t>8 fl oz = 1 cup</w:t>
      </w:r>
    </w:p>
    <w:p w14:paraId="44E1E690" w14:textId="77777777" w:rsidR="001F7233" w:rsidRDefault="00000000">
      <w:r>
        <w:rPr>
          <w:b/>
        </w:rPr>
        <w:t>1 pint, 1 quart, 1 gallon</w:t>
      </w:r>
    </w:p>
    <w:p w14:paraId="2956F3FC" w14:textId="77777777" w:rsidR="001F7233" w:rsidRDefault="00000000">
      <w:r>
        <w:rPr>
          <w:b/>
        </w:rPr>
        <w:t xml:space="preserve">Metrisch: </w:t>
      </w:r>
      <w:r>
        <w:t>473 ml, 0,95 l, 3,8 l</w:t>
      </w:r>
    </w:p>
    <w:p w14:paraId="07DAE3F1" w14:textId="77777777" w:rsidR="001F7233" w:rsidRDefault="00000000">
      <w:r>
        <w:rPr>
          <w:b/>
        </w:rPr>
        <w:t xml:space="preserve">Hinweis: </w:t>
      </w:r>
      <w:r>
        <w:t>2 pints = 1 quart, 4 quarts = 1 gallon</w:t>
      </w:r>
    </w:p>
    <w:p w14:paraId="73673C69" w14:textId="77777777" w:rsidR="001F7233" w:rsidRDefault="00000000">
      <w:r>
        <w:rPr>
          <w:b/>
        </w:rPr>
        <w:lastRenderedPageBreak/>
        <w:t>1 ounce (oz), 1 pound (lb)</w:t>
      </w:r>
    </w:p>
    <w:p w14:paraId="5A857A42" w14:textId="77777777" w:rsidR="001F7233" w:rsidRDefault="00000000">
      <w:r>
        <w:rPr>
          <w:b/>
        </w:rPr>
        <w:t xml:space="preserve">Metrisch: </w:t>
      </w:r>
      <w:r>
        <w:t>28 g, 454 g</w:t>
      </w:r>
    </w:p>
    <w:p w14:paraId="4DB02864" w14:textId="77777777" w:rsidR="001F7233" w:rsidRDefault="00000000">
      <w:r>
        <w:rPr>
          <w:b/>
        </w:rPr>
        <w:t xml:space="preserve">Hinweis: </w:t>
      </w:r>
      <w:r>
        <w:t>16 oz = 1 lb</w:t>
      </w:r>
    </w:p>
    <w:p w14:paraId="7A0A6C2D" w14:textId="77777777" w:rsidR="001F7233" w:rsidRDefault="00000000">
      <w:r>
        <w:rPr>
          <w:b/>
        </w:rPr>
        <w:t>1 stick Butter</w:t>
      </w:r>
    </w:p>
    <w:p w14:paraId="7CE4F11B" w14:textId="77777777" w:rsidR="001F7233" w:rsidRDefault="00000000">
      <w:r>
        <w:rPr>
          <w:b/>
        </w:rPr>
        <w:t xml:space="preserve">Metrisch: </w:t>
      </w:r>
      <w:r>
        <w:t>113 g</w:t>
      </w:r>
    </w:p>
    <w:p w14:paraId="76029543" w14:textId="77777777" w:rsidR="001F7233" w:rsidRDefault="00000000">
      <w:r>
        <w:rPr>
          <w:b/>
        </w:rPr>
        <w:t xml:space="preserve">Hinweis: </w:t>
      </w:r>
      <w:r>
        <w:t>½ cup = 8 Tbsp</w:t>
      </w:r>
    </w:p>
    <w:p w14:paraId="5C25204D" w14:textId="77777777" w:rsidR="001F7233" w:rsidRDefault="00000000">
      <w:r>
        <w:rPr>
          <w:b/>
        </w:rPr>
        <w:t>350 °F, 400 °F, 450 °F</w:t>
      </w:r>
    </w:p>
    <w:p w14:paraId="175518A5" w14:textId="77777777" w:rsidR="001F7233" w:rsidRDefault="00000000">
      <w:r>
        <w:rPr>
          <w:b/>
        </w:rPr>
        <w:t xml:space="preserve">Metrisch: </w:t>
      </w:r>
      <w:r>
        <w:t>175 °C, 200 °C, 230 °C</w:t>
      </w:r>
    </w:p>
    <w:p w14:paraId="369F3048" w14:textId="77777777" w:rsidR="001F7233" w:rsidRDefault="00000000">
      <w:r>
        <w:rPr>
          <w:b/>
        </w:rPr>
        <w:t xml:space="preserve">Hinweis: </w:t>
      </w:r>
      <w:r>
        <w:t>°F minus 32, geteilt durch 1,8</w:t>
      </w:r>
    </w:p>
    <w:p w14:paraId="140C18CB" w14:textId="77777777" w:rsidR="001F7233" w:rsidRDefault="001F7233">
      <w:pPr>
        <w:spacing w:line="180" w:lineRule="exact"/>
      </w:pPr>
    </w:p>
    <w:p w14:paraId="2F1FE708" w14:textId="77777777" w:rsidR="001F7233" w:rsidRDefault="00000000">
      <w:pPr>
        <w:spacing w:after="140"/>
      </w:pPr>
      <w:r>
        <w:t xml:space="preserve">Der Backofen kennt </w:t>
      </w:r>
      <w:r>
        <w:rPr>
          <w:i/>
          <w:iCs/>
        </w:rPr>
        <w:t>Bake</w:t>
      </w:r>
      <w:r>
        <w:t xml:space="preserve"> (Ober- und Unterhitze), </w:t>
      </w:r>
      <w:r>
        <w:rPr>
          <w:i/>
          <w:iCs/>
        </w:rPr>
        <w:t>Convection</w:t>
      </w:r>
      <w:r>
        <w:t xml:space="preserve"> (Umluft; Temperatur etwa 25 °F senken) und </w:t>
      </w:r>
      <w:r>
        <w:rPr>
          <w:i/>
          <w:iCs/>
        </w:rPr>
        <w:t>Broil</w:t>
      </w:r>
      <w:r>
        <w:t xml:space="preserve"> (Grill). Wichtige Zutaten: Backpulver heißt </w:t>
      </w:r>
      <w:r>
        <w:rPr>
          <w:i/>
          <w:iCs/>
        </w:rPr>
        <w:t>baking powder</w:t>
      </w:r>
      <w:r>
        <w:t xml:space="preserve">, Natron </w:t>
      </w:r>
      <w:r>
        <w:rPr>
          <w:i/>
          <w:iCs/>
        </w:rPr>
        <w:t>baking soda</w:t>
      </w:r>
      <w:r>
        <w:t xml:space="preserve"> (nicht verwechseln), Speisestärke </w:t>
      </w:r>
      <w:r>
        <w:rPr>
          <w:i/>
          <w:iCs/>
        </w:rPr>
        <w:t>cornstarch</w:t>
      </w:r>
      <w:r>
        <w:t xml:space="preserve">, Schlagsahne </w:t>
      </w:r>
      <w:r>
        <w:rPr>
          <w:i/>
          <w:iCs/>
        </w:rPr>
        <w:t>heavy cream</w:t>
      </w:r>
      <w:r>
        <w:t xml:space="preserve">, Schmand </w:t>
      </w:r>
      <w:r>
        <w:rPr>
          <w:i/>
          <w:iCs/>
        </w:rPr>
        <w:t>sour cream</w:t>
      </w:r>
      <w:r>
        <w:t xml:space="preserve">; Weizenmehl Type 550 entspricht etwa </w:t>
      </w:r>
      <w:r>
        <w:rPr>
          <w:i/>
          <w:iCs/>
        </w:rPr>
        <w:t>all-purpose flour</w:t>
      </w:r>
      <w:r>
        <w:t>. Als Kerntemperatur gelten für Geflügel 165 °F (74 °C), für Hackfleisch 160 °F (71 °C). Elektrische Küchengeräte aus Deutschland laufen an 120 Volt meist nicht (Kapitel </w:t>
      </w:r>
      <w:hyperlink w:anchor="k21">
        <w:r w:rsidR="001F7233">
          <w:t>21</w:t>
        </w:r>
      </w:hyperlink>
      <w:r>
        <w:t>).</w:t>
      </w:r>
    </w:p>
    <w:p w14:paraId="75EEFC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Trinkwasser</w:t>
      </w:r>
    </w:p>
    <w:p w14:paraId="6C49E48E" w14:textId="77777777" w:rsidR="001F7233" w:rsidRDefault="00000000">
      <w:pPr>
        <w:spacing w:after="140"/>
      </w:pPr>
      <w:r>
        <w:rPr>
          <w:i/>
          <w:iCs/>
        </w:rPr>
        <w:t>Leitungswasser ist in den USA fast überall trinkbar und im Restaurant gratis. Öffentliche Wasserwerke unterliegen dem Bundesgesetz Safe Drinking Water Act und der Aufsicht der Umweltbehörde EPA. Jedes Jahr, meist bis 1. Juli, veröffentlichen sie einen Wasserqualitätsbericht (Consumer Confidence Report) mit den Messwerten. Viele Werke desinfizieren mit Chlor oder Chloramin, im Südwesten ist das Wasser so hart, dass sich in Wasserkocher und Kaffeemaschine schon nach wenigen Wochen eine weiße Kalkkruste bildet. Ein Kannen- oder Kühlschrankfilter mildert wenigstens den Geschmack. Sprudelwasser heißt Seltzer oder Sparkling Water und ist meist milder als deutsches Mineralwasser.</w:t>
      </w:r>
    </w:p>
    <w:p w14:paraId="69D2127F" w14:textId="77777777" w:rsidR="001F7233" w:rsidRDefault="00000000">
      <w:pPr>
        <w:spacing w:after="140"/>
      </w:pPr>
      <w:r>
        <w:t xml:space="preserve">Zwei Themen sind im Fluss: PFAS (langlebige Industriechemikalien) und Fluorid. Für PFOA und PFOS gilt ein Grenzwert von 4 ng/l; nach </w:t>
      </w:r>
      <w:r>
        <w:lastRenderedPageBreak/>
        <w:t>einem EPA-Vorschlag vom Mai 2026 soll er bleiben, die Frist bis 2031 verlängert werden können. Viele Werke setzen Fluorid zur Kariesvorbeugung zu; Utah und Florida haben das 2025 per Gesetz beendet. Wie du bei Kindern damit umgehst, klärst du mit Kinder- oder Zahnarzt (Kapitel </w:t>
      </w:r>
      <w:hyperlink w:anchor="k26">
        <w:r w:rsidR="001F7233">
          <w:t>26</w:t>
        </w:r>
      </w:hyperlink>
      <w:r>
        <w:t xml:space="preserve">). Bei Rohrbrüchen ordnet der Versorger eine </w:t>
      </w:r>
      <w:r>
        <w:rPr>
          <w:i/>
          <w:iCs/>
        </w:rPr>
        <w:t>Boil Water Advisory</w:t>
      </w:r>
      <w:r>
        <w:t xml:space="preserve"> an: Wasser vor dem Trinken eine Minute sprudelnd kochen.</w:t>
      </w:r>
    </w:p>
    <w:p w14:paraId="3B1C762B" w14:textId="77777777" w:rsidR="001F7233" w:rsidRDefault="00000000">
      <w:r>
        <w:rPr>
          <w:b/>
        </w:rPr>
        <w:t xml:space="preserve">ACHTUNG: </w:t>
      </w:r>
    </w:p>
    <w:p w14:paraId="4DEE15E7" w14:textId="77777777" w:rsidR="001F7233" w:rsidRDefault="00000000">
      <w:r>
        <w:t>• Bis 1986 durften Bleirohre und bleihaltiges Lötzinn verbaut werden. In älteren Häusern kann Blei ins Wasser gelangen, für Kleinkinder und Schwangere ist keine Menge unbedenklich. Bekannt wurde das Problem durch die Stadt Flint in Michigan (2014/15). Frage den Versorger nach dem Material der Hausanschlussleitung, lass das Wasser bei Bedarf testen und nutze zum Trinken und Kochen nur kaltes Wasser. Filter sollten für Blei zertifiziert sein (NSF/ANSI 53). Seit Oktober 2024 verlangt die EPA-Regel LCRI, dass Versorger alle Bleileitungen binnen zehn Jahren ersetzen; die Frist beginnt am 1. November 2027.</w:t>
      </w:r>
    </w:p>
    <w:p w14:paraId="41CB274B" w14:textId="77777777" w:rsidR="001F7233" w:rsidRDefault="001F7233">
      <w:pPr>
        <w:spacing w:line="220" w:lineRule="exact"/>
      </w:pPr>
    </w:p>
    <w:p w14:paraId="29AF43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Schulessen</w:t>
      </w:r>
    </w:p>
    <w:p w14:paraId="43AC75FC" w14:textId="77777777" w:rsidR="001F7233" w:rsidRDefault="00000000">
      <w:pPr>
        <w:spacing w:after="140"/>
      </w:pPr>
      <w:r>
        <w:t xml:space="preserve">Öffentliche Schulen bieten Frühstück und Mittagessen in der </w:t>
      </w:r>
      <w:r>
        <w:rPr>
          <w:i/>
          <w:iCs/>
        </w:rPr>
        <w:t>Cafeteria</w:t>
      </w:r>
      <w:r>
        <w:t xml:space="preserve"> über das </w:t>
      </w:r>
      <w:r>
        <w:rPr>
          <w:i/>
          <w:iCs/>
        </w:rPr>
        <w:t>National School Lunch Program</w:t>
      </w:r>
      <w:r>
        <w:t>. Das Mittagessen liegt früh, oft zwischen 10:30 und 12:30 Uhr, und dauert 20 bis 30 Minuten. Pizza, Nuggets und Pasta stehen neben Salat, Obst und Milch. Den Preis legt der Distrikt fest, meist einige Dollar je Mahlzeit.</w:t>
      </w:r>
    </w:p>
    <w:p w14:paraId="4A370EBA" w14:textId="77777777" w:rsidR="001F7233" w:rsidRDefault="00000000">
      <w:pPr>
        <w:spacing w:after="140"/>
      </w:pPr>
      <w:r>
        <w:t xml:space="preserve">In neun Bundesstaaten sind Schulmahlzeiten für alle Kinder kostenlos: Kalifornien, Colorado, Maine, Massachusetts, Michigan, Minnesota, New Mexico, New York und Vermont (Schuljahr 2026/27). Anderswo essen Kinder aus Haushalten bis 130 % der Armutsgrenze kostenlos, bis 185 % zu ermäßigten Preisen: 2026/27 sind das für vier Personen 42.900 $ beziehungsweise 61.050 $ Jahreseinkommen. Der Einwanderungsstatus spielt für die </w:t>
      </w:r>
      <w:r>
        <w:lastRenderedPageBreak/>
        <w:t>Teilnahme keine Rolle. Wer selbst packt, gibt eine Lunchbox mit. Viele Schulen sind wegen Allergien nussfrei (</w:t>
      </w:r>
      <w:r>
        <w:rPr>
          <w:i/>
          <w:iCs/>
        </w:rPr>
        <w:t>Peanut-Free</w:t>
      </w:r>
      <w:r>
        <w:t>): Melde Allergien bei der Anmeldung. Guthaben lädst du meist per App des Distrikts auf. Mehr zum Schulsystem steht in Kapitel </w:t>
      </w:r>
      <w:hyperlink w:anchor="k36">
        <w:r w:rsidR="001F7233">
          <w:t>36</w:t>
        </w:r>
      </w:hyperlink>
      <w:r>
        <w:t>.</w:t>
      </w:r>
    </w:p>
    <w:p w14:paraId="3D3CC8AB" w14:textId="77777777" w:rsidR="001F7233" w:rsidRDefault="00000000">
      <w:pPr>
        <w:pStyle w:val="Heading3"/>
      </w:pPr>
      <w:r>
        <w:t>Getränke bestellen: kleine Unterschiede, einfache Rückfragen</w:t>
      </w:r>
    </w:p>
    <w:p w14:paraId="5FEB0C74" w14:textId="77777777" w:rsidR="001F7233" w:rsidRDefault="00000000">
      <w:r>
        <w:t>US-Kaffee ist oft Filterkaffee im großen Becher. „refill“ kann Nachfüllen heißen, iced tea ist je nach Region gesüßt oder ungesüßt. In Kanada kann „double-double“ Kaffee mit zwei Portionen Sahne und Zucker meinen. Australien und Neuseeland bieten häufig Flat White und Long Black; Café-Größen variieren. Wenn Wasser oder ein Getränk unklar ist, frag nach „tap water“, Größe und Preis.</w:t>
      </w:r>
    </w:p>
    <w:p w14:paraId="5749B1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Essen, Trinken, Einkaufen</w:t>
      </w:r>
    </w:p>
    <w:p w14:paraId="411E1E67" w14:textId="77777777" w:rsidR="001F7233" w:rsidRDefault="00000000">
      <w:r>
        <w:rPr>
          <w:b/>
        </w:rPr>
        <w:t>Plus: Lange Öffnungszeiten, auch sonntags</w:t>
      </w:r>
    </w:p>
    <w:p w14:paraId="3B812B36" w14:textId="77777777" w:rsidR="001F7233" w:rsidRDefault="00000000">
      <w:r>
        <w:rPr>
          <w:b/>
        </w:rPr>
        <w:t xml:space="preserve">Minus: </w:t>
      </w:r>
      <w:r>
        <w:t>Ohne Auto ist der Einkauf in vielen Regionen mühsam</w:t>
      </w:r>
    </w:p>
    <w:p w14:paraId="65638FA1" w14:textId="77777777" w:rsidR="001F7233" w:rsidRDefault="00000000">
      <w:r>
        <w:rPr>
          <w:b/>
        </w:rPr>
        <w:t>Plus: Günstige Grundnahrungsmittel bei Aldi, Walmart und Costco</w:t>
      </w:r>
    </w:p>
    <w:p w14:paraId="378A0B99" w14:textId="77777777" w:rsidR="001F7233" w:rsidRDefault="00000000">
      <w:r>
        <w:rPr>
          <w:b/>
        </w:rPr>
        <w:t xml:space="preserve">Minus: </w:t>
      </w:r>
      <w:r>
        <w:t>Brot, Wurst und Käse in deutscher Qualität nur mit Aufwand</w:t>
      </w:r>
    </w:p>
    <w:p w14:paraId="45EBCCF1" w14:textId="77777777" w:rsidR="001F7233" w:rsidRDefault="00000000">
      <w:r>
        <w:rPr>
          <w:b/>
        </w:rPr>
        <w:t>Plus: Große Vielfalt an Küchen und Zutaten</w:t>
      </w:r>
    </w:p>
    <w:p w14:paraId="022203A9" w14:textId="77777777" w:rsidR="001F7233" w:rsidRDefault="00000000">
      <w:r>
        <w:rPr>
          <w:b/>
        </w:rPr>
        <w:t xml:space="preserve">Minus: </w:t>
      </w:r>
      <w:r>
        <w:t>Mehr Zusatzstoffe und Zucker in vielen Fertigprodukten</w:t>
      </w:r>
    </w:p>
    <w:p w14:paraId="6DF31028" w14:textId="77777777" w:rsidR="001F7233" w:rsidRDefault="00000000">
      <w:r>
        <w:rPr>
          <w:b/>
        </w:rPr>
        <w:t>Plus: Kulante Rückgabe bei Ketten wie Aldi und Costco</w:t>
      </w:r>
    </w:p>
    <w:p w14:paraId="20BFBD5B" w14:textId="77777777" w:rsidR="001F7233" w:rsidRDefault="00000000">
      <w:r>
        <w:rPr>
          <w:b/>
        </w:rPr>
        <w:t>Minus: Lieferdienste können durch Menüpreise, Liefer- und Servicegebühren sowie Trinkgeld deutlich teurer sein</w:t>
      </w:r>
    </w:p>
    <w:p w14:paraId="76D008F9" w14:textId="77777777" w:rsidR="001F7233" w:rsidRDefault="00000000">
      <w:r>
        <w:rPr>
          <w:b/>
        </w:rPr>
        <w:t>Plus: Craft-Bier-, Wein- und Kaffeekultur</w:t>
      </w:r>
    </w:p>
    <w:p w14:paraId="25F52C26" w14:textId="77777777" w:rsidR="001F7233" w:rsidRDefault="00000000">
      <w:r>
        <w:rPr>
          <w:b/>
        </w:rPr>
        <w:t xml:space="preserve">Minus: </w:t>
      </w:r>
      <w:r>
        <w:t>Zersplitterte Alkoholregeln, Ausweispflicht, kein Trinken in der Öffentlichkeit</w:t>
      </w:r>
    </w:p>
    <w:p w14:paraId="49AB72AA" w14:textId="77777777" w:rsidR="001F7233" w:rsidRDefault="00000000">
      <w:r>
        <w:rPr>
          <w:b/>
        </w:rPr>
        <w:t>Plus: Leitungswasser meist gut, im Restaurant gratis</w:t>
      </w:r>
    </w:p>
    <w:p w14:paraId="515ABAD3" w14:textId="77777777" w:rsidR="001F7233" w:rsidRDefault="00000000">
      <w:r>
        <w:rPr>
          <w:b/>
        </w:rPr>
        <w:t xml:space="preserve">Minus: </w:t>
      </w:r>
      <w:r>
        <w:t>Bleirohre in alten Häusern, regional verschiedene Wasserqualität</w:t>
      </w:r>
    </w:p>
    <w:p w14:paraId="20BE0D0B" w14:textId="77777777" w:rsidR="001F7233" w:rsidRDefault="00000000">
      <w:r>
        <w:rPr>
          <w:b/>
        </w:rPr>
        <w:lastRenderedPageBreak/>
        <w:t>Plus: Kostenlose Schulmahlzeiten in neun Bundesstaaten</w:t>
      </w:r>
    </w:p>
    <w:p w14:paraId="3607110D" w14:textId="77777777" w:rsidR="001F7233" w:rsidRDefault="00000000">
      <w:r>
        <w:rPr>
          <w:b/>
        </w:rPr>
        <w:t xml:space="preserve">Minus: </w:t>
      </w:r>
      <w:r>
        <w:t>Cups, Ounces und Fahrenheit verlangen Umgewöhnung</w:t>
      </w:r>
    </w:p>
    <w:p w14:paraId="4825E016" w14:textId="77777777" w:rsidR="001F7233" w:rsidRDefault="001F7233">
      <w:pPr>
        <w:spacing w:line="180" w:lineRule="exact"/>
      </w:pPr>
    </w:p>
    <w:p w14:paraId="701286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1D02C1D" w14:textId="77777777" w:rsidR="001F7233" w:rsidRDefault="00000000">
      <w:pPr>
        <w:spacing w:after="140"/>
      </w:pPr>
      <w:r>
        <w:t>Lege in der ersten Woche zwei Basisläden fest, einen Discounter und einen Vollsortimenter, und hole dir die Kundenkarten. Kaufe früh eine Küchenwaage und einen Wasserfilter, frage bei der Wohnungssuche nach Baujahr und Leitungsmaterial (Kapitel </w:t>
      </w:r>
      <w:hyperlink w:anchor="k13">
        <w:r w:rsidR="001F7233">
          <w:t>13</w:t>
        </w:r>
      </w:hyperlink>
      <w:r>
        <w:t>) und probiere Ersatz für Brot, Wurst und Käse in Ruhe aus.</w:t>
      </w:r>
    </w:p>
    <w:p w14:paraId="7A39168B" w14:textId="77777777" w:rsidR="001F7233" w:rsidRDefault="00000000">
      <w:r>
        <w:t>• Zwei Basisläden festlegen (Discounter und Vollsortimenter), Kundenkarten oder Apps einrichten</w:t>
      </w:r>
    </w:p>
    <w:p w14:paraId="7B22D3AB" w14:textId="77777777" w:rsidR="001F7233" w:rsidRDefault="00000000">
      <w:r>
        <w:t>• Monatsbudget für Lebensmittel mit den USDA-Richtwerten planen, Restaurant und Lieferdienst extra</w:t>
      </w:r>
    </w:p>
    <w:p w14:paraId="021F4D06" w14:textId="77777777" w:rsidR="001F7233" w:rsidRDefault="00000000">
      <w:r>
        <w:t>• Prüfen, ob sich eine Costco-Mitgliedschaft für deinen Haushalt rechnet</w:t>
      </w:r>
    </w:p>
    <w:p w14:paraId="05DA8313" w14:textId="77777777" w:rsidR="001F7233" w:rsidRDefault="00000000">
      <w:r>
        <w:t>• Ersatz für Brot, Wurst und Käse finden: Bäckereitheke, German Deli, Onlineshop, Backzutaten</w:t>
      </w:r>
    </w:p>
    <w:p w14:paraId="2AE3239B" w14:textId="77777777" w:rsidR="001F7233" w:rsidRDefault="00000000">
      <w:r>
        <w:t>• Führerschein oder State ID für Alkoholkäufe mitnehmen; Alkohol im Auto nur verschlossen im Kofferraum</w:t>
      </w:r>
    </w:p>
    <w:p w14:paraId="66D9C884" w14:textId="77777777" w:rsidR="001F7233" w:rsidRDefault="00000000">
      <w:r>
        <w:t>• Wasserqualitätsbericht des Versorgers lesen; bei Häusern vor 1986 Bleitest und zertifizierten Filter erwägen</w:t>
      </w:r>
    </w:p>
    <w:p w14:paraId="4BEE4B07" w14:textId="77777777" w:rsidR="001F7233" w:rsidRDefault="00000000">
      <w:r>
        <w:t>• Küchenwaage mit Gramm und Unzen, Messbecher und Fleischthermometer kaufen; Küchengeräte auf 120 Volt prüfen</w:t>
      </w:r>
    </w:p>
    <w:p w14:paraId="0FC13040" w14:textId="77777777" w:rsidR="001F7233" w:rsidRDefault="00000000">
      <w:r>
        <w:t>• Lebensmittel bei der Einreise angeben und keine Wurstwaren mitbringen</w:t>
      </w:r>
    </w:p>
    <w:p w14:paraId="0164BF86" w14:textId="77777777" w:rsidR="001F7233" w:rsidRDefault="00000000">
      <w:r>
        <w:t>• Bei Schulkindern Preise, Allergieregeln und Guthabenkonto der Schulcafeteria klären</w:t>
      </w:r>
    </w:p>
    <w:p w14:paraId="11143AF8" w14:textId="77777777" w:rsidR="001F7233" w:rsidRDefault="001F7233">
      <w:pPr>
        <w:spacing w:line="220" w:lineRule="exact"/>
      </w:pPr>
    </w:p>
    <w:p w14:paraId="5026F3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016849B7" w14:textId="77777777" w:rsidR="001F7233" w:rsidRDefault="00000000">
      <w:pPr>
        <w:pStyle w:val="ListParagraph"/>
        <w:numPr>
          <w:ilvl w:val="0"/>
          <w:numId w:val="1"/>
        </w:numPr>
        <w:spacing w:after="60"/>
      </w:pPr>
      <w:r>
        <w:t>US-Landwirtschaftsministerium (USDA) — Richtwerte für Lebensmittelkosten (</w:t>
      </w:r>
      <w:hyperlink r:id="rId475">
        <w:r w:rsidR="001F7233">
          <w:rPr>
            <w:color w:val="0563C1"/>
            <w:u w:val="single"/>
          </w:rPr>
          <w:t>fna.usda.gov/research/cnpp/usda-food-plans</w:t>
        </w:r>
      </w:hyperlink>
      <w:r>
        <w:t>) und Schulmahlzeiten (</w:t>
      </w:r>
      <w:hyperlink r:id="rId476">
        <w:r w:rsidR="001F7233">
          <w:rPr>
            <w:color w:val="0563C1"/>
            <w:u w:val="single"/>
          </w:rPr>
          <w:t>fna.usda.gov/nslp</w:t>
        </w:r>
      </w:hyperlink>
      <w:r>
        <w:t>)</w:t>
      </w:r>
    </w:p>
    <w:p w14:paraId="18E0AA47" w14:textId="77777777" w:rsidR="001F7233" w:rsidRDefault="00000000">
      <w:pPr>
        <w:pStyle w:val="ListParagraph"/>
        <w:numPr>
          <w:ilvl w:val="0"/>
          <w:numId w:val="1"/>
        </w:numPr>
        <w:spacing w:after="60"/>
      </w:pPr>
      <w:r>
        <w:t>Statistikbehörde BLS — Durchschnittspreise für Lebensmittel (</w:t>
      </w:r>
      <w:hyperlink r:id="rId477">
        <w:r w:rsidR="001F7233">
          <w:rPr>
            <w:color w:val="0563C1"/>
            <w:u w:val="single"/>
          </w:rPr>
          <w:t>bls.gov</w:t>
        </w:r>
      </w:hyperlink>
      <w:r>
        <w:t>, Suche: average retail food and energy prices)</w:t>
      </w:r>
    </w:p>
    <w:p w14:paraId="7DF1337E" w14:textId="77777777" w:rsidR="001F7233" w:rsidRDefault="00000000">
      <w:pPr>
        <w:pStyle w:val="ListParagraph"/>
        <w:numPr>
          <w:ilvl w:val="0"/>
          <w:numId w:val="1"/>
        </w:numPr>
        <w:spacing w:after="60"/>
      </w:pPr>
      <w:r>
        <w:t>USDA — Bio-Kennzeichnung (</w:t>
      </w:r>
      <w:hyperlink r:id="rId478">
        <w:r w:rsidR="001F7233">
          <w:rPr>
            <w:color w:val="0563C1"/>
            <w:u w:val="single"/>
          </w:rPr>
          <w:t>usda.gov/topics/organic</w:t>
        </w:r>
      </w:hyperlink>
      <w:r>
        <w:t>)</w:t>
      </w:r>
    </w:p>
    <w:p w14:paraId="29515BFA" w14:textId="77777777" w:rsidR="001F7233" w:rsidRDefault="00000000">
      <w:pPr>
        <w:pStyle w:val="ListParagraph"/>
        <w:numPr>
          <w:ilvl w:val="0"/>
          <w:numId w:val="1"/>
        </w:numPr>
        <w:spacing w:after="60"/>
      </w:pPr>
      <w:r>
        <w:t>Lebensmittelbehörde FDA — Farbstoffe und Zusatzstoffe (</w:t>
      </w:r>
      <w:hyperlink r:id="rId479">
        <w:r w:rsidR="001F7233">
          <w:rPr>
            <w:color w:val="0563C1"/>
            <w:u w:val="single"/>
          </w:rPr>
          <w:t>FDA: FD&amp;C Red No. 3</w:t>
        </w:r>
      </w:hyperlink>
      <w:r>
        <w:t>, Suche: Red No. 3)</w:t>
      </w:r>
    </w:p>
    <w:p w14:paraId="314256F8" w14:textId="77777777" w:rsidR="001F7233" w:rsidRDefault="00000000">
      <w:pPr>
        <w:pStyle w:val="ListParagraph"/>
        <w:numPr>
          <w:ilvl w:val="0"/>
          <w:numId w:val="1"/>
        </w:numPr>
        <w:spacing w:after="60"/>
      </w:pPr>
      <w:r>
        <w:t>Umweltbehörde EPA — Trinkwasser, Blei und Wasserqualitätsbericht (</w:t>
      </w:r>
      <w:hyperlink r:id="rId480">
        <w:r w:rsidR="001F7233">
          <w:rPr>
            <w:color w:val="0563C1"/>
            <w:u w:val="single"/>
          </w:rPr>
          <w:t>epa.gov/ground-water-and-drinking-water</w:t>
        </w:r>
      </w:hyperlink>
      <w:r>
        <w:t>)</w:t>
      </w:r>
    </w:p>
    <w:p w14:paraId="590F3711" w14:textId="77777777" w:rsidR="001F7233" w:rsidRDefault="00000000">
      <w:pPr>
        <w:pStyle w:val="ListParagraph"/>
        <w:numPr>
          <w:ilvl w:val="0"/>
          <w:numId w:val="1"/>
        </w:numPr>
        <w:spacing w:after="60"/>
      </w:pPr>
      <w:r>
        <w:t>Alkoholpolitik-Datenbank des NIAAA — Gesetze der Bundesstaaten (</w:t>
      </w:r>
      <w:hyperlink r:id="rId481">
        <w:r w:rsidR="001F7233">
          <w:rPr>
            <w:color w:val="0563C1"/>
            <w:u w:val="single"/>
          </w:rPr>
          <w:t>alcoholpolicy.niaaa.nih.gov</w:t>
        </w:r>
      </w:hyperlink>
      <w:r>
        <w:t>)</w:t>
      </w:r>
    </w:p>
    <w:p w14:paraId="37C07240" w14:textId="77777777" w:rsidR="001F7233" w:rsidRDefault="00000000">
      <w:pPr>
        <w:pStyle w:val="ListParagraph"/>
        <w:numPr>
          <w:ilvl w:val="0"/>
          <w:numId w:val="1"/>
        </w:numPr>
        <w:spacing w:after="60"/>
      </w:pPr>
      <w:r>
        <w:t>Grenzschutzbehörde CBP — Einfuhr von Lebensmitteln (</w:t>
      </w:r>
      <w:hyperlink r:id="rId482">
        <w:r w:rsidR="001F7233">
          <w:rPr>
            <w:color w:val="0563C1"/>
            <w:u w:val="single"/>
          </w:rPr>
          <w:t>cbp.gov</w:t>
        </w:r>
      </w:hyperlink>
      <w:r>
        <w:t>, Suche: prohibited and restricted items)</w:t>
      </w:r>
    </w:p>
    <w:p w14:paraId="6CEBCA61" w14:textId="77777777" w:rsidR="001F7233" w:rsidRDefault="001F7233">
      <w:pPr>
        <w:spacing w:line="120" w:lineRule="exact"/>
      </w:pPr>
    </w:p>
    <w:p w14:paraId="2CBFCFDE" w14:textId="77777777" w:rsidR="001F7233" w:rsidRDefault="00000000">
      <w:r>
        <w:t>• Quellen- und Datenstand: September 2026; Redaktionsschluss: Oktober 2026. Diese Angaben ändern sich schnell: Lebensmittelpreise (BLS-Werte für Juli 2026. Eierpreise schwanken stark), die monatlich aktualisierten USDA-Richtwerte, Filialzahlen von Aldi und Lidl, der Costco-Jahresbeitrag, Farbstoffregeln, Blei- und PFAS-Vorschriften, Alkoholgesetze der Bundesstaaten und die kostenlosen Schulmahlzeiten. Prüfe vor Entscheidungen die offiziellen Seiten und die Regeln deines Bundesstaats.</w:t>
      </w:r>
    </w:p>
    <w:p w14:paraId="55964F63" w14:textId="77777777" w:rsidR="001F7233" w:rsidRDefault="001F7233">
      <w:pPr>
        <w:spacing w:line="220" w:lineRule="exact"/>
      </w:pPr>
    </w:p>
    <w:p w14:paraId="02707DB5" w14:textId="77777777" w:rsidR="001F7233" w:rsidRDefault="00000000">
      <w:r>
        <w:br w:type="page"/>
      </w:r>
    </w:p>
    <w:p w14:paraId="30933C15" w14:textId="77777777" w:rsidR="001F7233" w:rsidRDefault="00000000">
      <w:pPr>
        <w:pStyle w:val="Heading1"/>
        <w:keepNext/>
        <w:spacing w:line="341" w:lineRule="auto"/>
        <w:jc w:val="center"/>
      </w:pPr>
      <w:bookmarkStart w:id="74" w:name="rev73h2014"/>
      <w:r>
        <w:rPr>
          <w:rFonts w:ascii="Amazon Ember" w:eastAsia="Amazon Ember" w:hAnsi="Amazon Ember" w:cs="Amazon Ember"/>
          <w:color w:val="0000FF"/>
        </w:rPr>
        <w:lastRenderedPageBreak/>
        <w:t>TEIL IX — Kinder und Schule</w:t>
      </w:r>
      <w:bookmarkEnd w:id="74"/>
    </w:p>
    <w:p w14:paraId="1B74B55E" w14:textId="77777777" w:rsidR="001F7233" w:rsidRDefault="00000000">
      <w:pPr>
        <w:spacing w:after="160" w:line="300" w:lineRule="auto"/>
        <w:ind w:left="400" w:right="400"/>
        <w:jc w:val="center"/>
      </w:pPr>
      <w:r>
        <w:rPr>
          <w:i/>
          <w:iCs/>
          <w:sz w:val="24"/>
          <w:szCs w:val="24"/>
        </w:rPr>
        <w:t>Schulsystem, Englisch als Zweitsprache, Babys, Teenager und College: was Eltern wissen müssen.</w:t>
      </w:r>
    </w:p>
    <w:p w14:paraId="675EA96B" w14:textId="77777777" w:rsidR="001F7233" w:rsidRDefault="00000000">
      <w:r>
        <w:br w:type="page"/>
      </w:r>
    </w:p>
    <w:p w14:paraId="359658A5" w14:textId="77777777" w:rsidR="001F7233" w:rsidRDefault="00000000">
      <w:pPr>
        <w:pStyle w:val="Heading2"/>
        <w:keepNext/>
        <w:spacing w:line="341" w:lineRule="auto"/>
        <w:jc w:val="center"/>
      </w:pPr>
      <w:bookmarkStart w:id="75" w:name="k36"/>
      <w:r>
        <w:rPr>
          <w:rFonts w:ascii="Amazon Ember" w:eastAsia="Amazon Ember" w:hAnsi="Amazon Ember" w:cs="Amazon Ember"/>
          <w:color w:val="0000FF"/>
          <w:sz w:val="36"/>
          <w:szCs w:val="36"/>
        </w:rPr>
        <w:lastRenderedPageBreak/>
        <w:t>Kapitel 36: Das amerikanische Schulsystem verstehen</w:t>
      </w:r>
      <w:bookmarkEnd w:id="75"/>
    </w:p>
    <w:p w14:paraId="63D3858F" w14:textId="77777777" w:rsidR="001F7233" w:rsidRDefault="00000000">
      <w:pPr>
        <w:spacing w:after="140"/>
      </w:pPr>
      <w:r>
        <w:t>Die erste Frage der Maklerin gilt nicht dem Budget, sondern den Kindern: „Which school district are you looking at?“ In Deutschland suchst du erst die Wohnung und dann die Schule. In den USA ist es meist umgekehrt, denn die Adresse bestimmt, welche öffentliche Schule dein Kind besucht. Wer das früh versteht, spart Umzüge, Enttäuschungen und einen guten Teil der Sorgen, die Eltern beim Auswandern am stärksten beschäftigen.</w:t>
      </w:r>
    </w:p>
    <w:p w14:paraId="44B7B410" w14:textId="77777777" w:rsidR="001F7233" w:rsidRDefault="00000000">
      <w:r>
        <w:rPr>
          <w:b/>
        </w:rPr>
        <w:t xml:space="preserve">KURZ GESAGT: </w:t>
      </w:r>
    </w:p>
    <w:p w14:paraId="56839FFB" w14:textId="77777777" w:rsidR="001F7233" w:rsidRDefault="00000000">
      <w:r>
        <w:t>• Bildung regeln die Bundesstaaten und ihre Schuldistrikte; ein einheitliches Schulsystem gibt es nicht.</w:t>
      </w:r>
    </w:p>
    <w:p w14:paraId="129D35AE" w14:textId="77777777" w:rsidR="001F7233" w:rsidRDefault="00000000">
      <w:r>
        <w:t>• Wohnort gleich Schule: Deine Adresse bestimmt die öffentliche Schule, die Grundsteuer vor Ort finanziert sie zu großen Teilen. Prüfe den Distrikt, bevor du mietest oder kaufst.</w:t>
      </w:r>
    </w:p>
    <w:p w14:paraId="3421115A" w14:textId="77777777" w:rsidR="001F7233" w:rsidRDefault="00000000">
      <w:r>
        <w:t>• Der Weg führt vom Kindergarten (mit fünf Jahren) über Elementary, Middle und High School bis Grade 12. Die Tabelle unten ordnet deutsche Klassen ein.</w:t>
      </w:r>
    </w:p>
    <w:p w14:paraId="73A38BEC" w14:textId="77777777" w:rsidR="001F7233" w:rsidRDefault="00000000">
      <w:r>
        <w:t>• Öffentliche Schulen sind kostenlos, die Anmeldung braucht keine SSN und keinen Statusnachweis, aber Wohnsitznachweis, Impfnachweis und Zeugnisse.</w:t>
      </w:r>
    </w:p>
    <w:p w14:paraId="643BE1F4" w14:textId="77777777" w:rsidR="001F7233" w:rsidRDefault="00000000">
      <w:r>
        <w:t>• Bewertungsportale sind ein Startpunkt, kein Urteil; besuche die Schule.</w:t>
      </w:r>
    </w:p>
    <w:p w14:paraId="68584C58" w14:textId="77777777" w:rsidR="001F7233" w:rsidRDefault="00000000">
      <w:r>
        <w:t>• Schwierig ist vor allem der Umzug in Grade 11 oder 12; das US-Diploma ist nicht automatisch das Abitur.</w:t>
      </w:r>
    </w:p>
    <w:p w14:paraId="1E75ABBB" w14:textId="77777777" w:rsidR="001F7233" w:rsidRDefault="001F7233">
      <w:pPr>
        <w:spacing w:line="220" w:lineRule="exact"/>
      </w:pPr>
    </w:p>
    <w:p w14:paraId="2349DD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Wohnort gleich Schule: Schuldistrikt und Grundsteuer</w:t>
      </w:r>
    </w:p>
    <w:p w14:paraId="63C93CC3" w14:textId="77777777" w:rsidR="001F7233" w:rsidRDefault="00000000">
      <w:pPr>
        <w:spacing w:after="140"/>
      </w:pPr>
      <w:r>
        <w:rPr>
          <w:i/>
          <w:iCs/>
        </w:rPr>
        <w:t>Das Schulwesen ist Sache der Bundesstaaten, die vieles an örtliche Schuldistrikte (School Districts) weitergeben. Mit eigener Verwaltung, meist einem gewählten Gremium (School Board), und eigenem Budget. Die Grenzen decken sich oft nicht mit Stadt oder Landkreis: Ein Distrikt kann mehrere Gemeinden umfassen, eine Stadt mehrere Distrikte.</w:t>
      </w:r>
    </w:p>
    <w:p w14:paraId="3A2CF0AA" w14:textId="77777777" w:rsidR="001F7233" w:rsidRDefault="00000000">
      <w:pPr>
        <w:spacing w:after="140"/>
      </w:pPr>
      <w:r>
        <w:t>Von den 954 Mrd. $, die öffentliche Schulen 2020–21 einnahmen, kamen 46 % von den Staaten, 44 % aus lokalen Quellen und 11 % vom Bund (inklusive Corona-Hilfen). Von den lokalen Mitteln stammten 83 % aus der Grundsteuer (</w:t>
      </w:r>
      <w:r>
        <w:rPr>
          <w:i/>
          <w:iCs/>
        </w:rPr>
        <w:t>Property Tax</w:t>
      </w:r>
      <w:r>
        <w:t>), rund 36 % aller Einnahmen (NCES, National Center for Education Statistics). Die Anteile schwanken: In Hawaii und Vermont zahlt der Staat 88 %, in New Hampshire und Nebraska nur 31 %.</w:t>
      </w:r>
    </w:p>
    <w:p w14:paraId="69196BD8" w14:textId="77777777" w:rsidR="001F7233" w:rsidRDefault="00000000">
      <w:pPr>
        <w:spacing w:after="140"/>
      </w:pPr>
      <w:r>
        <w:t>Die lokale Steuerbasis prägt also Ausstattung, Gebäude und Gehälter: Wo Häuser viel wert sind, bringt derselbe Steuersatz mehr Geld für die Schule, weshalb Häuser in gefragten Distrikten oft mehr kosten (Kapitel </w:t>
      </w:r>
      <w:hyperlink w:anchor="k14">
        <w:r w:rsidR="001F7233">
          <w:t>14</w:t>
        </w:r>
      </w:hyperlink>
      <w:r>
        <w:t>) – Mieter zahlen über die Miete indirekt mit.</w:t>
      </w:r>
    </w:p>
    <w:p w14:paraId="0F4B1F41" w14:textId="77777777" w:rsidR="001F7233" w:rsidRDefault="00000000">
      <w:pPr>
        <w:spacing w:after="140"/>
      </w:pPr>
      <w:r>
        <w:rPr>
          <w:i/>
          <w:iCs/>
        </w:rPr>
        <w:t>Die Zuweisung läuft über das Einzugsgebiet (Attendance Zone): Kinder besuchen die Schule ihrer Adresse, gegenüberliegende Straßenseiten können zu verschiedenen Schulen gehören. Viele Staaten erlauben in Grenzen auch einen anderen Distrikt (Open Enrollment) bei freien Plätzen. Fristen, Regeln und Fahrdienst legt jeder Staat und Distrikt selbst fest.</w:t>
      </w:r>
    </w:p>
    <w:p w14:paraId="4FFAB5A9" w14:textId="77777777" w:rsidR="001F7233" w:rsidRDefault="00000000">
      <w:r>
        <w:rPr>
          <w:b/>
        </w:rPr>
        <w:t xml:space="preserve">ACHTUNG: </w:t>
      </w:r>
    </w:p>
    <w:p w14:paraId="6018054F" w14:textId="77777777" w:rsidR="001F7233" w:rsidRDefault="00000000">
      <w:r>
        <w:t>• Unterschreibe keinen Mietvertrag (</w:t>
      </w:r>
      <w:hyperlink w:anchor="k13">
        <w:r w:rsidR="001F7233">
          <w:rPr>
            <w:color w:val="0563C1"/>
            <w:u w:val="single"/>
          </w:rPr>
          <w:t>Kapitel 13</w:t>
        </w:r>
      </w:hyperlink>
      <w:r>
        <w:t>), bevor der Distrikt schriftlich bestätigt, welche Schule zur Adresse gehört. Portale wie Zillow zeigen die Zuordnung meist an, verbindlich ist nur die Auskunft des Distrikts. Einzugsgebiete ändern sich zudem; frage nach geplanten Neuzuschnitten.</w:t>
      </w:r>
    </w:p>
    <w:p w14:paraId="14909DA4" w14:textId="77777777" w:rsidR="001F7233" w:rsidRDefault="001F7233">
      <w:pPr>
        <w:spacing w:line="220" w:lineRule="exact"/>
      </w:pPr>
    </w:p>
    <w:p w14:paraId="0AFC4C50" w14:textId="77777777" w:rsidR="001F7233" w:rsidRDefault="00000000">
      <w:pPr>
        <w:spacing w:after="140"/>
      </w:pPr>
      <w:r>
        <w:lastRenderedPageBreak/>
        <w:t>Welche Regionen zu deinem Beruf passen, steht in Kapitel </w:t>
      </w:r>
      <w:hyperlink w:anchor="k12">
        <w:r w:rsidR="001F7233">
          <w:t>12</w:t>
        </w:r>
      </w:hyperlink>
      <w:r>
        <w:t>.</w:t>
      </w:r>
    </w:p>
    <w:p w14:paraId="0C0841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Aufbau: von Pre-K bis Grade 12</w:t>
      </w:r>
    </w:p>
    <w:p w14:paraId="33BB0F55" w14:textId="77777777" w:rsidR="001F7233" w:rsidRDefault="00000000">
      <w:pPr>
        <w:spacing w:after="140"/>
      </w:pPr>
      <w:r>
        <w:rPr>
          <w:i/>
          <w:iCs/>
        </w:rPr>
        <w:t>Die Bezeichnungen sind einheitlich, der Zuschnitt nicht: Meist folgen auf die freiwillige Vorschule (Pre-K, drei bis vier Jahre) der Kindergarten mit fünf, die Elementary School (Grade 1–5), die Middle School (Grade 6–8) und die High School (Grade 9–12). Manche Distrikte schneiden anders zu (etwa K–8 oder 6–12). Die vier High-School-Jahre heißen Freshman, Sophomore, Junior und Senior.</w:t>
      </w:r>
    </w:p>
    <w:p w14:paraId="2A4811BD" w14:textId="77777777" w:rsidR="001F7233" w:rsidRDefault="00000000">
      <w:pPr>
        <w:spacing w:after="140"/>
      </w:pPr>
      <w:r>
        <w:t>Die Schulpflicht beginnt je nach Staat mit fünf bis acht Jahren und endet mit 16 bis 19 (NCES, Übersicht Stand 2017). Der Kindergarten ist meist Pflichtangebot, aber kein Pflichtbesuch. Den Stichtag legen Staat oder Distrikt fest, meist der 1. September, in einer Spanne von 1. Juli bis Oktober. Staatlich finanzierte Pre-K erreichte 2024–25 laut dem Forschungsinstitut NIEER 37 % der Vierjährigen (Kosten und Alternativen: Kapitel </w:t>
      </w:r>
      <w:hyperlink w:anchor="k38">
        <w:r w:rsidR="001F7233">
          <w:t>38</w:t>
        </w:r>
      </w:hyperlink>
      <w:r>
        <w:t>).</w:t>
      </w:r>
    </w:p>
    <w:p w14:paraId="29DD3BAE" w14:textId="77777777" w:rsidR="001F7233" w:rsidRDefault="00000000">
      <w:pPr>
        <w:spacing w:after="140"/>
      </w:pPr>
      <w:r>
        <w:t>Die Tabelle ist eine Näherung, keine amtliche Norm; der Distrikt entscheidet über die Einstufung.</w:t>
      </w:r>
    </w:p>
    <w:p w14:paraId="274748A5" w14:textId="77777777" w:rsidR="001F7233" w:rsidRDefault="00000000">
      <w:r>
        <w:rPr>
          <w:b/>
        </w:rPr>
        <w:t>4</w:t>
      </w:r>
    </w:p>
    <w:p w14:paraId="74BAB1E3" w14:textId="77777777" w:rsidR="001F7233" w:rsidRDefault="00000000">
      <w:r>
        <w:rPr>
          <w:b/>
        </w:rPr>
        <w:t xml:space="preserve">US-Stufe (Grade): </w:t>
      </w:r>
      <w:r>
        <w:t>Pre-K</w:t>
      </w:r>
    </w:p>
    <w:p w14:paraId="39474A66" w14:textId="77777777" w:rsidR="001F7233" w:rsidRDefault="00000000">
      <w:r>
        <w:rPr>
          <w:b/>
        </w:rPr>
        <w:t xml:space="preserve">US-Schulform: </w:t>
      </w:r>
      <w:r>
        <w:t>Vorschule</w:t>
      </w:r>
    </w:p>
    <w:p w14:paraId="7EFE0B7C" w14:textId="77777777" w:rsidR="001F7233" w:rsidRDefault="00000000">
      <w:r>
        <w:rPr>
          <w:b/>
        </w:rPr>
        <w:t xml:space="preserve">Deutsche Klasse: </w:t>
      </w:r>
      <w:r>
        <w:t>Kita, Vorschulgruppe</w:t>
      </w:r>
    </w:p>
    <w:p w14:paraId="730B8B7B" w14:textId="77777777" w:rsidR="001F7233" w:rsidRDefault="00000000">
      <w:r>
        <w:rPr>
          <w:b/>
        </w:rPr>
        <w:t>5</w:t>
      </w:r>
    </w:p>
    <w:p w14:paraId="1CF2DC35" w14:textId="77777777" w:rsidR="001F7233" w:rsidRDefault="00000000">
      <w:r>
        <w:rPr>
          <w:b/>
        </w:rPr>
        <w:t xml:space="preserve">US-Stufe (Grade): </w:t>
      </w:r>
      <w:r>
        <w:t>Kindergarten (K)</w:t>
      </w:r>
    </w:p>
    <w:p w14:paraId="2BF68DBC" w14:textId="77777777" w:rsidR="001F7233" w:rsidRDefault="00000000">
      <w:r>
        <w:rPr>
          <w:b/>
        </w:rPr>
        <w:t xml:space="preserve">US-Schulform: </w:t>
      </w:r>
      <w:r>
        <w:t>Elementary</w:t>
      </w:r>
    </w:p>
    <w:p w14:paraId="2CA82CC8" w14:textId="77777777" w:rsidR="001F7233" w:rsidRDefault="00000000">
      <w:r>
        <w:rPr>
          <w:b/>
        </w:rPr>
        <w:t xml:space="preserve">Deutsche Klasse: </w:t>
      </w:r>
      <w:r>
        <w:t>letztes Kita-Jahr, Vorklasse</w:t>
      </w:r>
    </w:p>
    <w:p w14:paraId="4ACAB312" w14:textId="77777777" w:rsidR="001F7233" w:rsidRDefault="00000000">
      <w:r>
        <w:rPr>
          <w:b/>
        </w:rPr>
        <w:t>6</w:t>
      </w:r>
    </w:p>
    <w:p w14:paraId="5D449F24" w14:textId="77777777" w:rsidR="001F7233" w:rsidRDefault="00000000">
      <w:r>
        <w:rPr>
          <w:b/>
        </w:rPr>
        <w:t xml:space="preserve">US-Stufe (Grade): </w:t>
      </w:r>
      <w:r>
        <w:t>Grade 1</w:t>
      </w:r>
    </w:p>
    <w:p w14:paraId="2C9A0D9C" w14:textId="77777777" w:rsidR="001F7233" w:rsidRDefault="00000000">
      <w:r>
        <w:rPr>
          <w:b/>
        </w:rPr>
        <w:t xml:space="preserve">US-Schulform: </w:t>
      </w:r>
      <w:r>
        <w:t>Elementary</w:t>
      </w:r>
    </w:p>
    <w:p w14:paraId="2D08D1DF" w14:textId="77777777" w:rsidR="001F7233" w:rsidRDefault="00000000">
      <w:r>
        <w:rPr>
          <w:b/>
        </w:rPr>
        <w:t xml:space="preserve">Deutsche Klasse: </w:t>
      </w:r>
      <w:r>
        <w:t>Klasse 1</w:t>
      </w:r>
    </w:p>
    <w:p w14:paraId="46681454" w14:textId="77777777" w:rsidR="001F7233" w:rsidRDefault="00000000">
      <w:r>
        <w:rPr>
          <w:b/>
        </w:rPr>
        <w:t>7–9</w:t>
      </w:r>
    </w:p>
    <w:p w14:paraId="21E0BCD3" w14:textId="77777777" w:rsidR="001F7233" w:rsidRDefault="00000000">
      <w:r>
        <w:rPr>
          <w:b/>
        </w:rPr>
        <w:t xml:space="preserve">US-Stufe (Grade): </w:t>
      </w:r>
      <w:r>
        <w:t>Grade 2–4</w:t>
      </w:r>
    </w:p>
    <w:p w14:paraId="45B8AA1E" w14:textId="77777777" w:rsidR="001F7233" w:rsidRDefault="00000000">
      <w:r>
        <w:rPr>
          <w:b/>
        </w:rPr>
        <w:lastRenderedPageBreak/>
        <w:t xml:space="preserve">US-Schulform: </w:t>
      </w:r>
      <w:r>
        <w:t>Elementary</w:t>
      </w:r>
    </w:p>
    <w:p w14:paraId="586314F8" w14:textId="77777777" w:rsidR="001F7233" w:rsidRDefault="00000000">
      <w:r>
        <w:rPr>
          <w:b/>
        </w:rPr>
        <w:t xml:space="preserve">Deutsche Klasse: </w:t>
      </w:r>
      <w:r>
        <w:t>Klasse 2–4</w:t>
      </w:r>
    </w:p>
    <w:p w14:paraId="6C28404A" w14:textId="77777777" w:rsidR="001F7233" w:rsidRDefault="00000000">
      <w:r>
        <w:rPr>
          <w:b/>
        </w:rPr>
        <w:t>10</w:t>
      </w:r>
    </w:p>
    <w:p w14:paraId="5F373AB0" w14:textId="77777777" w:rsidR="001F7233" w:rsidRDefault="00000000">
      <w:r>
        <w:rPr>
          <w:b/>
        </w:rPr>
        <w:t xml:space="preserve">US-Stufe (Grade): </w:t>
      </w:r>
      <w:r>
        <w:t>Grade 5</w:t>
      </w:r>
    </w:p>
    <w:p w14:paraId="64D349AD" w14:textId="77777777" w:rsidR="001F7233" w:rsidRDefault="00000000">
      <w:r>
        <w:rPr>
          <w:b/>
        </w:rPr>
        <w:t xml:space="preserve">US-Schulform: </w:t>
      </w:r>
      <w:r>
        <w:t>Elementary</w:t>
      </w:r>
    </w:p>
    <w:p w14:paraId="18BE6697" w14:textId="77777777" w:rsidR="001F7233" w:rsidRDefault="00000000">
      <w:r>
        <w:rPr>
          <w:b/>
        </w:rPr>
        <w:t xml:space="preserve">Deutsche Klasse: </w:t>
      </w:r>
      <w:r>
        <w:t>Klasse 5</w:t>
      </w:r>
    </w:p>
    <w:p w14:paraId="5B72622E" w14:textId="77777777" w:rsidR="001F7233" w:rsidRDefault="00000000">
      <w:r>
        <w:rPr>
          <w:b/>
        </w:rPr>
        <w:t>11–13</w:t>
      </w:r>
    </w:p>
    <w:p w14:paraId="4E2D68CF" w14:textId="77777777" w:rsidR="001F7233" w:rsidRDefault="00000000">
      <w:r>
        <w:rPr>
          <w:b/>
        </w:rPr>
        <w:t xml:space="preserve">US-Stufe (Grade): </w:t>
      </w:r>
      <w:r>
        <w:t>Grade 6–8</w:t>
      </w:r>
    </w:p>
    <w:p w14:paraId="3F1AAED5" w14:textId="77777777" w:rsidR="001F7233" w:rsidRDefault="00000000">
      <w:r>
        <w:rPr>
          <w:b/>
        </w:rPr>
        <w:t xml:space="preserve">US-Schulform: </w:t>
      </w:r>
      <w:r>
        <w:t>Middle School</w:t>
      </w:r>
    </w:p>
    <w:p w14:paraId="7DB1EEDA" w14:textId="77777777" w:rsidR="001F7233" w:rsidRDefault="00000000">
      <w:r>
        <w:rPr>
          <w:b/>
        </w:rPr>
        <w:t xml:space="preserve">Deutsche Klasse: </w:t>
      </w:r>
      <w:r>
        <w:t>Klasse 6–8</w:t>
      </w:r>
    </w:p>
    <w:p w14:paraId="2E251A5B" w14:textId="77777777" w:rsidR="001F7233" w:rsidRDefault="00000000">
      <w:r>
        <w:rPr>
          <w:b/>
        </w:rPr>
        <w:t>14</w:t>
      </w:r>
    </w:p>
    <w:p w14:paraId="6070E3F5" w14:textId="77777777" w:rsidR="001F7233" w:rsidRDefault="00000000">
      <w:r>
        <w:rPr>
          <w:b/>
        </w:rPr>
        <w:t xml:space="preserve">US-Stufe (Grade): </w:t>
      </w:r>
      <w:r>
        <w:t>Grade 9 (Freshman)</w:t>
      </w:r>
    </w:p>
    <w:p w14:paraId="65E6121B" w14:textId="77777777" w:rsidR="001F7233" w:rsidRDefault="00000000">
      <w:r>
        <w:rPr>
          <w:b/>
        </w:rPr>
        <w:t xml:space="preserve">US-Schulform: </w:t>
      </w:r>
      <w:r>
        <w:t>High School</w:t>
      </w:r>
    </w:p>
    <w:p w14:paraId="4651896C" w14:textId="77777777" w:rsidR="001F7233" w:rsidRDefault="00000000">
      <w:r>
        <w:rPr>
          <w:b/>
        </w:rPr>
        <w:t xml:space="preserve">Deutsche Klasse: </w:t>
      </w:r>
      <w:r>
        <w:t>Klasse 9</w:t>
      </w:r>
    </w:p>
    <w:p w14:paraId="4111D87D" w14:textId="77777777" w:rsidR="001F7233" w:rsidRDefault="00000000">
      <w:r>
        <w:rPr>
          <w:b/>
        </w:rPr>
        <w:t>15</w:t>
      </w:r>
    </w:p>
    <w:p w14:paraId="64AB0E99" w14:textId="77777777" w:rsidR="001F7233" w:rsidRDefault="00000000">
      <w:r>
        <w:rPr>
          <w:b/>
        </w:rPr>
        <w:t xml:space="preserve">US-Stufe (Grade): </w:t>
      </w:r>
      <w:r>
        <w:t>Grade 10 (Sophomore)</w:t>
      </w:r>
    </w:p>
    <w:p w14:paraId="115BDF99" w14:textId="77777777" w:rsidR="001F7233" w:rsidRDefault="00000000">
      <w:r>
        <w:rPr>
          <w:b/>
        </w:rPr>
        <w:t xml:space="preserve">US-Schulform: </w:t>
      </w:r>
      <w:r>
        <w:t>High School</w:t>
      </w:r>
    </w:p>
    <w:p w14:paraId="0C9DA629" w14:textId="77777777" w:rsidR="001F7233" w:rsidRDefault="00000000">
      <w:r>
        <w:rPr>
          <w:b/>
        </w:rPr>
        <w:t xml:space="preserve">Deutsche Klasse: </w:t>
      </w:r>
      <w:r>
        <w:t>Klasse 10</w:t>
      </w:r>
    </w:p>
    <w:p w14:paraId="16FC2181" w14:textId="77777777" w:rsidR="001F7233" w:rsidRDefault="00000000">
      <w:r>
        <w:rPr>
          <w:b/>
        </w:rPr>
        <w:t>16</w:t>
      </w:r>
    </w:p>
    <w:p w14:paraId="619E0497" w14:textId="77777777" w:rsidR="001F7233" w:rsidRDefault="00000000">
      <w:r>
        <w:rPr>
          <w:b/>
        </w:rPr>
        <w:t xml:space="preserve">US-Stufe (Grade): </w:t>
      </w:r>
      <w:r>
        <w:t>Grade 11 (Junior)</w:t>
      </w:r>
    </w:p>
    <w:p w14:paraId="0622ED93" w14:textId="77777777" w:rsidR="001F7233" w:rsidRDefault="00000000">
      <w:r>
        <w:rPr>
          <w:b/>
        </w:rPr>
        <w:t xml:space="preserve">US-Schulform: </w:t>
      </w:r>
      <w:r>
        <w:t>High School</w:t>
      </w:r>
    </w:p>
    <w:p w14:paraId="0500D648" w14:textId="77777777" w:rsidR="001F7233" w:rsidRDefault="00000000">
      <w:r>
        <w:rPr>
          <w:b/>
        </w:rPr>
        <w:t xml:space="preserve">Deutsche Klasse: </w:t>
      </w:r>
      <w:r>
        <w:t>Klasse 11</w:t>
      </w:r>
    </w:p>
    <w:p w14:paraId="0C292C46" w14:textId="77777777" w:rsidR="001F7233" w:rsidRDefault="00000000">
      <w:r>
        <w:rPr>
          <w:b/>
        </w:rPr>
        <w:t>17</w:t>
      </w:r>
    </w:p>
    <w:p w14:paraId="2294420A" w14:textId="77777777" w:rsidR="001F7233" w:rsidRDefault="00000000">
      <w:r>
        <w:rPr>
          <w:b/>
        </w:rPr>
        <w:t xml:space="preserve">US-Stufe (Grade): </w:t>
      </w:r>
      <w:r>
        <w:t>Grade 12 (Senior)</w:t>
      </w:r>
    </w:p>
    <w:p w14:paraId="2CB62D7C" w14:textId="77777777" w:rsidR="001F7233" w:rsidRDefault="00000000">
      <w:r>
        <w:rPr>
          <w:b/>
        </w:rPr>
        <w:t xml:space="preserve">US-Schulform: </w:t>
      </w:r>
      <w:r>
        <w:t>High School</w:t>
      </w:r>
    </w:p>
    <w:p w14:paraId="63FBBC32" w14:textId="77777777" w:rsidR="001F7233" w:rsidRDefault="00000000">
      <w:r>
        <w:rPr>
          <w:b/>
        </w:rPr>
        <w:t xml:space="preserve">Deutsche Klasse: </w:t>
      </w:r>
      <w:r>
        <w:t>Klasse 12, bei G9 Vorstufe zu 13</w:t>
      </w:r>
    </w:p>
    <w:p w14:paraId="4B6FB550" w14:textId="77777777" w:rsidR="001F7233" w:rsidRDefault="001F7233">
      <w:pPr>
        <w:spacing w:line="180" w:lineRule="exact"/>
      </w:pPr>
    </w:p>
    <w:p w14:paraId="178B8E2A" w14:textId="77777777" w:rsidR="001F7233" w:rsidRDefault="00000000">
      <w:pPr>
        <w:spacing w:after="140"/>
      </w:pPr>
      <w:r>
        <w:rPr>
          <w:i/>
          <w:iCs/>
        </w:rPr>
        <w:t>Klasse 13 hat kein amerikanisches Gegenstück: Grade 12 endet mit dem High School Diploma. Deutsche Kinder mit Geburtstag im Juli oder August werden bei einem Stichtag am 1. September meist eine Stufe höher eingestuft als in Deutschland mit Stichtag 30. Juni. Frage den Distrikt vor der Terminplanung nach Stichtag und Einstufung und sprich mit der Schule, wenn sie nicht passt.</w:t>
      </w:r>
    </w:p>
    <w:p w14:paraId="5FD99B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Schuljahr, Tagesablauf und Ferien</w:t>
      </w:r>
    </w:p>
    <w:p w14:paraId="3A2B9676" w14:textId="77777777" w:rsidR="001F7233" w:rsidRDefault="00000000">
      <w:pPr>
        <w:spacing w:after="140"/>
      </w:pPr>
      <w:r>
        <w:rPr>
          <w:i/>
          <w:iCs/>
        </w:rPr>
        <w:t>Das Schuljahr beginnt zwischen Mitte August und Anfang September und endet im Mai oder Juni, meist mit 180 vorgegebenen Unterrichtstagen. Die Spanne reicht von 160 in Colorado bis 186 in Kansas, Texas rechnet nach Stunden (NCES, Stand 2018). Dazu kommen freie Tage zu Thanksgiving, zwei Wochen um Weihnachten (Winter Break), eine Woche im Frühjahr (Spring Break) und einzelne Fortbildungstage der Lehrkräfte.</w:t>
      </w:r>
    </w:p>
    <w:p w14:paraId="3537F0C1" w14:textId="77777777" w:rsidR="001F7233" w:rsidRDefault="00000000">
      <w:pPr>
        <w:spacing w:after="140"/>
      </w:pPr>
      <w:r>
        <w:t>Die Sommerferien dauern etwa 10 bis 12 Wochen, in Deutschland rund sechs. Wer arbeitet, braucht dafür Betreuung: Sommercamps kosten Geld, und beliebte Angebote sind im Frühjahr ausgebucht (Kapitel </w:t>
      </w:r>
      <w:hyperlink w:anchor="k38">
        <w:r w:rsidR="001F7233">
          <w:t>38</w:t>
        </w:r>
      </w:hyperlink>
      <w:r>
        <w:t>).</w:t>
      </w:r>
    </w:p>
    <w:p w14:paraId="3E1BE552" w14:textId="77777777" w:rsidR="001F7233" w:rsidRDefault="00000000">
      <w:pPr>
        <w:spacing w:after="140"/>
      </w:pPr>
      <w:r>
        <w:t>Der Schultag beginnt meist zwischen 7:30 und 9 Uhr und endet zwischen 14:30 und 16 Uhr. In vielen Distrikten beginnt die High School früher als die Grundschule, weil dieselben Busse gestaffelt fahren. Dass ausgerechnet übernächtigte Teenager als Erste aufstehen müssen, während Grundschulkinder ausschlafen dürfen, wundert Schlafforscher seit Jahren – am Busplan hat es bislang wenig geändert. In der Grundschule unterrichtet eine Lehrkraft die meisten Fächer in fester Klasse (</w:t>
      </w:r>
      <w:r>
        <w:rPr>
          <w:i/>
          <w:iCs/>
        </w:rPr>
        <w:t>Homeroom</w:t>
      </w:r>
      <w:r>
        <w:t xml:space="preserve">), dazu kommen Fachkräfte für Sport, Musik und Kunst. Das Mittagessen in der </w:t>
      </w:r>
      <w:r>
        <w:rPr>
          <w:i/>
          <w:iCs/>
        </w:rPr>
        <w:t>Cafeteria</w:t>
      </w:r>
      <w:r>
        <w:t xml:space="preserve"> dauert oft nur 20 bis 30 Minuten (Kapitel </w:t>
      </w:r>
      <w:hyperlink w:anchor="k35">
        <w:r w:rsidR="001F7233">
          <w:t>35</w:t>
        </w:r>
      </w:hyperlink>
      <w:r>
        <w:t>), dazu eine Pause im Freien (</w:t>
      </w:r>
      <w:r>
        <w:rPr>
          <w:i/>
          <w:iCs/>
        </w:rPr>
        <w:t>Recess</w:t>
      </w:r>
      <w:r>
        <w:t>). Ab der Middle School wechseln die Kinder zwischen Fachräumen und Lehrkräften.</w:t>
      </w:r>
    </w:p>
    <w:p w14:paraId="4F394006" w14:textId="77777777" w:rsidR="001F7233" w:rsidRDefault="00000000">
      <w:pPr>
        <w:spacing w:after="140"/>
      </w:pPr>
      <w:r>
        <w:t>Die Schule läuft damit bis in den Nachmittag, aber ohne Hort im deutschen Sinn: Wer länger arbeitet, bucht kostenpflichtige Betreuung vor und nach dem Unterricht (</w:t>
      </w:r>
      <w:r>
        <w:rPr>
          <w:i/>
          <w:iCs/>
        </w:rPr>
        <w:t>Before Care</w:t>
      </w:r>
      <w:r>
        <w:t xml:space="preserve">, </w:t>
      </w:r>
      <w:r>
        <w:rPr>
          <w:i/>
          <w:iCs/>
        </w:rPr>
        <w:t>After Care</w:t>
      </w:r>
      <w:r>
        <w:t>). Zur Schule geht es mit dem gelben Schulbus oder im Auto der Eltern (</w:t>
      </w:r>
      <w:r>
        <w:rPr>
          <w:i/>
          <w:iCs/>
        </w:rPr>
        <w:t>Car Line</w:t>
      </w:r>
      <w:r>
        <w:t xml:space="preserve"> heißt die Autoschlange vor dem Eingang) – laut Verkehrsbehörde NHTSA ist die Busfahrt mehr als 70-mal sicherer als dieselbe Strecke im Auto. Blinkt der Bus rot und klappt sein Stoppschild aus, müssen Autos anhalten (Kapitel </w:t>
      </w:r>
      <w:hyperlink w:anchor="k27">
        <w:r w:rsidR="001F7233">
          <w:t>27</w:t>
        </w:r>
      </w:hyperlink>
      <w:r>
        <w:t>).</w:t>
      </w:r>
    </w:p>
    <w:p w14:paraId="6259F9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Öffentlich, Charter, Magnet, privat, Homeschooling</w:t>
      </w:r>
    </w:p>
    <w:p w14:paraId="30CE1C5A" w14:textId="77777777" w:rsidR="001F7233" w:rsidRDefault="00000000">
      <w:r>
        <w:rPr>
          <w:b/>
        </w:rPr>
        <w:t>Öffentlich (Public School)</w:t>
      </w:r>
    </w:p>
    <w:p w14:paraId="6E2282FB" w14:textId="77777777" w:rsidR="001F7233" w:rsidRDefault="00000000">
      <w:r>
        <w:rPr>
          <w:b/>
        </w:rPr>
        <w:t xml:space="preserve">Zugang: </w:t>
      </w:r>
      <w:r>
        <w:t>nach Wohnadresse</w:t>
      </w:r>
    </w:p>
    <w:p w14:paraId="3D07D2AA" w14:textId="77777777" w:rsidR="001F7233" w:rsidRDefault="00000000">
      <w:r>
        <w:rPr>
          <w:b/>
        </w:rPr>
        <w:t xml:space="preserve">Kosten: </w:t>
      </w:r>
      <w:r>
        <w:t>kostenlos</w:t>
      </w:r>
    </w:p>
    <w:p w14:paraId="7029AAC8" w14:textId="77777777" w:rsidR="001F7233" w:rsidRDefault="00000000">
      <w:r>
        <w:rPr>
          <w:b/>
        </w:rPr>
        <w:t xml:space="preserve">Kern: </w:t>
      </w:r>
      <w:r>
        <w:t>49,6 Mio. Schüler (Herbst 2022)</w:t>
      </w:r>
    </w:p>
    <w:p w14:paraId="0989B17F" w14:textId="77777777" w:rsidR="001F7233" w:rsidRDefault="00000000">
      <w:r>
        <w:rPr>
          <w:b/>
        </w:rPr>
        <w:t>Charter School</w:t>
      </w:r>
    </w:p>
    <w:p w14:paraId="026B0BEA" w14:textId="77777777" w:rsidR="001F7233" w:rsidRDefault="00000000">
      <w:r>
        <w:rPr>
          <w:b/>
        </w:rPr>
        <w:t xml:space="preserve">Zugang: </w:t>
      </w:r>
      <w:r>
        <w:t>Bewerbung, oft Los</w:t>
      </w:r>
    </w:p>
    <w:p w14:paraId="5FB4BB04" w14:textId="77777777" w:rsidR="001F7233" w:rsidRDefault="00000000">
      <w:r>
        <w:rPr>
          <w:b/>
        </w:rPr>
        <w:t xml:space="preserve">Kosten: </w:t>
      </w:r>
      <w:r>
        <w:t>kostenlos</w:t>
      </w:r>
    </w:p>
    <w:p w14:paraId="33776C56" w14:textId="77777777" w:rsidR="001F7233" w:rsidRDefault="00000000">
      <w:r>
        <w:rPr>
          <w:b/>
        </w:rPr>
        <w:t xml:space="preserve">Kern: </w:t>
      </w:r>
      <w:r>
        <w:t>öffentlich finanziert, eigenes Konzept</w:t>
      </w:r>
    </w:p>
    <w:p w14:paraId="0783EE98" w14:textId="77777777" w:rsidR="001F7233" w:rsidRDefault="00000000">
      <w:r>
        <w:rPr>
          <w:b/>
        </w:rPr>
        <w:t>Magnet School</w:t>
      </w:r>
    </w:p>
    <w:p w14:paraId="6B64FE67" w14:textId="77777777" w:rsidR="001F7233" w:rsidRDefault="00000000">
      <w:r>
        <w:rPr>
          <w:b/>
        </w:rPr>
        <w:t xml:space="preserve">Zugang: </w:t>
      </w:r>
      <w:r>
        <w:t>Bewerbung, Auswahl</w:t>
      </w:r>
    </w:p>
    <w:p w14:paraId="1C80B6AC" w14:textId="77777777" w:rsidR="001F7233" w:rsidRDefault="00000000">
      <w:r>
        <w:rPr>
          <w:b/>
        </w:rPr>
        <w:t xml:space="preserve">Kosten: </w:t>
      </w:r>
      <w:r>
        <w:t>kostenlos</w:t>
      </w:r>
    </w:p>
    <w:p w14:paraId="10ECA4B3" w14:textId="77777777" w:rsidR="001F7233" w:rsidRDefault="00000000">
      <w:r>
        <w:rPr>
          <w:b/>
        </w:rPr>
        <w:t xml:space="preserve">Kern: </w:t>
      </w:r>
      <w:r>
        <w:t>Schwerpunkt, z. B. Technik, Kunst</w:t>
      </w:r>
    </w:p>
    <w:p w14:paraId="6177340D" w14:textId="77777777" w:rsidR="001F7233" w:rsidRDefault="00000000">
      <w:r>
        <w:rPr>
          <w:b/>
        </w:rPr>
        <w:t>Privat oder religiös</w:t>
      </w:r>
    </w:p>
    <w:p w14:paraId="3514CC70" w14:textId="77777777" w:rsidR="001F7233" w:rsidRDefault="00000000">
      <w:r>
        <w:rPr>
          <w:b/>
        </w:rPr>
        <w:t xml:space="preserve">Zugang: </w:t>
      </w:r>
      <w:r>
        <w:t>Bewerbung</w:t>
      </w:r>
    </w:p>
    <w:p w14:paraId="79F3A5DF" w14:textId="77777777" w:rsidR="001F7233" w:rsidRDefault="00000000">
      <w:r>
        <w:rPr>
          <w:b/>
        </w:rPr>
        <w:t xml:space="preserve">Kosten: </w:t>
      </w:r>
      <w:r>
        <w:t>Schulgeld</w:t>
      </w:r>
    </w:p>
    <w:p w14:paraId="132F5D44" w14:textId="77777777" w:rsidR="001F7233" w:rsidRDefault="00000000">
      <w:r>
        <w:rPr>
          <w:b/>
        </w:rPr>
        <w:t xml:space="preserve">Kern: </w:t>
      </w:r>
      <w:r>
        <w:t>5,5 Mio. Schüler (Herbst 2021)</w:t>
      </w:r>
    </w:p>
    <w:p w14:paraId="1B19B9EB" w14:textId="77777777" w:rsidR="001F7233" w:rsidRDefault="00000000">
      <w:r>
        <w:rPr>
          <w:b/>
        </w:rPr>
        <w:t>Homeschooling</w:t>
      </w:r>
    </w:p>
    <w:p w14:paraId="44FE3966" w14:textId="77777777" w:rsidR="001F7233" w:rsidRDefault="00000000">
      <w:r>
        <w:rPr>
          <w:b/>
        </w:rPr>
        <w:t xml:space="preserve">Zugang: </w:t>
      </w:r>
      <w:r>
        <w:t>keine Zuweisung</w:t>
      </w:r>
    </w:p>
    <w:p w14:paraId="67ECCD67" w14:textId="77777777" w:rsidR="001F7233" w:rsidRDefault="00000000">
      <w:r>
        <w:rPr>
          <w:b/>
        </w:rPr>
        <w:t xml:space="preserve">Kosten: </w:t>
      </w:r>
      <w:r>
        <w:t>Materialkosten</w:t>
      </w:r>
    </w:p>
    <w:p w14:paraId="0290CFF9" w14:textId="77777777" w:rsidR="001F7233" w:rsidRDefault="00000000">
      <w:r>
        <w:rPr>
          <w:b/>
        </w:rPr>
        <w:t xml:space="preserve">Kern: </w:t>
      </w:r>
      <w:r>
        <w:t>ca. 3,3 % der Schüler</w:t>
      </w:r>
    </w:p>
    <w:p w14:paraId="088737FC" w14:textId="77777777" w:rsidR="001F7233" w:rsidRDefault="001F7233">
      <w:pPr>
        <w:spacing w:line="180" w:lineRule="exact"/>
      </w:pPr>
    </w:p>
    <w:p w14:paraId="467B7EB0" w14:textId="77777777" w:rsidR="001F7233" w:rsidRDefault="00000000">
      <w:pPr>
        <w:spacing w:after="140"/>
      </w:pPr>
      <w:r>
        <w:rPr>
          <w:i/>
          <w:iCs/>
        </w:rPr>
        <w:t>„Kostenlos“ gilt nur für den Unterricht der öffentlichen Schule. Für Sport, Ausflüge, Instrumente und Materiallisten (School Supply Lists) zahlst du oft dazu.</w:t>
      </w:r>
    </w:p>
    <w:p w14:paraId="0AB802FE" w14:textId="77777777" w:rsidR="001F7233" w:rsidRDefault="00000000">
      <w:pPr>
        <w:spacing w:after="140"/>
      </w:pPr>
      <w:r>
        <w:rPr>
          <w:i/>
          <w:iCs/>
        </w:rPr>
        <w:t xml:space="preserve">Charter-Schulen sind öffentlich finanziert und gebührenfrei, arbeiten aber unabhängig von der Distriktverwaltung. 2021–22 gab es rund 7.800 mit 3,7 Mio. Schülern (7 % der öffentlichen Schüler). Charter-Gesetze gelten in 45 Staaten und Washington, D.C., wo 45 % der öffentlichen Schüler eine Charter-Schule besuchen (Arizona: 20 %). Bewerbungsfristen für Charter- und Magnet-Schulen liegen oft </w:t>
      </w:r>
      <w:r>
        <w:rPr>
          <w:i/>
          <w:iCs/>
        </w:rPr>
        <w:lastRenderedPageBreak/>
        <w:t>zwischen Dezember und Februar. Gibt es mehr Bewerber als Plätze, entscheidet meist das Los.</w:t>
      </w:r>
    </w:p>
    <w:p w14:paraId="50578564" w14:textId="77777777" w:rsidR="001F7233" w:rsidRDefault="00000000">
      <w:pPr>
        <w:spacing w:after="140"/>
      </w:pPr>
      <w:r>
        <w:rPr>
          <w:i/>
          <w:iCs/>
        </w:rPr>
        <w:t>Private und religiöse Schulen (katholisch, evangelisch, jüdisch, islamisch, unabhängig) verlangen Schulgeld: Der Durchschnitt lag laut NCES 2020–21 bei rund 12.800 $ pro Jahr. Katholische Schulen rund 9.700 $, andere konfessionelle rund 10.900 $, nicht konfessionelle rund 19.600 $; heutige Preise liegen höher. Frage die Schule, wie stark der Glaube den Alltag prägt und ob sie Kinder anderer Konfessionen aufnimmt. Viele Staaten fördern Privatschulen auch über Gutscheine oder Bildungskonten (Vouchers, Education Savings Accounts). 2025 hatten 19 Staaten Programme für alle Familien, Berechtigung regelt jeder Staat selbst.</w:t>
      </w:r>
    </w:p>
    <w:p w14:paraId="48A5333B" w14:textId="77777777" w:rsidR="001F7233" w:rsidRDefault="00000000">
      <w:pPr>
        <w:spacing w:after="140"/>
      </w:pPr>
      <w:r>
        <w:t>Homeschooling ist in allen 50 Staaten erlaubt, die Aufsicht reicht von keiner Anmeldepflicht (Texas) bis zur behördlichen Genehmigung (Massachusetts, Rhode Island). Rund 3,3 % der Schüler lernen zu Hause, etwa ein Fünftel davon zugleich an einer öffentlichen Schule eingeschrieben. In Deutschland ist Hausunterricht dagegen meist unzulässig, weil die Schulpflicht dort für alle Kinder mit Wohnsitz gilt (Kapitel 42).</w:t>
      </w:r>
    </w:p>
    <w:p w14:paraId="04AB39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Schulen bewerten: Ratings und ihre Grenzen</w:t>
      </w:r>
    </w:p>
    <w:p w14:paraId="37C8A508" w14:textId="77777777" w:rsidR="001F7233" w:rsidRDefault="00000000">
      <w:pPr>
        <w:spacing w:after="140"/>
      </w:pPr>
      <w:r>
        <w:rPr>
          <w:i/>
          <w:iCs/>
        </w:rPr>
        <w:t>GreatSchools vergibt Bewertungen von 1 bis 10 aus drei Bausteinen: Testergebnisse (Test Score), Lernfortschritt (Student Progress. Wie stark die Leistungen über die Zeit wachsen) und, nur an High Schools, Studienvorbereitung (College Readiness: SAT/ACT, Abschlussquote, AP und IB). Niche mischt Daten mit Eltern- und Schülerumfragen. Außerdem muss jeder Staat nach ESSA (Every Student Succeeds Act) für jede Schule und jeden Distrikt einen Schulbericht (School Report Card) veröffentlichen, meist auf der Website der Landesbildungsbehörde.</w:t>
      </w:r>
    </w:p>
    <w:p w14:paraId="27700816" w14:textId="77777777" w:rsidR="001F7233" w:rsidRDefault="00000000">
      <w:pPr>
        <w:spacing w:after="140"/>
      </w:pPr>
      <w:r>
        <w:lastRenderedPageBreak/>
        <w:t>Die Grenzen nennt GreatSchools selbst: Eine Bewertung erscheint nur bei genügend Daten, zeichnet kein Gesamtbild der Qualität und an High Schools fehlen oft Wachstumsdaten. Hinzu kommt: Testergebnisse spiegeln stark wider, aus welchen Familien die Kinder kommen. Eine Schule mit Note 9 kann vor allem viele Kinder aus wohlhabenden Haushalten haben, eine mit Note 5 dagegen hervorragend unterrichten: Ein hohes Rating verrät manchmal mehr über die Postleitzahl der Eltern als über das Lehrerzimmer. Schau deshalb zuerst auf den Wachstumswert.</w:t>
      </w:r>
    </w:p>
    <w:p w14:paraId="0FF30837" w14:textId="77777777" w:rsidR="001F7233" w:rsidRDefault="00000000">
      <w:r>
        <w:rPr>
          <w:b/>
        </w:rPr>
        <w:t xml:space="preserve">ACHTUNG: </w:t>
      </w:r>
    </w:p>
    <w:p w14:paraId="798EDFBF" w14:textId="77777777" w:rsidR="001F7233" w:rsidRDefault="00000000">
      <w:r>
        <w:t>• Ein Rating ersetzt keinen Besuch. Vergleiche Distrikte, nicht nur Einzelschulen, vereinbare einen Rundgang oder komm zum Open House, und sprich mit Schulleitung (Principal) und Eltern vor Ort. Frage nach Klassengröße, Förderung für neu Zugewanderte (</w:t>
      </w:r>
      <w:hyperlink w:anchor="k37">
        <w:r w:rsidR="001F7233">
          <w:rPr>
            <w:color w:val="0563C1"/>
            <w:u w:val="single"/>
          </w:rPr>
          <w:t>Kapitel 37</w:t>
        </w:r>
      </w:hyperlink>
      <w:r>
        <w:t>), Sonderförderung, Sicherheitskonzept und Schulbus.</w:t>
      </w:r>
    </w:p>
    <w:p w14:paraId="792AA44F" w14:textId="77777777" w:rsidR="001F7233" w:rsidRDefault="001F7233">
      <w:pPr>
        <w:spacing w:line="220" w:lineRule="exact"/>
      </w:pPr>
    </w:p>
    <w:p w14:paraId="73EE69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w14:paraId="1C59F3BD" w14:textId="77777777" w:rsidR="001F7233" w:rsidRDefault="00000000">
      <w:pPr>
        <w:spacing w:after="140"/>
      </w:pPr>
      <w:r>
        <w:rPr>
          <w:i/>
          <w:iCs/>
        </w:rPr>
        <w:t>Verbreiteter Irrtum: Ohne Green Card oder gültigen Aufenthaltstitel bleibe einem Kind die öffentliche Schule verschlossen. Tatsächlich entschied der Oberste Gerichtshof (Supreme Court) 1982 in Plyler v. Doe, dass kein Staat Kindern wegen ihres Aufenthaltsstatus den Besuch öffentlicher Schulen verweigern darf. Schulen dürfen daher weder die SSN noch einen Nachweis von Aufenthalt oder Staatsangehörigkeit verlangen; eine ausländische Geburtsurkunde genügt. Gesetzentwürfe in einzelnen Staaten wollen das Urteil herausfordern. Nach dem Stand vom Februar 2026 war keiner in Kraft.</w:t>
      </w:r>
    </w:p>
    <w:p w14:paraId="41E848F1" w14:textId="77777777" w:rsidR="001F7233" w:rsidRDefault="00000000">
      <w:pPr>
        <w:spacing w:after="140"/>
      </w:pPr>
      <w:r>
        <w:t>Das brauchst du meist:</w:t>
      </w:r>
    </w:p>
    <w:p w14:paraId="074310A2" w14:textId="77777777" w:rsidR="001F7233" w:rsidRDefault="00000000">
      <w:pPr>
        <w:pStyle w:val="ListParagraph"/>
        <w:numPr>
          <w:ilvl w:val="0"/>
          <w:numId w:val="1"/>
        </w:numPr>
        <w:spacing w:after="60"/>
      </w:pPr>
      <w:r>
        <w:rPr>
          <w:b/>
          <w:bCs/>
        </w:rPr>
        <w:t>Altersnachweis:</w:t>
      </w:r>
      <w:r>
        <w:t xml:space="preserve"> Geburtsurkunde oder Reisepass.</w:t>
      </w:r>
    </w:p>
    <w:p w14:paraId="32E1CA7A" w14:textId="77777777" w:rsidR="001F7233" w:rsidRDefault="00000000">
      <w:pPr>
        <w:pStyle w:val="ListParagraph"/>
        <w:numPr>
          <w:ilvl w:val="0"/>
          <w:numId w:val="1"/>
        </w:numPr>
        <w:spacing w:after="60"/>
      </w:pPr>
      <w:r>
        <w:rPr>
          <w:b/>
          <w:bCs/>
        </w:rPr>
        <w:t>Wohnsitznachweis:</w:t>
      </w:r>
      <w:r>
        <w:t xml:space="preserve"> Mietvertrag oder Kaufvertrag plus eine Rechnung mit deiner Adresse (Strom, Gas, Internet), oft zwei Belege. Melde Strom und Internet deshalb früh an.</w:t>
      </w:r>
    </w:p>
    <w:p w14:paraId="1B2189EE" w14:textId="77777777" w:rsidR="001F7233" w:rsidRDefault="00000000">
      <w:pPr>
        <w:pStyle w:val="ListParagraph"/>
        <w:numPr>
          <w:ilvl w:val="0"/>
          <w:numId w:val="1"/>
        </w:numPr>
        <w:spacing w:after="60"/>
      </w:pPr>
      <w:r>
        <w:rPr>
          <w:b/>
          <w:bCs/>
        </w:rPr>
        <w:lastRenderedPageBreak/>
        <w:t>Impfnachweis:</w:t>
      </w:r>
      <w:r>
        <w:t xml:space="preserve"> der Impfpass; Pflichten und Ausnahmen legt jeder Staat fest (Kapitel </w:t>
      </w:r>
      <w:hyperlink w:anchor="k26">
        <w:r w:rsidR="001F7233">
          <w:t>26</w:t>
        </w:r>
      </w:hyperlink>
      <w:r>
        <w:t>). Manche Schulen wollen dazu eine ärztliche Bescheinigung (</w:t>
      </w:r>
      <w:r>
        <w:rPr>
          <w:i/>
          <w:iCs/>
        </w:rPr>
        <w:t>Physical</w:t>
      </w:r>
      <w:r>
        <w:t>).</w:t>
      </w:r>
    </w:p>
    <w:p w14:paraId="70B5409B" w14:textId="77777777" w:rsidR="001F7233" w:rsidRDefault="00000000">
      <w:pPr>
        <w:pStyle w:val="ListParagraph"/>
        <w:numPr>
          <w:ilvl w:val="0"/>
          <w:numId w:val="1"/>
        </w:numPr>
        <w:spacing w:after="60"/>
      </w:pPr>
      <w:r>
        <w:rPr>
          <w:b/>
          <w:bCs/>
        </w:rPr>
        <w:t>Zeugnisse: die letzten Zeugnisse (Transcripts), an der High School mit Fächern und Stunden, am besten mit englischer Übersetzung.</w:t>
      </w:r>
    </w:p>
    <w:p w14:paraId="747C6FA5" w14:textId="77777777" w:rsidR="001F7233" w:rsidRDefault="00000000">
      <w:pPr>
        <w:pStyle w:val="ListParagraph"/>
        <w:numPr>
          <w:ilvl w:val="0"/>
          <w:numId w:val="1"/>
        </w:numPr>
        <w:spacing w:after="60"/>
      </w:pPr>
      <w:r>
        <w:rPr>
          <w:b/>
          <w:bCs/>
        </w:rPr>
        <w:t>Ausweis der Sorgeberechtigten</w:t>
      </w:r>
      <w:r>
        <w:t xml:space="preserve"> und der Fragebogen zur Familiensprache (</w:t>
      </w:r>
      <w:r>
        <w:rPr>
          <w:i/>
          <w:iCs/>
        </w:rPr>
        <w:t>Home Language Survey</w:t>
      </w:r>
      <w:r>
        <w:t>), dessen Antworten einen Sprachtest auslösen können (Kapitel </w:t>
      </w:r>
      <w:hyperlink w:anchor="k37">
        <w:r w:rsidR="001F7233">
          <w:t>37</w:t>
        </w:r>
      </w:hyperlink>
      <w:r>
        <w:t>).</w:t>
      </w:r>
    </w:p>
    <w:p w14:paraId="64D3F829" w14:textId="77777777" w:rsidR="001F7233" w:rsidRDefault="001F7233">
      <w:pPr>
        <w:spacing w:line="120" w:lineRule="exact"/>
      </w:pPr>
    </w:p>
    <w:p w14:paraId="32E43A67" w14:textId="77777777" w:rsidR="001F7233" w:rsidRDefault="00000000">
      <w:pPr>
        <w:spacing w:after="140"/>
      </w:pPr>
      <w:r>
        <w:t>Die Anmeldung läuft heute meist online über das Portal des Distrikts, danach folgt ein Termin im Schulbüro. Eine bundesweite Frist gibt es nicht: Die reguläre Anmeldung liegt meist zwischen Januar und Mai, wer später zuzieht, meldet sich unterjährig an. Suche die Seite „Enrollment“ deines Distrikts.</w:t>
      </w:r>
    </w:p>
    <w:p w14:paraId="78A13E68" w14:textId="77777777" w:rsidR="001F7233" w:rsidRDefault="00000000">
      <w:r>
        <w:rPr>
          <w:b/>
        </w:rPr>
        <w:t xml:space="preserve">ACHTUNG: </w:t>
      </w:r>
    </w:p>
    <w:p w14:paraId="5CE41670" w14:textId="77777777" w:rsidR="001F7233" w:rsidRDefault="00000000">
      <w:r>
        <w:t>• Ohne den geforderten Impfnachweis nimmt die Schule dein Kind meist nicht auf, bis er vollständig ist. Lass den Impfpass vor dem Abflug vom Kinderarzt gegen die Liste des Zielstaats abgleichen und packe Zeugnisse, Impfpass und Geburtsurkunde ins Handgepäck.</w:t>
      </w:r>
    </w:p>
    <w:p w14:paraId="353DADDD" w14:textId="77777777" w:rsidR="001F7233" w:rsidRDefault="001F7233">
      <w:pPr>
        <w:spacing w:line="220" w:lineRule="exact"/>
      </w:pPr>
    </w:p>
    <w:p w14:paraId="1A43D5B3" w14:textId="77777777" w:rsidR="001F7233" w:rsidRDefault="001F7233">
      <w:pPr>
        <w:spacing w:line="220" w:lineRule="exact"/>
      </w:pPr>
    </w:p>
    <w:p w14:paraId="3769E2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Lehrplan, Tests, Noten und Abschluss</w:t>
      </w:r>
    </w:p>
    <w:p w14:paraId="741F9A54" w14:textId="77777777" w:rsidR="001F7233" w:rsidRDefault="00000000">
      <w:pPr>
        <w:spacing w:after="140"/>
      </w:pPr>
      <w:r>
        <w:t>Die Inhalte legen die Staaten als Standards fest. Wie Lehrkräfte sie umsetzen und welche Bücher sie nutzen, entscheiden Distrikt und Schule. Es gibt keine bundesweite Abschlussprüfung wie das Abitur, einzelne Staaten verlangen eigene Tests.</w:t>
      </w:r>
    </w:p>
    <w:p w14:paraId="7B706D97" w14:textId="77777777" w:rsidR="001F7233" w:rsidRDefault="00000000">
      <w:pPr>
        <w:spacing w:after="140"/>
      </w:pPr>
      <w:r>
        <w:t xml:space="preserve">Nach ESSA müssen Staaten Mathematik und Lesen jährlich in Grade 3 bis 8 und einmal in Grade 9 bis 12 testen, Naturwissenschaften je einmal in Grade 3–5, 6–9 und 10–12, bei 95 % Teilnahme als Rechenschaftsgröße. Die Tests heißen je Staat anders und dienen vor allem der Bewertung der Schulen; ob sie für Versetzung oder </w:t>
      </w:r>
      <w:r>
        <w:lastRenderedPageBreak/>
        <w:t>Abschluss zählen, regeln die Staaten. Für Neuzugewanderte gelten Sonderregeln (Kapitel </w:t>
      </w:r>
      <w:hyperlink w:anchor="k37">
        <w:r w:rsidR="001F7233">
          <w:t>37</w:t>
        </w:r>
      </w:hyperlink>
      <w:r>
        <w:t>).</w:t>
      </w:r>
    </w:p>
    <w:p w14:paraId="23293B69" w14:textId="77777777" w:rsidR="001F7233" w:rsidRDefault="00000000">
      <w:pPr>
        <w:spacing w:after="140"/>
      </w:pPr>
      <w:r>
        <w:rPr>
          <w:i/>
          <w:iCs/>
        </w:rPr>
        <w:t>Noten laufen meist von A (sehr gut) bis F (nicht bestanden), oft mit Prozentwerten dahinter, etwa 90–100 % für ein A. Die Richtung ist also umgekehrt zu den deutschen Noten 1 bis 6. Der Notendurchschnitt (GPA, Grade Point Average) rechnet A = 4, B = 3, C = 2, D = 1, F = 0 und reicht bis 4,0. Honors- und AP-Kurse zählen an vielen Schulen gewichtet bis 5,0. Ab Grade 9 fließen die Noten in den GPA ein, der später in die College-Bewerbung eingeht.</w:t>
      </w:r>
    </w:p>
    <w:p w14:paraId="7FD8E0DD" w14:textId="77777777" w:rsidR="001F7233" w:rsidRDefault="00000000">
      <w:pPr>
        <w:spacing w:after="140"/>
      </w:pPr>
      <w:r>
        <w:rPr>
          <w:i/>
          <w:iCs/>
        </w:rPr>
        <w:t>Honors-Kurse sind anspruchsvollere Varianten des Regelkurses. Advanced Placement (AP) sind College-nahe Kurse mit Prüfung im Mai auf einer Skala von 1 bis 5. Ob und ab welcher Punktzahl ein College sie anrechnet, entscheidet jede Hochschule. Das International Baccalaureate (IB) ist ein zweijähriges Diplomprogramm in Grade 11 und 12 mit höchstens 45 Punkten an ausgewählten Schulen. Es kann in Deutschland zur direkten Studienzulassung führen.</w:t>
      </w:r>
    </w:p>
    <w:p w14:paraId="3E37878E" w14:textId="77777777" w:rsidR="001F7233" w:rsidRDefault="00000000">
      <w:pPr>
        <w:spacing w:after="140"/>
      </w:pPr>
      <w:r>
        <w:t xml:space="preserve">Für die College-Bewerbung zählen zudem </w:t>
      </w:r>
      <w:r>
        <w:rPr>
          <w:i/>
          <w:iCs/>
        </w:rPr>
        <w:t>SAT</w:t>
      </w:r>
      <w:r>
        <w:t xml:space="preserve"> und </w:t>
      </w:r>
      <w:r>
        <w:rPr>
          <w:i/>
          <w:iCs/>
        </w:rPr>
        <w:t>ACT</w:t>
      </w:r>
      <w:r>
        <w:t xml:space="preserve">, standardisierte Studieneignungstests, meist in Grade 11. Der digitale SAT (USA seit 9. März 2024) reicht von 400 bis 1600, dauert rund 2 Stunden 14 Minuten und kostete 2024 68 $. Die Testpflicht kehrt zurück: Für 2026–27 verlangen unter anderem Harvard, Yale, Stanford, MIT und die University of Texas at Austin wieder Ergebnisse; UC und CSU in Kalifornien bleiben testfrei, viele Hochschulen unterhalb der Top 50 sind </w:t>
      </w:r>
      <w:r>
        <w:rPr>
          <w:i/>
          <w:iCs/>
        </w:rPr>
        <w:t>test-optional</w:t>
      </w:r>
      <w:r>
        <w:t>. Kosten, Finanzierung und Abitur-Anerkennung: Kapitel </w:t>
      </w:r>
      <w:hyperlink w:anchor="k38">
        <w:r w:rsidR="001F7233">
          <w:t>38</w:t>
        </w:r>
      </w:hyperlink>
      <w:r>
        <w:t>.</w:t>
      </w:r>
    </w:p>
    <w:p w14:paraId="7358236E" w14:textId="77777777" w:rsidR="001F7233" w:rsidRDefault="00000000">
      <w:pPr>
        <w:spacing w:after="140"/>
      </w:pPr>
      <w:r>
        <w:rPr>
          <w:i/>
          <w:iCs/>
        </w:rPr>
        <w:t>Zum Diploma gehören Kurspunkte (Credits): meist 20 bis 24, verteilt auf feste Fächer wie Englisch, Mathematik, Naturwissenschaften, Sozialkunde und Sport sowie Wahlfächer. Staat und Distrikt legen das jeweils fest. Wer in Grade 11 oder 12 zuzieht, klärt fehlende Credits früh mit der Beratungslehrkraft (Counselor).</w:t>
      </w:r>
    </w:p>
    <w:p w14:paraId="175432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Hausaufgaben, Sport, Clubs und die Elternrolle</w:t>
      </w:r>
    </w:p>
    <w:p w14:paraId="142D44BB" w14:textId="77777777" w:rsidR="001F7233" w:rsidRDefault="00000000">
      <w:pPr>
        <w:spacing w:after="140"/>
      </w:pPr>
      <w:r>
        <w:rPr>
          <w:i/>
          <w:iCs/>
        </w:rPr>
        <w:t>Hausaufgaben (Homework) sind üblich, ihr Umfang schwankt: in der Grundschule meist kurz, an der High School, vor allem mit AP- und Honors-Kursen, oft mehrere Stunden pro Abend.</w:t>
      </w:r>
    </w:p>
    <w:p w14:paraId="27B26924" w14:textId="77777777" w:rsidR="001F7233" w:rsidRDefault="00000000">
      <w:pPr>
        <w:spacing w:after="140"/>
      </w:pPr>
      <w:r>
        <w:t>Sport und Clubs gehören zur Schule, nicht zum Verein: Schulteams (</w:t>
      </w:r>
      <w:r>
        <w:rPr>
          <w:i/>
          <w:iCs/>
        </w:rPr>
        <w:t>Varsity</w:t>
      </w:r>
      <w:r>
        <w:t xml:space="preserve"> für die erste Mannschaft, </w:t>
      </w:r>
      <w:r>
        <w:rPr>
          <w:i/>
          <w:iCs/>
        </w:rPr>
        <w:t>Junior Varsity</w:t>
      </w:r>
      <w:r>
        <w:t xml:space="preserve"> für die zweite), dazu Orchester, Chor, Theater, Robotik, Debattierclub und Schülerzeitung. Am </w:t>
      </w:r>
      <w:r>
        <w:rPr>
          <w:i/>
          <w:iCs/>
        </w:rPr>
        <w:t>Friday Night Football</w:t>
      </w:r>
      <w:r>
        <w:t xml:space="preserve"> zeigt sich das am deutlichsten: Marschkapelle, Cheerleader, der Geruch von Popcorn und gegrilltem Fleisch, und ein guter Teil der Kleinstadt sitzt auf der Tribüne – Schulsport ist hier auch Gemeinschaftsereignis. Für ein Team gibt es Probetrainings (</w:t>
      </w:r>
      <w:r>
        <w:rPr>
          <w:i/>
          <w:iCs/>
        </w:rPr>
        <w:t>Tryouts</w:t>
      </w:r>
      <w:r>
        <w:t>), vor der Saison meist eine sportärztliche Untersuchung (</w:t>
      </w:r>
      <w:r>
        <w:rPr>
          <w:i/>
          <w:iCs/>
        </w:rPr>
        <w:t>Sports Physical</w:t>
      </w:r>
      <w:r>
        <w:t>), und viele Distrikte erheben Gebühren fürs Mitmachen (</w:t>
      </w:r>
      <w:r>
        <w:rPr>
          <w:i/>
          <w:iCs/>
        </w:rPr>
        <w:t>Pay to Play</w:t>
      </w:r>
      <w:r>
        <w:t>). Clubs zählen zudem für spätere College-Bewerbungen (</w:t>
      </w:r>
      <w:r>
        <w:rPr>
          <w:i/>
          <w:iCs/>
        </w:rPr>
        <w:t>Extracurriculars</w:t>
      </w:r>
      <w:r>
        <w:t>) und sind für Kinder mit wenig Englisch oft der schnellste Weg zu Freunden (Kapitel </w:t>
      </w:r>
      <w:hyperlink w:anchor="k32">
        <w:r w:rsidR="001F7233">
          <w:t>32</w:t>
        </w:r>
      </w:hyperlink>
      <w:r>
        <w:t>).</w:t>
      </w:r>
    </w:p>
    <w:p w14:paraId="02784E31" w14:textId="77777777" w:rsidR="001F7233" w:rsidRDefault="00000000">
      <w:pPr>
        <w:spacing w:after="140"/>
      </w:pPr>
      <w:r>
        <w:rPr>
          <w:i/>
          <w:iCs/>
        </w:rPr>
        <w:t>Die PTA (Parent Teacher Association) oder die unabhängige PTO organisiert Feste und Spendenaktionen (Fundraiser) und finanziert Extras. Wer mithilft (Volunteering), lernt Eltern und Lehrkräfte schnell kennen. Elternportale und Apps informieren über Noten, Termine und Fehlzeiten. Elternsprechtage (Parent-Teacher Conferences) gibt es meist ein- bis zweimal im Jahr, Zeugnisse (Report Cards) mehrmals. Lehrkräfte werden mit „Mrs.“, „Mr.“ oder „Ms.“ und Nachnamen angesprochen; kurze, freundliche E-Mails sind der übliche Weg.</w:t>
      </w:r>
    </w:p>
    <w:p w14:paraId="5C5C65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 Lockdown-Übungen und Schulschießereien</w:t>
      </w:r>
    </w:p>
    <w:p w14:paraId="5FB08B18" w14:textId="77777777" w:rsidR="001F7233" w:rsidRDefault="00000000">
      <w:pPr>
        <w:spacing w:after="140"/>
      </w:pPr>
      <w:r>
        <w:t>Wie oft an Schulen geschossen wird, hängt von der Zählweise ab:</w:t>
      </w:r>
    </w:p>
    <w:p w14:paraId="12D50365" w14:textId="77777777" w:rsidR="001F7233" w:rsidRDefault="00000000">
      <w:r>
        <w:rPr>
          <w:b/>
        </w:rPr>
        <w:lastRenderedPageBreak/>
        <w:t>K-12 SSDB (weiteste Definition)</w:t>
      </w:r>
    </w:p>
    <w:p w14:paraId="10EFEDD8" w14:textId="77777777" w:rsidR="001F7233" w:rsidRDefault="00000000">
      <w:r>
        <w:rPr>
          <w:b/>
        </w:rPr>
        <w:t xml:space="preserve">Zeitraum: </w:t>
      </w:r>
      <w:r>
        <w:t>2020, 2023, 2025</w:t>
      </w:r>
    </w:p>
    <w:p w14:paraId="5F843B21" w14:textId="77777777" w:rsidR="001F7233" w:rsidRDefault="00000000">
      <w:r>
        <w:rPr>
          <w:b/>
        </w:rPr>
        <w:t xml:space="preserve">Zahl: </w:t>
      </w:r>
      <w:r>
        <w:t>116, 352, 233 Vorfälle</w:t>
      </w:r>
    </w:p>
    <w:p w14:paraId="6EDD3BA6" w14:textId="77777777" w:rsidR="001F7233" w:rsidRDefault="00000000">
      <w:r>
        <w:rPr>
          <w:b/>
        </w:rPr>
        <w:t>Everytown</w:t>
      </w:r>
    </w:p>
    <w:p w14:paraId="38464744" w14:textId="77777777" w:rsidR="001F7233" w:rsidRDefault="00000000">
      <w:r>
        <w:rPr>
          <w:b/>
        </w:rPr>
        <w:t xml:space="preserve">Zeitraum: </w:t>
      </w:r>
      <w:r>
        <w:t>2024, 2025</w:t>
      </w:r>
    </w:p>
    <w:p w14:paraId="7B28CE32" w14:textId="77777777" w:rsidR="001F7233" w:rsidRDefault="00000000">
      <w:r>
        <w:rPr>
          <w:b/>
        </w:rPr>
        <w:t xml:space="preserve">Zahl: </w:t>
      </w:r>
      <w:r>
        <w:t>229, mindestens 159 Vorfälle</w:t>
      </w:r>
    </w:p>
    <w:p w14:paraId="677B53D7" w14:textId="77777777" w:rsidR="001F7233" w:rsidRDefault="00000000">
      <w:r>
        <w:rPr>
          <w:b/>
        </w:rPr>
        <w:t>CNN-Datenbank</w:t>
      </w:r>
    </w:p>
    <w:p w14:paraId="014C4CBB" w14:textId="77777777" w:rsidR="001F7233" w:rsidRDefault="00000000">
      <w:r>
        <w:rPr>
          <w:b/>
        </w:rPr>
        <w:t xml:space="preserve">Zeitraum: </w:t>
      </w:r>
      <w:r>
        <w:t>2025</w:t>
      </w:r>
    </w:p>
    <w:p w14:paraId="67284B71" w14:textId="77777777" w:rsidR="001F7233" w:rsidRDefault="00000000">
      <w:r>
        <w:rPr>
          <w:b/>
        </w:rPr>
        <w:t xml:space="preserve">Zahl: </w:t>
      </w:r>
      <w:r>
        <w:t>75 Vorfälle</w:t>
      </w:r>
    </w:p>
    <w:p w14:paraId="0FE32005" w14:textId="77777777" w:rsidR="001F7233" w:rsidRDefault="00000000">
      <w:r>
        <w:rPr>
          <w:b/>
        </w:rPr>
        <w:t>NCES (schulbezogene Gewalttote)</w:t>
      </w:r>
    </w:p>
    <w:p w14:paraId="17502953" w14:textId="77777777" w:rsidR="001F7233" w:rsidRDefault="00000000">
      <w:r>
        <w:rPr>
          <w:b/>
        </w:rPr>
        <w:t xml:space="preserve">Zeitraum: </w:t>
      </w:r>
      <w:r>
        <w:t>2006–07, 2019–20</w:t>
      </w:r>
    </w:p>
    <w:p w14:paraId="794E0FE5" w14:textId="77777777" w:rsidR="001F7233" w:rsidRDefault="00000000">
      <w:r>
        <w:rPr>
          <w:b/>
        </w:rPr>
        <w:t xml:space="preserve">Zahl: </w:t>
      </w:r>
      <w:r>
        <w:t>63, 25 Todesfälle</w:t>
      </w:r>
    </w:p>
    <w:p w14:paraId="42C4AD9E" w14:textId="77777777" w:rsidR="001F7233" w:rsidRDefault="001F7233">
      <w:pPr>
        <w:spacing w:line="180" w:lineRule="exact"/>
      </w:pPr>
    </w:p>
    <w:p w14:paraId="0E454FC2" w14:textId="77777777" w:rsidR="001F7233" w:rsidRDefault="00000000">
      <w:pPr>
        <w:spacing w:after="140"/>
      </w:pPr>
      <w:r>
        <w:t>Die Datenbank K-12 SSDB zählt jeden Vorfall, bei dem auf dem Schulgelände eine Schusswaffe abgefeuert, mit Schädigungsabsicht gezeigt oder ein Mensch getroffen wird. 2025 war der niedrigste Stand seit 2020, 2023 der Höchststand. Everytown zählt für 2025 insgesamt 53 Tote und 148 Verletzte. Bei 49,6 Mio. Schülern an öffentlichen Schulen ist das Risiko für ein einzelnes Kind gering. Schulen nehmen das Thema trotzdem ernst.</w:t>
      </w:r>
    </w:p>
    <w:p w14:paraId="14117249" w14:textId="77777777" w:rsidR="001F7233" w:rsidRDefault="00000000">
      <w:pPr>
        <w:spacing w:after="140"/>
      </w:pPr>
      <w:r>
        <w:rPr>
          <w:i/>
          <w:iCs/>
        </w:rPr>
        <w:t>Sicherheitsverfahren gehören deshalb zum Alltag: 2021–22 hatten 97 % der öffentlichen Schulen kontrollierten Zugang zum Gebäude und 93 % Kameras. Im selben Schuljahr übten 95,5 % Lockdown-Verfahren, 93,0 % Evakuierung und 93,5 % den Schutz im Gebäude (Shelter in Place; NCES). Bei einem Lockdown werden Türen verschlossen, das Licht geht aus und die Kinder bleiben ruhig außer der Sichtlinie zur Tür. Bei einem Lockout, einer Gefahr außer des Gebäudes, läuft der Unterricht drinnen weiter. Häufigkeit und Form regeln Staaten und Distrikte; Grundschulen üben meist altersgerecht.</w:t>
      </w:r>
    </w:p>
    <w:p w14:paraId="7C5A25D2" w14:textId="77777777" w:rsidR="001F7233" w:rsidRDefault="00000000">
      <w:pPr>
        <w:spacing w:after="140"/>
      </w:pPr>
      <w:r>
        <w:t>Als Eltern hältst du Kontaktdaten und Benachrichtigungen (SMS, E-Mail, App) aktuell, lässt dir das Abholverfahren nach einem Vorfall erklären (</w:t>
      </w:r>
      <w:r>
        <w:rPr>
          <w:i/>
          <w:iCs/>
        </w:rPr>
        <w:t>Reunification</w:t>
      </w:r>
      <w:r>
        <w:t xml:space="preserve">) und sprichst mit deinem Kind über die Übungen. Viele Kinder nehmen sie wie eine Feuerübung, manche </w:t>
      </w:r>
      <w:r>
        <w:lastRenderedPageBreak/>
        <w:t>belastet es; sprich dann mit der Lehrkraft (zum Waffenrecht im Alltag: Kapitel </w:t>
      </w:r>
      <w:hyperlink w:anchor="k40">
        <w:r w:rsidR="001F7233">
          <w:t>40</w:t>
        </w:r>
      </w:hyperlink>
      <w:r>
        <w:t>).</w:t>
      </w:r>
    </w:p>
    <w:p w14:paraId="2969D82F" w14:textId="77777777" w:rsidR="001F7233" w:rsidRDefault="00000000">
      <w:pPr>
        <w:spacing w:after="140"/>
      </w:pPr>
      <w:r>
        <w:rPr>
          <w:i/>
          <w:iCs/>
        </w:rPr>
        <w:t>Mobbing (Bullying) hat kein eigenes Bundesgesetz. Alle Staaten haben Gesetze, die Schulen zu Regeln und Meldewegen verpflichten. Bei Diskriminierung greifen Bundesrechte (Title VI, Title IX, Section 504). Beschwerden gehen an Schule und Distrikt, dann an das Office for Civil Rights des Bildungsministeriums.</w:t>
      </w:r>
    </w:p>
    <w:p w14:paraId="5C9756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Sonderförderung: IEP, 504 und Begabtenförderung</w:t>
      </w:r>
    </w:p>
    <w:p w14:paraId="34D75A10" w14:textId="77777777" w:rsidR="001F7233" w:rsidRDefault="00000000">
      <w:pPr>
        <w:spacing w:after="140"/>
      </w:pPr>
      <w:r>
        <w:t>Im Schuljahr 2022–23 erhielten 7,5 Mio. Kinder und Jugendliche zwischen 3 und 21 Jahren Sonderförderung nach dem Bundesgesetz IDEA (</w:t>
      </w:r>
      <w:r>
        <w:rPr>
          <w:i/>
          <w:iCs/>
        </w:rPr>
        <w:t>Individuals with Disabilities Education Act</w:t>
      </w:r>
      <w:r>
        <w:t>), das sind 15 % aller Schüler an öffentlichen Schulen. Am häufigsten (32 %) sind spezifische Lernstörungen wie Legasthenie. Zwei Instrumente zählen:</w:t>
      </w:r>
    </w:p>
    <w:p w14:paraId="44A6DC39" w14:textId="77777777" w:rsidR="001F7233" w:rsidRDefault="00000000">
      <w:pPr>
        <w:pStyle w:val="ListParagraph"/>
        <w:numPr>
          <w:ilvl w:val="0"/>
          <w:numId w:val="1"/>
        </w:numPr>
        <w:spacing w:after="60"/>
      </w:pPr>
      <w:r>
        <w:rPr>
          <w:b/>
          <w:bCs/>
        </w:rPr>
        <w:t>IEP (Individualized Education Program): ein schriftlicher Förderplan mit Zielen, Unterstützung und Anpassungen, von Eltern, Lehrkräften und Fachleuten erstellt und jährlich überprüft; für die Familie kostenlos.</w:t>
      </w:r>
    </w:p>
    <w:p w14:paraId="505B4A54" w14:textId="77777777" w:rsidR="001F7233" w:rsidRDefault="00000000">
      <w:pPr>
        <w:pStyle w:val="ListParagraph"/>
        <w:numPr>
          <w:ilvl w:val="0"/>
          <w:numId w:val="1"/>
        </w:numPr>
        <w:spacing w:after="60"/>
      </w:pPr>
      <w:r>
        <w:rPr>
          <w:b/>
          <w:bCs/>
        </w:rPr>
        <w:t>504 Plan (nach Section 504 des Rehabilitation Act): Anpassungen im Regelunterricht, etwa mehr Zeit bei Tests, für Kinder, die keinen Sonderunterricht brauchen, etwa bei Diabetes, Allergien oder ADHS.</w:t>
      </w:r>
    </w:p>
    <w:p w14:paraId="593F4744" w14:textId="77777777" w:rsidR="001F7233" w:rsidRDefault="001F7233">
      <w:pPr>
        <w:spacing w:line="120" w:lineRule="exact"/>
      </w:pPr>
    </w:p>
    <w:p w14:paraId="6B9DD1DE" w14:textId="77777777" w:rsidR="001F7233" w:rsidRDefault="00000000">
      <w:pPr>
        <w:spacing w:after="140"/>
      </w:pPr>
      <w:r>
        <w:rPr>
          <w:i/>
          <w:iCs/>
        </w:rPr>
        <w:t>Du beantragst die Prüfung (Evaluation) schriftlich bei der Schulleitung. Danach folgt eine Besprechung mit dem Team. Bringe Gutachten und Förderpläne aus Deutschland mit englischer Übersetzung mit: Die Schule testet meist selbst, aber die Unterlagen belegen den Verlauf.</w:t>
      </w:r>
    </w:p>
    <w:p w14:paraId="20892D82" w14:textId="77777777" w:rsidR="001F7233" w:rsidRDefault="00000000">
      <w:pPr>
        <w:spacing w:after="140"/>
      </w:pPr>
      <w:r>
        <w:lastRenderedPageBreak/>
        <w:t>Für Hochbegabte (</w:t>
      </w:r>
      <w:r>
        <w:rPr>
          <w:i/>
          <w:iCs/>
        </w:rPr>
        <w:t>Gifted and Talented</w:t>
      </w:r>
      <w:r>
        <w:t>) gibt es keinen bundesweiten Anspruch. Staaten und Distrikte entscheiden über Tests, Aufnahme und Angebot: Zusatzkurse, eigene Klassen, Honors und AP, auch das Überspringen einer Klasse. Sprachförderung für Kinder mit wenig Englisch: Kapitel </w:t>
      </w:r>
      <w:hyperlink w:anchor="k37">
        <w:r w:rsidR="001F7233">
          <w:t>37</w:t>
        </w:r>
      </w:hyperlink>
      <w:r>
        <w:t>.</w:t>
      </w:r>
    </w:p>
    <w:p w14:paraId="49A391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Deutschland: Gymnasium, Gesamtschule, Ganztag, Abitur</w:t>
      </w:r>
    </w:p>
    <w:p w14:paraId="230F8541" w14:textId="77777777" w:rsidR="001F7233" w:rsidRDefault="00000000">
      <w:r>
        <w:rPr>
          <w:b/>
        </w:rPr>
        <w:t>Nach der Grundschule</w:t>
      </w:r>
    </w:p>
    <w:p w14:paraId="2577C2FD" w14:textId="77777777" w:rsidR="001F7233" w:rsidRDefault="00000000">
      <w:r>
        <w:rPr>
          <w:b/>
        </w:rPr>
        <w:t xml:space="preserve">Deutschland: </w:t>
      </w:r>
      <w:r>
        <w:t>Aufteilung auf Schulformen (Gymnasium, Realschule, Gesamtschule) meist ab Klasse 5</w:t>
      </w:r>
    </w:p>
    <w:p w14:paraId="7E803C79" w14:textId="77777777" w:rsidR="001F7233" w:rsidRDefault="00000000">
      <w:r>
        <w:rPr>
          <w:b/>
        </w:rPr>
        <w:t xml:space="preserve">USA: </w:t>
      </w:r>
      <w:r>
        <w:t>eine gemeinsame Middle und High School</w:t>
      </w:r>
    </w:p>
    <w:p w14:paraId="189CE2A0" w14:textId="77777777" w:rsidR="001F7233" w:rsidRDefault="00000000">
      <w:r>
        <w:rPr>
          <w:b/>
        </w:rPr>
        <w:t>Leistungsstufen</w:t>
      </w:r>
    </w:p>
    <w:p w14:paraId="55AEC08E" w14:textId="77777777" w:rsidR="001F7233" w:rsidRDefault="00000000">
      <w:r>
        <w:rPr>
          <w:b/>
        </w:rPr>
        <w:t xml:space="preserve">Deutschland: </w:t>
      </w:r>
      <w:r>
        <w:t>Schulform</w:t>
      </w:r>
    </w:p>
    <w:p w14:paraId="2C1DFCC6" w14:textId="77777777" w:rsidR="001F7233" w:rsidRDefault="00000000">
      <w:r>
        <w:rPr>
          <w:b/>
        </w:rPr>
        <w:t xml:space="preserve">USA: </w:t>
      </w:r>
      <w:r>
        <w:t>Kurse: Honors, AP, IB</w:t>
      </w:r>
    </w:p>
    <w:p w14:paraId="15771512" w14:textId="77777777" w:rsidR="001F7233" w:rsidRDefault="00000000">
      <w:r>
        <w:rPr>
          <w:b/>
        </w:rPr>
        <w:t>Tag</w:t>
      </w:r>
    </w:p>
    <w:p w14:paraId="146FFE8D" w14:textId="77777777" w:rsidR="001F7233" w:rsidRDefault="00000000">
      <w:r>
        <w:rPr>
          <w:b/>
        </w:rPr>
        <w:t xml:space="preserve">Deutschland: </w:t>
      </w:r>
      <w:r>
        <w:t>Halbtag oder Ganztag</w:t>
      </w:r>
    </w:p>
    <w:p w14:paraId="278524BE" w14:textId="77777777" w:rsidR="001F7233" w:rsidRDefault="00000000">
      <w:r>
        <w:rPr>
          <w:b/>
        </w:rPr>
        <w:t xml:space="preserve">USA: </w:t>
      </w:r>
      <w:r>
        <w:t>bis ca. 15 Uhr, dann Sport und Clubs</w:t>
      </w:r>
    </w:p>
    <w:p w14:paraId="39DF455F" w14:textId="77777777" w:rsidR="001F7233" w:rsidRDefault="00000000">
      <w:r>
        <w:rPr>
          <w:b/>
        </w:rPr>
        <w:t>Noten</w:t>
      </w:r>
    </w:p>
    <w:p w14:paraId="457517C4" w14:textId="77777777" w:rsidR="001F7233" w:rsidRDefault="00000000">
      <w:r>
        <w:rPr>
          <w:b/>
        </w:rPr>
        <w:t xml:space="preserve">Deutschland: </w:t>
      </w:r>
      <w:r>
        <w:t>1 (beste) bis 6</w:t>
      </w:r>
    </w:p>
    <w:p w14:paraId="381D9445" w14:textId="77777777" w:rsidR="001F7233" w:rsidRDefault="00000000">
      <w:r>
        <w:rPr>
          <w:b/>
        </w:rPr>
        <w:t xml:space="preserve">USA: </w:t>
      </w:r>
      <w:r>
        <w:t>A (beste) bis F, GPA</w:t>
      </w:r>
    </w:p>
    <w:p w14:paraId="61CDDB47" w14:textId="77777777" w:rsidR="001F7233" w:rsidRDefault="00000000">
      <w:r>
        <w:rPr>
          <w:b/>
        </w:rPr>
        <w:t>Abschluss</w:t>
      </w:r>
    </w:p>
    <w:p w14:paraId="3162262F" w14:textId="77777777" w:rsidR="001F7233" w:rsidRDefault="00000000">
      <w:r>
        <w:rPr>
          <w:b/>
        </w:rPr>
        <w:t xml:space="preserve">Deutschland: </w:t>
      </w:r>
      <w:r>
        <w:t>Abitur, zugleich Hochschulreife</w:t>
      </w:r>
    </w:p>
    <w:p w14:paraId="1D5FA86D" w14:textId="77777777" w:rsidR="001F7233" w:rsidRDefault="00000000">
      <w:r>
        <w:rPr>
          <w:b/>
        </w:rPr>
        <w:t xml:space="preserve">USA: </w:t>
      </w:r>
      <w:r>
        <w:t>Diploma; Bewerbung mit GPA, Tests, Aufsatz</w:t>
      </w:r>
    </w:p>
    <w:p w14:paraId="79CD1EC8" w14:textId="77777777" w:rsidR="001F7233" w:rsidRDefault="001F7233">
      <w:pPr>
        <w:spacing w:line="180" w:lineRule="exact"/>
      </w:pPr>
    </w:p>
    <w:p w14:paraId="4D22DFE8" w14:textId="77777777" w:rsidR="001F7233" w:rsidRDefault="00000000">
      <w:pPr>
        <w:spacing w:after="140"/>
      </w:pPr>
      <w:r>
        <w:rPr>
          <w:i/>
          <w:iCs/>
        </w:rPr>
        <w:t xml:space="preserve">Die amerikanische Comprehensive High School ähnelt eher der Gesamtschule: Alle Kinder eines Einzugsgebiets gehen in dieselbe Schule, die Leistungsstufen entstehen fachweise über Kurse und die Auslese fällt später über Kurswahl, GPA und Testergebnisse. Berufliche Bildung läuft als Kursangebot in der High School (Career and </w:t>
      </w:r>
      <w:r>
        <w:rPr>
          <w:i/>
          <w:iCs/>
        </w:rPr>
        <w:lastRenderedPageBreak/>
        <w:t>Technical Education). Die duale Ausbildung mit Berufsschule ist in den USA die Ausnahme.</w:t>
      </w:r>
    </w:p>
    <w:p w14:paraId="4DF4ADDC" w14:textId="77777777" w:rsidR="001F7233" w:rsidRDefault="00000000">
      <w:pPr>
        <w:spacing w:after="140"/>
      </w:pPr>
      <w:r>
        <w:t xml:space="preserve">Verbreiteter Irrtum: Das US-Diploma sei automatisch gleichwertig mit dem Abitur. Tatsächlich bescheinigt das </w:t>
      </w:r>
      <w:r>
        <w:rPr>
          <w:i/>
          <w:iCs/>
        </w:rPr>
        <w:t>Diploma</w:t>
      </w:r>
      <w:r>
        <w:t xml:space="preserve"> nur, dass die Credits erfüllt sind; über die Aufnahme entscheiden die Hochschulen einzeln, und umgekehrt genügt es für deutsche Hochschulen allein oft nicht (DAAD). Wege sind das Studienkolleg mit Feststellungsprüfung, ein bis zwei Jahre US-College oder eine Einzelfallbewertung; ein IB-Diplom kann direkten Zugang bringen (Kapitel </w:t>
      </w:r>
      <w:hyperlink w:anchor="k38">
        <w:r w:rsidR="001F7233">
          <w:t>38</w:t>
        </w:r>
      </w:hyperlink>
      <w:r>
        <w:t>). Was für Rückkehrer gilt, steht in Kapitel </w:t>
      </w:r>
      <w:hyperlink w:anchor="k42">
        <w:r w:rsidR="001F7233">
          <w:t>42</w:t>
        </w:r>
      </w:hyperlink>
      <w:r>
        <w:t>.</w:t>
      </w:r>
    </w:p>
    <w:p w14:paraId="3EBE9D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Altersstufen es schwer haben</w:t>
      </w:r>
    </w:p>
    <w:p w14:paraId="31BE42A1" w14:textId="77777777" w:rsidR="001F7233" w:rsidRDefault="00000000">
      <w:pPr>
        <w:pStyle w:val="ListParagraph"/>
        <w:numPr>
          <w:ilvl w:val="0"/>
          <w:numId w:val="1"/>
        </w:numPr>
        <w:spacing w:after="60"/>
      </w:pPr>
      <w:r>
        <w:rPr>
          <w:b/>
          <w:bCs/>
        </w:rPr>
        <w:t>Pre-K bis Grade 3:</w:t>
      </w:r>
      <w:r>
        <w:t xml:space="preserve"> Der Anschluss gelingt meist leicht: Kinder lernen Englisch schnell, Noten spielen kaum eine Rolle. Vielerorts hat der Kindergarten aber Lese- und Rechenziele; frage die Schule danach.</w:t>
      </w:r>
    </w:p>
    <w:p w14:paraId="6B0EDBAC" w14:textId="77777777" w:rsidR="001F7233" w:rsidRDefault="00000000">
      <w:pPr>
        <w:pStyle w:val="ListParagraph"/>
        <w:numPr>
          <w:ilvl w:val="0"/>
          <w:numId w:val="1"/>
        </w:numPr>
        <w:spacing w:after="60"/>
      </w:pPr>
      <w:r>
        <w:rPr>
          <w:b/>
          <w:bCs/>
        </w:rPr>
        <w:t>Grade 4 bis 8: Die Sprache wird akademisch und die Middle School bringt Fachlehrkräfte, Klassenwechsel und den Beginn der Teenagerzeit. Plane Geduld und Sprachförderung ein.</w:t>
      </w:r>
    </w:p>
    <w:p w14:paraId="340E56BD" w14:textId="77777777" w:rsidR="001F7233" w:rsidRDefault="00000000">
      <w:pPr>
        <w:pStyle w:val="ListParagraph"/>
        <w:numPr>
          <w:ilvl w:val="0"/>
          <w:numId w:val="1"/>
        </w:numPr>
        <w:spacing w:after="60"/>
      </w:pPr>
      <w:r>
        <w:rPr>
          <w:b/>
          <w:bCs/>
        </w:rPr>
        <w:t>Grade 9 und 10:</w:t>
      </w:r>
      <w:r>
        <w:t xml:space="preserve"> Machbar, aber jetzt fallen die Weichen für Kurswahl, GPA und Clubs. Suche früh das Gespräch mit dem Counselor.</w:t>
      </w:r>
    </w:p>
    <w:p w14:paraId="252250E0" w14:textId="77777777" w:rsidR="001F7233" w:rsidRDefault="00000000">
      <w:pPr>
        <w:pStyle w:val="ListParagraph"/>
        <w:numPr>
          <w:ilvl w:val="0"/>
          <w:numId w:val="1"/>
        </w:numPr>
        <w:spacing w:after="60"/>
      </w:pPr>
      <w:r>
        <w:rPr>
          <w:b/>
          <w:bCs/>
        </w:rPr>
        <w:t>Grade 11 und 12: Der schwierigste Zeitpunkt. Credits fehlen, der GPA aus Grade 11 zählt besonders, SAT oder ACT stehen an und die College-Fristen liegen im Herbst des letzten Jahres.</w:t>
      </w:r>
    </w:p>
    <w:p w14:paraId="30856E67" w14:textId="77777777" w:rsidR="001F7233" w:rsidRDefault="001F7233">
      <w:pPr>
        <w:spacing w:line="120" w:lineRule="exact"/>
      </w:pPr>
    </w:p>
    <w:p w14:paraId="09E934C5" w14:textId="77777777" w:rsidR="001F7233" w:rsidRDefault="00000000">
      <w:r>
        <w:rPr>
          <w:b/>
        </w:rPr>
        <w:t xml:space="preserve">ACHTUNG: </w:t>
      </w:r>
    </w:p>
    <w:p w14:paraId="529A2AC1" w14:textId="77777777" w:rsidR="001F7233" w:rsidRDefault="00000000">
      <w:r>
        <w:t xml:space="preserve">• Bei Teenagern in Grade 11 oder 12 lohnt es, vor dem Umzug zu rechnen: Fehlen Credits? Reicht die Zeit für Tests und Bewerbungen? Alternativen sind ein Umzug nach dem Schulabschluss oder eine </w:t>
      </w:r>
      <w:r>
        <w:lastRenderedPageBreak/>
        <w:t>deutsche Auslandsschule. Bei H-4 und L-2 endet der Kinderstatus mit 21 (</w:t>
      </w:r>
      <w:hyperlink w:anchor="k10">
        <w:r w:rsidR="001F7233">
          <w:rPr>
            <w:color w:val="0563C1"/>
            <w:u w:val="single"/>
          </w:rPr>
          <w:t>Kapitel 10</w:t>
        </w:r>
      </w:hyperlink>
      <w:r>
        <w:t>).</w:t>
      </w:r>
    </w:p>
    <w:p w14:paraId="7F6708FF" w14:textId="77777777" w:rsidR="001F7233" w:rsidRDefault="001F7233">
      <w:pPr>
        <w:spacing w:line="220" w:lineRule="exact"/>
      </w:pPr>
    </w:p>
    <w:p w14:paraId="2ED12B81" w14:textId="77777777" w:rsidR="001F7233" w:rsidRDefault="00000000">
      <w:pPr>
        <w:spacing w:after="140"/>
      </w:pPr>
      <w:r>
        <w:t>Am einfachsten ist der Sommer vor Schuljahresbeginn; ein Wechsel im laufenden Jahr ist möglich.</w:t>
      </w:r>
    </w:p>
    <w:p w14:paraId="297EB9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Schulen und Deutsch bewahren</w:t>
      </w:r>
    </w:p>
    <w:p w14:paraId="7DAF6633" w14:textId="77777777" w:rsidR="001F7233" w:rsidRDefault="00000000">
      <w:pPr>
        <w:spacing w:after="140"/>
      </w:pPr>
      <w:r>
        <w:t>Deutsche Auslandsschulen gibt es laut verfügbaren Listen unter anderem in Mountain View und San Francisco (German International School Silicon Valley, GISSV), Boston, Chicago, Stamford, West Hartford, White Plains (German International School New York, GISNY), Brooklyn, Portland, Washington, D.C. und Phoenix. Die angebotenen Klassenstufen unterscheiden sich. Aktuelle Listen führt die Zentralstelle für das Auslandsschulwesen (</w:t>
      </w:r>
      <w:hyperlink r:id="rId483">
        <w:r w:rsidR="001F7233">
          <w:rPr>
            <w:color w:val="0563C1"/>
            <w:u w:val="single"/>
          </w:rPr>
          <w:t>auslandsschulwesen.de</w:t>
        </w:r>
      </w:hyperlink>
      <w:r>
        <w:t>).</w:t>
      </w:r>
    </w:p>
    <w:p w14:paraId="4CF0C011" w14:textId="77777777" w:rsidR="001F7233" w:rsidRDefault="00000000">
      <w:pPr>
        <w:spacing w:after="140"/>
      </w:pPr>
      <w:r>
        <w:t>Die Kosten 2026–27: Die GISNY verlangt 29.600 $ pro Jahr für alle Klassen, inklusive Mittagessen und Büchern. Die GISSV in Mountain View nimmt 27.700 $ für Klasse 1–4, 32.200 $ für Klasse 5–8 und 35.750 $ für Klasse 9–12. Dazu kommen dort 75 $ Bewerbungsgebühr, 825 $ Einschreibung pro Kind und Jahr sowie 150 $ und 1.250 $ Beiträge pro Familie; Geschwister erhalten 10 % bzw. 20 % Rabatt. Beide Schulen vergeben das Deutsche Internationale Abitur (DIA), das wie das Abitur gilt, und das US-High-School-Diploma.</w:t>
      </w:r>
    </w:p>
    <w:p w14:paraId="4B052AA9" w14:textId="77777777" w:rsidR="001F7233" w:rsidRDefault="00000000">
      <w:pPr>
        <w:spacing w:after="140"/>
      </w:pPr>
      <w:r>
        <w:t xml:space="preserve">Zweitens die öffentliche </w:t>
      </w:r>
      <w:r>
        <w:rPr>
          <w:i/>
          <w:iCs/>
        </w:rPr>
        <w:t>Immersionsschule</w:t>
      </w:r>
      <w:r>
        <w:t xml:space="preserve">: Die Twin Cities German Immersion School in St. Paul, Minnesota, ist eine kostenlose öffentliche Charter-Schule für K–8 mit überwiegend deutschem Unterricht; Kinder ohne Deutsch werden unterstützt. Ähnliche Programme gibt es laut Listen in Milwaukee. Drittens die </w:t>
      </w:r>
      <w:r>
        <w:rPr>
          <w:i/>
          <w:iCs/>
        </w:rPr>
        <w:lastRenderedPageBreak/>
        <w:t>Samstagsschule</w:t>
      </w:r>
      <w:r>
        <w:t xml:space="preserve"> neben der öffentlichen Schule, etwa an der GISSV, in Boston und in Tempe bei Phoenix (mehr in Kapitel </w:t>
      </w:r>
      <w:hyperlink w:anchor="k37">
        <w:r w:rsidR="001F7233">
          <w:t>37</w:t>
        </w:r>
      </w:hyperlink>
      <w:r>
        <w:t>).</w:t>
      </w:r>
    </w:p>
    <w:p w14:paraId="2042711C" w14:textId="77777777" w:rsidR="001F7233" w:rsidRDefault="00000000">
      <w:r>
        <w:rPr>
          <w:b/>
        </w:rPr>
        <w:t xml:space="preserve">SPARTIPP: </w:t>
      </w:r>
    </w:p>
    <w:p w14:paraId="2FF9FF3D" w14:textId="77777777" w:rsidR="001F7233" w:rsidRDefault="00000000">
      <w:r>
        <w:t>• Geht es dir vor allem um die Sprache, genügt oft die kostenlose öffentliche Schule plus eine Samstagsschule für Deutsch. Das erspart Schulgeld von 27.000 bis 36.000 $ pro Kind und Jahr. Willst du an eine Auslandsschule, frage früh an: Wartelisten und Einstufungsgespräche brauchen Zeit.</w:t>
      </w:r>
    </w:p>
    <w:p w14:paraId="24C18640" w14:textId="77777777" w:rsidR="001F7233" w:rsidRDefault="001F7233">
      <w:pPr>
        <w:spacing w:line="220" w:lineRule="exact"/>
      </w:pPr>
    </w:p>
    <w:p w14:paraId="2F481CD8" w14:textId="77777777" w:rsidR="001F7233" w:rsidRDefault="00000000">
      <w:r>
        <w:t>Eine mögliche Stärke des US-Systems ist die große Auswahl in der High School: Wahlfächer, Honors- und AP-Kurse sowie schulische Clubs können Interessen früh vertiefen; laufende Kursnoten machen Fortschritte sichtbar. Das Angebot hängt aber stark von Schule, Personal und Wohnbezirk ab. Besuche die Schule und frage, welche Kurse tatsächlich stattfinden. Lehrplan- und Homeschooling-Regeln sind Sache des jeweiligen Staates und teils lokaler Stellen; die offizielle übersicht des US-Bildungsministeriums führt zu den Vorschriften aller Staaten: https://www.ed.gov/birth-grade-12-education/education-choice/state-regulation-of-private-and-home-schools.</w:t>
      </w:r>
    </w:p>
    <w:p w14:paraId="7C874AE7" w14:textId="77777777" w:rsidR="001F7233" w:rsidRDefault="00000000">
      <w:r>
        <w:t>Schulsport und Clubs können den Einstieg erleichtern: Teams, Musik, Debatte und andere Aktivitäten schaffen regelmäßige Kontakte. Manche Teams wählen nach Try-outs aus und verlangen Ausrüstung, Gebühren oder eine sportärztliche Freigabe. Homeschooling ist erlaubt, aber Voraussetzungen, Nachweise und Zugang zu öffentlichen Schulaktivitäten unterscheiden sich erheblich. Prüfe das beim Staat und beim passenden Distrikt; plane außerdem feste Kontakte außer des Unterrichts.</w:t>
      </w:r>
    </w:p>
    <w:p w14:paraId="6D518836" w14:textId="77777777" w:rsidR="001F7233" w:rsidRDefault="00000000">
      <w:r>
        <w:t xml:space="preserve">Schlechte Zeugnisse nach dem Umzug? Lass zunächst vom Counselor klären, welche Kurse und Credits anerkannt werden. Eine schwache erste Note kann Sprachumstellung, ungewohnte Bewertung oder fachliche Lücken spiegeln. Bitte um getrennte Einschätzung von Englischstand und Fachwissen, einen Förderplan und eine Liste fehlender Abschluss-Credits. Je nach Distrikt gibt es Nachhilfe, </w:t>
      </w:r>
      <w:r>
        <w:lastRenderedPageBreak/>
        <w:t>Summer School oder Credit Recovery; Regeln und Zusagen schriftlich bestätigen lassen.</w:t>
      </w:r>
    </w:p>
    <w:p w14:paraId="6BE3690A" w14:textId="77777777" w:rsidR="001F7233" w:rsidRDefault="00000000">
      <w:r>
        <w:t>Eine Stärke kann die große Kurswahl an der High School sein: Wahlfächer, Honors- und AP-Kurse sowie Clubs lassen Jugendliche Interessen vertiefen; laufende Kursnoten machen Fortschritte sichtbar. Das Angebot hängt stark von Schule und Distrikt ab. Besuche die Schule und frage, was tatsächlich stattfindet. Homeschooling-Regeln sind Sache der Staaten und teils lokaler Stellen; amtliche Übersicht: https://www.ed.gov/birth-grade-12-education/education-choice/state-regulation-of-private-and-home-schools.</w:t>
      </w:r>
    </w:p>
    <w:p w14:paraId="0E41945B" w14:textId="77777777" w:rsidR="001F7233" w:rsidRDefault="00000000">
      <w:r>
        <w:t>Schulsport und Clubs können den Einstieg erleichtern; Teams wählen teils nach Try-outs aus und verlangen Gebühren, Ausrüstung oder eine sportärztliche Freigabe. Homeschooling ist in allen Staaten möglich, doch Anmeldung, Nachweise und Zugang zu Schulaktivitäten unterscheiden sich. Prüfe die Regeln bei Staat und Distrikt.</w:t>
      </w:r>
    </w:p>
    <w:p w14:paraId="04E513F2" w14:textId="77777777" w:rsidR="001F7233" w:rsidRDefault="00000000">
      <w:r>
        <w:t>Lockdown- und Evakuierungsübungen gehören an vielen US-Schulen zum Notfallplan; geplant wird auch für Brände, Unwetter und andere Gefahren. Frage, wie die Schule Übungen altersgerecht erklärt, Eltern informiert und die Abholung organisiert. Erkläre den Ablauf ruhig und passend zum Alter, ohne eine Übung als Vorhersage zu behandeln. Offizielle Hinweise: https://www.ed.gov/teaching-and-administration/safe-learning-environments/school-safety-and-security/emergency-planning.</w:t>
      </w:r>
    </w:p>
    <w:p w14:paraId="633AD6D2" w14:textId="77777777" w:rsidR="001F7233" w:rsidRDefault="00000000">
      <w:pPr>
        <w:pStyle w:val="Heading3"/>
      </w:pPr>
      <w:r>
        <w:t>Notfallübungen: ruhig informieren, konkret nachfragen</w:t>
      </w:r>
    </w:p>
    <w:p w14:paraId="635021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Das amerikanische Schulsystem verstehen</w:t>
      </w:r>
    </w:p>
    <w:p w14:paraId="1411366F" w14:textId="77777777" w:rsidR="001F7233" w:rsidRDefault="00000000">
      <w:r>
        <w:rPr>
          <w:b/>
        </w:rPr>
        <w:t>Plus: Öffentliche Schulen sind kostenlos, Anmeldung ohne SSN und Statusnachweis</w:t>
      </w:r>
    </w:p>
    <w:p w14:paraId="73620F12" w14:textId="77777777" w:rsidR="001F7233" w:rsidRDefault="00000000">
      <w:r>
        <w:rPr>
          <w:b/>
        </w:rPr>
        <w:t xml:space="preserve">Minus: </w:t>
      </w:r>
      <w:r>
        <w:t>Qualität und Ausstattung hängen an Wohnort, Distrikt und Grundsteuer</w:t>
      </w:r>
    </w:p>
    <w:p w14:paraId="13E92213" w14:textId="77777777" w:rsidR="001F7233" w:rsidRDefault="00000000">
      <w:r>
        <w:rPr>
          <w:b/>
        </w:rPr>
        <w:t>Plus: Große Kurswahl an der High School (Honors, AP, Kunst, Musik, Technik)</w:t>
      </w:r>
    </w:p>
    <w:p w14:paraId="71CCE22E" w14:textId="77777777" w:rsidR="001F7233" w:rsidRDefault="00000000">
      <w:r>
        <w:rPr>
          <w:b/>
        </w:rPr>
        <w:t xml:space="preserve">Minus: </w:t>
      </w:r>
      <w:r>
        <w:t>Schulschießereien und Lockdown-Übungen gehören zum Alltag</w:t>
      </w:r>
    </w:p>
    <w:p w14:paraId="5C0DF027" w14:textId="77777777" w:rsidR="001F7233" w:rsidRDefault="00000000">
      <w:r>
        <w:rPr>
          <w:b/>
        </w:rPr>
        <w:t>Plus: Sport, Musik und Clubs direkt an der Schule</w:t>
      </w:r>
    </w:p>
    <w:p w14:paraId="1DC2E24F" w14:textId="77777777" w:rsidR="001F7233" w:rsidRDefault="00000000">
      <w:r>
        <w:rPr>
          <w:b/>
        </w:rPr>
        <w:t xml:space="preserve">Minus: </w:t>
      </w:r>
      <w:r>
        <w:t>10–12 Wochen Sommerferien: Betreuungslücke, Camps kosten extra</w:t>
      </w:r>
    </w:p>
    <w:p w14:paraId="5870B7E1" w14:textId="77777777" w:rsidR="001F7233" w:rsidRDefault="00000000">
      <w:r>
        <w:rPr>
          <w:b/>
        </w:rPr>
        <w:t>Plus: Schule läuft bis in den Nachmittag</w:t>
      </w:r>
    </w:p>
    <w:p w14:paraId="774B2201" w14:textId="77777777" w:rsidR="001F7233" w:rsidRDefault="00000000">
      <w:r>
        <w:rPr>
          <w:b/>
        </w:rPr>
        <w:t xml:space="preserve">Minus: </w:t>
      </w:r>
      <w:r>
        <w:t>Zusatzkosten für Sport, Materialien und Ausflüge</w:t>
      </w:r>
    </w:p>
    <w:p w14:paraId="18647674" w14:textId="77777777" w:rsidR="001F7233" w:rsidRDefault="00000000">
      <w:r>
        <w:rPr>
          <w:b/>
        </w:rPr>
        <w:t>Plus: Späte Auslese statt früher Trennung nach der Grundschule</w:t>
      </w:r>
    </w:p>
    <w:p w14:paraId="6120FDCE" w14:textId="77777777" w:rsidR="001F7233" w:rsidRDefault="00000000">
      <w:r>
        <w:rPr>
          <w:b/>
        </w:rPr>
        <w:t xml:space="preserve">Minus: </w:t>
      </w:r>
      <w:r>
        <w:t>Pflichttests und GPA ab Grade 9 erzeugen Leistungsdruck</w:t>
      </w:r>
    </w:p>
    <w:p w14:paraId="49B5B47B" w14:textId="77777777" w:rsidR="001F7233" w:rsidRDefault="00000000">
      <w:r>
        <w:rPr>
          <w:b/>
        </w:rPr>
        <w:t>Plus: Viele Schulen sind an Neuzugewanderte gewöhnt (</w:t>
      </w:r>
      <w:hyperlink w:anchor="k37">
        <w:r w:rsidR="001F7233">
          <w:rPr>
            <w:rStyle w:val="Hyperlink"/>
            <w:b/>
          </w:rPr>
          <w:t>Kapitel 37</w:t>
        </w:r>
      </w:hyperlink>
      <w:r>
        <w:rPr>
          <w:b/>
        </w:rPr>
        <w:t>)</w:t>
      </w:r>
    </w:p>
    <w:p w14:paraId="5AD9BB0F" w14:textId="77777777" w:rsidR="001F7233" w:rsidRDefault="00000000">
      <w:r>
        <w:rPr>
          <w:b/>
        </w:rPr>
        <w:t xml:space="preserve">Minus: </w:t>
      </w:r>
      <w:r>
        <w:t>Umzug in Grade 11 oder 12 schwierig; US-Diploma ist nicht das Abitur</w:t>
      </w:r>
    </w:p>
    <w:p w14:paraId="6DEA0943" w14:textId="77777777" w:rsidR="001F7233" w:rsidRDefault="001F7233">
      <w:pPr>
        <w:spacing w:line="180" w:lineRule="exact"/>
      </w:pPr>
    </w:p>
    <w:p w14:paraId="46722E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57D11A2" w14:textId="77777777" w:rsidR="001F7233" w:rsidRDefault="00000000">
      <w:pPr>
        <w:spacing w:after="140"/>
      </w:pPr>
      <w:r>
        <w:t>Kläre zuerst Wohnort und Distrikt, dann Stichtag und Einstufung, sammle die Unterlagen und plane die Anmeldung mit dem Mietvertrag ein. Bei Teenagern sprich früh mit dem Counselor über Credits und Abschluss.</w:t>
      </w:r>
    </w:p>
    <w:p w14:paraId="4A1A278D" w14:textId="77777777" w:rsidR="001F7233" w:rsidRDefault="00000000">
      <w:r>
        <w:t>• Schuldistrikt der Adresse auf der Distrikt-Website prüfen und die Zuordnung schriftlich bestätigen lassen, bevor du unterschreibst.</w:t>
      </w:r>
    </w:p>
    <w:p w14:paraId="686C32CC" w14:textId="77777777" w:rsidR="001F7233" w:rsidRDefault="00000000">
      <w:r>
        <w:lastRenderedPageBreak/>
        <w:t>• Zwei bis drei Distrikte mit Rating, Wachstumswert und Schulbericht vergleichen und mindestens eine Schule besuchen</w:t>
      </w:r>
    </w:p>
    <w:p w14:paraId="19E5AF80" w14:textId="77777777" w:rsidR="001F7233" w:rsidRDefault="00000000">
      <w:r>
        <w:t>• Stichtag und Einstufung des Kindes beim Distrikt klären</w:t>
      </w:r>
    </w:p>
    <w:p w14:paraId="1B8A90DA" w14:textId="77777777" w:rsidR="001F7233" w:rsidRDefault="00000000">
      <w:r>
        <w:t>• Geburtsurkunde, Reisepass, letzte Zeugnisse (mit Übersetzung) und Impfpass ins Handgepäck legen</w:t>
      </w:r>
    </w:p>
    <w:p w14:paraId="2DE3BC62" w14:textId="77777777" w:rsidR="001F7233" w:rsidRDefault="00000000">
      <w:r>
        <w:t>• Impfstatus vor dem Abflug mit dem Kinderarzt und der Liste des Zielstaats abgleichen</w:t>
      </w:r>
    </w:p>
    <w:p w14:paraId="14BED67E" w14:textId="77777777" w:rsidR="001F7233" w:rsidRDefault="00000000">
      <w:r>
        <w:t>• Wohnsitznachweis vorbereiten: Mietvertrag und eine Rechnung mit der neuen Adresse</w:t>
      </w:r>
    </w:p>
    <w:p w14:paraId="78375FE9" w14:textId="77777777" w:rsidR="001F7233" w:rsidRDefault="00000000">
      <w:r>
        <w:t>• Bei Charter- und Magnet-Schulen die Bewerbungsfrist (oft Dezember bis Februar) notieren</w:t>
      </w:r>
    </w:p>
    <w:p w14:paraId="7F675A10" w14:textId="77777777" w:rsidR="001F7233" w:rsidRDefault="00000000">
      <w:r>
        <w:t>• Gutachten und Förderpläne aus Deutschland übersetzen lassen, falls dein Kind Förderbedarf hat</w:t>
      </w:r>
    </w:p>
    <w:p w14:paraId="3AF711B9" w14:textId="77777777" w:rsidR="001F7233" w:rsidRDefault="00000000">
      <w:r>
        <w:t>• Sommerbetreuung und After Care früh anfragen; bei Teenagern Credits mit dem Counselor klären</w:t>
      </w:r>
    </w:p>
    <w:p w14:paraId="336FAE10" w14:textId="77777777" w:rsidR="001F7233" w:rsidRDefault="001F7233">
      <w:pPr>
        <w:spacing w:line="220" w:lineRule="exact"/>
      </w:pPr>
    </w:p>
    <w:p w14:paraId="5E757D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4BEC89" w14:textId="77777777" w:rsidR="001F7233" w:rsidRDefault="00000000">
      <w:pPr>
        <w:pStyle w:val="ListParagraph"/>
        <w:numPr>
          <w:ilvl w:val="0"/>
          <w:numId w:val="1"/>
        </w:numPr>
        <w:spacing w:after="60"/>
      </w:pPr>
      <w:r>
        <w:t>NCES, Bildungsstatistikbehörde — Schüler, Schulfinanzen, Charter-Schulen, Sicherheit (</w:t>
      </w:r>
      <w:hyperlink r:id="rId484">
        <w:r w:rsidR="001F7233">
          <w:rPr>
            <w:color w:val="0563C1"/>
            <w:u w:val="single"/>
          </w:rPr>
          <w:t>nces.ed.gov/fastfacts</w:t>
        </w:r>
      </w:hyperlink>
      <w:r>
        <w:t>)</w:t>
      </w:r>
    </w:p>
    <w:p w14:paraId="67BE2B2B" w14:textId="77777777" w:rsidR="001F7233" w:rsidRDefault="00000000">
      <w:pPr>
        <w:pStyle w:val="ListParagraph"/>
        <w:numPr>
          <w:ilvl w:val="0"/>
          <w:numId w:val="1"/>
        </w:numPr>
        <w:spacing w:after="60"/>
      </w:pPr>
      <w:r>
        <w:t>NCES Digest of Education Statistics — Sicherheitsübungen, Privatschulen (</w:t>
      </w:r>
      <w:hyperlink r:id="rId485">
        <w:r w:rsidR="001F7233">
          <w:rPr>
            <w:color w:val="0563C1"/>
            <w:u w:val="single"/>
          </w:rPr>
          <w:t>nces.ed.gov/programs/digest</w:t>
        </w:r>
      </w:hyperlink>
      <w:r>
        <w:t>)</w:t>
      </w:r>
    </w:p>
    <w:p w14:paraId="058B03F1" w14:textId="77777777" w:rsidR="001F7233" w:rsidRDefault="00000000">
      <w:pPr>
        <w:pStyle w:val="ListParagraph"/>
        <w:numPr>
          <w:ilvl w:val="0"/>
          <w:numId w:val="1"/>
        </w:numPr>
        <w:spacing w:after="60"/>
      </w:pPr>
      <w:r>
        <w:t>Bildungsministerium der USA — Schulrecht, IDEA, Beschwerden beim Office for Civil Rights (</w:t>
      </w:r>
      <w:hyperlink r:id="rId486">
        <w:r w:rsidR="001F7233">
          <w:rPr>
            <w:color w:val="0563C1"/>
            <w:u w:val="single"/>
          </w:rPr>
          <w:t>ed.gov</w:t>
        </w:r>
      </w:hyperlink>
      <w:r>
        <w:t>)</w:t>
      </w:r>
    </w:p>
    <w:p w14:paraId="4122D692" w14:textId="77777777" w:rsidR="001F7233" w:rsidRDefault="00000000">
      <w:pPr>
        <w:pStyle w:val="ListParagraph"/>
        <w:numPr>
          <w:ilvl w:val="0"/>
          <w:numId w:val="1"/>
        </w:numPr>
        <w:spacing w:after="60"/>
      </w:pPr>
      <w:r>
        <w:t>GreatSchools — Methodik der Schulbewertungen (</w:t>
      </w:r>
      <w:hyperlink r:id="rId487">
        <w:r w:rsidR="001F7233">
          <w:rPr>
            <w:color w:val="0563C1"/>
            <w:u w:val="single"/>
          </w:rPr>
          <w:t>greatschools.org/gk/ratings</w:t>
        </w:r>
      </w:hyperlink>
      <w:r>
        <w:t>)</w:t>
      </w:r>
    </w:p>
    <w:p w14:paraId="708E6458" w14:textId="77777777" w:rsidR="001F7233" w:rsidRDefault="00000000">
      <w:pPr>
        <w:pStyle w:val="ListParagraph"/>
        <w:numPr>
          <w:ilvl w:val="0"/>
          <w:numId w:val="1"/>
        </w:numPr>
        <w:spacing w:after="60"/>
      </w:pPr>
      <w:r>
        <w:t>Bildungsbehörde deines Staates — Schulberichte, z. B. für Michigan (</w:t>
      </w:r>
      <w:hyperlink r:id="rId488">
        <w:r w:rsidR="001F7233">
          <w:rPr>
            <w:color w:val="0563C1"/>
            <w:u w:val="single"/>
          </w:rPr>
          <w:t>mischooldata.org</w:t>
        </w:r>
      </w:hyperlink>
      <w:r>
        <w:t>)</w:t>
      </w:r>
    </w:p>
    <w:p w14:paraId="21AC84D9" w14:textId="77777777" w:rsidR="001F7233" w:rsidRDefault="00000000">
      <w:pPr>
        <w:pStyle w:val="ListParagraph"/>
        <w:numPr>
          <w:ilvl w:val="0"/>
          <w:numId w:val="1"/>
        </w:numPr>
        <w:spacing w:after="60"/>
      </w:pPr>
      <w:r>
        <w:t>Zentralstelle für das Auslandsschulwesen — Deutsche Schulen im Ausland (</w:t>
      </w:r>
      <w:hyperlink r:id="rId489">
        <w:r w:rsidR="001F7233">
          <w:rPr>
            <w:color w:val="0563C1"/>
            <w:u w:val="single"/>
          </w:rPr>
          <w:t>auslandsschulwesen.de</w:t>
        </w:r>
      </w:hyperlink>
      <w:r>
        <w:t>)</w:t>
      </w:r>
    </w:p>
    <w:p w14:paraId="72713C7D" w14:textId="77777777" w:rsidR="001F7233" w:rsidRDefault="00000000">
      <w:pPr>
        <w:pStyle w:val="ListParagraph"/>
        <w:numPr>
          <w:ilvl w:val="0"/>
          <w:numId w:val="1"/>
        </w:numPr>
        <w:spacing w:after="60"/>
      </w:pPr>
      <w:r>
        <w:t>College Board — SAT, AP, Studienplanung (</w:t>
      </w:r>
      <w:hyperlink r:id="rId490">
        <w:r w:rsidR="001F7233">
          <w:rPr>
            <w:color w:val="0563C1"/>
            <w:u w:val="single"/>
          </w:rPr>
          <w:t>collegeboard.org</w:t>
        </w:r>
      </w:hyperlink>
      <w:r>
        <w:t>)</w:t>
      </w:r>
    </w:p>
    <w:p w14:paraId="7D2A886F" w14:textId="77777777" w:rsidR="001F7233" w:rsidRDefault="001F7233">
      <w:pPr>
        <w:spacing w:line="120" w:lineRule="exact"/>
      </w:pPr>
    </w:p>
    <w:p w14:paraId="63C1026F" w14:textId="77777777" w:rsidR="001F7233" w:rsidRDefault="00000000">
      <w:r>
        <w:lastRenderedPageBreak/>
        <w:t>• Quellen- und Datenstand: September 2026; Redaktionsschluss: Oktober 2026. Diese Angaben ändern sich schnell: Schulgelder der deutschen Auslandsschulen (Zahlen für 2026–27), Testpflichten der Hochschulen, Gesetzentwürfe zu Plyler v. Doe, Schulwahlprogramme und Sicherheitsstatistiken. Stichtage, Anmeldefristen und Einzugsgebiete legt jeder Distrikt selbst fest; prüfe vor jeder Entscheidung seine Website.</w:t>
      </w:r>
    </w:p>
    <w:p w14:paraId="7E873CC1" w14:textId="77777777" w:rsidR="001F7233" w:rsidRDefault="00000000">
      <w:pPr>
        <w:spacing w:line="220" w:lineRule="exact"/>
      </w:pPr>
      <w:r>
        <w:br w:type="page"/>
      </w:r>
    </w:p>
    <w:p w14:paraId="2532AF8D" w14:textId="77777777" w:rsidR="001F7233" w:rsidRDefault="00000000">
      <w:pPr>
        <w:pStyle w:val="Heading2"/>
        <w:keepNext/>
        <w:spacing w:line="341" w:lineRule="auto"/>
        <w:jc w:val="center"/>
      </w:pPr>
      <w:bookmarkStart w:id="76" w:name="k37"/>
      <w:r>
        <w:rPr>
          <w:rFonts w:ascii="Amazon Ember" w:eastAsia="Amazon Ember" w:hAnsi="Amazon Ember" w:cs="Amazon Ember"/>
          <w:color w:val="0000FF"/>
          <w:sz w:val="36"/>
          <w:szCs w:val="36"/>
        </w:rPr>
        <w:lastRenderedPageBreak/>
        <w:t>Kapitel 37: ESL und Sprache: Englisch lernen und Deutsch bewahren</w:t>
      </w:r>
      <w:bookmarkEnd w:id="76"/>
    </w:p>
    <w:p w14:paraId="24857C61" w14: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w14:paraId="30016C02" w14:textId="77777777" w:rsidR="001F7233" w:rsidRDefault="00000000">
      <w:pPr>
        <w:spacing w:after="140"/>
      </w:pPr>
      <w:r>
        <w:t>Bei der Anmeldung liegt ein Blatt mit wenigen Fragen: Welche Sprache hat dein Kind zuerst gelernt? Welche spricht es zu Hause? Drei Wochen später kommt ein Brief mit dem Titel „English Learner Notification“. Das klingt nach Problem, ist aber Routine: Die Schule bietet Sprachförderung an, und du hast dabei Rechte. Dieses Kapitel erklärt den Ablauf, zeigt, wie Deutsch in der Familie lebendig bleibt und gibt Erwachsenen Werkzeuge für das eigene Englisch.</w:t>
      </w:r>
    </w:p>
    <w:p w14:paraId="4199493D" w14:textId="77777777" w:rsidR="001F7233" w:rsidRDefault="00000000">
      <w:r>
        <w:rPr>
          <w:b/>
        </w:rPr>
        <w:t xml:space="preserve">KURZ GESAGT: </w:t>
      </w:r>
    </w:p>
    <w:p w14:paraId="309B9210" w14:textId="77777777" w:rsidR="001F7233" w:rsidRDefault="00000000">
      <w:r>
        <w:t>• Öffentliche Schulen müssen Kindern mit geringen Englischkenntnissen helfen, unabhängig vom Aufenthaltsstatus. Welches Programm, entscheidet der Distrikt.</w:t>
      </w:r>
    </w:p>
    <w:p w14:paraId="5B3F2EAD" w14:textId="77777777" w:rsidR="001F7233" w:rsidRDefault="00000000">
      <w:r>
        <w:t>• Der Ablauf ist überall ähnlich: Fragebogen, Einstufungstest, Elternbrief, Förderung, Jahrestest, Umstufung.</w:t>
      </w:r>
    </w:p>
    <w:p w14:paraId="21EE8BE6" w14:textId="77777777" w:rsidR="001F7233" w:rsidRDefault="00000000">
      <w:r>
        <w:t>• Umgangssprache sitzt nach ein bis zwei Jahren, Schul- und Fachsprache braucht fünf bis sieben.</w:t>
      </w:r>
    </w:p>
    <w:p w14:paraId="5779C35B" w14:textId="77777777" w:rsidR="001F7233" w:rsidRDefault="00000000">
      <w:r>
        <w:t>• Du darfst das Programm ablehnen; meist ist es klüger, es zu nutzen und nach den Zielen zu fragen.</w:t>
      </w:r>
    </w:p>
    <w:p w14:paraId="75485ADD" w14:textId="77777777" w:rsidR="001F7233" w:rsidRDefault="00000000">
      <w:r>
        <w:t>• Deutsch bleibt nur erhalten, wenn ihr es bewusst pflegt: Familiensprache, Lesen, Samstagsschule oder Immersionsschule.</w:t>
      </w:r>
    </w:p>
    <w:p w14:paraId="73D2C432" w14:textId="77777777" w:rsidR="001F7233" w:rsidRDefault="00000000">
      <w:r>
        <w:t>• Erwachsene finden günstige Kurse in Bibliotheken und Community Colleges. Englischtests brauchst du nur für ein konkretes Ziel.</w:t>
      </w:r>
    </w:p>
    <w:p w14:paraId="77BDB25D" w14:textId="77777777" w:rsidR="001F7233" w:rsidRDefault="001F7233">
      <w:pPr>
        <w:spacing w:line="220" w:lineRule="exact"/>
      </w:pPr>
    </w:p>
    <w:p w14:paraId="437091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Rechtsanspruch: Was die Schule leisten muss</w:t>
      </w:r>
    </w:p>
    <w:p w14:paraId="5099DEA0" w14:textId="77777777" w:rsidR="001F7233" w:rsidRDefault="00000000">
      <w:pPr>
        <w:spacing w:after="140"/>
      </w:pPr>
      <w:r>
        <w:t xml:space="preserve">Kinder ohne ausreichende Englischkenntnisse heißen in den USA </w:t>
      </w:r>
      <w:r>
        <w:rPr>
          <w:i/>
          <w:iCs/>
        </w:rPr>
        <w:t>English Learners</w:t>
      </w:r>
      <w:r>
        <w:t xml:space="preserve"> (ELs), auch </w:t>
      </w:r>
      <w:r>
        <w:rPr>
          <w:i/>
          <w:iCs/>
        </w:rPr>
        <w:t>ELL</w:t>
      </w:r>
      <w:r>
        <w:t xml:space="preserve">, </w:t>
      </w:r>
      <w:r>
        <w:rPr>
          <w:i/>
          <w:iCs/>
        </w:rPr>
        <w:t>ESL</w:t>
      </w:r>
      <w:r>
        <w:t xml:space="preserve"> (</w:t>
      </w:r>
      <w:r>
        <w:rPr>
          <w:i/>
          <w:iCs/>
        </w:rPr>
        <w:t>English as a Second Language</w:t>
      </w:r>
      <w:r>
        <w:t xml:space="preserve">) oder </w:t>
      </w:r>
      <w:r>
        <w:rPr>
          <w:i/>
          <w:iCs/>
        </w:rPr>
        <w:t>ESOL</w:t>
      </w:r>
      <w:r>
        <w:t>. Öffentliche Schulen, Charter-Schulen eingeschlossen (Kapitel </w:t>
      </w:r>
      <w:hyperlink w:anchor="k36">
        <w:r w:rsidR="001F7233">
          <w:t>36</w:t>
        </w:r>
      </w:hyperlink>
      <w:r>
        <w:t>), müssen ihnen helfen, dem Unterricht zu folgen und Englisch zu lernen, unabhängig vom Aufenthaltsstatus. Vier Rechtsgrundlagen tragen den Anspruch:</w:t>
      </w:r>
    </w:p>
    <w:p w14:paraId="39FE7133" w14:textId="77777777" w:rsidR="001F7233" w:rsidRDefault="00000000">
      <w:pPr>
        <w:pStyle w:val="ListParagraph"/>
        <w:numPr>
          <w:ilvl w:val="0"/>
          <w:numId w:val="1"/>
        </w:numPr>
        <w:spacing w:after="60"/>
      </w:pPr>
      <w:r>
        <w:rPr>
          <w:i/>
          <w:iCs/>
        </w:rPr>
        <w:t>Lau v. Nichols</w:t>
      </w:r>
      <w:r>
        <w:t xml:space="preserve"> (Oberster Gerichtshof, 1974): Gleiche Behandlung ohne Sprachhilfe verletzt das Diskriminierungsverbot des Bürgerrechtsgesetzes (Title VI).</w:t>
      </w:r>
    </w:p>
    <w:p w14:paraId="71497988" w14:textId="77777777" w:rsidR="001F7233" w:rsidRDefault="00000000">
      <w:pPr>
        <w:pStyle w:val="ListParagraph"/>
        <w:numPr>
          <w:ilvl w:val="0"/>
          <w:numId w:val="1"/>
        </w:numPr>
        <w:spacing w:after="60"/>
      </w:pPr>
      <w:r>
        <w:rPr>
          <w:i/>
          <w:iCs/>
        </w:rPr>
        <w:t>Equal Educational Opportunities Act</w:t>
      </w:r>
      <w:r>
        <w:t xml:space="preserve"> (EEOA, 1974), § 1703(f): Schulen müssen „geeignete Maßnahmen“ gegen Sprachbarrieren ergreifen.</w:t>
      </w:r>
    </w:p>
    <w:p w14:paraId="2AC8459A" w14:textId="77777777" w:rsidR="001F7233" w:rsidRDefault="00000000">
      <w:pPr>
        <w:pStyle w:val="ListParagraph"/>
        <w:numPr>
          <w:ilvl w:val="0"/>
          <w:numId w:val="1"/>
        </w:numPr>
        <w:spacing w:after="60"/>
      </w:pPr>
      <w:r>
        <w:rPr>
          <w:i/>
          <w:iCs/>
        </w:rPr>
        <w:t>Castañeda v. Pickard</w:t>
      </w:r>
      <w:r>
        <w:t xml:space="preserve"> (Berufungsgericht des 5. Bezirks, 1981): Ein Programm muss auf einer fundierten Theorie beruhen, wirksam umgesetzt und überprüft werden.</w:t>
      </w:r>
    </w:p>
    <w:p w14:paraId="6022EDB3" w14:textId="77777777" w:rsidR="001F7233" w:rsidRDefault="00000000">
      <w:pPr>
        <w:pStyle w:val="ListParagraph"/>
        <w:numPr>
          <w:ilvl w:val="0"/>
          <w:numId w:val="1"/>
        </w:numPr>
        <w:spacing w:after="60"/>
      </w:pPr>
      <w:r>
        <w:rPr>
          <w:i/>
          <w:iCs/>
        </w:rPr>
        <w:t>Every Student Succeeds Act</w:t>
      </w:r>
      <w:r>
        <w:t xml:space="preserve"> (ESSA), Title III: Bundeszuschüsse für Sprachförderung, verbunden mit Pflichten zu Einstufung, Elternbenachrichtigung und Jahrestests.</w:t>
      </w:r>
    </w:p>
    <w:p w14:paraId="3705D42E" w14:textId="77777777" w:rsidR="001F7233" w:rsidRDefault="001F7233">
      <w:pPr>
        <w:spacing w:line="120" w:lineRule="exact"/>
      </w:pPr>
    </w:p>
    <w:p w14:paraId="75A9AE9E" w14:textId="77777777" w:rsidR="001F7233" w:rsidRDefault="00000000">
      <w:pPr>
        <w:spacing w:after="140"/>
      </w:pPr>
      <w:r>
        <w:t>Der Bund schreibt aber kein einheitliches Programm vor: Extra-Unterricht, Klassenzimmerhilfe oder zweisprachiger Unterricht. Das entscheiden Staaten und Distrikte, entsprechend schwankt die Qualität. Private Schulen unterliegen diesen Pflichten meist nicht; Sprachförderung ist dort Verhandlungssache und oft kostenpflichtig.</w:t>
      </w:r>
    </w:p>
    <w:p w14:paraId="099CCF4C" w14:textId="77777777" w:rsidR="001F7233" w:rsidRDefault="00000000">
      <w:pPr>
        <w:spacing w:after="140"/>
      </w:pPr>
      <w:r>
        <w:rPr>
          <w:b/>
          <w:bCs/>
        </w:rPr>
        <w:t xml:space="preserve">Rechtslage 2025/26. Im August 2025 zogen Bildungs- und Justizministerium ihr Leitschreiben von 2015 zurück, das Schulen die EL-Pflichten erläutert hatte. Die Gesetze und Urteile gelten fort. Ein Präsidialerlass (Executive Order 14224) vom 1. März 2025 erklärte Englisch zur Amtssprache des Bundes und </w:t>
      </w:r>
      <w:r>
        <w:rPr>
          <w:b/>
          <w:bCs/>
        </w:rPr>
        <w:lastRenderedPageBreak/>
        <w:t>hob die ältere Anordnung zum Sprachzugang bei Bundesbehörden auf. Bundesbehörden müssen fremdsprachige Angebote aber nicht einstellen.</w:t>
      </w:r>
    </w:p>
    <w:p w14:paraId="5FC95FAA" w14:textId="77777777" w:rsidR="001F7233" w:rsidRDefault="00000000">
      <w:pPr>
        <w:spacing w:after="140"/>
      </w:pPr>
      <w:r>
        <w:rPr>
          <w:i/>
          <w:iCs/>
        </w:rPr>
        <w:t>Unsicher ist vor allem das Geld: Title III ist für 2026 mit 890 Millionen $ ausgestattet, der Regierungsentwurf für 2027 sieht keine Mittel vor, der Kongress entscheidet. Das passende Büro (Office of English Language Acquisition) wurde im Frühjahr 2026 aufgelöst.</w:t>
      </w:r>
    </w:p>
    <w:p w14:paraId="4B67DA6B" w14:textId="77777777" w:rsidR="001F7233" w:rsidRDefault="00000000">
      <w:r>
        <w:rPr>
          <w:b/>
        </w:rPr>
        <w:t xml:space="preserve">MERKE: </w:t>
      </w:r>
    </w:p>
    <w:p w14:paraId="6A3316A8" w14:textId="77777777" w:rsidR="001F7233" w:rsidRDefault="00000000">
      <w:r>
        <w:t>• Der Anspruch deines Kindes beruht auf Gesetzen und Urteilen, nicht auf einem Ministeriumsbrief: Richtlinien und Bundesmittel wechseln, die Pflicht der Schule bleibt. Wie gut sie erfüllt wird, hängt vom Distrikt ab – frage deshalb konkret nach dem Programm.</w:t>
      </w:r>
    </w:p>
    <w:p w14:paraId="44F9186D" w14:textId="77777777" w:rsidR="001F7233" w:rsidRDefault="001F7233">
      <w:pPr>
        <w:spacing w:line="220" w:lineRule="exact"/>
      </w:pPr>
    </w:p>
    <w:p w14:paraId="232AEE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Ablauf: vom Fragebogen zur Umstufung</w:t>
      </w:r>
    </w:p>
    <w:p w14:paraId="411CF86D" w14:textId="77777777" w:rsidR="001F7233" w:rsidRDefault="00000000">
      <w:pPr>
        <w:spacing w:after="140"/>
      </w:pPr>
      <w:r>
        <w:t>Der Weg ist in fast allen Staaten gleich; Namen, Tests und Schwellenwerte unterscheiden sich.</w:t>
      </w:r>
    </w:p>
    <w:p w14:paraId="0F7350E2" w14:textId="77777777" w:rsidR="001F7233" w:rsidRDefault="00000000">
      <w:pPr>
        <w:pStyle w:val="ListParagraph"/>
        <w:numPr>
          <w:ilvl w:val="0"/>
          <w:numId w:val="33"/>
        </w:numPr>
        <w:spacing w:after="60"/>
      </w:pPr>
      <w:r>
        <w:rPr>
          <w:b/>
          <w:bCs/>
        </w:rPr>
        <w:t>Fragebogen.</w:t>
      </w:r>
      <w:r>
        <w:t xml:space="preserve"> Bei der Anmeldung (Kapitel </w:t>
      </w:r>
      <w:hyperlink w:anchor="k36">
        <w:r w:rsidR="001F7233">
          <w:t>36</w:t>
        </w:r>
      </w:hyperlink>
      <w:r>
        <w:t xml:space="preserve">) füllst du den </w:t>
      </w:r>
      <w:r>
        <w:rPr>
          <w:i/>
          <w:iCs/>
        </w:rPr>
        <w:t>Home Language Survey</w:t>
      </w:r>
      <w:r>
        <w:t xml:space="preserve"> aus: Welche Sprache hat das Kind zuerst gelernt, welche spricht es zu Hause, welche sprichst du mit ihm? Steht dort „German“, wird das Kind auf Englisch getestet. Das ist Pflicht und kein Urteil über das Kind.</w:t>
      </w:r>
    </w:p>
    <w:p w14:paraId="55F29510" w14:textId="77777777" w:rsidR="001F7233" w:rsidRDefault="00000000">
      <w:pPr>
        <w:pStyle w:val="ListParagraph"/>
        <w:numPr>
          <w:ilvl w:val="0"/>
          <w:numId w:val="2"/>
        </w:numPr>
        <w:spacing w:after="60"/>
      </w:pPr>
      <w:r>
        <w:rPr>
          <w:b/>
          <w:bCs/>
        </w:rPr>
        <w:t>Einstufungstest. Der Screener, meist in den ersten Schulwochen, ist häufig der WIDA Screener (Hören, Sprechen, Lesen, Schreiben. Ergebnis auf Stufen von 1 bis 6); einige Staaten nutzen eigene Verfahren. Ab welcher Stufe ein Kind als EL gilt, legt der Staat fest.</w:t>
      </w:r>
    </w:p>
    <w:p w14:paraId="564D7209" w14:textId="77777777" w:rsidR="001F7233" w:rsidRDefault="00000000">
      <w:pPr>
        <w:pStyle w:val="ListParagraph"/>
        <w:numPr>
          <w:ilvl w:val="0"/>
          <w:numId w:val="2"/>
        </w:numPr>
        <w:spacing w:after="60"/>
      </w:pPr>
      <w:r>
        <w:rPr>
          <w:b/>
          <w:bCs/>
        </w:rPr>
        <w:t xml:space="preserve">Elternbrief. Die Schule muss dich binnen 30 Tagen nach Schuljahresbeginn schriftlich informieren, bei späterem </w:t>
      </w:r>
      <w:r>
        <w:rPr>
          <w:b/>
          <w:bCs/>
        </w:rPr>
        <w:lastRenderedPageBreak/>
        <w:t>Eintritt binnen zwei Wochen, in verständlicher Form und mit Angaben zu Einstufung und Programm.</w:t>
      </w:r>
    </w:p>
    <w:p w14:paraId="741C9A55" w14:textId="77777777" w:rsidR="001F7233" w:rsidRDefault="00000000">
      <w:pPr>
        <w:pStyle w:val="ListParagraph"/>
        <w:numPr>
          <w:ilvl w:val="0"/>
          <w:numId w:val="2"/>
        </w:numPr>
        <w:spacing w:after="60"/>
      </w:pPr>
      <w:r>
        <w:rPr>
          <w:b/>
          <w:bCs/>
        </w:rPr>
        <w:t>Förderung.</w:t>
      </w:r>
      <w:r>
        <w:t xml:space="preserve"> Das Kind erhält Sprachunterricht nach einem der Modelle unten und Hilfen im Regelunterricht.</w:t>
      </w:r>
    </w:p>
    <w:p w14:paraId="0859B1A2" w14:textId="77777777" w:rsidR="001F7233" w:rsidRDefault="00000000">
      <w:pPr>
        <w:pStyle w:val="ListParagraph"/>
        <w:numPr>
          <w:ilvl w:val="0"/>
          <w:numId w:val="2"/>
        </w:numPr>
        <w:spacing w:after="60"/>
      </w:pPr>
      <w:r>
        <w:rPr>
          <w:b/>
          <w:bCs/>
        </w:rPr>
        <w:t>Jahrestest.</w:t>
      </w:r>
      <w:r>
        <w:t xml:space="preserve"> Einmal im Jahr misst ein Test alle vier Fertigkeiten, meist </w:t>
      </w:r>
      <w:r>
        <w:rPr>
          <w:i/>
          <w:iCs/>
        </w:rPr>
        <w:t>ACCESS for ELLs</w:t>
      </w:r>
      <w:r>
        <w:t xml:space="preserve"> (WIDA) oder </w:t>
      </w:r>
      <w:r>
        <w:rPr>
          <w:i/>
          <w:iCs/>
        </w:rPr>
        <w:t>ELPA21</w:t>
      </w:r>
      <w:r>
        <w:t>.</w:t>
      </w:r>
    </w:p>
    <w:p w14:paraId="740045FA" w14:textId="77777777" w:rsidR="001F7233" w:rsidRDefault="00000000">
      <w:pPr>
        <w:pStyle w:val="ListParagraph"/>
        <w:numPr>
          <w:ilvl w:val="0"/>
          <w:numId w:val="2"/>
        </w:numPr>
        <w:spacing w:after="60"/>
      </w:pPr>
      <w:r>
        <w:rPr>
          <w:b/>
          <w:bCs/>
        </w:rPr>
        <w:t>Umstufung.</w:t>
      </w:r>
      <w:r>
        <w:t xml:space="preserve"> Bei der </w:t>
      </w:r>
      <w:r>
        <w:rPr>
          <w:i/>
          <w:iCs/>
        </w:rPr>
        <w:t>Reclassification</w:t>
      </w:r>
      <w:r>
        <w:t xml:space="preserve"> endet der EL-Status, sobald das Kind den Zielwert seines Staates erreicht. In WIDA-Staaten liegt er oft bei einem Gesamtwert um 4,5 bis 5,0, meist ergänzt um Noten oder ein Lehrerurteil. Danach beobachtet die Schule den Verlauf mehrere Jahre.</w:t>
      </w:r>
    </w:p>
    <w:p w14:paraId="49897584" w14:textId="77777777" w:rsidR="001F7233" w:rsidRDefault="001F7233">
      <w:pPr>
        <w:spacing w:line="120" w:lineRule="exact"/>
      </w:pPr>
    </w:p>
    <w:p w14:paraId="396E1FCC" w14:textId="77777777" w:rsidR="001F7233" w:rsidRDefault="00000000">
      <w:pPr>
        <w:spacing w:after="140"/>
      </w:pPr>
      <w:r>
        <w:t>Deutsche Kinder bringen oft Schulenglisch mit, je nach Bundesland ab Klasse 1 oder 3, im Screener liegen Lesen und Hören dann meist höher als Sprechen und Schreiben. Ein Zeugnis mit Englischnote hilft im Gespräch mit der Lehrkraft, ersetzt den Test aber nicht. Zum Vergleich: In Deutschland kommen Kinder ohne Deutsch oft zunächst in Vorbereitungs- oder Willkommensklassen, in den USA sitzen sie dagegen meist von Anfang an in der Regelklasse mit zusätzlichen Förderstunden.</w:t>
      </w:r>
    </w:p>
    <w:p w14:paraId="50C69C97" w14:textId="77777777" w:rsidR="001F7233" w:rsidRDefault="00000000">
      <w:r>
        <w:rPr>
          <w:b/>
        </w:rPr>
        <w:t xml:space="preserve">ACHTUNG: </w:t>
      </w:r>
    </w:p>
    <w:p w14:paraId="6E7231A2" w14:textId="77777777" w:rsidR="001F7233" w:rsidRDefault="00000000">
      <w:r>
        <w:t>• Beantworte den Home Language Survey wahrheitsgemäß. Die Angabe „English“, um dem Etikett zu entgehen, verhindert die Einstufung, nicht den Förderbedarf: Das Kind müsste dann ohne Hilfe im Unterricht zurechtkommen.</w:t>
      </w:r>
    </w:p>
    <w:p w14:paraId="2DE6F975" w14:textId="77777777" w:rsidR="001F7233" w:rsidRDefault="001F7233">
      <w:pPr>
        <w:spacing w:line="220" w:lineRule="exact"/>
      </w:pPr>
    </w:p>
    <w:p w14:paraId="10FCBC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Programmmodelle im Überblick</w:t>
      </w:r>
    </w:p>
    <w:p w14:paraId="4ADECAAE" w14:textId="77777777" w:rsidR="001F7233" w:rsidRDefault="00000000">
      <w:pPr>
        <w:spacing w:after="140"/>
      </w:pPr>
      <w:r>
        <w:t>Das Angebot hängt davon ab, wie viele Kinder derselben Sprache im Distrikt leben: Für Spanisch, die Erstsprache von gut drei Vierteln aller ELs, gibt es vielerorts zweisprachige Klassen. Deutsch sprechen selten mehr als eine Handvoll Kinder, sie landen meist in den ersten beiden Modellen.</w:t>
      </w:r>
    </w:p>
    <w:p w14:paraId="601257E4" w14:textId="77777777" w:rsidR="001F7233" w:rsidRDefault="00000000">
      <w:r>
        <w:rPr>
          <w:b/>
        </w:rPr>
        <w:lastRenderedPageBreak/>
        <w:t>Pull-out</w:t>
      </w:r>
    </w:p>
    <w:p w14:paraId="3AC2A822" w14:textId="77777777" w:rsidR="001F7233" w:rsidRDefault="00000000">
      <w:r>
        <w:rPr>
          <w:b/>
        </w:rPr>
        <w:t xml:space="preserve">So läuft es: </w:t>
      </w:r>
      <w:r>
        <w:t>Das Kind verlässt die Klasse für Extra-Englisch, meist einige Stunden pro Woche</w:t>
      </w:r>
    </w:p>
    <w:p w14:paraId="58B9062E" w14:textId="77777777" w:rsidR="001F7233" w:rsidRDefault="00000000">
      <w:r>
        <w:rPr>
          <w:b/>
        </w:rPr>
        <w:t xml:space="preserve">Typisch für: </w:t>
      </w:r>
      <w:r>
        <w:t>Grundschule</w:t>
      </w:r>
    </w:p>
    <w:p w14:paraId="4D2EE6C8" w14:textId="77777777" w:rsidR="001F7233" w:rsidRDefault="00000000">
      <w:r>
        <w:rPr>
          <w:b/>
        </w:rPr>
        <w:t xml:space="preserve">Worauf achten: </w:t>
      </w:r>
      <w:r>
        <w:t>Welche Fächer fallen aus?</w:t>
      </w:r>
    </w:p>
    <w:p w14:paraId="1B5858DB" w14:textId="77777777" w:rsidR="001F7233" w:rsidRDefault="00000000">
      <w:r>
        <w:rPr>
          <w:b/>
        </w:rPr>
        <w:t>Push-in</w:t>
      </w:r>
    </w:p>
    <w:p w14:paraId="27558700" w14:textId="77777777" w:rsidR="001F7233" w:rsidRDefault="00000000">
      <w:r>
        <w:rPr>
          <w:b/>
        </w:rPr>
        <w:t xml:space="preserve">So läuft es: </w:t>
      </w:r>
      <w:r>
        <w:t>Die Sprachlehrkraft hilft im Klassenzimmer</w:t>
      </w:r>
    </w:p>
    <w:p w14:paraId="1728E2BE" w14:textId="77777777" w:rsidR="001F7233" w:rsidRDefault="00000000">
      <w:r>
        <w:rPr>
          <w:b/>
        </w:rPr>
        <w:t xml:space="preserve">Typisch für: </w:t>
      </w:r>
      <w:r>
        <w:t>Kindergarten, Grundschule</w:t>
      </w:r>
    </w:p>
    <w:p w14:paraId="168F6167" w14:textId="77777777" w:rsidR="001F7233" w:rsidRDefault="00000000">
      <w:r>
        <w:rPr>
          <w:b/>
        </w:rPr>
        <w:t xml:space="preserve">Worauf achten: </w:t>
      </w:r>
      <w:r>
        <w:t>Wie viel Einzelzeit bleibt?</w:t>
      </w:r>
    </w:p>
    <w:p w14:paraId="15985FBF" w14:textId="77777777" w:rsidR="001F7233" w:rsidRDefault="00000000">
      <w:r>
        <w:rPr>
          <w:b/>
        </w:rPr>
        <w:t>Sheltered Instruction</w:t>
      </w:r>
    </w:p>
    <w:p w14:paraId="119DE620" w14:textId="77777777" w:rsidR="001F7233" w:rsidRDefault="00000000">
      <w:r>
        <w:rPr>
          <w:b/>
        </w:rPr>
        <w:t xml:space="preserve">So läuft es: </w:t>
      </w:r>
      <w:r>
        <w:t>Fachunterricht mit Bildern, Sprachstützen und einfacher Sprache, oft in reinen EL-Klassen</w:t>
      </w:r>
    </w:p>
    <w:p w14:paraId="719214E4" w14:textId="77777777" w:rsidR="001F7233" w:rsidRDefault="00000000">
      <w:r>
        <w:rPr>
          <w:b/>
        </w:rPr>
        <w:t xml:space="preserve">Typisch für: </w:t>
      </w:r>
      <w:r>
        <w:t>Middle und High School</w:t>
      </w:r>
    </w:p>
    <w:p w14:paraId="0C3862AC" w14:textId="77777777" w:rsidR="001F7233" w:rsidRDefault="00000000">
      <w:r>
        <w:rPr>
          <w:b/>
        </w:rPr>
        <w:t xml:space="preserve">Worauf achten: </w:t>
      </w:r>
      <w:r>
        <w:t>Bleibt das Fachniveau erhalten?</w:t>
      </w:r>
    </w:p>
    <w:p w14:paraId="6A2E0D11" w14:textId="77777777" w:rsidR="001F7233" w:rsidRDefault="00000000">
      <w:r>
        <w:rPr>
          <w:b/>
        </w:rPr>
        <w:t>Newcomer-Programm</w:t>
      </w:r>
    </w:p>
    <w:p w14:paraId="03B821F1" w14:textId="77777777" w:rsidR="001F7233" w:rsidRDefault="00000000">
      <w:r>
        <w:rPr>
          <w:b/>
        </w:rPr>
        <w:t xml:space="preserve">So läuft es: </w:t>
      </w:r>
      <w:r>
        <w:t>Intensivklassen für neu Zugewanderte, zeitlich begrenzt</w:t>
      </w:r>
    </w:p>
    <w:p w14:paraId="49FAC915" w14:textId="77777777" w:rsidR="001F7233" w:rsidRDefault="00000000">
      <w:r>
        <w:rPr>
          <w:b/>
        </w:rPr>
        <w:t xml:space="preserve">Typisch für: </w:t>
      </w:r>
      <w:r>
        <w:t>Späte Zuzüge, Jugendliche</w:t>
      </w:r>
    </w:p>
    <w:p w14:paraId="3500FCC0" w14:textId="77777777" w:rsidR="001F7233" w:rsidRDefault="00000000">
      <w:r>
        <w:rPr>
          <w:b/>
        </w:rPr>
        <w:t xml:space="preserve">Worauf achten: </w:t>
      </w:r>
      <w:r>
        <w:t>Nicht überall vorhanden</w:t>
      </w:r>
    </w:p>
    <w:p w14:paraId="01ED2E97" w14:textId="77777777" w:rsidR="001F7233" w:rsidRDefault="00000000">
      <w:r>
        <w:rPr>
          <w:b/>
        </w:rPr>
        <w:t>Transitional Bilingual</w:t>
      </w:r>
    </w:p>
    <w:p w14:paraId="03210C5C" w14:textId="77777777" w:rsidR="001F7233" w:rsidRDefault="00000000">
      <w:r>
        <w:rPr>
          <w:b/>
        </w:rPr>
        <w:t xml:space="preserve">So läuft es: </w:t>
      </w:r>
      <w:r>
        <w:t>Die Erstsprache dient als Brücke, dann Wechsel ins Englische</w:t>
      </w:r>
    </w:p>
    <w:p w14:paraId="25E3CD10" w14:textId="77777777" w:rsidR="001F7233" w:rsidRDefault="00000000">
      <w:r>
        <w:rPr>
          <w:b/>
        </w:rPr>
        <w:t xml:space="preserve">Typisch für: </w:t>
      </w:r>
      <w:r>
        <w:t>Große Sprachgruppen</w:t>
      </w:r>
    </w:p>
    <w:p w14:paraId="2F3EACA9" w14:textId="77777777" w:rsidR="001F7233" w:rsidRDefault="00000000">
      <w:r>
        <w:rPr>
          <w:b/>
        </w:rPr>
        <w:t xml:space="preserve">Worauf achten: </w:t>
      </w:r>
      <w:r>
        <w:t>Für Deutsch kaum angeboten</w:t>
      </w:r>
    </w:p>
    <w:p w14:paraId="12729707" w14:textId="77777777" w:rsidR="001F7233" w:rsidRDefault="00000000">
      <w:r>
        <w:rPr>
          <w:b/>
        </w:rPr>
        <w:t>Dual Language (Two-Way Immersion)</w:t>
      </w:r>
    </w:p>
    <w:p w14:paraId="5118B3E5" w14:textId="77777777" w:rsidR="001F7233" w:rsidRDefault="00000000">
      <w:r>
        <w:rPr>
          <w:b/>
        </w:rPr>
        <w:t xml:space="preserve">So läuft es: </w:t>
      </w:r>
      <w:r>
        <w:t>Unterricht in zwei Sprachen, Kinder beider Sprachgruppen lernen gemeinsam</w:t>
      </w:r>
    </w:p>
    <w:p w14:paraId="3BBA358D" w14:textId="77777777" w:rsidR="001F7233" w:rsidRDefault="00000000">
      <w:r>
        <w:rPr>
          <w:b/>
        </w:rPr>
        <w:t xml:space="preserve">Typisch für: </w:t>
      </w:r>
      <w:r>
        <w:t>Wenige Schulen, oft Charter</w:t>
      </w:r>
    </w:p>
    <w:p w14:paraId="71A5487F" w14:textId="77777777" w:rsidR="001F7233" w:rsidRDefault="00000000">
      <w:r>
        <w:rPr>
          <w:b/>
        </w:rPr>
        <w:t xml:space="preserve">Worauf achten: </w:t>
      </w:r>
      <w:r>
        <w:t>Für Deutsch selten</w:t>
      </w:r>
    </w:p>
    <w:p w14:paraId="6CDB2E04" w14:textId="77777777" w:rsidR="001F7233" w:rsidRDefault="001F7233">
      <w:pPr>
        <w:spacing w:line="180" w:lineRule="exact"/>
      </w:pPr>
    </w:p>
    <w:p w14:paraId="2F812F4A" w14:textId="77777777" w:rsidR="001F7233" w:rsidRDefault="00000000">
      <w:r>
        <w:rPr>
          <w:b/>
        </w:rPr>
        <w:t xml:space="preserve">ACHTUNG: </w:t>
      </w:r>
    </w:p>
    <w:p w14:paraId="09FFE9A7" w14:textId="77777777" w:rsidR="001F7233" w:rsidRDefault="00000000">
      <w:r>
        <w:t>• Frage bei einem Pull-out-Programm, wann der Extra-Unterricht stattfindet. Fällt er regelmäßig auf Kunst, Sport oder Naturwissenschaften, verpasst dein Kind Inhalte und Anschluss an die Klasse. Bitte um einen Stundenplan, der die Kernfächer schont.</w:t>
      </w:r>
    </w:p>
    <w:p w14:paraId="39B34EE3" w14:textId="77777777" w:rsidR="001F7233" w:rsidRDefault="001F7233">
      <w:pPr>
        <w:spacing w:line="220" w:lineRule="exact"/>
      </w:pPr>
    </w:p>
    <w:p w14:paraId="2EE61C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Elternrechte, Dolmetscher, Ablehnen</w:t>
      </w:r>
    </w:p>
    <w:p w14:paraId="4CD3CFA6" w14:textId="77777777" w:rsidR="001F7233" w:rsidRDefault="00000000">
      <w:pPr>
        <w:spacing w:after="140"/>
      </w:pPr>
      <w:r>
        <w:t>Du hast vier Rechte:</w:t>
      </w:r>
    </w:p>
    <w:p w14:paraId="74D20352" w14:textId="77777777" w:rsidR="001F7233" w:rsidRDefault="00000000">
      <w:pPr>
        <w:pStyle w:val="ListParagraph"/>
        <w:numPr>
          <w:ilvl w:val="0"/>
          <w:numId w:val="1"/>
        </w:numPr>
        <w:spacing w:after="60"/>
      </w:pPr>
      <w:r>
        <w:rPr>
          <w:b/>
          <w:bCs/>
        </w:rPr>
        <w:t>Information. Elternbrief, Einstufung, Programm und Fortschritte müssen in einer Form ankommen, die du verstehst. Der Anspruch auf Übersetzung und Dolmetscher folgt aus den Diskriminierungsverboten (Title VI, EEOA). Viele Distrikte bieten Telefondolmetscher an, für Deutsch meist nicht vor Ort. Lass dein Kind nie dolmetschen.</w:t>
      </w:r>
    </w:p>
    <w:p w14:paraId="37D64FD5" w14:textId="77777777" w:rsidR="001F7233" w:rsidRDefault="00000000">
      <w:pPr>
        <w:pStyle w:val="ListParagraph"/>
        <w:numPr>
          <w:ilvl w:val="0"/>
          <w:numId w:val="1"/>
        </w:numPr>
        <w:spacing w:after="60"/>
      </w:pPr>
      <w:r>
        <w:rPr>
          <w:b/>
          <w:bCs/>
        </w:rPr>
        <w:t>Ablehnen.</w:t>
      </w:r>
      <w:r>
        <w:t xml:space="preserve"> Du darfst die Teilnahme am Programm ablehnen (</w:t>
      </w:r>
      <w:r>
        <w:rPr>
          <w:i/>
          <w:iCs/>
        </w:rPr>
        <w:t>Opt-out</w:t>
      </w:r>
      <w:r>
        <w:t>).</w:t>
      </w:r>
    </w:p>
    <w:p w14:paraId="33C17FB6" w14:textId="77777777" w:rsidR="001F7233" w:rsidRDefault="00000000">
      <w:pPr>
        <w:pStyle w:val="ListParagraph"/>
        <w:numPr>
          <w:ilvl w:val="0"/>
          <w:numId w:val="1"/>
        </w:numPr>
        <w:spacing w:after="60"/>
      </w:pPr>
      <w:r>
        <w:rPr>
          <w:b/>
          <w:bCs/>
        </w:rPr>
        <w:t>Fragen.</w:t>
      </w:r>
      <w:r>
        <w:t xml:space="preserve"> Stunden pro Woche, Lehrkraft, Ziele, Umstufungskriterien, Testanpassungen: Du darfst alles erfragen.</w:t>
      </w:r>
    </w:p>
    <w:p w14:paraId="214D4116" w14:textId="77777777" w:rsidR="001F7233" w:rsidRDefault="00000000">
      <w:pPr>
        <w:pStyle w:val="ListParagraph"/>
        <w:numPr>
          <w:ilvl w:val="0"/>
          <w:numId w:val="1"/>
        </w:numPr>
        <w:spacing w:after="60"/>
      </w:pPr>
      <w:r>
        <w:rPr>
          <w:b/>
          <w:bCs/>
        </w:rPr>
        <w:t>Beschwerde. Erste Anlaufstelle ist der EL-Koordinator des Distrikts, dann die Schulbehörde des Staates. Bei Diskriminierung wendest du dich an das Office for Civil Rights des Bildungsministeriums oder an das Justizministerium.</w:t>
      </w:r>
    </w:p>
    <w:p w14:paraId="2BC6A5E9" w14:textId="77777777" w:rsidR="001F7233" w:rsidRDefault="001F7233">
      <w:pPr>
        <w:spacing w:line="120" w:lineRule="exact"/>
      </w:pPr>
    </w:p>
    <w:p w14:paraId="7ED7A8F8" w14:textId="77777777" w:rsidR="001F7233" w:rsidRDefault="00000000">
      <w:r>
        <w:rPr>
          <w:b/>
        </w:rPr>
        <w:t xml:space="preserve">ACHTUNG: </w:t>
      </w:r>
    </w:p>
    <w:p w14:paraId="327A1D51" w14:textId="77777777" w:rsidR="001F7233" w:rsidRDefault="00000000">
      <w:r>
        <w:t>• Ein Opt-out beendet die Förderung, nicht die Pflichten der Schule. Viele Distrikte führen das Kind weiter als EL und testen es jährlich; frage nach. Wer ablehnt, weil das Kind „schon klarkommt“, riskiert späte Lücken in Fach- und Schriftsprache. Sprich vorher mit der EL-Lehrkraft.</w:t>
      </w:r>
    </w:p>
    <w:p w14:paraId="11C38392" w14:textId="77777777" w:rsidR="001F7233" w:rsidRDefault="001F7233">
      <w:pPr>
        <w:spacing w:line="220" w:lineRule="exact"/>
      </w:pPr>
    </w:p>
    <w:p w14:paraId="149B35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Fortschritt und Testregeln</w:t>
      </w:r>
    </w:p>
    <w:p w14:paraId="214E4834" w14:textId="77777777" w:rsidR="001F7233" w:rsidRDefault="00000000">
      <w:pPr>
        <w:spacing w:after="140"/>
      </w:pPr>
      <w:r>
        <w:rPr>
          <w:i/>
          <w:iCs/>
        </w:rPr>
        <w:t xml:space="preserve">Die Sprachforschung unterscheidet zwei Ebenen: Soziale Sprache (Pausenhof, Spielplatz, Alltag) sitzt nach etwa ein bis zwei Jahren, manchmal erst nach drei. Akademische Sprache (Texte verstehen, </w:t>
      </w:r>
      <w:r>
        <w:rPr>
          <w:i/>
          <w:iCs/>
        </w:rPr>
        <w:lastRenderedPageBreak/>
        <w:t>Argumente schreiben, Fachbegriffe in Naturwissenschaften und Geschichte) braucht meist fünf bis sieben Jahre. Diese Faustregel geht auf Forschende wie Jim Cummins und Kenji Hakuta zurück. Sie erklärt, warum ein Kind auf dem Pausenhof glänzt und im Aufsatz noch stolpert.</w:t>
      </w:r>
    </w:p>
    <w:p w14:paraId="5334B3A1" w14:textId="77777777" w:rsidR="001F7233" w:rsidRDefault="00000000">
      <w:r>
        <w:rPr>
          <w:b/>
        </w:rPr>
        <w:t xml:space="preserve">MERKE: </w:t>
      </w:r>
    </w:p>
    <w:p w14:paraId="27DBFEEE" w14:textId="77777777" w:rsidR="001F7233" w:rsidRDefault="00000000">
      <w:r>
        <w:t>• Fließend plaudern heißt nicht „fertig“. Schulsprache, Lesen und Schreiben brauchen oft noch Jahre Unterstützung, auch wenn niemand mehr einen Akzent bemerkt.</w:t>
      </w:r>
    </w:p>
    <w:p w14:paraId="3DCFC954" w14:textId="77777777" w:rsidR="001F7233" w:rsidRDefault="001F7233">
      <w:pPr>
        <w:spacing w:line="220" w:lineRule="exact"/>
      </w:pPr>
    </w:p>
    <w:p w14:paraId="676B5F53" w14:textId="77777777" w:rsidR="001F7233" w:rsidRDefault="00000000">
      <w:pPr>
        <w:spacing w:after="140"/>
      </w:pPr>
      <w:r>
        <w:t>Wie alt das Kind ist, prägt den Verlauf: Kindergartenkinder wie Jonas (5) nehmen Sprache im Spiel auf und sprechen oft nach einigen Monaten in Sätzen, Grundschulkinder wie Lena (9) haben Lesefertigkeit und Schulenglisch als Brücke, verstehen Text- und Sachaufgaben aber zunächst nur teilweise. Am schwersten haben es Jugendliche: viel Text, Fachsprache, dazu Credits und Kurspläne. Wer in Klasse 11 oder 12 zuzieht, klärt Kurswahl und Abschlussanforderungen möglichst vor dem Umzug (Kapitel </w:t>
      </w:r>
      <w:hyperlink w:anchor="k36">
        <w:r w:rsidR="001F7233">
          <w:t>36</w:t>
        </w:r>
      </w:hyperlink>
      <w:r>
        <w:t>).</w:t>
      </w:r>
    </w:p>
    <w:p w14:paraId="1D34DBC1" w14:textId="77777777" w:rsidR="001F7233" w:rsidRDefault="00000000">
      <w:pPr>
        <w:spacing w:after="140"/>
      </w:pPr>
      <w:r>
        <w:t>Bei den Pflichttests (Kapitel </w:t>
      </w:r>
      <w:hyperlink w:anchor="k36">
        <w:r w:rsidR="001F7233">
          <w:t>36</w:t>
        </w:r>
      </w:hyperlink>
      <w:r>
        <w:t>) gelten für ELs Anpassungen und im ersten Jahr Sonderregeln bei der Wertung; Einzelheiten legt der Staat fest.</w:t>
      </w:r>
    </w:p>
    <w:p w14:paraId="0FDF44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emotionale Seite: Schweigephase und Erschöpfung</w:t>
      </w:r>
    </w:p>
    <w:p w14:paraId="035282C5" w14:textId="77777777" w:rsidR="001F7233" w:rsidRDefault="00000000">
      <w:pPr>
        <w:spacing w:after="140"/>
      </w:pPr>
      <w:r>
        <w:rPr>
          <w:i/>
          <w:iCs/>
        </w:rPr>
        <w:t xml:space="preserve">Verbreiteter Irrtum: Wenn ein Kind plötzlich verstummt, muss etwas nicht stimmen. Tatsächlich ist genau das bei vielen Kindern der Anfang: Diese Silent Period dauert Wochen bis mehrere Monate. Das Kind hört zu, versteht mehr, als es zeigt und spricht, sobald es sich sicher fühlt. Dazu kommt Erschöpfung, denn sechs Stunden in einer Fremdsprache sind Schwerarbeit. Manche Kinder kommen gereizt oder still nach Hause, mit geröteten Augen, weil sie einen Scherz auf dem Pausenhof nicht verstanden, aber pflichtschuldig mitgelacht </w:t>
      </w:r>
      <w:r>
        <w:rPr>
          <w:i/>
          <w:iCs/>
        </w:rPr>
        <w:lastRenderedPageBreak/>
        <w:t>haben; andere verweigern plötzlich Deutsch, weil sie nicht auffallen wollen.</w:t>
      </w:r>
    </w:p>
    <w:p w14:paraId="0F6F6482" w14:textId="77777777" w:rsidR="001F7233" w:rsidRDefault="00000000">
      <w:pPr>
        <w:spacing w:after="140"/>
      </w:pPr>
      <w:r>
        <w:t>Was hilft: nicht drängen, ruhige Nachmittage einplanen, Freundschaften fördern (Playdates, Kapitel </w:t>
      </w:r>
      <w:hyperlink w:anchor="k32">
        <w:r w:rsidR="001F7233">
          <w:t>32</w:t>
        </w:r>
      </w:hyperlink>
      <w:r>
        <w:t xml:space="preserve">) und Mut loben statt Fehlerfreiheit. Sprich mit der Lehrkraft und dem </w:t>
      </w:r>
      <w:r>
        <w:rPr>
          <w:i/>
          <w:iCs/>
        </w:rPr>
        <w:t>School Counselor</w:t>
      </w:r>
      <w:r>
        <w:t xml:space="preserve"> (Schulberater), wenn das Schweigen sehr lange anhält, auch zu Hause auftritt oder Angst, Bauchschmerzen und Schulverweigerung dazukommen (mehr in Kapitel </w:t>
      </w:r>
      <w:hyperlink w:anchor="k33">
        <w:r w:rsidR="001F7233">
          <w:t>33</w:t>
        </w:r>
      </w:hyperlink>
      <w:r>
        <w:t>). Bleibt der Fortschritt trotz Förderung aus, kann mehr dahinterstecken als Sprache; dann helfen Abklärung und Sonderförderung (</w:t>
      </w:r>
      <w:r>
        <w:rPr>
          <w:i/>
          <w:iCs/>
        </w:rPr>
        <w:t>IEP</w:t>
      </w:r>
      <w:r>
        <w:t xml:space="preserve">, </w:t>
      </w:r>
      <w:r>
        <w:rPr>
          <w:i/>
          <w:iCs/>
        </w:rPr>
        <w:t>504 Plan</w:t>
      </w:r>
      <w:r>
        <w:t>, Kapitel </w:t>
      </w:r>
      <w:hyperlink w:anchor="k36">
        <w:r w:rsidR="001F7233">
          <w:t>36</w:t>
        </w:r>
      </w:hyperlink>
      <w:r>
        <w:t>).</w:t>
      </w:r>
    </w:p>
    <w:p w14:paraId="3F6F97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Tipps für Eltern</w:t>
      </w:r>
    </w:p>
    <w:p w14:paraId="371DD7BA" w14:textId="77777777" w:rsidR="001F7233" w:rsidRDefault="00000000">
      <w:pPr>
        <w:pStyle w:val="ListParagraph"/>
        <w:numPr>
          <w:ilvl w:val="0"/>
          <w:numId w:val="1"/>
        </w:numPr>
        <w:spacing w:after="60"/>
      </w:pPr>
      <w:r>
        <w:rPr>
          <w:b/>
          <w:bCs/>
        </w:rPr>
        <w:t>Vor dem Umzug:</w:t>
      </w:r>
      <w:r>
        <w:t xml:space="preserve"> Englisch im Familienalltag anschieben: Serien im Original mit englischen Untertiteln, englische Vorlesebücher, Kinder-Podcasts. Perfektion ist unnötig, Neugier genügt.</w:t>
      </w:r>
    </w:p>
    <w:p w14:paraId="0EE9C3C7" w14:textId="77777777" w:rsidR="001F7233" w:rsidRDefault="00000000">
      <w:pPr>
        <w:pStyle w:val="ListParagraph"/>
        <w:numPr>
          <w:ilvl w:val="0"/>
          <w:numId w:val="1"/>
        </w:numPr>
        <w:spacing w:after="60"/>
      </w:pPr>
      <w:r>
        <w:rPr>
          <w:b/>
          <w:bCs/>
        </w:rPr>
        <w:t>Gespräch in den ersten zwei Wochen:</w:t>
      </w:r>
      <w:r>
        <w:t xml:space="preserve"> Bitte die EL-Lehrkraft um einen Termin. Frage: „How many minutes per week will my child get? What are the exit criteria, and how will I hear about progress?“</w:t>
      </w:r>
    </w:p>
    <w:p w14:paraId="39086E87" w14:textId="77777777" w:rsidR="001F7233" w:rsidRDefault="00000000">
      <w:pPr>
        <w:pStyle w:val="ListParagraph"/>
        <w:numPr>
          <w:ilvl w:val="0"/>
          <w:numId w:val="1"/>
        </w:numPr>
        <w:spacing w:after="60"/>
      </w:pPr>
      <w:r>
        <w:rPr>
          <w:b/>
          <w:bCs/>
        </w:rPr>
        <w:t>Erstsprache stärken: Verbreiteter Irrtum: Zu Hause konsequent Englisch zu sprechen, beschleunige den Übergang. Tatsächlich lernen Kinder mit gefestigter Erstsprache die Zweitsprache meist nicht langsamer, denn Lesen und Wortschatz übertragen sich. „Zu Hause nur noch Englisch” ist deshalb kein guter Rat.</w:t>
      </w:r>
    </w:p>
    <w:p w14:paraId="13850497" w14:textId="77777777" w:rsidR="001F7233" w:rsidRDefault="00000000">
      <w:pPr>
        <w:pStyle w:val="ListParagraph"/>
        <w:numPr>
          <w:ilvl w:val="0"/>
          <w:numId w:val="1"/>
        </w:numPr>
        <w:spacing w:after="60"/>
      </w:pPr>
      <w:r>
        <w:rPr>
          <w:b/>
          <w:bCs/>
        </w:rPr>
        <w:t>Bibliothek nutzen:</w:t>
      </w:r>
      <w:r>
        <w:t xml:space="preserve"> Karte, Vorlesestunden (</w:t>
      </w:r>
      <w:r>
        <w:rPr>
          <w:i/>
          <w:iCs/>
        </w:rPr>
        <w:t>Story Time</w:t>
      </w:r>
      <w:r>
        <w:t>), Sommerleseprogramme (</w:t>
      </w:r>
      <w:r>
        <w:rPr>
          <w:i/>
          <w:iCs/>
        </w:rPr>
        <w:t>Summer Reading</w:t>
      </w:r>
      <w:r>
        <w:t>) und oft Hausaufgabenhilfe.</w:t>
      </w:r>
    </w:p>
    <w:p w14:paraId="710DDCA2" w14:textId="77777777" w:rsidR="001F7233" w:rsidRDefault="00000000">
      <w:pPr>
        <w:pStyle w:val="ListParagraph"/>
        <w:numPr>
          <w:ilvl w:val="0"/>
          <w:numId w:val="1"/>
        </w:numPr>
        <w:spacing w:after="60"/>
      </w:pPr>
      <w:r>
        <w:rPr>
          <w:b/>
          <w:bCs/>
        </w:rPr>
        <w:t xml:space="preserve">Schulwörter: In Elternbriefen stehen Permission Slip (Einverständniserklärung), Field Trip (Klassenausflug), Report Card (Zeugnis), Parent-Teacher Conference (Elternsprechtag), Early Dismissal (früherer </w:t>
      </w:r>
      <w:r>
        <w:rPr>
          <w:b/>
          <w:bCs/>
        </w:rPr>
        <w:lastRenderedPageBreak/>
        <w:t>Unterrichtsschluss) und Back-to-School Night (Elternabend zum Schuljahresbeginn).</w:t>
      </w:r>
    </w:p>
    <w:p w14:paraId="3BD63381" w14:textId="77777777" w:rsidR="001F7233" w:rsidRDefault="001F7233">
      <w:pPr>
        <w:spacing w:line="120" w:lineRule="exact"/>
      </w:pPr>
    </w:p>
    <w:p w14:paraId="2382B10F" w14:textId="77777777" w:rsidR="001F7233" w:rsidRDefault="001F7233">
      <w:pPr>
        <w:spacing w:line="220" w:lineRule="exact"/>
      </w:pPr>
    </w:p>
    <w:p w14:paraId="67CF54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17D975FC" w14:textId="77777777" w:rsidR="001F7233" w:rsidRDefault="00000000">
      <w:pPr>
        <w:spacing w:after="140"/>
      </w:pPr>
      <w:r>
        <w:t>Vor dem Umzug hilft altersgerechtes Einhören mehr als Vokabellisten: Kleinkinder (2–5) gewöhnen sich gut an „Sesame Street“ oder „Daniel Tiger’s Neighborhood“ (beide amerikanisch, PBS), dazu einfache Bilderbücher wie „The Very Hungry Caterpillar“. Grundschulkinder (6–9) wachsen mit „Paw Patrol“ und ersten Kapitelbüchern wie „Diary of a Wimpy Kid“ in eigenständige Lektüre. Für die Mittelstufe (10–13) eignen sich „Percy Jackson“-Bücher und „Wonder“, Teenager (14–17) kommen mit „Stranger Things“ (Netflix, sehr amerikanischer Jugendslang der 1980er-Referenzwelt) und aktueller Young-Adult-Literatur (etwa John Green) näher an das heran, was sie in der neuen Schule tatsächlich hören.</w:t>
      </w:r>
    </w:p>
    <w:p w14:paraId="0C8FFB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Familie, Lesen, Ferien</w:t>
      </w:r>
    </w:p>
    <w:p w14:paraId="0AB1E9C7" w14:textId="77777777" w:rsidR="001F7233" w:rsidRDefault="00000000">
      <w:r>
        <w:t xml:space="preserve">Deutsches Fernsehen im Ausland läuft am einfachsten über die offiziellen Mediatheken und Apps von ARD und ZDF. Welche Sendung verfügbar ist, hängt von den Auslandsrechten ab: In der ARD Mediathek sind einzelne Videos und Livestreams gesperrt. Das ZDF bietet seine 24/7-Livestreams meist nur in Deutschland, listet aber einzelne Auslandsstreams unter „Live-TV“. DW veröffentlicht deutschsprachige Videos und Audioangebote online. Prüfe die Verfügbarkeit der konkreten Sendung am Zielort, statt einen deutschen Sendervertrag oder eine VPN-Lösung vorauszusetzen. Auf dem Fernseher funktionieren Smart-TV-App, Streaming-Stick oder </w:t>
      </w:r>
      <w:r>
        <w:lastRenderedPageBreak/>
        <w:t>AirPlay/Chromecast, sofern die App das zulässt. Bluetooth überträgt meist nur den Ton. Ein lokaler Kabel- oder IPTV-Anbieter kann deutsche Sender als Paket anbieten: Senderliste, App-Verfügbarkeit, Preis und Vertragslaufzeit vorher vergleichen. Links: ardmediathek.de; zdf.de/fragen-und-antworten-zdf-streaming-100; dw.com/de. Für deutsches Radio, etwa BR1 und BR3, siehe den Abschnitt zu Radio und Smartphone. Ergänzend helfen offizielle YouTube-Kanäle von Sendern, Museen, Bibliotheken, Schulen und lokalen Behörden: kurze Beiträge zeigen Akzente, Alltag und Humor, Untertitel und geringere Wiedergabegeschwindigkeit machen das Mitlernen leichter. Wähle Inhalte, die dir wirklich Spaß machen und vereinbare etwa drei feste Sehzeiten pro Woche statt endlos nebenbei zu scrollen. Videos zu Visum, Steuern, Medizin oder Einwanderungsrecht sind ein Einstieg, keine aktuelle Rechtsquelle. Prüfe den konkreten Rat bei der passenden Behörde. Deutsche Filme und Unterhaltung auf Netflix, Prime Video oder anderen Diensten hängen vom Katalog des jeweiligen Landes ab. Suche nach dem Titel in der lokalen App, bevor du ein Abo abschließt. Ein deutsches Konto garantiert nicht denselben Katalog im Ausland.</w:t>
      </w:r>
    </w:p>
    <w:p w14:paraId="66622872" w14:textId="77777777" w:rsidR="001F7233" w:rsidRDefault="00000000">
      <w:pPr>
        <w:spacing w:after="140"/>
      </w:pPr>
      <w:r>
        <w:t>Zweisprachigkeit ergibt sich nicht von selbst: Kinder im US-Schulalltag wechseln oft innerhalb von ein bis zwei Jahren ins Englische, auch mit Eltern und Geschwistern. Die Umgebung ist stärker als der Küchentisch. Wer Deutsch samt Lesen und Schreiben erhalten will, braucht einen Plan.</w:t>
      </w:r>
    </w:p>
    <w:p w14:paraId="5EB67D3F" w14:textId="77777777" w:rsidR="001F7233" w:rsidRDefault="00000000">
      <w:pPr>
        <w:pStyle w:val="ListParagraph"/>
        <w:numPr>
          <w:ilvl w:val="0"/>
          <w:numId w:val="1"/>
        </w:numPr>
        <w:spacing w:after="60"/>
      </w:pPr>
      <w:r>
        <w:rPr>
          <w:b/>
          <w:bCs/>
        </w:rPr>
        <w:t>Familienregel.</w:t>
      </w:r>
      <w:r>
        <w:t xml:space="preserve"> Zu Hause gilt Deutsch. Bei gemischtsprachigen Paaren bewährt sich </w:t>
      </w:r>
      <w:r>
        <w:rPr>
          <w:i/>
          <w:iCs/>
        </w:rPr>
        <w:t>One Parent, One Language</w:t>
      </w:r>
      <w:r>
        <w:t>: Jeder Elternteil bleibt konsequent bei seiner Sprache. Für Gäste gibt es Ausnahmen, damit niemand ausgeschlossen wird.</w:t>
      </w:r>
    </w:p>
    <w:p w14:paraId="19EFBFF1" w14:textId="77777777" w:rsidR="001F7233" w:rsidRDefault="00000000">
      <w:pPr>
        <w:pStyle w:val="ListParagraph"/>
        <w:numPr>
          <w:ilvl w:val="0"/>
          <w:numId w:val="1"/>
        </w:numPr>
        <w:spacing w:after="60"/>
      </w:pPr>
      <w:r>
        <w:rPr>
          <w:b/>
          <w:bCs/>
        </w:rPr>
        <w:t>Antwortet das Kind auf Englisch,</w:t>
      </w:r>
      <w:r>
        <w:t xml:space="preserve"> wiederhole den Satz auf Deutsch, ohne zu tadeln. Sprachmischung ist normal und kein Zeichen von Verwirrung.</w:t>
      </w:r>
    </w:p>
    <w:p w14:paraId="1DA3432A" w14:textId="77777777" w:rsidR="001F7233" w:rsidRDefault="00000000">
      <w:pPr>
        <w:pStyle w:val="ListParagraph"/>
        <w:numPr>
          <w:ilvl w:val="0"/>
          <w:numId w:val="1"/>
        </w:numPr>
        <w:spacing w:after="60"/>
      </w:pPr>
      <w:r>
        <w:rPr>
          <w:b/>
          <w:bCs/>
        </w:rPr>
        <w:t xml:space="preserve">Lesen. Gesprochenes Deutsch bleibt oft erhalten, Schriftdeutsch nicht. Als Richtgröße helfen 15 bis 20 Minuten Vorlesen oder Lesen am Tag. Bücher kommen </w:t>
      </w:r>
      <w:r>
        <w:rPr>
          <w:b/>
          <w:bCs/>
        </w:rPr>
        <w:lastRenderedPageBreak/>
        <w:t>per Paket aus Deutschland (Porto einplanen), als E-Book oder Hörbuch. Manche Bibliotheken besorgen sie per Fernleihe (Interlibrary Loan). Viele Mediatheken sperren Inhalte im Ausland, teste vor einem Abo.</w:t>
      </w:r>
    </w:p>
    <w:p w14:paraId="1B546818" w14:textId="77777777" w:rsidR="001F7233" w:rsidRDefault="00000000">
      <w:pPr>
        <w:pStyle w:val="ListParagraph"/>
        <w:numPr>
          <w:ilvl w:val="0"/>
          <w:numId w:val="1"/>
        </w:numPr>
        <w:spacing w:after="60"/>
      </w:pPr>
      <w:r>
        <w:rPr>
          <w:b/>
          <w:bCs/>
        </w:rPr>
        <w:t>Kontakt.</w:t>
      </w:r>
      <w:r>
        <w:t xml:space="preserve"> Videoanrufe mit den Großeltern, Postkarten und Nachrichten an Verwandte (das übt das Schreiben), Ferienwochen in Deutschland: Die US-Sommerferien dauern etwa zehn bis zwölf Wochen, genug Zeit für einen langen Aufenthalt bei den Großeltern.</w:t>
      </w:r>
    </w:p>
    <w:p w14:paraId="102A1F4A" w14:textId="77777777" w:rsidR="001F7233" w:rsidRDefault="001F7233">
      <w:pPr>
        <w:spacing w:line="120" w:lineRule="exact"/>
      </w:pPr>
    </w:p>
    <w:p w14:paraId="3AFF00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und Nachweise</w:t>
      </w:r>
    </w:p>
    <w:p w14:paraId="63CA89F3" w14:textId="77777777" w:rsidR="001F7233" w:rsidRDefault="00000000">
      <w:pPr>
        <w:spacing w:after="140"/>
      </w:pPr>
      <w:r>
        <w:rPr>
          <w:b/>
          <w:bCs/>
        </w:rPr>
        <w:t>Samstagsschulen</w:t>
      </w:r>
      <w:r>
        <w:t xml:space="preserve"> sind meist gemeinnützige Vereine oder Elterninitiativen. Sie unterrichten meist an rund 30 Samstagen im Jahr etwa drei Stunden, von der Vorschule bis zur Oberstufe, teils auch Erwachsene; einige bereiten auf das </w:t>
      </w:r>
      <w:r>
        <w:rPr>
          <w:i/>
          <w:iCs/>
        </w:rPr>
        <w:t>Deutsche Sprachdiplom</w:t>
      </w:r>
      <w:r>
        <w:t xml:space="preserve"> (DSD I und II) vor. Beispiele sind die Saturday School der German International School of Silicon Valley (GISSV), die German Saturday School Boston, die German School of Connecticut, die German School of Atlanta, Schulen in Houston und Austin, die German American School Association in Südkalifornien und die German School Phoenix in Tempe. Ob es in deiner Nähe eine gibt, kann bei der Ortswahl mitzählen (Kapitel </w:t>
      </w:r>
      <w:hyperlink w:anchor="k12">
        <w:r w:rsidR="001F7233">
          <w:t>12</w:t>
        </w:r>
      </w:hyperlink>
      <w:r>
        <w:t>).</w:t>
      </w:r>
    </w:p>
    <w:p w14:paraId="6C1B0E95" w14:textId="77777777" w:rsidR="001F7233" w:rsidRDefault="00000000">
      <w:pPr>
        <w:spacing w:after="140"/>
      </w:pPr>
      <w:r>
        <w:rPr>
          <w:b/>
          <w:bCs/>
        </w:rPr>
        <w:t>Immersionsschulen</w:t>
      </w:r>
      <w:r>
        <w:t xml:space="preserve"> sind die Ausnahme: Die </w:t>
      </w:r>
      <w:r>
        <w:rPr>
          <w:i/>
          <w:iCs/>
        </w:rPr>
        <w:t>Twin Cities German Immersion School</w:t>
      </w:r>
      <w:r>
        <w:t xml:space="preserve"> in St. Paul (Minnesota) ist eine öffentliche, kostenlose Charter-Schule von Kindergarten bis Klasse 8 mit überwiegend deutschem Unterricht und Unterstützung für Kinder ohne Deutsch, ebenso die </w:t>
      </w:r>
      <w:r>
        <w:rPr>
          <w:i/>
          <w:iCs/>
        </w:rPr>
        <w:t>Milwaukee German Immersion School</w:t>
      </w:r>
      <w:r>
        <w:t xml:space="preserve">. Charter-Plätze werden oft verlost, Fristen liegen häufig zwischen Dezember und Februar. Am anderen Ende stehen die Deutschen Auslandsschulen mit Abschluss DIA und US-Diploma; sie kosten je </w:t>
      </w:r>
      <w:r>
        <w:lastRenderedPageBreak/>
        <w:t>nach Schule und Klasse grob 27.000–36.000 $ pro Jahr (Schuljahr 2026/27, Kapitel </w:t>
      </w:r>
      <w:hyperlink w:anchor="k36">
        <w:r w:rsidR="001F7233">
          <w:t>36</w:t>
        </w:r>
      </w:hyperlink>
      <w:r>
        <w:t>).</w:t>
      </w:r>
    </w:p>
    <w:p w14:paraId="650B6C21" w14:textId="77777777" w:rsidR="001F7233" w:rsidRDefault="00000000">
      <w:pPr>
        <w:spacing w:after="140"/>
      </w:pPr>
      <w:r>
        <w:rPr>
          <w:b/>
          <w:bCs/>
        </w:rPr>
        <w:t>Nachweise.</w:t>
      </w:r>
      <w:r>
        <w:t xml:space="preserve"> Das </w:t>
      </w:r>
      <w:r>
        <w:rPr>
          <w:i/>
          <w:iCs/>
        </w:rPr>
        <w:t>Seal of Biliteracy</w:t>
      </w:r>
      <w:r>
        <w:t xml:space="preserve"> (Siegel für Zweisprachigkeit) gibt es laut Anbieterseiten in allen 50 Staaten und in Washington, D.C.; wer bei Schulabschluss zwei Sprachen nachweist, erhält einen Vermerk auf Zeugnis oder Diplom (Kriterien je Staat). Das DSD ist eine Prüfung der Kultusministerkonferenz für Deutsch als Fremdsprache. Die Goethe-Zertifikate (A1 bis C2) legst du beim Goethe-Institut ab, das laut eigener Seite Standorte in Boston, Chicago, Los Angeles, New York, San Francisco und Washington hat. Für das Studium in Deutschland siehe Kapitel </w:t>
      </w:r>
      <w:hyperlink w:anchor="k38">
        <w:r w:rsidR="001F7233">
          <w:t>38</w:t>
        </w:r>
      </w:hyperlink>
      <w:r>
        <w:t>, für eine Rückkehr Kapitel </w:t>
      </w:r>
      <w:hyperlink w:anchor="k42">
        <w:r w:rsidR="001F7233">
          <w:t>42</w:t>
        </w:r>
      </w:hyperlink>
      <w:r>
        <w:t>.</w:t>
      </w:r>
    </w:p>
    <w:p w14:paraId="02400D87" w14:textId="77777777" w:rsidR="001F7233" w:rsidRDefault="001F7233">
      <w:pPr>
        <w:spacing w:line="220" w:lineRule="exact"/>
      </w:pPr>
    </w:p>
    <w:p w14:paraId="6E5397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ESL und Sprache: Englisch lernen und Deutsch bewahren</w:t>
      </w:r>
    </w:p>
    <w:p w14:paraId="17F5A606" w14:textId="77777777" w:rsidR="001F7233" w:rsidRDefault="00000000">
      <w:r>
        <w:rPr>
          <w:b/>
        </w:rPr>
        <w:t>Plus: Kinder sprechen mit Großeltern, Verwandten und Freunden in Deutschland</w:t>
      </w:r>
    </w:p>
    <w:p w14:paraId="45EEE927" w14:textId="77777777" w:rsidR="001F7233" w:rsidRDefault="00000000">
      <w:r>
        <w:rPr>
          <w:b/>
        </w:rPr>
        <w:t xml:space="preserve">Minus: </w:t>
      </w:r>
      <w:r>
        <w:t>Jahre konsequenter Elternarbeit; Nachlassen fällt erst spät auf</w:t>
      </w:r>
    </w:p>
    <w:p w14:paraId="7973671D" w14:textId="77777777" w:rsidR="001F7233" w:rsidRDefault="00000000">
      <w:r>
        <w:rPr>
          <w:b/>
        </w:rPr>
        <w:t>Plus: Rückkehr, Studium oder Arbeit in Deutschland bleiben offen</w:t>
      </w:r>
    </w:p>
    <w:p w14:paraId="5B47BD98" w14:textId="77777777" w:rsidR="001F7233" w:rsidRDefault="00000000">
      <w:r>
        <w:rPr>
          <w:b/>
        </w:rPr>
        <w:t xml:space="preserve">Minus: </w:t>
      </w:r>
      <w:r>
        <w:t>Deutsche Schriftsprache bleibt meist hinter dem Englischen zurück</w:t>
      </w:r>
    </w:p>
    <w:p w14:paraId="6A414602" w14:textId="77777777" w:rsidR="001F7233" w:rsidRDefault="00000000">
      <w:r>
        <w:rPr>
          <w:b/>
        </w:rPr>
        <w:t>Plus: Seal of Biliteracy, DSD oder Goethe-Zertifikat stärken Bewerbungen</w:t>
      </w:r>
    </w:p>
    <w:p w14:paraId="6527BA1A" w14:textId="77777777" w:rsidR="001F7233" w:rsidRDefault="00000000">
      <w:r>
        <w:rPr>
          <w:b/>
        </w:rPr>
        <w:t xml:space="preserve">Minus: </w:t>
      </w:r>
      <w:r>
        <w:t>Samstagsschule kostet Wochenenden, Fahrzeit und Geld</w:t>
      </w:r>
    </w:p>
    <w:p w14:paraId="401B6F8E" w14:textId="77777777" w:rsidR="001F7233" w:rsidRDefault="00000000">
      <w:r>
        <w:rPr>
          <w:b/>
        </w:rPr>
        <w:t>Plus: Immersionsschulen sind kostenlos, wo es sie gibt</w:t>
      </w:r>
    </w:p>
    <w:p w14:paraId="77937AF1" w14:textId="77777777" w:rsidR="001F7233" w:rsidRDefault="00000000">
      <w:r>
        <w:rPr>
          <w:b/>
        </w:rPr>
        <w:t xml:space="preserve">Minus: </w:t>
      </w:r>
      <w:r>
        <w:t>Solche Schulen gibt es nur an wenigen Orten; Plätze werden oft verlost</w:t>
      </w:r>
    </w:p>
    <w:p w14:paraId="6FE06004" w14:textId="77777777" w:rsidR="001F7233" w:rsidRDefault="00000000">
      <w:r>
        <w:rPr>
          <w:b/>
        </w:rPr>
        <w:t>Plus: Wer zwei Sprachen beherrscht, lernt weitere oft leichter</w:t>
      </w:r>
    </w:p>
    <w:p w14:paraId="0DD06C06" w14:textId="77777777" w:rsidR="001F7233" w:rsidRDefault="00000000">
      <w:r>
        <w:rPr>
          <w:b/>
        </w:rPr>
        <w:t xml:space="preserve">Minus: </w:t>
      </w:r>
      <w:r>
        <w:t>Jugendliche wehren sich, wenn Deutsch als peinlich gilt</w:t>
      </w:r>
    </w:p>
    <w:p w14:paraId="0FCCCB52" w14:textId="77777777" w:rsidR="001F7233" w:rsidRDefault="001F7233">
      <w:pPr>
        <w:spacing w:line="180" w:lineRule="exact"/>
      </w:pPr>
    </w:p>
    <w:p w14:paraId="3EA0B1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Erwachsene: Englisch verbessern</w:t>
      </w:r>
    </w:p>
    <w:p w14:paraId="35C840DF" w14:textId="77777777" w:rsidR="001F7233" w:rsidRDefault="00000000">
      <w:pPr>
        <w:spacing w:after="140"/>
      </w:pPr>
      <w:r>
        <w:t>Wer auf Englisch studiert oder gearbeitet hat, kommt im Alltag meist zurecht und stolpert an Details: schnelle Meetings, Telefonate mit Versicherungen (Kapitel </w:t>
      </w:r>
      <w:hyperlink w:anchor="k25">
        <w:r w:rsidR="001F7233">
          <w:t>25</w:t>
        </w:r>
      </w:hyperlink>
      <w:r>
        <w:t>), Small Talk, formelle E-Mails. Für H-1B, L-1 und die arbeitsgestützte Green Card verlangt die Einwanderungsbehörde keinen Englischtest; einen gibt es erst bei der Einbürgerung (Kapitel </w:t>
      </w:r>
      <w:hyperlink w:anchor="k41">
        <w:r w:rsidR="001F7233">
          <w:t>41</w:t>
        </w:r>
      </w:hyperlink>
      <w:r>
        <w:t>).</w:t>
      </w:r>
    </w:p>
    <w:p w14:paraId="5E6D6BE6" w14:textId="77777777" w:rsidR="001F7233" w:rsidRDefault="00000000">
      <w:pPr>
        <w:pStyle w:val="ListParagraph"/>
        <w:numPr>
          <w:ilvl w:val="0"/>
          <w:numId w:val="1"/>
        </w:numPr>
        <w:spacing w:after="60"/>
      </w:pPr>
      <w:r>
        <w:rPr>
          <w:b/>
          <w:bCs/>
        </w:rPr>
        <w:t>Bibliothek.</w:t>
      </w:r>
      <w:r>
        <w:t xml:space="preserve"> Die Karte ist für Einwohner meist kostenlos, ein Wohnsitznachweis genügt; viele Bibliotheken bieten Gesprächsrunden (</w:t>
      </w:r>
      <w:r>
        <w:rPr>
          <w:i/>
          <w:iCs/>
        </w:rPr>
        <w:t>Conversation Circles</w:t>
      </w:r>
      <w:r>
        <w:t>), Buchclubs und ESL-Kurse an; Termine stehen auf der Website (Kapitel </w:t>
      </w:r>
      <w:hyperlink w:anchor="k32">
        <w:r w:rsidR="001F7233">
          <w:t>32</w:t>
        </w:r>
      </w:hyperlink>
      <w:r>
        <w:t>).</w:t>
      </w:r>
    </w:p>
    <w:p w14:paraId="26D13BEF" w14:textId="77777777" w:rsidR="001F7233" w:rsidRDefault="00000000">
      <w:pPr>
        <w:pStyle w:val="ListParagraph"/>
        <w:numPr>
          <w:ilvl w:val="0"/>
          <w:numId w:val="1"/>
        </w:numPr>
        <w:spacing w:after="60"/>
      </w:pPr>
      <w:r>
        <w:rPr>
          <w:b/>
          <w:bCs/>
        </w:rPr>
        <w:t>Community College.</w:t>
      </w:r>
      <w:r>
        <w:t xml:space="preserve"> Das ist eine Mischung aus Volkshochschule und Fachschule: Die bundesgeförderte Erwachsenenbildung (WIOA Title II) bietet dort oft kostenlose oder sehr günstige ESL-Kurse ohne Abschluss an, ein Einstufungstest vor Ort zeigt, ob und auf welchem Niveau du teilnehmen kannst. Für Fortgeschrittene passen eher Kurse mit Kreditpunkten wie </w:t>
      </w:r>
      <w:r>
        <w:rPr>
          <w:i/>
          <w:iCs/>
        </w:rPr>
        <w:t>Public Speaking</w:t>
      </w:r>
      <w:r>
        <w:t xml:space="preserve"> oder </w:t>
      </w:r>
      <w:r>
        <w:rPr>
          <w:i/>
          <w:iCs/>
        </w:rPr>
        <w:t>Business Writing</w:t>
      </w:r>
      <w:r>
        <w:t>. Die Studiengebühren liegen im Einzugsgebiet bei durchschnittlich rund 4.150 $ pro Jahr (2025/26, Vollzeit), ein einzelner Kurs entsprechend weniger. Auch Partner ohne Arbeitserlaubnis dürfen sich meist einschreiben (Kapitel </w:t>
      </w:r>
      <w:hyperlink w:anchor="k10">
        <w:r w:rsidR="001F7233">
          <w:t>10</w:t>
        </w:r>
      </w:hyperlink>
      <w:r>
        <w:t>).</w:t>
      </w:r>
    </w:p>
    <w:p w14:paraId="43F51072" w14:textId="77777777" w:rsidR="001F7233" w:rsidRDefault="00000000">
      <w:pPr>
        <w:pStyle w:val="ListParagraph"/>
        <w:numPr>
          <w:ilvl w:val="0"/>
          <w:numId w:val="1"/>
        </w:numPr>
        <w:spacing w:after="60"/>
      </w:pPr>
      <w:r>
        <w:rPr>
          <w:b/>
          <w:bCs/>
        </w:rPr>
        <w:t>Sprechen üben.</w:t>
      </w:r>
      <w:r>
        <w:t xml:space="preserve"> Toastmasters, Sprachtandems und Meetup-Treffs (Kapitel </w:t>
      </w:r>
      <w:hyperlink w:anchor="k32">
        <w:r w:rsidR="001F7233">
          <w:t>32</w:t>
        </w:r>
      </w:hyperlink>
      <w:r>
        <w:t>) trainieren freies Sprechen; frage außerdem die Personalabteilung nach Kommunikationstrainings oder einem Weiterbildungsbudget.</w:t>
      </w:r>
    </w:p>
    <w:p w14:paraId="2B84D057" w14:textId="77777777" w:rsidR="001F7233" w:rsidRDefault="00000000">
      <w:pPr>
        <w:pStyle w:val="ListParagraph"/>
        <w:numPr>
          <w:ilvl w:val="0"/>
          <w:numId w:val="1"/>
        </w:numPr>
        <w:spacing w:after="60"/>
      </w:pPr>
      <w:r>
        <w:rPr>
          <w:b/>
          <w:bCs/>
        </w:rPr>
        <w:t>Akzent.</w:t>
      </w:r>
      <w:r>
        <w:t xml:space="preserve"> Ein deutscher Akzent ist in den meisten Metropolregionen kein Hindernis (Kapitel </w:t>
      </w:r>
      <w:hyperlink w:anchor="k31">
        <w:r w:rsidR="001F7233">
          <w:t>31</w:t>
        </w:r>
      </w:hyperlink>
      <w:r>
        <w:t>); wer verständlicher werden will, übt Betonung und Satzmelodie.</w:t>
      </w:r>
    </w:p>
    <w:p w14:paraId="213954CD" w14:textId="77777777" w:rsidR="001F7233" w:rsidRDefault="001F7233">
      <w:pPr>
        <w:spacing w:line="120" w:lineRule="exact"/>
      </w:pPr>
    </w:p>
    <w:p w14:paraId="2F7702FB" w14:textId="77777777" w:rsidR="001F7233" w:rsidRDefault="00000000">
      <w:r>
        <w:rPr>
          <w:b/>
        </w:rPr>
        <w:t>TOEFL iBT</w:t>
      </w:r>
    </w:p>
    <w:p w14:paraId="03BA2E1B" w14:textId="77777777" w:rsidR="001F7233" w:rsidRDefault="00000000">
      <w:r>
        <w:rPr>
          <w:b/>
        </w:rPr>
        <w:lastRenderedPageBreak/>
        <w:t xml:space="preserve">Wofür meist gebraucht: </w:t>
      </w:r>
      <w:r>
        <w:t>Zulassung zum Masterstudium (</w:t>
      </w:r>
      <w:hyperlink w:anchor="k8">
        <w:r w:rsidR="001F7233">
          <w:rPr>
            <w:rStyle w:val="Hyperlink"/>
          </w:rPr>
          <w:t>Kapitel 8</w:t>
        </w:r>
      </w:hyperlink>
      <w:r>
        <w:t>)</w:t>
      </w:r>
    </w:p>
    <w:p w14:paraId="188769E6" w14:textId="77777777" w:rsidR="001F7233" w:rsidRDefault="00000000">
      <w:r>
        <w:rPr>
          <w:b/>
        </w:rPr>
        <w:t xml:space="preserve">Hinweis: </w:t>
      </w:r>
      <w:r>
        <w:t>2026 überarbeitet; Gebühr, Aufbau und Skala auf ets.org/toefl prüfen</w:t>
      </w:r>
    </w:p>
    <w:p w14:paraId="1DF656DA" w14:textId="77777777" w:rsidR="001F7233" w:rsidRDefault="00000000">
      <w:r>
        <w:rPr>
          <w:b/>
        </w:rPr>
        <w:t>IELTS Academic</w:t>
      </w:r>
    </w:p>
    <w:p w14:paraId="0E6EA8D0" w14:textId="77777777" w:rsidR="001F7233" w:rsidRDefault="00000000">
      <w:r>
        <w:rPr>
          <w:b/>
        </w:rPr>
        <w:t xml:space="preserve">Wofür meist gebraucht: </w:t>
      </w:r>
      <w:r>
        <w:t>Hochschulzulassung, manche Berufszulassungen</w:t>
      </w:r>
    </w:p>
    <w:p w14:paraId="464EEF35" w14:textId="77777777" w:rsidR="001F7233" w:rsidRDefault="00000000">
      <w:r>
        <w:rPr>
          <w:b/>
        </w:rPr>
        <w:t xml:space="preserve">Hinweis: </w:t>
      </w:r>
      <w:r>
        <w:t>Gebühr und Termine auf ielts.org</w:t>
      </w:r>
    </w:p>
    <w:p w14:paraId="5D3B8E35" w14:textId="77777777" w:rsidR="001F7233" w:rsidRDefault="00000000">
      <w:r>
        <w:rPr>
          <w:b/>
        </w:rPr>
        <w:t>Duolingo English Test</w:t>
      </w:r>
    </w:p>
    <w:p w14:paraId="50CB6BCF" w14:textId="77777777" w:rsidR="001F7233" w:rsidRDefault="00000000">
      <w:r>
        <w:rPr>
          <w:b/>
        </w:rPr>
        <w:t xml:space="preserve">Wofür meist gebraucht: </w:t>
      </w:r>
      <w:r>
        <w:t>Hochschulzulassung, online von zu Hause</w:t>
      </w:r>
    </w:p>
    <w:p w14:paraId="26F3B4E6" w14:textId="77777777" w:rsidR="001F7233" w:rsidRDefault="00000000">
      <w:r>
        <w:rPr>
          <w:b/>
        </w:rPr>
        <w:t xml:space="preserve">Hinweis: </w:t>
      </w:r>
      <w:r>
        <w:t>Günstiger, aber nicht überall anerkannt</w:t>
      </w:r>
    </w:p>
    <w:p w14:paraId="6E6FA714" w14:textId="77777777" w:rsidR="001F7233" w:rsidRDefault="001F7233">
      <w:pPr>
        <w:spacing w:line="180" w:lineRule="exact"/>
      </w:pPr>
    </w:p>
    <w:p w14:paraId="4C69AE10" w14:textId="77777777" w:rsidR="001F7233" w:rsidRDefault="00000000">
      <w:r>
        <w:rPr>
          <w:b/>
        </w:rPr>
        <w:t xml:space="preserve">SPARTIPP: </w:t>
      </w:r>
    </w:p>
    <w:p w14:paraId="0D478923" w14:textId="77777777" w:rsidR="001F7233" w:rsidRDefault="00000000">
      <w:r>
        <w:t>• Buche einen Test erst, wenn eine konkrete Hochschule oder Stelle ihn verlangt. Die Ergebnisse von TOEFL und IELTS gelten meist nur zwei Jahre. Frage vorher nach, ob ein Abschluss in englischer Sprache den Test ersetzt; manche Programme verzichten darauf.</w:t>
      </w:r>
    </w:p>
    <w:p w14:paraId="0C64B7B8" w14:textId="77777777" w:rsidR="001F7233" w:rsidRDefault="001F7233">
      <w:pPr>
        <w:spacing w:line="220" w:lineRule="exact"/>
      </w:pPr>
    </w:p>
    <w:p w14:paraId="0EE8C3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Alltagsenglisch: Wo Deutsche stolpern</w:t>
      </w:r>
    </w:p>
    <w:p w14:paraId="12A37496" w14:textId="77777777" w:rsidR="001F7233" w:rsidRDefault="00000000">
      <w:pPr>
        <w:spacing w:after="140"/>
      </w:pPr>
      <w:r>
        <w:t>Direktes Deutsch, wörtlich übersetzt, klingt im Englischen schnell schroff: „I want a coffee” hört sich wie ein Befehl an. Deutsche Direktheit gilt zu Hause als Tugend, im amerikanischen Großraumbüro dagegen schnell als Kampfansage. Mit kleinen Polstern vermeidest du Missverständnisse (Hintergründe: Kapitel </w:t>
      </w:r>
      <w:hyperlink w:anchor="k31">
        <w:r w:rsidR="001F7233">
          <w:t>31</w:t>
        </w:r>
      </w:hyperlink>
      <w:r>
        <w:t>).</w:t>
      </w:r>
    </w:p>
    <w:p w14:paraId="23BC48FB" w14:textId="77777777" w:rsidR="001F7233" w:rsidRDefault="00000000">
      <w:r>
        <w:rPr>
          <w:b/>
        </w:rPr>
        <w:t>„I want a coffee.“</w:t>
      </w:r>
    </w:p>
    <w:p w14:paraId="0948784A" w14:textId="77777777" w:rsidR="001F7233" w:rsidRDefault="00000000">
      <w:r>
        <w:rPr>
          <w:b/>
        </w:rPr>
        <w:t xml:space="preserve">Klingt kollegial: </w:t>
      </w:r>
      <w:r>
        <w:t>„I’d like a coffee, please.“</w:t>
      </w:r>
    </w:p>
    <w:p w14:paraId="3C3B5DB7" w14:textId="77777777" w:rsidR="001F7233" w:rsidRDefault="00000000">
      <w:r>
        <w:rPr>
          <w:b/>
        </w:rPr>
        <w:t>„Send me the report.“</w:t>
      </w:r>
    </w:p>
    <w:p w14:paraId="4C86FD1D" w14:textId="77777777" w:rsidR="001F7233" w:rsidRDefault="00000000">
      <w:r>
        <w:rPr>
          <w:b/>
        </w:rPr>
        <w:t xml:space="preserve">Klingt kollegial: </w:t>
      </w:r>
      <w:r>
        <w:t>„Could you send me the report by Friday?“</w:t>
      </w:r>
    </w:p>
    <w:p w14:paraId="71A90DE2" w14:textId="77777777" w:rsidR="001F7233" w:rsidRDefault="00000000">
      <w:r>
        <w:rPr>
          <w:b/>
        </w:rPr>
        <w:t>„That is wrong.“</w:t>
      </w:r>
    </w:p>
    <w:p w14:paraId="7D869AD2" w14:textId="77777777" w:rsidR="001F7233" w:rsidRDefault="00000000">
      <w:r>
        <w:rPr>
          <w:b/>
        </w:rPr>
        <w:t xml:space="preserve">Klingt kollegial: </w:t>
      </w:r>
      <w:r>
        <w:t>„I see it a bit differently.“</w:t>
      </w:r>
    </w:p>
    <w:p w14:paraId="2FEE7715" w14:textId="77777777" w:rsidR="001F7233" w:rsidRDefault="00000000">
      <w:r>
        <w:rPr>
          <w:b/>
        </w:rPr>
        <w:t>„That doesn’t work.“</w:t>
      </w:r>
    </w:p>
    <w:p w14:paraId="6A5B1FCB" w14:textId="77777777" w:rsidR="001F7233" w:rsidRDefault="00000000">
      <w:r>
        <w:rPr>
          <w:b/>
        </w:rPr>
        <w:t xml:space="preserve">Klingt kollegial: </w:t>
      </w:r>
      <w:r>
        <w:t>„I’m afraid that won’t work for me. Could we try Thursday?“</w:t>
      </w:r>
    </w:p>
    <w:p w14:paraId="44DF8D4E" w14:textId="77777777" w:rsidR="001F7233" w:rsidRDefault="001F7233">
      <w:pPr>
        <w:spacing w:line="180" w:lineRule="exact"/>
      </w:pPr>
    </w:p>
    <w:p w14:paraId="4F3CCC04" w14:textId="77777777" w:rsidR="001F7233" w:rsidRDefault="00000000">
      <w:pPr>
        <w:spacing w:after="140"/>
      </w:pPr>
      <w:r>
        <w:t>Im Büro begegnen dir Wendungen, die kein Wörterbuch erklärt:</w:t>
      </w:r>
    </w:p>
    <w:p w14:paraId="6A6B97C2" w14:textId="77777777" w:rsidR="001F7233" w:rsidRDefault="00000000">
      <w:r>
        <w:rPr>
          <w:b/>
        </w:rPr>
        <w:t>touch base</w:t>
      </w:r>
    </w:p>
    <w:p w14:paraId="3CA9D34E" w14:textId="77777777" w:rsidR="001F7233" w:rsidRDefault="00000000">
      <w:r>
        <w:rPr>
          <w:b/>
        </w:rPr>
        <w:t xml:space="preserve">Bedeutung: </w:t>
      </w:r>
      <w:r>
        <w:t>sich kurz abstimmen</w:t>
      </w:r>
    </w:p>
    <w:p w14:paraId="5A1C2B67" w14:textId="77777777" w:rsidR="001F7233" w:rsidRDefault="00000000">
      <w:r>
        <w:rPr>
          <w:b/>
        </w:rPr>
        <w:t>circle back</w:t>
      </w:r>
    </w:p>
    <w:p w14:paraId="05BA06FB" w14:textId="77777777" w:rsidR="001F7233" w:rsidRDefault="00000000">
      <w:r>
        <w:rPr>
          <w:b/>
        </w:rPr>
        <w:t xml:space="preserve">Bedeutung: </w:t>
      </w:r>
      <w:r>
        <w:t>später noch einmal darauf zurückkommen</w:t>
      </w:r>
    </w:p>
    <w:p w14:paraId="4CAA88A0" w14:textId="77777777" w:rsidR="001F7233" w:rsidRDefault="00000000">
      <w:r>
        <w:rPr>
          <w:b/>
        </w:rPr>
        <w:t>ballpark figure</w:t>
      </w:r>
    </w:p>
    <w:p w14:paraId="454839DE" w14:textId="77777777" w:rsidR="001F7233" w:rsidRDefault="00000000">
      <w:r>
        <w:rPr>
          <w:b/>
        </w:rPr>
        <w:t xml:space="preserve">Bedeutung: </w:t>
      </w:r>
      <w:r>
        <w:t>grobe Schätzung</w:t>
      </w:r>
    </w:p>
    <w:p w14:paraId="7EE0C805" w14:textId="77777777" w:rsidR="001F7233" w:rsidRDefault="00000000">
      <w:r>
        <w:rPr>
          <w:b/>
        </w:rPr>
        <w:t>heads-up</w:t>
      </w:r>
    </w:p>
    <w:p w14:paraId="106667DF" w14:textId="77777777" w:rsidR="001F7233" w:rsidRDefault="00000000">
      <w:r>
        <w:rPr>
          <w:b/>
        </w:rPr>
        <w:t xml:space="preserve">Bedeutung: </w:t>
      </w:r>
      <w:r>
        <w:t>Vorwarnung, kurzer Hinweis</w:t>
      </w:r>
    </w:p>
    <w:p w14:paraId="43AB99D2" w14:textId="77777777" w:rsidR="001F7233" w:rsidRDefault="00000000">
      <w:r>
        <w:rPr>
          <w:b/>
        </w:rPr>
        <w:t>on the same page</w:t>
      </w:r>
    </w:p>
    <w:p w14:paraId="2938F5E4" w14:textId="77777777" w:rsidR="001F7233" w:rsidRDefault="00000000">
      <w:r>
        <w:rPr>
          <w:b/>
        </w:rPr>
        <w:t xml:space="preserve">Bedeutung: </w:t>
      </w:r>
      <w:r>
        <w:t>gleicher Kenntnisstand</w:t>
      </w:r>
    </w:p>
    <w:p w14:paraId="093DF530" w14:textId="77777777" w:rsidR="001F7233" w:rsidRDefault="00000000">
      <w:r>
        <w:rPr>
          <w:b/>
        </w:rPr>
        <w:t>EOD</w:t>
      </w:r>
    </w:p>
    <w:p w14:paraId="28F3DF3F" w14:textId="77777777" w:rsidR="001F7233" w:rsidRDefault="00000000">
      <w:r>
        <w:rPr>
          <w:b/>
        </w:rPr>
        <w:t xml:space="preserve">Bedeutung: </w:t>
      </w:r>
      <w:r>
        <w:t>end of day, bis Feierabend</w:t>
      </w:r>
    </w:p>
    <w:p w14:paraId="2EC83F31" w14:textId="77777777" w:rsidR="001F7233" w:rsidRDefault="001F7233">
      <w:pPr>
        <w:spacing w:line="180" w:lineRule="exact"/>
      </w:pPr>
    </w:p>
    <w:p w14:paraId="532D0355" w14:textId="77777777" w:rsidR="001F7233" w:rsidRDefault="00000000">
      <w:pPr>
        <w:spacing w:after="140"/>
      </w:pPr>
      <w:r>
        <w:rPr>
          <w:i/>
          <w:iCs/>
        </w:rPr>
        <w:t>Im Alltag heißen „No worries“ und „You bet“ so viel wie „gern geschehen“, „I’m good“ steht für „nein danke“, „Sounds good“ für „einverstanden“. Bei Zahlen steht im Datum der Monat zuerst (03/04/2026 ist der 4. März), Uhrzeiten laufen mit a.m. und p.m., Tausender trennt ein Komma, Dezimalstellen ein Punkt und billion ist die Milliarde, nicht die Billion.</w:t>
      </w:r>
    </w:p>
    <w:p w14:paraId="00E5A7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False Friends: Wörter, die dich hereinlegen</w:t>
      </w:r>
    </w:p>
    <w:p w14:paraId="054948E6" w14:textId="77777777" w:rsidR="001F7233" w:rsidRDefault="00000000">
      <w:pPr>
        <w:spacing w:after="140"/>
      </w:pPr>
      <w:r>
        <w:t>Diese Wörter klingen deutsch, bedeuten aber etwas anderes:</w:t>
      </w:r>
    </w:p>
    <w:p w14:paraId="677E63F7" w14:textId="77777777" w:rsidR="001F7233" w:rsidRDefault="00000000">
      <w:r>
        <w:rPr>
          <w:b/>
        </w:rPr>
        <w:t>gift</w:t>
      </w:r>
    </w:p>
    <w:p w14:paraId="76CDD9D8" w14:textId="77777777" w:rsidR="001F7233" w:rsidRDefault="00000000">
      <w:r>
        <w:rPr>
          <w:b/>
        </w:rPr>
        <w:t xml:space="preserve">Klingt wie: </w:t>
      </w:r>
      <w:r>
        <w:t>Gift</w:t>
      </w:r>
    </w:p>
    <w:p w14:paraId="522B2FA0" w14:textId="77777777" w:rsidR="001F7233" w:rsidRDefault="00000000">
      <w:r>
        <w:rPr>
          <w:b/>
        </w:rPr>
        <w:t xml:space="preserve">Bedeutet: </w:t>
      </w:r>
      <w:r>
        <w:t>Geschenk</w:t>
      </w:r>
    </w:p>
    <w:p w14:paraId="5DCEE637" w14:textId="77777777" w:rsidR="001F7233" w:rsidRDefault="00000000">
      <w:r>
        <w:rPr>
          <w:b/>
        </w:rPr>
        <w:t xml:space="preserve">Das deutsche Wort heißt: </w:t>
      </w:r>
      <w:r>
        <w:t>poison</w:t>
      </w:r>
    </w:p>
    <w:p w14:paraId="6562A4B2" w14:textId="77777777" w:rsidR="001F7233" w:rsidRDefault="00000000">
      <w:r>
        <w:rPr>
          <w:b/>
        </w:rPr>
        <w:t>become</w:t>
      </w:r>
    </w:p>
    <w:p w14:paraId="14551CE7" w14:textId="77777777" w:rsidR="001F7233" w:rsidRDefault="00000000">
      <w:r>
        <w:rPr>
          <w:b/>
        </w:rPr>
        <w:t xml:space="preserve">Klingt wie: </w:t>
      </w:r>
      <w:r>
        <w:t>bekommen</w:t>
      </w:r>
    </w:p>
    <w:p w14:paraId="20429466" w14:textId="77777777" w:rsidR="001F7233" w:rsidRDefault="00000000">
      <w:r>
        <w:rPr>
          <w:b/>
        </w:rPr>
        <w:t xml:space="preserve">Bedeutet: </w:t>
      </w:r>
      <w:r>
        <w:t>werden</w:t>
      </w:r>
    </w:p>
    <w:p w14:paraId="3543D5A9" w14:textId="77777777" w:rsidR="001F7233" w:rsidRDefault="00000000">
      <w:r>
        <w:rPr>
          <w:b/>
        </w:rPr>
        <w:lastRenderedPageBreak/>
        <w:t xml:space="preserve">Das deutsche Wort heißt: </w:t>
      </w:r>
      <w:r>
        <w:t>bekommen = get, receive</w:t>
      </w:r>
    </w:p>
    <w:p w14:paraId="06688E9D" w14:textId="77777777" w:rsidR="001F7233" w:rsidRDefault="00000000">
      <w:r>
        <w:rPr>
          <w:b/>
        </w:rPr>
        <w:t>actually</w:t>
      </w:r>
    </w:p>
    <w:p w14:paraId="7433C4D2" w14:textId="77777777" w:rsidR="001F7233" w:rsidRDefault="00000000">
      <w:r>
        <w:rPr>
          <w:b/>
        </w:rPr>
        <w:t xml:space="preserve">Klingt wie: </w:t>
      </w:r>
      <w:r>
        <w:t>aktuell</w:t>
      </w:r>
    </w:p>
    <w:p w14:paraId="01129771" w14:textId="77777777" w:rsidR="001F7233" w:rsidRDefault="00000000">
      <w:r>
        <w:rPr>
          <w:b/>
        </w:rPr>
        <w:t xml:space="preserve">Bedeutet: </w:t>
      </w:r>
      <w:r>
        <w:t>tatsächlich, eigentlich</w:t>
      </w:r>
    </w:p>
    <w:p w14:paraId="414873F0" w14:textId="77777777" w:rsidR="001F7233" w:rsidRDefault="00000000">
      <w:r>
        <w:rPr>
          <w:b/>
        </w:rPr>
        <w:t xml:space="preserve">Das deutsche Wort heißt: </w:t>
      </w:r>
      <w:r>
        <w:t>aktuell = current</w:t>
      </w:r>
    </w:p>
    <w:p w14:paraId="13948646" w14:textId="77777777" w:rsidR="001F7233" w:rsidRDefault="00000000">
      <w:r>
        <w:rPr>
          <w:b/>
        </w:rPr>
        <w:t>eventually</w:t>
      </w:r>
    </w:p>
    <w:p w14:paraId="43EFE054" w14:textId="77777777" w:rsidR="001F7233" w:rsidRDefault="00000000">
      <w:r>
        <w:rPr>
          <w:b/>
        </w:rPr>
        <w:t xml:space="preserve">Klingt wie: </w:t>
      </w:r>
      <w:r>
        <w:t>eventuell</w:t>
      </w:r>
    </w:p>
    <w:p w14:paraId="647DD97E" w14:textId="77777777" w:rsidR="001F7233" w:rsidRDefault="00000000">
      <w:r>
        <w:rPr>
          <w:b/>
        </w:rPr>
        <w:t xml:space="preserve">Bedeutet: </w:t>
      </w:r>
      <w:r>
        <w:t>schließlich</w:t>
      </w:r>
    </w:p>
    <w:p w14:paraId="4B0DB4F4" w14:textId="77777777" w:rsidR="001F7233" w:rsidRDefault="00000000">
      <w:r>
        <w:rPr>
          <w:b/>
        </w:rPr>
        <w:t xml:space="preserve">Das deutsche Wort heißt: </w:t>
      </w:r>
      <w:r>
        <w:t>eventuell = possibly</w:t>
      </w:r>
    </w:p>
    <w:p w14:paraId="67E3C9FB" w14:textId="77777777" w:rsidR="001F7233" w:rsidRDefault="00000000">
      <w:r>
        <w:rPr>
          <w:b/>
        </w:rPr>
        <w:t>sensible</w:t>
      </w:r>
    </w:p>
    <w:p w14:paraId="28C89E1E" w14:textId="77777777" w:rsidR="001F7233" w:rsidRDefault="00000000">
      <w:r>
        <w:rPr>
          <w:b/>
        </w:rPr>
        <w:t xml:space="preserve">Klingt wie: </w:t>
      </w:r>
      <w:r>
        <w:t>sensibel</w:t>
      </w:r>
    </w:p>
    <w:p w14:paraId="3366A902" w14:textId="77777777" w:rsidR="001F7233" w:rsidRDefault="00000000">
      <w:r>
        <w:rPr>
          <w:b/>
        </w:rPr>
        <w:t xml:space="preserve">Bedeutet: </w:t>
      </w:r>
      <w:r>
        <w:t>vernünftig</w:t>
      </w:r>
    </w:p>
    <w:p w14:paraId="046E8FD7" w14:textId="77777777" w:rsidR="001F7233" w:rsidRDefault="00000000">
      <w:r>
        <w:rPr>
          <w:b/>
        </w:rPr>
        <w:t xml:space="preserve">Das deutsche Wort heißt: </w:t>
      </w:r>
      <w:r>
        <w:t>sensibel = sensitive</w:t>
      </w:r>
    </w:p>
    <w:p w14:paraId="2090E3FA" w14:textId="77777777" w:rsidR="001F7233" w:rsidRDefault="00000000">
      <w:r>
        <w:rPr>
          <w:b/>
        </w:rPr>
        <w:t>brief</w:t>
      </w:r>
    </w:p>
    <w:p w14:paraId="7186C27D" w14:textId="77777777" w:rsidR="001F7233" w:rsidRDefault="00000000">
      <w:r>
        <w:rPr>
          <w:b/>
        </w:rPr>
        <w:t xml:space="preserve">Klingt wie: </w:t>
      </w:r>
      <w:r>
        <w:t>Brief</w:t>
      </w:r>
    </w:p>
    <w:p w14:paraId="59E018FD" w14:textId="77777777" w:rsidR="001F7233" w:rsidRDefault="00000000">
      <w:r>
        <w:rPr>
          <w:b/>
        </w:rPr>
        <w:t xml:space="preserve">Bedeutet: </w:t>
      </w:r>
      <w:r>
        <w:t>kurz</w:t>
      </w:r>
    </w:p>
    <w:p w14:paraId="052B8B30" w14:textId="77777777" w:rsidR="001F7233" w:rsidRDefault="00000000">
      <w:r>
        <w:rPr>
          <w:b/>
        </w:rPr>
        <w:t xml:space="preserve">Das deutsche Wort heißt: </w:t>
      </w:r>
      <w:r>
        <w:t>Brief = letter</w:t>
      </w:r>
    </w:p>
    <w:p w14:paraId="72876BC7" w14:textId="77777777" w:rsidR="001F7233" w:rsidRDefault="00000000">
      <w:r>
        <w:rPr>
          <w:b/>
        </w:rPr>
        <w:t>chef</w:t>
      </w:r>
    </w:p>
    <w:p w14:paraId="503EAC1A" w14:textId="77777777" w:rsidR="001F7233" w:rsidRDefault="00000000">
      <w:r>
        <w:rPr>
          <w:b/>
        </w:rPr>
        <w:t xml:space="preserve">Klingt wie: </w:t>
      </w:r>
      <w:r>
        <w:t>Chef</w:t>
      </w:r>
    </w:p>
    <w:p w14:paraId="0F5D3033" w14:textId="77777777" w:rsidR="001F7233" w:rsidRDefault="00000000">
      <w:r>
        <w:rPr>
          <w:b/>
        </w:rPr>
        <w:t xml:space="preserve">Bedeutet: </w:t>
      </w:r>
      <w:r>
        <w:t>Küchenchef</w:t>
      </w:r>
    </w:p>
    <w:p w14:paraId="050EC456" w14:textId="77777777" w:rsidR="001F7233" w:rsidRDefault="00000000">
      <w:r>
        <w:rPr>
          <w:b/>
        </w:rPr>
        <w:t xml:space="preserve">Das deutsche Wort heißt: </w:t>
      </w:r>
      <w:r>
        <w:t>Chef = boss</w:t>
      </w:r>
    </w:p>
    <w:p w14:paraId="228EC660" w14:textId="77777777" w:rsidR="001F7233" w:rsidRDefault="00000000">
      <w:r>
        <w:rPr>
          <w:b/>
        </w:rPr>
        <w:t>résumé</w:t>
      </w:r>
    </w:p>
    <w:p w14:paraId="5A5D0E04" w14:textId="77777777" w:rsidR="001F7233" w:rsidRDefault="00000000">
      <w:r>
        <w:rPr>
          <w:b/>
        </w:rPr>
        <w:t xml:space="preserve">Klingt wie: </w:t>
      </w:r>
      <w:r>
        <w:t>Resümee</w:t>
      </w:r>
    </w:p>
    <w:p w14:paraId="3EEF91AF" w14:textId="77777777" w:rsidR="001F7233" w:rsidRDefault="00000000">
      <w:r>
        <w:rPr>
          <w:b/>
        </w:rPr>
        <w:t xml:space="preserve">Bedeutet: </w:t>
      </w:r>
      <w:r>
        <w:t>Lebenslauf (US)</w:t>
      </w:r>
    </w:p>
    <w:p w14:paraId="07B4C570" w14:textId="77777777" w:rsidR="001F7233" w:rsidRDefault="00000000">
      <w:r>
        <w:rPr>
          <w:b/>
        </w:rPr>
        <w:t xml:space="preserve">Das deutsche Wort heißt: </w:t>
      </w:r>
      <w:r>
        <w:t>Resümee = summary</w:t>
      </w:r>
    </w:p>
    <w:p w14:paraId="3D070B84" w14:textId="77777777" w:rsidR="001F7233" w:rsidRDefault="00000000">
      <w:r>
        <w:rPr>
          <w:b/>
        </w:rPr>
        <w:t>promotion</w:t>
      </w:r>
    </w:p>
    <w:p w14:paraId="525198C6" w14:textId="77777777" w:rsidR="001F7233" w:rsidRDefault="00000000">
      <w:r>
        <w:rPr>
          <w:b/>
        </w:rPr>
        <w:t xml:space="preserve">Klingt wie: </w:t>
      </w:r>
      <w:r>
        <w:t>Promotion</w:t>
      </w:r>
    </w:p>
    <w:p w14:paraId="1F5ECB42" w14:textId="77777777" w:rsidR="001F7233" w:rsidRDefault="00000000">
      <w:r>
        <w:rPr>
          <w:b/>
        </w:rPr>
        <w:t xml:space="preserve">Bedeutet: </w:t>
      </w:r>
      <w:r>
        <w:t>Beförderung</w:t>
      </w:r>
    </w:p>
    <w:p w14:paraId="12A868F6" w14:textId="77777777" w:rsidR="001F7233" w:rsidRDefault="00000000">
      <w:r>
        <w:rPr>
          <w:b/>
        </w:rPr>
        <w:t xml:space="preserve">Das deutsche Wort heißt: </w:t>
      </w:r>
      <w:r>
        <w:t>Promotion = doctorate</w:t>
      </w:r>
    </w:p>
    <w:p w14:paraId="61CF71DE" w14:textId="77777777" w:rsidR="001F7233" w:rsidRDefault="00000000">
      <w:r>
        <w:rPr>
          <w:b/>
        </w:rPr>
        <w:t>physician</w:t>
      </w:r>
    </w:p>
    <w:p w14:paraId="6E503CF1" w14:textId="77777777" w:rsidR="001F7233" w:rsidRDefault="00000000">
      <w:r>
        <w:rPr>
          <w:b/>
        </w:rPr>
        <w:t xml:space="preserve">Klingt wie: </w:t>
      </w:r>
      <w:r>
        <w:t>Physiker</w:t>
      </w:r>
    </w:p>
    <w:p w14:paraId="173EEDF4" w14:textId="77777777" w:rsidR="001F7233" w:rsidRDefault="00000000">
      <w:r>
        <w:rPr>
          <w:b/>
        </w:rPr>
        <w:t xml:space="preserve">Bedeutet: </w:t>
      </w:r>
      <w:r>
        <w:t>Arzt</w:t>
      </w:r>
    </w:p>
    <w:p w14:paraId="643B5B9E" w14:textId="77777777" w:rsidR="001F7233" w:rsidRDefault="00000000">
      <w:r>
        <w:rPr>
          <w:b/>
        </w:rPr>
        <w:t xml:space="preserve">Das deutsche Wort heißt: </w:t>
      </w:r>
      <w:r>
        <w:t>Physiker = physicist</w:t>
      </w:r>
    </w:p>
    <w:p w14:paraId="54369C28" w14:textId="77777777" w:rsidR="001F7233" w:rsidRDefault="001F7233">
      <w:pPr>
        <w:spacing w:line="180" w:lineRule="exact"/>
      </w:pPr>
    </w:p>
    <w:p w14:paraId="4E11899D" w14:textId="77777777" w:rsidR="001F7233" w:rsidRDefault="00000000">
      <w:pPr>
        <w:spacing w:after="140"/>
      </w:pPr>
      <w:r>
        <w:lastRenderedPageBreak/>
        <w:t xml:space="preserve">Umgekehrt gibt es Scheinanglizismen, die Amerikaner nicht kennen: </w:t>
      </w:r>
      <w:r>
        <w:rPr>
          <w:i/>
          <w:iCs/>
        </w:rPr>
        <w:t>Handy</w:t>
      </w:r>
      <w:r>
        <w:t xml:space="preserve"> heißt </w:t>
      </w:r>
      <w:r>
        <w:rPr>
          <w:i/>
          <w:iCs/>
        </w:rPr>
        <w:t>cell phone</w:t>
      </w:r>
      <w:r>
        <w:t xml:space="preserve">, </w:t>
      </w:r>
      <w:r>
        <w:rPr>
          <w:i/>
          <w:iCs/>
        </w:rPr>
        <w:t>Beamer</w:t>
      </w:r>
      <w:r>
        <w:t xml:space="preserve"> </w:t>
      </w:r>
      <w:r>
        <w:rPr>
          <w:i/>
          <w:iCs/>
        </w:rPr>
        <w:t>projector</w:t>
      </w:r>
      <w:r>
        <w:t xml:space="preserve">, </w:t>
      </w:r>
      <w:r>
        <w:rPr>
          <w:i/>
          <w:iCs/>
        </w:rPr>
        <w:t>Oldtimer</w:t>
      </w:r>
      <w:r>
        <w:t xml:space="preserve"> </w:t>
      </w:r>
      <w:r>
        <w:rPr>
          <w:i/>
          <w:iCs/>
        </w:rPr>
        <w:t>classic car</w:t>
      </w:r>
      <w:r>
        <w:t xml:space="preserve">, </w:t>
      </w:r>
      <w:r>
        <w:rPr>
          <w:i/>
          <w:iCs/>
        </w:rPr>
        <w:t>Public Viewing</w:t>
      </w:r>
      <w:r>
        <w:t xml:space="preserve"> </w:t>
      </w:r>
      <w:r>
        <w:rPr>
          <w:i/>
          <w:iCs/>
        </w:rPr>
        <w:t>watch party</w:t>
      </w:r>
      <w:r>
        <w:t xml:space="preserve">, </w:t>
      </w:r>
      <w:r>
        <w:rPr>
          <w:i/>
          <w:iCs/>
        </w:rPr>
        <w:t>Smoking</w:t>
      </w:r>
      <w:r>
        <w:t xml:space="preserve"> </w:t>
      </w:r>
      <w:r>
        <w:rPr>
          <w:i/>
          <w:iCs/>
        </w:rPr>
        <w:t>tuxedo</w:t>
      </w:r>
      <w:r>
        <w:t xml:space="preserve">, </w:t>
      </w:r>
      <w:r>
        <w:rPr>
          <w:i/>
          <w:iCs/>
        </w:rPr>
        <w:t>Mobbing</w:t>
      </w:r>
      <w:r>
        <w:t xml:space="preserve"> </w:t>
      </w:r>
      <w:r>
        <w:rPr>
          <w:i/>
          <w:iCs/>
        </w:rPr>
        <w:t>bullying</w:t>
      </w:r>
      <w:r>
        <w:t>.</w:t>
      </w:r>
    </w:p>
    <w:p w14:paraId="11D939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 und UK-Wortschatz</w:t>
      </w:r>
    </w:p>
    <w:p w14:paraId="557192CF" w14:textId="77777777" w:rsidR="001F7233" w:rsidRDefault="00000000">
      <w:pPr>
        <w:spacing w:after="140"/>
      </w:pPr>
      <w:r>
        <w:t>Schulenglisch ist in Deutschland oft britisch geprägt. Wer sein mühsam poliertes Oxford-Englisch mitbringt, wird in Ohio damit selten Eindruck schinden: Amerikanisches Englisch ist kein falsches Englisch, nur ein selbstbewusster eigener Dialekt. In den USA klingt manches anders und wird anders geschrieben (</w:t>
      </w:r>
      <w:r>
        <w:rPr>
          <w:i/>
          <w:iCs/>
        </w:rPr>
        <w:t>color</w:t>
      </w:r>
      <w:r>
        <w:t xml:space="preserve">, </w:t>
      </w:r>
      <w:r>
        <w:rPr>
          <w:i/>
          <w:iCs/>
        </w:rPr>
        <w:t>center</w:t>
      </w:r>
      <w:r>
        <w:t xml:space="preserve">, </w:t>
      </w:r>
      <w:r>
        <w:rPr>
          <w:i/>
          <w:iCs/>
        </w:rPr>
        <w:t>organize</w:t>
      </w:r>
      <w:r>
        <w:t>).</w:t>
      </w:r>
    </w:p>
    <w:p w14:paraId="0119F7A7" w14:textId="77777777" w:rsidR="001F7233" w:rsidRDefault="00000000">
      <w:r>
        <w:rPr>
          <w:b/>
        </w:rPr>
        <w:t>Wohnung</w:t>
      </w:r>
    </w:p>
    <w:p w14:paraId="5C3E7D16" w14:textId="77777777" w:rsidR="001F7233" w:rsidRDefault="00000000">
      <w:r>
        <w:rPr>
          <w:b/>
        </w:rPr>
        <w:t xml:space="preserve">US: </w:t>
      </w:r>
      <w:r>
        <w:t>apartment</w:t>
      </w:r>
    </w:p>
    <w:p w14:paraId="64519067" w14:textId="77777777" w:rsidR="001F7233" w:rsidRDefault="00000000">
      <w:r>
        <w:rPr>
          <w:b/>
        </w:rPr>
        <w:t xml:space="preserve">UK: </w:t>
      </w:r>
      <w:r>
        <w:t>flat</w:t>
      </w:r>
    </w:p>
    <w:p w14:paraId="281DBBCD" w14:textId="77777777" w:rsidR="001F7233" w:rsidRDefault="00000000">
      <w:r>
        <w:rPr>
          <w:b/>
        </w:rPr>
        <w:t>Aufzug</w:t>
      </w:r>
    </w:p>
    <w:p w14:paraId="17BA6F08" w14:textId="77777777" w:rsidR="001F7233" w:rsidRDefault="00000000">
      <w:r>
        <w:rPr>
          <w:b/>
        </w:rPr>
        <w:t xml:space="preserve">US: </w:t>
      </w:r>
      <w:r>
        <w:t>elevator</w:t>
      </w:r>
    </w:p>
    <w:p w14:paraId="66424B4A" w14:textId="77777777" w:rsidR="001F7233" w:rsidRDefault="00000000">
      <w:r>
        <w:rPr>
          <w:b/>
        </w:rPr>
        <w:t xml:space="preserve">UK: </w:t>
      </w:r>
      <w:r>
        <w:t>lift</w:t>
      </w:r>
    </w:p>
    <w:p w14:paraId="184F375E" w14:textId="77777777" w:rsidR="001F7233" w:rsidRDefault="00000000">
      <w:r>
        <w:rPr>
          <w:b/>
        </w:rPr>
        <w:t>Erdgeschoss</w:t>
      </w:r>
    </w:p>
    <w:p w14:paraId="320BD0B0" w14:textId="77777777" w:rsidR="001F7233" w:rsidRDefault="00000000">
      <w:r>
        <w:rPr>
          <w:b/>
        </w:rPr>
        <w:t xml:space="preserve">US: </w:t>
      </w:r>
      <w:r>
        <w:t>first floor</w:t>
      </w:r>
    </w:p>
    <w:p w14:paraId="0A51CAFB" w14:textId="77777777" w:rsidR="001F7233" w:rsidRDefault="00000000">
      <w:r>
        <w:rPr>
          <w:b/>
        </w:rPr>
        <w:t xml:space="preserve">UK: </w:t>
      </w:r>
      <w:r>
        <w:t>ground floor</w:t>
      </w:r>
    </w:p>
    <w:p w14:paraId="7EE4A6E4" w14:textId="77777777" w:rsidR="001F7233" w:rsidRDefault="00000000">
      <w:r>
        <w:rPr>
          <w:b/>
        </w:rPr>
        <w:t>Benzin</w:t>
      </w:r>
    </w:p>
    <w:p w14:paraId="24E3835F" w14:textId="77777777" w:rsidR="001F7233" w:rsidRDefault="00000000">
      <w:r>
        <w:rPr>
          <w:b/>
        </w:rPr>
        <w:t xml:space="preserve">US: </w:t>
      </w:r>
      <w:r>
        <w:t>gas</w:t>
      </w:r>
    </w:p>
    <w:p w14:paraId="4733A7CE" w14:textId="77777777" w:rsidR="001F7233" w:rsidRDefault="00000000">
      <w:r>
        <w:rPr>
          <w:b/>
        </w:rPr>
        <w:t xml:space="preserve">UK: </w:t>
      </w:r>
      <w:r>
        <w:t>petrol</w:t>
      </w:r>
    </w:p>
    <w:p w14:paraId="23B970F0" w14:textId="77777777" w:rsidR="001F7233" w:rsidRDefault="00000000">
      <w:r>
        <w:rPr>
          <w:b/>
        </w:rPr>
        <w:t>Gehweg</w:t>
      </w:r>
    </w:p>
    <w:p w14:paraId="1C2E7EA2" w14:textId="77777777" w:rsidR="001F7233" w:rsidRDefault="00000000">
      <w:r>
        <w:rPr>
          <w:b/>
        </w:rPr>
        <w:t xml:space="preserve">US: </w:t>
      </w:r>
      <w:r>
        <w:t>sidewalk</w:t>
      </w:r>
    </w:p>
    <w:p w14:paraId="3EBCBF5B" w14:textId="77777777" w:rsidR="001F7233" w:rsidRDefault="00000000">
      <w:r>
        <w:rPr>
          <w:b/>
        </w:rPr>
        <w:t xml:space="preserve">UK: </w:t>
      </w:r>
      <w:r>
        <w:t>pavement</w:t>
      </w:r>
    </w:p>
    <w:p w14:paraId="6A05C9DE" w14:textId="77777777" w:rsidR="001F7233" w:rsidRDefault="00000000">
      <w:r>
        <w:rPr>
          <w:b/>
        </w:rPr>
        <w:t>Mülleimer</w:t>
      </w:r>
    </w:p>
    <w:p w14:paraId="7B1E323F" w14:textId="77777777" w:rsidR="001F7233" w:rsidRDefault="00000000">
      <w:r>
        <w:rPr>
          <w:b/>
        </w:rPr>
        <w:t xml:space="preserve">US: </w:t>
      </w:r>
      <w:r>
        <w:t>trash can</w:t>
      </w:r>
    </w:p>
    <w:p w14:paraId="507A8A9B" w14:textId="77777777" w:rsidR="001F7233" w:rsidRDefault="00000000">
      <w:r>
        <w:rPr>
          <w:b/>
        </w:rPr>
        <w:t xml:space="preserve">UK: </w:t>
      </w:r>
      <w:r>
        <w:t>bin</w:t>
      </w:r>
    </w:p>
    <w:p w14:paraId="08242F8F" w14:textId="77777777" w:rsidR="001F7233" w:rsidRDefault="00000000">
      <w:r>
        <w:rPr>
          <w:b/>
        </w:rPr>
        <w:t>Urlaub</w:t>
      </w:r>
    </w:p>
    <w:p w14:paraId="6F412CDB" w14:textId="77777777" w:rsidR="001F7233" w:rsidRDefault="00000000">
      <w:r>
        <w:rPr>
          <w:b/>
        </w:rPr>
        <w:t xml:space="preserve">US: </w:t>
      </w:r>
      <w:r>
        <w:t>vacation</w:t>
      </w:r>
    </w:p>
    <w:p w14:paraId="3262B855" w14:textId="77777777" w:rsidR="001F7233" w:rsidRDefault="00000000">
      <w:r>
        <w:rPr>
          <w:b/>
        </w:rPr>
        <w:t xml:space="preserve">UK: </w:t>
      </w:r>
      <w:r>
        <w:t>holiday</w:t>
      </w:r>
    </w:p>
    <w:p w14:paraId="10466894" w14:textId="77777777" w:rsidR="001F7233" w:rsidRDefault="00000000">
      <w:r>
        <w:rPr>
          <w:b/>
        </w:rPr>
        <w:t>Grundschule</w:t>
      </w:r>
    </w:p>
    <w:p w14:paraId="7826A51E" w14:textId="77777777" w:rsidR="001F7233" w:rsidRDefault="00000000">
      <w:r>
        <w:rPr>
          <w:b/>
        </w:rPr>
        <w:lastRenderedPageBreak/>
        <w:t xml:space="preserve">US: </w:t>
      </w:r>
      <w:r>
        <w:t>elementary school</w:t>
      </w:r>
    </w:p>
    <w:p w14:paraId="7D99684E" w14:textId="77777777" w:rsidR="001F7233" w:rsidRDefault="00000000">
      <w:r>
        <w:rPr>
          <w:b/>
        </w:rPr>
        <w:t xml:space="preserve">UK: </w:t>
      </w:r>
      <w:r>
        <w:t>primary school</w:t>
      </w:r>
    </w:p>
    <w:p w14:paraId="014374A5" w14:textId="77777777" w:rsidR="001F7233" w:rsidRDefault="00000000">
      <w:r>
        <w:rPr>
          <w:b/>
        </w:rPr>
        <w:t>Schulnote</w:t>
      </w:r>
    </w:p>
    <w:p w14:paraId="13DE9E9C" w14:textId="77777777" w:rsidR="001F7233" w:rsidRDefault="00000000">
      <w:r>
        <w:rPr>
          <w:b/>
        </w:rPr>
        <w:t xml:space="preserve">US: </w:t>
      </w:r>
      <w:r>
        <w:t>grade</w:t>
      </w:r>
    </w:p>
    <w:p w14:paraId="5E7770C8" w14:textId="77777777" w:rsidR="001F7233" w:rsidRDefault="00000000">
      <w:r>
        <w:rPr>
          <w:b/>
        </w:rPr>
        <w:t xml:space="preserve">UK: </w:t>
      </w:r>
      <w:r>
        <w:t>mark</w:t>
      </w:r>
    </w:p>
    <w:p w14:paraId="272E9125" w14:textId="77777777" w:rsidR="001F7233" w:rsidRDefault="001F7233">
      <w:pPr>
        <w:spacing w:line="180" w:lineRule="exact"/>
      </w:pPr>
    </w:p>
    <w:p w14:paraId="40830A90" w14:textId="77777777" w:rsidR="001F7233" w:rsidRDefault="00000000">
      <w:pPr>
        <w:spacing w:after="140"/>
      </w:pPr>
      <w:r>
        <w:t xml:space="preserve">Praktisch wichtig ist die Etagenzählung: Wer eine Wohnung im </w:t>
      </w:r>
      <w:r>
        <w:rPr>
          <w:i/>
          <w:iCs/>
        </w:rPr>
        <w:t>second floor</w:t>
      </w:r>
      <w:r>
        <w:t xml:space="preserve"> mietet, wohnt im ersten Stock (Kapitel </w:t>
      </w:r>
      <w:hyperlink w:anchor="k13">
        <w:r w:rsidR="001F7233">
          <w:t>13</w:t>
        </w:r>
      </w:hyperlink>
      <w:r>
        <w:t>).</w:t>
      </w:r>
    </w:p>
    <w:p w14:paraId="7E3913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A074AA" w14:textId="77777777" w:rsidR="001F7233" w:rsidRDefault="00000000">
      <w:pPr>
        <w:spacing w:after="140"/>
      </w:pPr>
      <w:r>
        <w:t>Vor dem Umzug sortierst du Zeugnisse und suchst Samstags- oder Immersionsschulen in der Nähe deines Wunschorts. In den ersten Wochen füllst du den Home Language Survey ehrlich aus, sprichst mit der EL-Lehrkraft und holst einen Bibliotheksausweis. Danach legst du Deutsch-Routinen fest und suchst dir einen eigenen Kurs.</w:t>
      </w:r>
    </w:p>
    <w:p w14:paraId="1CA89246" w14:textId="77777777" w:rsidR="001F7233" w:rsidRDefault="00000000">
      <w:r>
        <w:t>• Letzte Zeugnisse und Notenübersicht mit Englischnote einpacken, bei Bedarf übersetzen lassen (</w:t>
      </w:r>
      <w:hyperlink w:anchor="k19">
        <w:r w:rsidR="001F7233">
          <w:rPr>
            <w:color w:val="0563C1"/>
            <w:u w:val="single"/>
          </w:rPr>
          <w:t>Kapitel 19</w:t>
        </w:r>
      </w:hyperlink>
      <w:r>
        <w:t>)</w:t>
      </w:r>
    </w:p>
    <w:p w14:paraId="0A004C4B" w14:textId="77777777" w:rsidR="001F7233" w:rsidRDefault="00000000">
      <w:r>
        <w:t>• Website des Wunschdistrikts nach English Learner Program oder ESL durchsuchen, den EL-Koordinator anschreiben</w:t>
      </w:r>
    </w:p>
    <w:p w14:paraId="487B89F3" w14:textId="77777777" w:rsidR="001F7233" w:rsidRDefault="00000000">
      <w:r>
        <w:t>• Home Language Survey wahrheitsgemäß ausfüllen</w:t>
      </w:r>
    </w:p>
    <w:p w14:paraId="46680BAA" w14:textId="77777777" w:rsidR="001F7233" w:rsidRDefault="00000000">
      <w:r>
        <w:t>• Elternbrief erwarten (30 Tage nach Schuljahresbeginn, später Eintretende zwei Wochen); fehlt er, nachfragen</w:t>
      </w:r>
    </w:p>
    <w:p w14:paraId="2094512D" w14:textId="77777777" w:rsidR="001F7233" w:rsidRDefault="00000000">
      <w:r>
        <w:t>• Gespräch mit der EL-Lehrkraft führen: Stunden, Modell, Umstufungskriterien, Dolmetscher</w:t>
      </w:r>
    </w:p>
    <w:p w14:paraId="74FAEBB5" w14:textId="77777777" w:rsidR="001F7233" w:rsidRDefault="00000000">
      <w:r>
        <w:t>• Stundenplan prüfen: Verdrängt der Extra-Unterricht Kernfächer?</w:t>
      </w:r>
    </w:p>
    <w:p w14:paraId="59318014" w14:textId="77777777" w:rsidR="001F7233" w:rsidRDefault="00000000">
      <w:r>
        <w:t>• Bibliotheksausweis holen und Leseprogramme für die Kinder nutzen</w:t>
      </w:r>
    </w:p>
    <w:p w14:paraId="5B0B6CE2" w14:textId="77777777" w:rsidR="001F7233" w:rsidRDefault="00000000">
      <w:r>
        <w:t>• Familienregel für Deutsch und ein tägliches Vorleseritual festlegen</w:t>
      </w:r>
    </w:p>
    <w:p w14:paraId="605D1056" w14:textId="77777777" w:rsidR="001F7233" w:rsidRDefault="00000000">
      <w:r>
        <w:t>• Samstagsschule, Immersionsschule oder Sommerlager recherchieren, Fristen notieren</w:t>
      </w:r>
    </w:p>
    <w:p w14:paraId="6D48A535" w14:textId="77777777" w:rsidR="001F7233" w:rsidRDefault="00000000">
      <w:r>
        <w:t>• Für dich selbst einen Kurs wählen; Englischtest nur buchen, wenn er verlangt wird</w:t>
      </w:r>
    </w:p>
    <w:p w14:paraId="16F6C6A9" w14:textId="77777777" w:rsidR="001F7233" w:rsidRDefault="001F7233">
      <w:pPr>
        <w:spacing w:line="220" w:lineRule="exact"/>
      </w:pPr>
    </w:p>
    <w:p w14:paraId="143004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111C464E" w14:textId="77777777" w:rsidR="001F7233" w:rsidRDefault="00000000">
      <w:pPr>
        <w:pStyle w:val="ListParagraph"/>
        <w:numPr>
          <w:ilvl w:val="0"/>
          <w:numId w:val="1"/>
        </w:numPr>
        <w:spacing w:after="60"/>
      </w:pPr>
      <w:r>
        <w:t>WIDA — Screener und ACCESS for ELLs (</w:t>
      </w:r>
      <w:hyperlink r:id="rId491">
        <w:r w:rsidR="001F7233">
          <w:rPr>
            <w:color w:val="0563C1"/>
            <w:u w:val="single"/>
          </w:rPr>
          <w:t>wida.wisc.edu/assess/screener</w:t>
        </w:r>
      </w:hyperlink>
      <w:r>
        <w:t>)</w:t>
      </w:r>
    </w:p>
    <w:p w14:paraId="04C1D4AA" w14:textId="77777777" w:rsidR="001F7233" w:rsidRDefault="00000000">
      <w:pPr>
        <w:pStyle w:val="ListParagraph"/>
        <w:numPr>
          <w:ilvl w:val="0"/>
          <w:numId w:val="1"/>
        </w:numPr>
        <w:spacing w:after="60"/>
      </w:pPr>
      <w:r>
        <w:t>U.S. Department of Education — English Learners, Title III, Office for Civil Rights (</w:t>
      </w:r>
      <w:hyperlink r:id="rId492">
        <w:r w:rsidR="001F7233">
          <w:rPr>
            <w:color w:val="0563C1"/>
            <w:u w:val="single"/>
          </w:rPr>
          <w:t>ed.gov</w:t>
        </w:r>
      </w:hyperlink>
      <w:r>
        <w:t>)</w:t>
      </w:r>
    </w:p>
    <w:p w14:paraId="1B082553" w14:textId="77777777" w:rsidR="001F7233" w:rsidRDefault="00000000">
      <w:pPr>
        <w:pStyle w:val="ListParagraph"/>
        <w:numPr>
          <w:ilvl w:val="0"/>
          <w:numId w:val="1"/>
        </w:numPr>
        <w:spacing w:after="60"/>
      </w:pPr>
      <w:r>
        <w:t>Gesetzestext zu Elternbenachrichtigung und Umstufung, 20 U.S.C. § 6312 (</w:t>
      </w:r>
      <w:hyperlink r:id="rId493">
        <w:r w:rsidR="001F7233">
          <w:rPr>
            <w:color w:val="0563C1"/>
            <w:u w:val="single"/>
          </w:rPr>
          <w:t>law.cornell.edu/uscode/text/20/6312</w:t>
        </w:r>
      </w:hyperlink>
      <w:r>
        <w:t>)</w:t>
      </w:r>
    </w:p>
    <w:p w14:paraId="228C9109" w14:textId="77777777" w:rsidR="001F7233" w:rsidRDefault="00000000">
      <w:pPr>
        <w:pStyle w:val="ListParagraph"/>
        <w:numPr>
          <w:ilvl w:val="0"/>
          <w:numId w:val="1"/>
        </w:numPr>
        <w:spacing w:after="60"/>
      </w:pPr>
      <w:r>
        <w:t>Adult Education and Family Literacy Act — Erwachsenenbildung und ESL (</w:t>
      </w:r>
      <w:hyperlink r:id="rId494">
        <w:r w:rsidR="001F7233">
          <w:rPr>
            <w:color w:val="0563C1"/>
            <w:u w:val="single"/>
          </w:rPr>
          <w:t>aefla.ed.gov</w:t>
        </w:r>
      </w:hyperlink>
      <w:r>
        <w:t>)</w:t>
      </w:r>
    </w:p>
    <w:p w14:paraId="05A4BC5F" w14:textId="77777777" w:rsidR="001F7233" w:rsidRDefault="00000000">
      <w:pPr>
        <w:pStyle w:val="ListParagraph"/>
        <w:numPr>
          <w:ilvl w:val="0"/>
          <w:numId w:val="1"/>
        </w:numPr>
        <w:spacing w:after="60"/>
      </w:pPr>
      <w:r>
        <w:t>GISSV — Saturday School (</w:t>
      </w:r>
      <w:hyperlink r:id="rId495">
        <w:r w:rsidR="001F7233">
          <w:rPr>
            <w:color w:val="0563C1"/>
            <w:u w:val="single"/>
          </w:rPr>
          <w:t>gissv.org/gissv-home-english/locations/saturday-school</w:t>
        </w:r>
      </w:hyperlink>
      <w:r>
        <w:t>)</w:t>
      </w:r>
    </w:p>
    <w:p w14:paraId="1BDB4189" w14:textId="77777777" w:rsidR="001F7233" w:rsidRDefault="00000000">
      <w:pPr>
        <w:pStyle w:val="ListParagraph"/>
        <w:numPr>
          <w:ilvl w:val="0"/>
          <w:numId w:val="1"/>
        </w:numPr>
        <w:spacing w:after="60"/>
      </w:pPr>
      <w:r>
        <w:t>Twin Cities German Immersion School (</w:t>
      </w:r>
      <w:hyperlink r:id="rId496">
        <w:r w:rsidR="001F7233">
          <w:rPr>
            <w:color w:val="0563C1"/>
            <w:u w:val="single"/>
          </w:rPr>
          <w:t>tcgis.org</w:t>
        </w:r>
      </w:hyperlink>
      <w:r>
        <w:t>)</w:t>
      </w:r>
    </w:p>
    <w:p w14:paraId="456DE103" w14:textId="77777777" w:rsidR="001F7233" w:rsidRDefault="00000000">
      <w:pPr>
        <w:pStyle w:val="ListParagraph"/>
        <w:numPr>
          <w:ilvl w:val="0"/>
          <w:numId w:val="1"/>
        </w:numPr>
        <w:spacing w:after="60"/>
      </w:pPr>
      <w:r>
        <w:t>Goethe-Institut USA — Prüfungen (</w:t>
      </w:r>
      <w:hyperlink r:id="rId497">
        <w:r w:rsidR="001F7233">
          <w:rPr>
            <w:color w:val="0563C1"/>
            <w:u w:val="single"/>
          </w:rPr>
          <w:t>goethe.de/ins/us/en/spr/prf.html</w:t>
        </w:r>
      </w:hyperlink>
      <w:r>
        <w:t>)</w:t>
      </w:r>
    </w:p>
    <w:p w14:paraId="235E0B6E" w14:textId="77777777" w:rsidR="001F7233" w:rsidRDefault="00000000">
      <w:pPr>
        <w:pStyle w:val="ListParagraph"/>
        <w:numPr>
          <w:ilvl w:val="0"/>
          <w:numId w:val="1"/>
        </w:numPr>
        <w:spacing w:after="60"/>
      </w:pPr>
      <w:r>
        <w:t>TOEFL und IELTS — Termine und Gebühren (</w:t>
      </w:r>
      <w:hyperlink r:id="rId498">
        <w:r w:rsidR="001F7233">
          <w:rPr>
            <w:color w:val="0563C1"/>
            <w:u w:val="single"/>
          </w:rPr>
          <w:t>ets.org/toefl</w:t>
        </w:r>
      </w:hyperlink>
      <w:r>
        <w:t xml:space="preserve">, </w:t>
      </w:r>
      <w:hyperlink r:id="rId499">
        <w:r w:rsidR="001F7233">
          <w:rPr>
            <w:color w:val="0563C1"/>
            <w:u w:val="single"/>
          </w:rPr>
          <w:t>ielts.org</w:t>
        </w:r>
      </w:hyperlink>
      <w:r>
        <w:t>)</w:t>
      </w:r>
    </w:p>
    <w:p w14:paraId="69E93E8B" w14:textId="77777777" w:rsidR="001F7233" w:rsidRDefault="001F7233">
      <w:pPr>
        <w:spacing w:line="120" w:lineRule="exact"/>
      </w:pPr>
    </w:p>
    <w:p w14:paraId="3411548E" w14:textId="77777777" w:rsidR="001F7233" w:rsidRDefault="00000000">
      <w:r>
        <w:t>• Quellen- und Datenstand: September 2026; Redaktionsschluss: Oktober 2026. Diese Angaben ändern sich schnell: Bundesmittel und Zuständigkeiten für Sprachförderung (Title III; Haushalt 2027 ab 1. Oktober 2026 offen), Umstufungskriterien der Staaten, Testformate und Gebühren, Angebote und Preise der Samstags- und Immersionsschulen sowie Standorte des Goethe-Instituts. Prüfe vor jeder Entscheidung die Seiten deines Distrikts und Bundesstaates.</w:t>
      </w:r>
    </w:p>
    <w:p w14:paraId="17E5A14F" w14:textId="77777777" w:rsidR="001F7233" w:rsidRDefault="00000000">
      <w:pPr>
        <w:spacing w:line="220" w:lineRule="exact"/>
      </w:pPr>
      <w:r>
        <w:br w:type="page"/>
      </w:r>
    </w:p>
    <w:p w14:paraId="5F69FF61" w14:textId="77777777" w:rsidR="001F7233" w:rsidRDefault="00000000">
      <w:pPr>
        <w:pStyle w:val="Heading2"/>
        <w:keepNext/>
        <w:spacing w:line="341" w:lineRule="auto"/>
        <w:jc w:val="center"/>
      </w:pPr>
      <w:bookmarkStart w:id="77" w:name="k38"/>
      <w:r>
        <w:rPr>
          <w:rFonts w:ascii="Amazon Ember" w:eastAsia="Amazon Ember" w:hAnsi="Amazon Ember" w:cs="Amazon Ember"/>
          <w:color w:val="0000FF"/>
          <w:sz w:val="36"/>
          <w:szCs w:val="36"/>
        </w:rPr>
        <w:lastRenderedPageBreak/>
        <w:t>Kapitel 38: Babys, Kleinkinder und Teenager</w:t>
      </w:r>
      <w:bookmarkEnd w:id="77"/>
    </w:p>
    <w:p w14:paraId="00772879" w14:textId="77777777" w:rsidR="001F7233" w:rsidRDefault="00000000">
      <w:pPr>
        <w:spacing w:after="140"/>
      </w:pPr>
      <w:r>
        <w:t>In Deutschland läuft ein Erstklässler klar allein zur Schule. In manchen amerikanischen Vororten ruft dafür eine Nachbarin die Polizei. Umgekehrt staunen deutsche Eltern über eine Geburtsrechnung von über 20.000 $, einen Betreuungsplatz, der in Großstädten so viel kostet wie eine Miete, und einen Führerschein mit 16. Dieses Kapitel begleitet Kinder von der Schwangerschaft bis zum College: Was ist anders, was kostet es, wo passieren die teuersten Fehler?</w:t>
      </w:r>
    </w:p>
    <w:p w14:paraId="76586393" w14:textId="77777777" w:rsidR="001F7233" w:rsidRDefault="00000000">
      <w:r>
        <w:rPr>
          <w:b/>
        </w:rPr>
        <w:t xml:space="preserve">KURZ GESAGT: </w:t>
      </w:r>
    </w:p>
    <w:p w14:paraId="37F0F265" w14:textId="77777777" w:rsidR="001F7233" w:rsidRDefault="00000000">
      <w:r>
        <w:t>• Ein in den USA geborenes Kind ist mit der Geburt US-Bürger, auch bei Eltern mit Arbeitsvisum (Supreme Court, 30. Juni 2026). Ist ein Elternteil Deutscher, ist das Kind zugleich deutsch.</w:t>
      </w:r>
    </w:p>
    <w:p w14:paraId="318FD29A" w14:textId="77777777" w:rsidR="001F7233" w:rsidRDefault="00000000">
      <w:r>
        <w:t>• Eine Geburt kostet mit Arbeitgeberversicherung im Schnitt 2.743 $ Eigenanteil bei rund 20.400 $ Gesamtrechnung. Das Baby musst du meist binnen 30 Tagen im Plan anmelden.</w:t>
      </w:r>
    </w:p>
    <w:p w14:paraId="758F237A" w14:textId="77777777" w:rsidR="001F7233" w:rsidRDefault="00000000">
      <w:r>
        <w:t>• Bezahlten Familienurlaub gibt es nur in zwölf Staaten und im District of Columbia. Bundesweit gelten zwölf unbezahlte Wochen, und erst nach zwölf Monaten im Betrieb.</w:t>
      </w:r>
    </w:p>
    <w:p w14:paraId="0F50EEBE" w14:textId="77777777" w:rsidR="001F7233" w:rsidRDefault="00000000">
      <w:r>
        <w:t>• Kinderbetreuung kostet im Schnitt 13.184 $ im Jahr. Für Familien mit H-1B, L-1 oder E-2 sind Au-pairs ausgeschlossen.</w:t>
      </w:r>
    </w:p>
    <w:p w14:paraId="2EE3A666" w14:textId="77777777" w:rsidR="001F7233" w:rsidRDefault="00000000">
      <w:r>
        <w:t>• Wie lange Kinder allein bleiben dürfen, regelt jeder Staat anders. Prüfe die örtliche Lage, bevor du deutsche Maßstäbe anlegst.</w:t>
      </w:r>
    </w:p>
    <w:p w14:paraId="6E735372" w14:textId="77777777" w:rsidR="001F7233" w:rsidRDefault="00000000">
      <w:r>
        <w:t>• Bundes-Studienhilfe erhalten nur US-Bürger und Green-Card-Inhaber, und der H-4-Status eines Kindes endet mit 21.</w:t>
      </w:r>
    </w:p>
    <w:p w14:paraId="595525B0" w14:textId="77777777" w:rsidR="001F7233" w:rsidRDefault="001F7233">
      <w:pPr>
        <w:spacing w:line="220" w:lineRule="exact"/>
      </w:pPr>
    </w:p>
    <w:p w14:paraId="3293B2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Schwangerschaft und Geburt: Versicherung und Kosten</w:t>
      </w:r>
    </w:p>
    <w:p w14:paraId="673C1841" w14:textId="77777777" w:rsidR="001F7233" w:rsidRDefault="00000000">
      <w:pPr>
        <w:spacing w:after="140"/>
      </w:pPr>
      <w:r>
        <w:t>Kommst du schwanger oder wirst es bald, klärst du zuerst den Deckungsbeginn (Kapitel </w:t>
      </w:r>
      <w:hyperlink w:anchor="k26">
        <w:r w:rsidR="001F7233">
          <w:t>26</w:t>
        </w:r>
      </w:hyperlink>
      <w:r>
        <w:t>): Reise- und Kurzzeitpläne schließen Schwangerschaft und Geburt meist aus, im Arbeitgeberplan kann eine Wartefrist von bis zu 90 Tagen gelten. Ein Entbindungstermin vor dem Deckungsbeginn ist der teuerste denkbare Planungsfehler; verhandle „Deckung ab Tag 1“ deshalb schon beim Jobangebot.</w:t>
      </w:r>
    </w:p>
    <w:p w14:paraId="077B6689" w14:textId="77777777" w:rsidR="001F7233" w:rsidRDefault="00000000">
      <w:pPr>
        <w:spacing w:after="140"/>
      </w:pPr>
      <w:r>
        <w:t>Was eine Geburt kostet, zeigt die Auswertung von Peterson-KFF für Arbeitgeberpläne (Daten 2021–23):</w:t>
      </w:r>
    </w:p>
    <w:p w14:paraId="24193EFB" w14:textId="77777777" w:rsidR="001F7233" w:rsidRDefault="00000000">
      <w:r>
        <w:rPr>
          <w:b/>
        </w:rPr>
        <w:t>Geburt, Durchschnitt</w:t>
      </w:r>
    </w:p>
    <w:p w14:paraId="7791F946" w14:textId="77777777" w:rsidR="001F7233" w:rsidRDefault="00000000">
      <w:r>
        <w:rPr>
          <w:b/>
        </w:rPr>
        <w:t xml:space="preserve">Gesamtrechnung: </w:t>
      </w:r>
      <w:r>
        <w:t>20.416 $</w:t>
      </w:r>
    </w:p>
    <w:p w14:paraId="3614E752" w14:textId="77777777" w:rsidR="001F7233" w:rsidRDefault="00000000">
      <w:r>
        <w:rPr>
          <w:b/>
        </w:rPr>
        <w:t xml:space="preserve">Eigenanteil: </w:t>
      </w:r>
      <w:r>
        <w:t>2.743 $</w:t>
      </w:r>
    </w:p>
    <w:p w14:paraId="5AFAF60D" w14:textId="77777777" w:rsidR="001F7233" w:rsidRDefault="00000000">
      <w:r>
        <w:rPr>
          <w:b/>
        </w:rPr>
        <w:t>Vaginale Geburt</w:t>
      </w:r>
    </w:p>
    <w:p w14:paraId="68BE3294" w14:textId="77777777" w:rsidR="001F7233" w:rsidRDefault="00000000">
      <w:r>
        <w:rPr>
          <w:b/>
        </w:rPr>
        <w:t xml:space="preserve">Gesamtrechnung: </w:t>
      </w:r>
      <w:r>
        <w:t>15.712 $</w:t>
      </w:r>
    </w:p>
    <w:p w14:paraId="63A73A25" w14:textId="77777777" w:rsidR="001F7233" w:rsidRDefault="00000000">
      <w:r>
        <w:rPr>
          <w:b/>
        </w:rPr>
        <w:t xml:space="preserve">Eigenanteil: </w:t>
      </w:r>
      <w:r>
        <w:t>2.563 $</w:t>
      </w:r>
    </w:p>
    <w:p w14:paraId="216E8A3D" w14:textId="77777777" w:rsidR="001F7233" w:rsidRDefault="00000000">
      <w:r>
        <w:rPr>
          <w:b/>
        </w:rPr>
        <w:t>Kaiserschnitt</w:t>
      </w:r>
    </w:p>
    <w:p w14:paraId="28BA161C" w14:textId="77777777" w:rsidR="001F7233" w:rsidRDefault="00000000">
      <w:r>
        <w:rPr>
          <w:b/>
        </w:rPr>
        <w:t xml:space="preserve">Gesamtrechnung: </w:t>
      </w:r>
      <w:r>
        <w:t>28.998 $</w:t>
      </w:r>
    </w:p>
    <w:p w14:paraId="05EF02BF" w14:textId="77777777" w:rsidR="001F7233" w:rsidRDefault="00000000">
      <w:r>
        <w:rPr>
          <w:b/>
        </w:rPr>
        <w:t xml:space="preserve">Eigenanteil: </w:t>
      </w:r>
      <w:r>
        <w:t>3.071 $</w:t>
      </w:r>
    </w:p>
    <w:p w14:paraId="3D49134F" w14:textId="77777777" w:rsidR="001F7233" w:rsidRDefault="00000000">
      <w:r>
        <w:rPr>
          <w:b/>
        </w:rPr>
        <w:t>Neugeborenes, erstes Quartal</w:t>
      </w:r>
    </w:p>
    <w:p w14:paraId="377680D6" w14:textId="77777777" w:rsidR="001F7233" w:rsidRDefault="00000000">
      <w:r>
        <w:rPr>
          <w:b/>
        </w:rPr>
        <w:t xml:space="preserve">Gesamtrechnung: </w:t>
      </w:r>
      <w:r>
        <w:t>5.820 $</w:t>
      </w:r>
    </w:p>
    <w:p w14:paraId="583961FD" w14:textId="77777777" w:rsidR="001F7233" w:rsidRDefault="00000000">
      <w:r>
        <w:rPr>
          <w:b/>
        </w:rPr>
        <w:t xml:space="preserve">Eigenanteil: </w:t>
      </w:r>
      <w:r>
        <w:t>475 $</w:t>
      </w:r>
    </w:p>
    <w:p w14:paraId="2C71155B" w14:textId="77777777" w:rsidR="001F7233" w:rsidRDefault="001F7233">
      <w:pPr>
        <w:spacing w:line="180" w:lineRule="exact"/>
      </w:pPr>
    </w:p>
    <w:p w14:paraId="094D13DC" w14:textId="77777777" w:rsidR="001F7233" w:rsidRDefault="00000000">
      <w:pPr>
        <w:spacing w:after="140"/>
      </w:pPr>
      <w:r>
        <w:t>Der Eigenanteil steigt kaum mit der Rechnung, weil bei einem Klinikaufenthalt Selbstbehalt und Jahreshöchstgrenze meist rasch erreicht sind. Trotzdem fehlt rund einem Drittel der Mehrpersonenhaushalte laut derselben Auswertung das Bargeld für den typischen Eigenanteil. Ein Bundesgesetz schützt die Klinikzeit: Der Versicherer darf den Aufenthalt nicht unter 48 Stunden (vaginal) oder 96 Stunden (Kaiserschnitt) begrenzen.</w:t>
      </w:r>
    </w:p>
    <w:p w14:paraId="6CFFA38E" w14:textId="77777777" w:rsidR="001F7233" w:rsidRDefault="00000000">
      <w:pPr>
        <w:spacing w:after="140"/>
      </w:pPr>
      <w:r>
        <w:rPr>
          <w:i/>
          <w:iCs/>
        </w:rPr>
        <w:lastRenderedPageBreak/>
        <w:t>Du wählst eine Praxis für Geburtshilfe (OB-GYN) oder eine staatlich zugelassene Hebamme (Certified Nurse-Midwife). Die Klinik hängt oft von der Praxis ab. Prüfe beides im Netzwerk deines Plans. Auch dort können einzelne Ärzte, etwa die Anästhesie, außer liegen. Der No Surprises Act (Bundesgesetz gegen Überraschungsrechnungen) schützt dich davor meist. Wochenbettbetreuung mit Hebammenbesuchen zu Hause ist nicht Standard. Üblich sind ein Kontrolltermin in den ersten Wochen und ein umfassender bis zur zwölften Woche (Empfehlung des Fachverbands ACOG). Such früh auch eine Kinderarztpraxis (Pediatrician): Neupatienten warten oft Wochen.</w:t>
      </w:r>
    </w:p>
    <w:p w14:paraId="2632671D" w14:textId="77777777" w:rsidR="001F7233" w:rsidRDefault="00000000">
      <w:r>
        <w:rPr>
          <w:b/>
        </w:rPr>
        <w:t xml:space="preserve">ACHTUNG: </w:t>
      </w:r>
    </w:p>
    <w:p w14:paraId="76AA85FE" w14:textId="77777777" w:rsidR="001F7233" w:rsidRDefault="00000000">
      <w:r>
        <w:t>• Melde das Neugeborene innerhalb von 30 Tagen im Arbeitgeberplan an. Die Deckung gilt dann rückwirkend ab der Geburt. Über den Marktplatz hast du 60 Tage. Wer die Frist verpasst, bleibt meist bis zur nächsten Wahlphase ohne Deckung für das Kind.</w:t>
      </w:r>
    </w:p>
    <w:p w14:paraId="06E365E6" w14:textId="77777777" w:rsidR="001F7233" w:rsidRDefault="001F7233">
      <w:pPr>
        <w:spacing w:line="220" w:lineRule="exact"/>
      </w:pPr>
    </w:p>
    <w:p w14:paraId="5CC8EF83" w14:textId="77777777" w:rsidR="001F7233" w:rsidRDefault="00000000">
      <w:r>
        <w:rPr>
          <w:b/>
        </w:rPr>
        <w:t xml:space="preserve">SPARTIPP: </w:t>
      </w:r>
    </w:p>
    <w:p w14:paraId="23994EF5" w14:textId="77777777" w:rsidR="001F7233" w:rsidRDefault="00000000">
      <w:r>
        <w:t xml:space="preserve">• Frage die Klinik vor der Geburt nach einem Kostenvoranschlag. Selbstzahlern steht bei Terminen ab drei Werktagen im Voraus eine Schätzung zu (Good Faith Estimate). Gemeinnützige Krankenhäuser müssen zudem eine Regelung für Zahlungshilfe veröffentlichen (Financial Assistance Policy, </w:t>
      </w:r>
      <w:hyperlink w:anchor="k26">
        <w:r w:rsidR="001F7233">
          <w:rPr>
            <w:color w:val="0563C1"/>
            <w:u w:val="single"/>
          </w:rPr>
          <w:t>Kapitel 26</w:t>
        </w:r>
      </w:hyperlink>
      <w:r>
        <w:t>).</w:t>
      </w:r>
    </w:p>
    <w:p w14:paraId="4B76C2BA" w14:textId="77777777" w:rsidR="001F7233" w:rsidRDefault="001F7233">
      <w:pPr>
        <w:spacing w:line="220" w:lineRule="exact"/>
      </w:pPr>
    </w:p>
    <w:p w14:paraId="26193C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der Geburt: Urkunden, SSN und Pässe</w:t>
      </w:r>
    </w:p>
    <w:p w14:paraId="3131E52B" w14:textId="77777777" w:rsidR="001F7233" w:rsidRDefault="00000000">
      <w:pPr>
        <w:pStyle w:val="ListParagraph"/>
        <w:numPr>
          <w:ilvl w:val="0"/>
          <w:numId w:val="34"/>
        </w:numPr>
        <w:spacing w:after="60"/>
      </w:pPr>
      <w:r>
        <w:rPr>
          <w:b/>
          <w:bCs/>
        </w:rPr>
        <w:t>Geburtsurkunde.</w:t>
      </w:r>
      <w:r>
        <w:t xml:space="preserve"> Die Klinik meldet die Geburt der Personenstandsbehörde des Staates (</w:t>
      </w:r>
      <w:r>
        <w:rPr>
          <w:i/>
          <w:iCs/>
        </w:rPr>
        <w:t>Vital Records Office</w:t>
      </w:r>
      <w:r>
        <w:t>). Beglaubigte Kopien bestellst du dort oder beim County; die Erinnerungsurkunde der Klinik zählt nicht. Die Gebühr ist meist zweistellig und je Staat verschieden. Bestelle gleich mehrere Kopien.</w:t>
      </w:r>
    </w:p>
    <w:p w14:paraId="62317C15" w14:textId="77777777" w:rsidR="001F7233" w:rsidRDefault="00000000">
      <w:pPr>
        <w:pStyle w:val="ListParagraph"/>
        <w:numPr>
          <w:ilvl w:val="0"/>
          <w:numId w:val="2"/>
        </w:numPr>
        <w:spacing w:after="60"/>
      </w:pPr>
      <w:r>
        <w:rPr>
          <w:b/>
          <w:bCs/>
        </w:rPr>
        <w:lastRenderedPageBreak/>
        <w:t>SSN.</w:t>
      </w:r>
      <w:r>
        <w:t xml:space="preserve"> Den Antrag stellst du meist über das Klinikformular (</w:t>
      </w:r>
      <w:r>
        <w:rPr>
          <w:i/>
          <w:iCs/>
        </w:rPr>
        <w:t>Enumeration at Birth</w:t>
      </w:r>
      <w:r>
        <w:t>); die Karte kommt per Post. Sonst gilt der Antrag SS-5 bei der Sozialversicherungsbehörde (Kapitel </w:t>
      </w:r>
      <w:hyperlink w:anchor="k24">
        <w:r w:rsidR="001F7233">
          <w:t>24</w:t>
        </w:r>
      </w:hyperlink>
      <w:r>
        <w:t>).</w:t>
      </w:r>
    </w:p>
    <w:p w14:paraId="1F722D30" w14:textId="77777777" w:rsidR="001F7233" w:rsidRDefault="00000000">
      <w:pPr>
        <w:pStyle w:val="ListParagraph"/>
        <w:numPr>
          <w:ilvl w:val="0"/>
          <w:numId w:val="2"/>
        </w:numPr>
        <w:spacing w:after="60"/>
      </w:pPr>
      <w:r>
        <w:t xml:space="preserve">US-Reisepass. Für Kinder unter 16 beantragen ihn beide Eltern gemeinsam und persönlich (Formular DS-11) oder ein Elternteil mit schriftlicher Zustimmung des anderen. Gebühren und Bearbeitungszeit stehen auf </w:t>
      </w:r>
      <w:hyperlink r:id="rId500">
        <w:r w:rsidR="001F7233">
          <w:rPr>
            <w:color w:val="0563C1"/>
            <w:u w:val="single"/>
          </w:rPr>
          <w:t>travel.state.gov</w:t>
        </w:r>
      </w:hyperlink>
      <w:r>
        <w:t>. US-Bürger reisen mit US-Pass in die USA ein; das gilt auch für dein Baby.</w:t>
      </w:r>
    </w:p>
    <w:p w14:paraId="7A3C5211" w14:textId="77777777" w:rsidR="001F7233" w:rsidRDefault="00000000">
      <w:pPr>
        <w:pStyle w:val="ListParagraph"/>
        <w:numPr>
          <w:ilvl w:val="0"/>
          <w:numId w:val="2"/>
        </w:numPr>
        <w:spacing w:after="60"/>
      </w:pPr>
      <w:r>
        <w:rPr>
          <w:b/>
          <w:bCs/>
        </w:rPr>
        <w:t>Deutscher Kinder-ePass. Den Kinderreisepass gibt es seit 1. Januar 2024 nicht mehr. Das Konsulat verlangt laut Auswärtigem Amt beide Eltern und das Kind persönlich, dazu US-Geburtsurkunde, Elternpässe und Heiratsurkunde. Rechne mit sechs bis acht Wochen.</w:t>
      </w:r>
    </w:p>
    <w:p w14:paraId="772548E3" w14:textId="77777777" w:rsidR="001F7233" w:rsidRDefault="001F7233">
      <w:pPr>
        <w:spacing w:line="120" w:lineRule="exact"/>
      </w:pPr>
    </w:p>
    <w:p w14:paraId="6C6A30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Staatsangehörigkeit deines Kindes</w:t>
      </w:r>
    </w:p>
    <w:p w14:paraId="40CA67A9" w14:textId="77777777" w:rsidR="001F7233" w:rsidRDefault="00000000">
      <w:pPr>
        <w:spacing w:after="140"/>
      </w:pPr>
      <w:r>
        <w:t>Verbreiteter Irrtum: Die Geburt eines Kindes in den USA verschafft den Eltern kein Bleiberecht. Das Kind selbst erwirbt grundsätzlich die US-Staatsbürgerschaft bei der Geburt; die aktuellen Voraussetzungen und Rechtslage stehen in Kapitel 38.</w:t>
      </w:r>
    </w:p>
    <w:p w14:paraId="2FF798D6" w14:textId="77777777" w:rsidR="001F7233" w:rsidRDefault="00000000">
      <w:pPr>
        <w:spacing w:after="140"/>
      </w:pPr>
      <w:r>
        <w:t xml:space="preserve">Am 6. August 2026 folgten zwei neue Erlasse. Nach Berichten von Kanzleien betreffen sie enge Gruppen: Kinder ausländischer Regierungsbediensteter, Fälle von Betrug und kommerziellem Geburtstourismus sowie Kinder von Personen, die als „alien enemy“ eingestuft werden. Eltern mit H-1B, L-1, F-1 oder Green Card sind danach nicht gemeint. Bürgerrechtsorganisationen klagen; nach ihren Angaben erließ ein Bundesgericht am 2. September 2026 eine einstweilige Verfügung. Gesetzentwürfe liegen vor, verabschiedet ist </w:t>
      </w:r>
      <w:r>
        <w:lastRenderedPageBreak/>
        <w:t>bislang keiner. Die Lage kann sich rasch ändern: Frage vor der Geburt deine Kanzlei (Kapitel </w:t>
      </w:r>
      <w:hyperlink w:anchor="k11">
        <w:r w:rsidR="001F7233">
          <w:t>11</w:t>
        </w:r>
      </w:hyperlink>
      <w:r>
        <w:t>).</w:t>
      </w:r>
    </w:p>
    <w:p w14:paraId="48AF066F" w14:textId="77777777" w:rsidR="001F7233" w:rsidRDefault="00000000">
      <w:r>
        <w:rPr>
          <w:b/>
        </w:rPr>
        <w:t xml:space="preserve">MERKE: </w:t>
      </w:r>
    </w:p>
    <w:p w14:paraId="7D96AF1B" w14:textId="77777777" w:rsidR="001F7233" w:rsidRDefault="00000000">
      <w:r>
        <w:t>• Die US-Staatsbürgerschaft des Babys ändert nichts an deinem Status und dem deines Partners. Kinder, die im Ausland geboren werden, brauchen ein eigenes Visum (H-4), und ältere Geschwister bleiben Visa-Kinder (</w:t>
      </w:r>
      <w:hyperlink w:anchor="k10">
        <w:r w:rsidR="001F7233">
          <w:rPr>
            <w:color w:val="0563C1"/>
            <w:u w:val="single"/>
          </w:rPr>
          <w:t>Kapitel 10</w:t>
        </w:r>
      </w:hyperlink>
      <w:r>
        <w:t>).</w:t>
      </w:r>
    </w:p>
    <w:p w14:paraId="18C89666" w14:textId="77777777" w:rsidR="001F7233" w:rsidRDefault="001F7233">
      <w:pPr>
        <w:spacing w:line="220" w:lineRule="exact"/>
      </w:pPr>
    </w:p>
    <w:p w14:paraId="623E76A2" w14:textId="77777777" w:rsidR="001F7233" w:rsidRDefault="00000000">
      <w:pPr>
        <w:spacing w:after="140"/>
      </w:pPr>
      <w:r>
        <w:t>Die Staatsbürgerschaft hat auch Pflichten: Das Kind ist lebenslang steuerlich an die USA gebunden (Kapitel </w:t>
      </w:r>
      <w:hyperlink w:anchor="k28">
        <w:r w:rsidR="001F7233">
          <w:t>28</w:t>
        </w:r>
      </w:hyperlink>
      <w:r>
        <w:t>). Zugleich öffnet sie Türen, etwa die Bundes-Studienhilfe (siehe unten).</w:t>
      </w:r>
    </w:p>
    <w:p w14:paraId="115A0BCE" w14:textId="77777777" w:rsidR="001F7233" w:rsidRDefault="00000000">
      <w:pPr>
        <w:spacing w:after="140"/>
      </w:pPr>
      <w:r>
        <w:t>Ist ein Elternteil Deutscher, erwirbt das Kind die deutsche Staatsangehörigkeit mit der Geburt (§ 4 Abs. 1 Staatsangehörigkeitsgesetz, StAG). Für das Kind ist die doppelte Staatsangehörigkeit unproblematisch; für dich selbst gilt seit 27. Juni 2024, dass eine spätere US-Einbürgerung die deutsche Staatsangehörigkeit nicht mehr kostet (Kapitel </w:t>
      </w:r>
      <w:hyperlink w:anchor="k41">
        <w:r w:rsidR="001F7233">
          <w:t>41</w:t>
        </w:r>
      </w:hyperlink>
      <w:r>
        <w:t>). Für Eltern mit österreichischer oder Schweizer Staatsangehörigkeit gelten eigene Regeln, die dir die Vertretung nennt.</w:t>
      </w:r>
    </w:p>
    <w:p w14:paraId="4683A757" w14:textId="77777777" w:rsidR="001F7233" w:rsidRDefault="00000000">
      <w:pPr>
        <w:spacing w:after="140"/>
      </w:pPr>
      <w:r>
        <w:t xml:space="preserve">Die Beurkundung der Geburt (Antrag nach § 36 Personenstandsgesetz über das Konsulat) ist keine Bedingung für die deutsche Staatsangehörigkeit, aber ihr Nachweis. Sie kostet laut Auswärtigem Amt 80 € plus 12 € je Geburtsurkunde und kann nach Angaben von germany.info beim Standesamt I in Berlin mindestens drei Jahre dauern; einen Pass bekommt das Kind laut Konsulaten früher. Eine Ein-Jahres-Frist gilt nur, wenn du selbst nach dem 31. Dezember 1999 im Ausland geboren wurdest und dort lebst („Generationenschnitt“, § 4 Abs. 4 StAG). Für in Deutschland geborene Eltern trifft sie erst die Enkelgeneration. Beurkunde trotzdem: Der Nachweis erspart später Ärger. Seit 1. Mai 2025 gilt für Kinder im Ausland laut Auswärtigem Amt grundsätzlich ausländisches Namensrecht, sofern die Eltern nicht das deutsche wählen; kläre Namensfragen vor der Geburtsurkunde mit dem </w:t>
      </w:r>
      <w:r>
        <w:lastRenderedPageBreak/>
        <w:t>Konsulat. Welche Urkunden im Einzelnen nötig sind, etwa mit Apostille, steht bei deinem Konsulat (Kapitel </w:t>
      </w:r>
      <w:hyperlink w:anchor="k19">
        <w:r w:rsidR="001F7233">
          <w:t>19</w:t>
        </w:r>
      </w:hyperlink>
      <w:r>
        <w:t>).</w:t>
      </w:r>
    </w:p>
    <w:p w14:paraId="43B795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Elternzeit: die Realität</w:t>
      </w:r>
    </w:p>
    <w:p w14:paraId="74F7508A" w14:textId="77777777" w:rsidR="001F7233" w:rsidRDefault="00000000">
      <w:pPr>
        <w:spacing w:after="140"/>
      </w:pPr>
      <w:r>
        <w:rPr>
          <w:i/>
          <w:iCs/>
        </w:rPr>
        <w:t>Deutschland kennt 14 Wochen Mutterschutz, Elterngeld und Elternzeit mit Kündigungsschutz. In den USA gibt es bundesweit nur die Family and Medical Leave Act (FMLA): bis zu zwölf Wochen unbezahlte Freistellung für Geburt, Adoption oder Pflege, mit Rückkehrrecht auf dieselbe oder eine gleichwertige Stelle und fortlaufender Gruppenversicherung. Die Hürden: zwölf Monate im Betrieb, 1.250 Arbeitsstunden im Jahr davor und ein Arbeitgeber mit mindestens 50 Beschäftigten im Umkreis von 75 Meilen (ca. 120 km). Wer gerade eingewandert ist, hat im ersten Jahr beim Arbeitgeber meist keinen Anspruch.</w:t>
      </w:r>
    </w:p>
    <w:p w14:paraId="4ED9ADC7" w14:textId="77777777" w:rsidR="001F7233" w:rsidRDefault="00000000">
      <w:pPr>
        <w:spacing w:after="140"/>
      </w:pPr>
      <w:r>
        <w:t>Bezahlt wird nur nach Landesrecht: 2026 haben Kalifornien, Colorado, Connecticut, Delaware, Maine, Massachusetts, Minnesota, New Jersey, New York, Oregon, Rhode Island, Washington und der District of Columbia ein Programm; Maryland und Virginia sollen 2028 folgen. Einige Höchstwerte 2026:</w:t>
      </w:r>
    </w:p>
    <w:p w14:paraId="0FEC77A6" w14:textId="77777777" w:rsidR="001F7233" w:rsidRDefault="00000000">
      <w:r>
        <w:rPr>
          <w:b/>
        </w:rPr>
        <w:t>Kalifornien</w:t>
      </w:r>
    </w:p>
    <w:p w14:paraId="7DB6D24C" w14:textId="77777777" w:rsidR="001F7233" w:rsidRDefault="00000000">
      <w:r>
        <w:rPr>
          <w:b/>
        </w:rPr>
        <w:t xml:space="preserve">Dauer: </w:t>
      </w:r>
      <w:r>
        <w:t>8 Wochen</w:t>
      </w:r>
    </w:p>
    <w:p w14:paraId="69AEBA3F" w14:textId="77777777" w:rsidR="001F7233" w:rsidRDefault="00000000">
      <w:r>
        <w:rPr>
          <w:b/>
        </w:rPr>
        <w:t xml:space="preserve">Lohnersatz: </w:t>
      </w:r>
      <w:r>
        <w:t>70–90 %</w:t>
      </w:r>
    </w:p>
    <w:p w14:paraId="6F2C00D7" w14:textId="77777777" w:rsidR="001F7233" w:rsidRDefault="00000000">
      <w:r>
        <w:rPr>
          <w:b/>
        </w:rPr>
        <w:t xml:space="preserve">Höchstsatz je Woche: </w:t>
      </w:r>
      <w:r>
        <w:t>1.765 $</w:t>
      </w:r>
    </w:p>
    <w:p w14:paraId="06291EE9" w14:textId="77777777" w:rsidR="001F7233" w:rsidRDefault="00000000">
      <w:r>
        <w:rPr>
          <w:b/>
        </w:rPr>
        <w:t>New York</w:t>
      </w:r>
    </w:p>
    <w:p w14:paraId="72938C36" w14:textId="77777777" w:rsidR="001F7233" w:rsidRDefault="00000000">
      <w:r>
        <w:rPr>
          <w:b/>
        </w:rPr>
        <w:t xml:space="preserve">Dauer: </w:t>
      </w:r>
      <w:r>
        <w:t>12 Wochen</w:t>
      </w:r>
    </w:p>
    <w:p w14:paraId="2176DCF8" w14:textId="77777777" w:rsidR="001F7233" w:rsidRDefault="00000000">
      <w:r>
        <w:rPr>
          <w:b/>
        </w:rPr>
        <w:t xml:space="preserve">Lohnersatz: </w:t>
      </w:r>
      <w:r>
        <w:t>67 %</w:t>
      </w:r>
    </w:p>
    <w:p w14:paraId="6807D88E" w14:textId="77777777" w:rsidR="001F7233" w:rsidRDefault="00000000">
      <w:r>
        <w:rPr>
          <w:b/>
        </w:rPr>
        <w:t xml:space="preserve">Höchstsatz je Woche: </w:t>
      </w:r>
      <w:r>
        <w:t>1.228,53 $</w:t>
      </w:r>
    </w:p>
    <w:p w14:paraId="100B9DD9" w14:textId="77777777" w:rsidR="001F7233" w:rsidRDefault="00000000">
      <w:r>
        <w:rPr>
          <w:b/>
        </w:rPr>
        <w:t>New Jersey</w:t>
      </w:r>
    </w:p>
    <w:p w14:paraId="28B354A4" w14:textId="77777777" w:rsidR="001F7233" w:rsidRDefault="00000000">
      <w:r>
        <w:rPr>
          <w:b/>
        </w:rPr>
        <w:t xml:space="preserve">Dauer: </w:t>
      </w:r>
      <w:r>
        <w:t>bis 12 Wochen</w:t>
      </w:r>
    </w:p>
    <w:p w14:paraId="02C2E402" w14:textId="77777777" w:rsidR="001F7233" w:rsidRDefault="00000000">
      <w:r>
        <w:rPr>
          <w:b/>
        </w:rPr>
        <w:t xml:space="preserve">Lohnersatz: </w:t>
      </w:r>
      <w:r>
        <w:t>bis 85 %</w:t>
      </w:r>
    </w:p>
    <w:p w14:paraId="09B1DEB2" w14:textId="77777777" w:rsidR="001F7233" w:rsidRDefault="00000000">
      <w:r>
        <w:rPr>
          <w:b/>
        </w:rPr>
        <w:t xml:space="preserve">Höchstsatz je Woche: </w:t>
      </w:r>
      <w:r>
        <w:t>1.119 $</w:t>
      </w:r>
    </w:p>
    <w:p w14:paraId="07B90E77" w14:textId="77777777" w:rsidR="001F7233" w:rsidRDefault="00000000">
      <w:r>
        <w:rPr>
          <w:b/>
        </w:rPr>
        <w:t>Washington</w:t>
      </w:r>
    </w:p>
    <w:p w14:paraId="616C8D63" w14:textId="77777777" w:rsidR="001F7233" w:rsidRDefault="00000000">
      <w:r>
        <w:rPr>
          <w:b/>
        </w:rPr>
        <w:t xml:space="preserve">Dauer: </w:t>
      </w:r>
      <w:r>
        <w:t>bis 12 Wochen</w:t>
      </w:r>
    </w:p>
    <w:p w14:paraId="1C78F952" w14:textId="77777777" w:rsidR="001F7233" w:rsidRDefault="00000000">
      <w:r>
        <w:rPr>
          <w:b/>
        </w:rPr>
        <w:lastRenderedPageBreak/>
        <w:t xml:space="preserve">Lohnersatz: </w:t>
      </w:r>
      <w:r>
        <w:t>bis 90 %</w:t>
      </w:r>
    </w:p>
    <w:p w14:paraId="68017004" w14:textId="77777777" w:rsidR="001F7233" w:rsidRDefault="00000000">
      <w:r>
        <w:rPr>
          <w:b/>
        </w:rPr>
        <w:t xml:space="preserve">Höchstsatz je Woche: </w:t>
      </w:r>
      <w:r>
        <w:t>1.647 $</w:t>
      </w:r>
    </w:p>
    <w:p w14:paraId="1A333042" w14:textId="77777777" w:rsidR="001F7233" w:rsidRDefault="00000000">
      <w:r>
        <w:rPr>
          <w:b/>
        </w:rPr>
        <w:t>Massachusetts</w:t>
      </w:r>
    </w:p>
    <w:p w14:paraId="38CF0F8C" w14:textId="77777777" w:rsidR="001F7233" w:rsidRDefault="00000000">
      <w:r>
        <w:rPr>
          <w:b/>
        </w:rPr>
        <w:t xml:space="preserve">Dauer: </w:t>
      </w:r>
      <w:r>
        <w:t>12 Wochen</w:t>
      </w:r>
    </w:p>
    <w:p w14:paraId="7A9430D8" w14:textId="77777777" w:rsidR="001F7233" w:rsidRDefault="00000000">
      <w:r>
        <w:rPr>
          <w:b/>
        </w:rPr>
        <w:t xml:space="preserve">Lohnersatz: </w:t>
      </w:r>
      <w:r>
        <w:t>50–80 %</w:t>
      </w:r>
    </w:p>
    <w:p w14:paraId="2222B725" w14:textId="77777777" w:rsidR="001F7233" w:rsidRDefault="00000000">
      <w:r>
        <w:rPr>
          <w:b/>
        </w:rPr>
        <w:t xml:space="preserve">Höchstsatz je Woche: </w:t>
      </w:r>
      <w:r>
        <w:t>rund 1.230 $</w:t>
      </w:r>
    </w:p>
    <w:p w14:paraId="28D8D6D7" w14:textId="77777777" w:rsidR="001F7233" w:rsidRDefault="001F7233">
      <w:pPr>
        <w:spacing w:line="180" w:lineRule="exact"/>
      </w:pPr>
    </w:p>
    <w:p w14:paraId="21B6CC20" w14:textId="77777777" w:rsidR="001F7233" w:rsidRDefault="00000000">
      <w:pPr>
        <w:spacing w:after="140"/>
      </w:pPr>
      <w:r>
        <w:t>Die Werte für Kalifornien und New York stammen von den Landesbehörden, die übrigen aus Übersichten vom Frühjahr und Sommer 2026; prüfe sie bei der zuständigen Behörde. Der Anspruch hängt an Beschäftigung und Beiträgen. Wo es kein Programm gibt, bleiben Urlaubstage, Krankentage (gesetzlich bezahlt nur in rund 18 bis 19 Staaten und DC) und Ersparnisse. Verbreiteter Irrtum: Kindergeld und Elterngeld liefen nach dem Umzug in die USA einfach weiter. Tatsächlich kann Kindergeld trotz Wegzugs fortbestehen: Deutsche Staatsangehörige mit Auslandswohnsitz können unter bestimmten Voraussetzungen weiter anspruchsberechtigt sein, etwa bei unbeschränkter Steuerpflicht in Deutschland oder bei beschränkter Steuerpflicht mit sozialversicherungspflichtiger Beschäftigung. Lass die Familienkasse deinen konkreten Fall prüfen; Elterngeld hat eigene Wohnsitz- und Anspruchsvoraussetzungen (Kapitel </w:t>
      </w:r>
      <w:hyperlink w:anchor="k16">
        <w:r w:rsidR="001F7233">
          <w:t>16</w:t>
        </w:r>
      </w:hyperlink>
      <w:r>
        <w:t>–</w:t>
      </w:r>
      <w:hyperlink w:anchor="k17">
        <w:r w:rsidR="001F7233">
          <w:t>17</w:t>
        </w:r>
      </w:hyperlink>
      <w:r>
        <w:t>). Wer eine längere unbezahlte Auszeit plant, klärt vorher mit Arbeitgeber und Kanzlei die Folgen für Status und Gehalt (Kapitel </w:t>
      </w:r>
      <w:hyperlink w:anchor="k5">
        <w:r w:rsidR="001F7233">
          <w:t>5</w:t>
        </w:r>
      </w:hyperlink>
      <w:r>
        <w:t>).</w:t>
      </w:r>
    </w:p>
    <w:p w14:paraId="7CC1AF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Kosten, Wartelisten, Alternativen</w:t>
      </w:r>
    </w:p>
    <w:p w14:paraId="2D6A6376" w14:textId="77777777" w:rsidR="001F7233" w:rsidRDefault="00000000">
      <w:pPr>
        <w:spacing w:after="140"/>
      </w:pPr>
      <w:r>
        <w:t xml:space="preserve">Was in Deutschland Kita heißt, ist in den USA ein freier Markt: </w:t>
      </w:r>
      <w:r>
        <w:rPr>
          <w:i/>
          <w:iCs/>
        </w:rPr>
        <w:t>Daycare</w:t>
      </w:r>
      <w:r>
        <w:t xml:space="preserve"> oder </w:t>
      </w:r>
      <w:r>
        <w:rPr>
          <w:i/>
          <w:iCs/>
        </w:rPr>
        <w:t>Child Care Center</w:t>
      </w:r>
      <w:r>
        <w:t xml:space="preserve"> (Betreuungszentrum), </w:t>
      </w:r>
      <w:r>
        <w:rPr>
          <w:i/>
          <w:iCs/>
        </w:rPr>
        <w:t>Preschool</w:t>
      </w:r>
      <w:r>
        <w:t xml:space="preserve"> (Vorschule für 3- bis 4-Jährige) und </w:t>
      </w:r>
      <w:r>
        <w:rPr>
          <w:i/>
          <w:iCs/>
        </w:rPr>
        <w:t>Pre-K</w:t>
      </w:r>
      <w:r>
        <w:t xml:space="preserve"> (das Jahr vor dem </w:t>
      </w:r>
      <w:r>
        <w:rPr>
          <w:i/>
          <w:iCs/>
        </w:rPr>
        <w:t>Kindergarten</w:t>
      </w:r>
      <w:r>
        <w:t>, der in den USA mit fünf Jahren beginnt; Kapitel </w:t>
      </w:r>
      <w:hyperlink w:anchor="k36">
        <w:r w:rsidR="001F7233">
          <w:t>36</w:t>
        </w:r>
      </w:hyperlink>
      <w:r>
        <w:t xml:space="preserve">). Der Durchschnittspreis lag 2025 bei 13.184 $ im Jahr, 23 % mehr als 2021 (Child Care Aware of America). Für Säuglinge in Zentren reicht </w:t>
      </w:r>
      <w:r>
        <w:lastRenderedPageBreak/>
        <w:t>die Spanne nach EPI-Daten von rund 6.900 $ in Mississippi bis über 20.000 $ in Washington D.C., Massachusetts, Minnesota oder Kalifornien.</w:t>
      </w:r>
    </w:p>
    <w:p w14:paraId="65766122" w14:textId="77777777" w:rsidR="001F7233" w:rsidRDefault="00000000">
      <w:r>
        <w:rPr>
          <w:b/>
        </w:rPr>
        <w:t>Betreuungszentrum</w:t>
      </w:r>
    </w:p>
    <w:p w14:paraId="09794932" w14:textId="77777777" w:rsidR="001F7233" w:rsidRDefault="00000000">
      <w:r>
        <w:rPr>
          <w:b/>
        </w:rPr>
        <w:t xml:space="preserve">Kosten (2025/26): </w:t>
      </w:r>
      <w:r>
        <w:t>Ø 13.184 $ pro Jahr</w:t>
      </w:r>
    </w:p>
    <w:p w14:paraId="0CF9AF9A" w14:textId="77777777" w:rsidR="001F7233" w:rsidRDefault="00000000">
      <w:r>
        <w:rPr>
          <w:b/>
        </w:rPr>
        <w:t xml:space="preserve">Bemerkung: </w:t>
      </w:r>
      <w:r>
        <w:t>Angebot schrumpft, Wartelisten</w:t>
      </w:r>
    </w:p>
    <w:p w14:paraId="61D24F68" w14:textId="77777777" w:rsidR="001F7233" w:rsidRDefault="00000000">
      <w:r>
        <w:rPr>
          <w:b/>
        </w:rPr>
        <w:t>Tagesmutter im Privathaus (Family Child Care)</w:t>
      </w:r>
    </w:p>
    <w:p w14:paraId="5C3D25EA" w14:textId="77777777" w:rsidR="001F7233" w:rsidRDefault="00000000">
      <w:r>
        <w:rPr>
          <w:b/>
        </w:rPr>
        <w:t xml:space="preserve">Kosten (2025/26): </w:t>
      </w:r>
      <w:r>
        <w:t>meist günstiger als Zentrum</w:t>
      </w:r>
    </w:p>
    <w:p w14:paraId="30E479BF" w14:textId="77777777" w:rsidR="001F7233" w:rsidRDefault="00000000">
      <w:r>
        <w:rPr>
          <w:b/>
        </w:rPr>
        <w:t xml:space="preserve">Bemerkung: </w:t>
      </w:r>
      <w:r>
        <w:t>Angebot wächst leicht (+1,4 % 2025)</w:t>
      </w:r>
    </w:p>
    <w:p w14:paraId="481F51E7" w14:textId="77777777" w:rsidR="001F7233" w:rsidRDefault="00000000">
      <w:r>
        <w:rPr>
          <w:b/>
        </w:rPr>
        <w:t>Nanny</w:t>
      </w:r>
    </w:p>
    <w:p w14:paraId="7495E9A0" w14:textId="77777777" w:rsidR="001F7233" w:rsidRDefault="00000000">
      <w:r>
        <w:rPr>
          <w:b/>
        </w:rPr>
        <w:t xml:space="preserve">Kosten (2025/26): </w:t>
      </w:r>
      <w:r>
        <w:t>Ø 21,75 $ pro Stunde, ca. 870 $ pro Woche</w:t>
      </w:r>
    </w:p>
    <w:p w14:paraId="36308FBE" w14:textId="77777777" w:rsidR="001F7233" w:rsidRDefault="00000000">
      <w:r>
        <w:rPr>
          <w:b/>
        </w:rPr>
        <w:t xml:space="preserve">Bemerkung: </w:t>
      </w:r>
      <w:r>
        <w:t>San Francisco 30,20 $, San Antonio 18,71 $</w:t>
      </w:r>
    </w:p>
    <w:p w14:paraId="0007462B" w14:textId="77777777" w:rsidR="001F7233" w:rsidRDefault="00000000">
      <w:r>
        <w:rPr>
          <w:b/>
        </w:rPr>
        <w:t>Au-pair</w:t>
      </w:r>
    </w:p>
    <w:p w14:paraId="321B8071" w14:textId="77777777" w:rsidR="001F7233" w:rsidRDefault="00000000">
      <w:r>
        <w:rPr>
          <w:b/>
        </w:rPr>
        <w:t xml:space="preserve">Kosten (2025/26): </w:t>
      </w:r>
      <w:r>
        <w:t>ca. 1.785 $ pro Monat plus Kost und Logis</w:t>
      </w:r>
    </w:p>
    <w:p w14:paraId="641B37F5" w14:textId="77777777" w:rsidR="001F7233" w:rsidRDefault="00000000">
      <w:r>
        <w:rPr>
          <w:b/>
        </w:rPr>
        <w:t xml:space="preserve">Bemerkung: </w:t>
      </w:r>
      <w:r>
        <w:t>Nur für Familien mit US-Pass oder Green Card</w:t>
      </w:r>
    </w:p>
    <w:p w14:paraId="033E8F5E" w14:textId="77777777" w:rsidR="001F7233" w:rsidRDefault="00000000">
      <w:r>
        <w:rPr>
          <w:b/>
        </w:rPr>
        <w:t>After-School</w:t>
      </w:r>
    </w:p>
    <w:p w14:paraId="120EC911" w14:textId="77777777" w:rsidR="001F7233" w:rsidRDefault="00000000">
      <w:r>
        <w:rPr>
          <w:b/>
        </w:rPr>
        <w:t xml:space="preserve">Kosten (2025/26): </w:t>
      </w:r>
      <w:r>
        <w:t>grob 200–450 $ pro Monat</w:t>
      </w:r>
    </w:p>
    <w:p w14:paraId="5C444254" w14:textId="77777777" w:rsidR="001F7233" w:rsidRDefault="00000000">
      <w:r>
        <w:rPr>
          <w:b/>
        </w:rPr>
        <w:t xml:space="preserve">Bemerkung: </w:t>
      </w:r>
      <w:r>
        <w:t>Schulische Programme meist günstiger</w:t>
      </w:r>
    </w:p>
    <w:p w14:paraId="41B1875A" w14:textId="77777777" w:rsidR="001F7233" w:rsidRDefault="00000000">
      <w:r>
        <w:rPr>
          <w:b/>
        </w:rPr>
        <w:t>Sommercamp (Tagescamp)</w:t>
      </w:r>
    </w:p>
    <w:p w14:paraId="52A264AE" w14:textId="77777777" w:rsidR="001F7233" w:rsidRDefault="00000000">
      <w:r>
        <w:rPr>
          <w:b/>
        </w:rPr>
        <w:t xml:space="preserve">Kosten (2025/26): </w:t>
      </w:r>
      <w:r>
        <w:t>grob 200–500 $ pro Woche</w:t>
      </w:r>
    </w:p>
    <w:p w14:paraId="3AFD5103" w14:textId="77777777" w:rsidR="001F7233" w:rsidRDefault="00000000">
      <w:r>
        <w:rPr>
          <w:b/>
        </w:rPr>
        <w:t xml:space="preserve">Bemerkung: </w:t>
      </w:r>
      <w:r>
        <w:t>YMCA und Gemeindeprogramme günstiger</w:t>
      </w:r>
    </w:p>
    <w:p w14:paraId="2319A5DA" w14:textId="77777777" w:rsidR="001F7233" w:rsidRDefault="001F7233">
      <w:pPr>
        <w:spacing w:line="180" w:lineRule="exact"/>
      </w:pPr>
    </w:p>
    <w:p w14:paraId="29FC53CB" w14:textId="77777777" w:rsidR="001F7233" w:rsidRDefault="00000000">
      <w:pPr>
        <w:spacing w:after="140"/>
      </w:pPr>
      <w:r>
        <w:t>Die Nanny-Zahlen stammen von Care.com (Mai 2026), die Angaben zu After-School und Camps aus uneinheitlichen Verbraucherportalen: Frage Träger und Schule nach dem tatsächlichen Preis. Wer eine Nanny fest anstellt, wird Haushaltsarbeitgeber: Die Nanny braucht eine Arbeitserlaubnis, die du prüfen musst (Formular I-9), und ab einem Jahreslohn von 3.000 $ fallen Sozialabgaben an (Kapitel </w:t>
      </w:r>
      <w:hyperlink w:anchor="k28">
        <w:r w:rsidR="001F7233">
          <w:t>28</w:t>
        </w:r>
      </w:hyperlink>
      <w:r>
        <w:t>).</w:t>
      </w:r>
    </w:p>
    <w:p w14:paraId="5027640B" w14:textId="77777777" w:rsidR="001F7233" w:rsidRDefault="00000000">
      <w:pPr>
        <w:spacing w:after="140"/>
      </w:pPr>
      <w:r>
        <w:t xml:space="preserve">Staatlich finanzierte Pre-K erreichte 2024/25 rund 37 % der Vierjährigen und 9 % der Dreijährigen (NIEER). Die Spanne ist enorm: Washington D.C. 94 %, Vermont 72 %, Colorado 70 %; Idaho, Indiana, Montana, New Hampshire, South Dakota und Wyoming haben kein Programm. Säuglingsplätze in Großstädten sind oft nur </w:t>
      </w:r>
      <w:r>
        <w:lastRenderedPageBreak/>
        <w:t>über Wartelisten von mehreren Monaten zu bekommen. Melde dich schon in der Schwangerschaft an.</w:t>
      </w:r>
    </w:p>
    <w:p w14:paraId="1235D6E9" w14:textId="77777777" w:rsidR="001F7233" w:rsidRDefault="00000000">
      <w:r>
        <w:rPr>
          <w:b/>
        </w:rPr>
        <w:t xml:space="preserve">ACHTUNG: </w:t>
      </w:r>
    </w:p>
    <w:p w14:paraId="3682651D" w14:textId="77777777" w:rsidR="001F7233" w:rsidRDefault="00000000">
      <w:r>
        <w:t>• Au-pairs (J-1) gibt es nur für Gastfamilien, die US-Bürger oder Green-Card-Inhaber sind. Mit H-1B, L-1 oder E-2 bist du ausgeschlossen (State Department). Bleiben Nanny, Zentrum, Tagesmutter oder eine Nanny-Teilung mit einer Nachbarfamilie.</w:t>
      </w:r>
    </w:p>
    <w:p w14:paraId="436DD36A" w14:textId="77777777" w:rsidR="001F7233" w:rsidRDefault="001F7233">
      <w:pPr>
        <w:spacing w:line="220" w:lineRule="exact"/>
      </w:pPr>
    </w:p>
    <w:p w14:paraId="67546717" w14:textId="77777777" w:rsidR="001F7233" w:rsidRDefault="00000000">
      <w:r>
        <w:rPr>
          <w:b/>
        </w:rPr>
        <w:t xml:space="preserve">SPARTIPP: </w:t>
      </w:r>
    </w:p>
    <w:p w14:paraId="2C03D88A" w14:textId="77777777" w:rsidR="001F7233" w:rsidRDefault="00000000">
      <w:r>
        <w:t>• Viele Arbeitgeber bieten ein Dependent Care FSA an: Du zahlst Betreuungskosten aus dem Bruttolohn bis zu einer jährlichen Höchstgrenze und sparst Steuern. Frage die Personalabteilung nach der aktuellen Höhe und melde dich rechtzeitig an. Die Geburt eines Kindes zählt meist als Anlass für eine Anmeldung außer der Wahlphase.</w:t>
      </w:r>
    </w:p>
    <w:p w14:paraId="2A96F14A" w14:textId="77777777" w:rsidR="001F7233" w:rsidRDefault="001F7233">
      <w:pPr>
        <w:spacing w:line="220" w:lineRule="exact"/>
      </w:pPr>
    </w:p>
    <w:p w14:paraId="7BB35E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Erziehung und Sicherheit im Alltag</w:t>
      </w:r>
    </w:p>
    <w:p w14:paraId="2B3C49CF" w14:textId="77777777" w:rsidR="001F7233" w:rsidRDefault="00000000">
      <w:pPr>
        <w:spacing w:after="140"/>
      </w:pPr>
      <w:r>
        <w:t>Nachhilfe und Lernförderung: Frage zuerst den Schulbezirk nach schulischer Förderung, Englischlernprogramm und vorhandenen Tutorien. Private Nachhilfe ist davon getrennt und wird meist auch vereinbart. Vergleiche Qualifikation, Referenzen, Hintergrundprüfung, Unterrichtsort, Ausfallregel und Gesamtkosten über das Schuljahr. Preise und Förderangebote sind lokal; prüfe sie bei Schule und Anbieter statt mit einem Landesdurchschnitt zu planen.</w:t>
      </w:r>
    </w:p>
    <w:p w14:paraId="42E85BCC" w14:textId="77777777" w:rsidR="001F7233" w:rsidRDefault="00000000">
      <w:pPr>
        <w:spacing w:after="140"/>
      </w:pPr>
      <w:r>
        <w:t>Amerikanische Kindheit ist stärker organisiert als deutsche. Vier Beobachtungen aus dem Alltag:</w:t>
      </w:r>
    </w:p>
    <w:p w14:paraId="67167387" w14:textId="77777777" w:rsidR="001F7233" w:rsidRDefault="00000000">
      <w:pPr>
        <w:pStyle w:val="ListParagraph"/>
        <w:numPr>
          <w:ilvl w:val="0"/>
          <w:numId w:val="1"/>
        </w:numPr>
        <w:spacing w:after="60"/>
      </w:pPr>
      <w:r>
        <w:rPr>
          <w:i/>
          <w:iCs/>
        </w:rPr>
        <w:t>Kinder verabreden sich per Playdate, meist zwischen den Eltern abgesprochen. Unangemeldetes Klingeln bei Nachbarn ist seltener als in Deutschland. Ein spontaner Nachmittag ohne Kalendereintrag kommt manchmal einer kleinen Grenzüberschreitung gleich.</w:t>
      </w:r>
    </w:p>
    <w:p w14:paraId="635AFAC0" w14:textId="77777777" w:rsidR="001F7233" w:rsidRDefault="00000000">
      <w:pPr>
        <w:pStyle w:val="ListParagraph"/>
        <w:numPr>
          <w:ilvl w:val="0"/>
          <w:numId w:val="1"/>
        </w:numPr>
        <w:spacing w:after="60"/>
      </w:pPr>
      <w:r>
        <w:lastRenderedPageBreak/>
        <w:t>Viele Kinder werden gefahren oder fahren mit dem Schulbus. In Vororten ohne Gehwege ist der Fußweg oft keine Option.</w:t>
      </w:r>
    </w:p>
    <w:p w14:paraId="3452897E" w14:textId="77777777" w:rsidR="001F7233" w:rsidRDefault="00000000">
      <w:pPr>
        <w:pStyle w:val="ListParagraph"/>
        <w:numPr>
          <w:ilvl w:val="0"/>
          <w:numId w:val="1"/>
        </w:numPr>
        <w:spacing w:after="60"/>
      </w:pPr>
      <w:r>
        <w:t>Sport, Musik und Ferienprogramme werden saisonweise gebucht und bezahlt.</w:t>
      </w:r>
    </w:p>
    <w:p w14:paraId="5D717645" w14:textId="77777777" w:rsidR="001F7233" w:rsidRDefault="00000000">
      <w:pPr>
        <w:pStyle w:val="ListParagraph"/>
        <w:numPr>
          <w:ilvl w:val="0"/>
          <w:numId w:val="1"/>
        </w:numPr>
        <w:spacing w:after="60"/>
      </w:pPr>
      <w:r>
        <w:t>Lehrkräfte, Ärzte und Erzieher sind zur Meldung von Verdachtsfällen verpflichtet (</w:t>
      </w:r>
      <w:r>
        <w:rPr>
          <w:i/>
          <w:iCs/>
        </w:rPr>
        <w:t>Mandated Reporter</w:t>
      </w:r>
      <w:r>
        <w:t>). Die Kinderschutzbehörde (</w:t>
      </w:r>
      <w:r>
        <w:rPr>
          <w:i/>
          <w:iCs/>
        </w:rPr>
        <w:t>Child Protective Services</w:t>
      </w:r>
      <w:r>
        <w:t>, CPS) jedes Staates geht auch Hinweisen von Nachbarn nach.</w:t>
      </w:r>
    </w:p>
    <w:p w14:paraId="64D32A8D" w14:textId="77777777" w:rsidR="001F7233" w:rsidRDefault="001F7233">
      <w:pPr>
        <w:spacing w:line="120" w:lineRule="exact"/>
      </w:pPr>
    </w:p>
    <w:p w14:paraId="14145C3C" w14:textId="77777777" w:rsidR="001F7233" w:rsidRDefault="00000000">
      <w:pPr>
        <w:spacing w:after="140"/>
      </w:pPr>
      <w:r>
        <w:t>Bei der Sicherheit unterscheiden sich vor allem vier Punkte:</w:t>
      </w:r>
    </w:p>
    <w:p w14:paraId="6C232AAF" w14:textId="77777777" w:rsidR="001F7233" w:rsidRDefault="00000000">
      <w:pPr>
        <w:pStyle w:val="ListParagraph"/>
        <w:numPr>
          <w:ilvl w:val="0"/>
          <w:numId w:val="1"/>
        </w:numPr>
        <w:spacing w:after="60"/>
      </w:pPr>
      <w:r>
        <w:rPr>
          <w:b/>
          <w:bCs/>
        </w:rPr>
        <w:t>Autositz.</w:t>
      </w:r>
      <w:r>
        <w:t xml:space="preserve"> Pflicht in allen Staaten, mit unterschiedlichen Grenzen für Lebensjahr, Größe und Gewicht. Die Kinderärzte-Vereinigung AAP rät, Kinder rückwärtsgerichtet zu fahren, solange der Sitz es zulässt. Die Verkehrsbehörde NHTSA empfiehlt eine Sitzerhöhung (</w:t>
      </w:r>
      <w:r>
        <w:rPr>
          <w:i/>
          <w:iCs/>
        </w:rPr>
        <w:t>Booster</w:t>
      </w:r>
      <w:r>
        <w:t>) bis etwa 4 ft 9 in (ca. 1,45 m) Körpergröße und Kinder bis 12 Jahre möglichst auf der Rückbank. Deutsche ECE-Sitze erfüllen die US-Norm FMVSS 213 nicht; kaufe den Sitz vor Ort (Kapitel </w:t>
      </w:r>
      <w:hyperlink w:anchor="k21">
        <w:r w:rsidR="001F7233">
          <w:t>21</w:t>
        </w:r>
      </w:hyperlink>
      <w:r>
        <w:t>).</w:t>
      </w:r>
    </w:p>
    <w:p w14:paraId="1C2960F4" w14:textId="77777777" w:rsidR="001F7233" w:rsidRDefault="00000000">
      <w:pPr>
        <w:pStyle w:val="ListParagraph"/>
        <w:numPr>
          <w:ilvl w:val="0"/>
          <w:numId w:val="1"/>
        </w:numPr>
        <w:spacing w:after="60"/>
      </w:pPr>
      <w:r>
        <w:rPr>
          <w:b/>
          <w:bCs/>
        </w:rPr>
        <w:t>Fahrradhelm.</w:t>
      </w:r>
      <w:r>
        <w:t xml:space="preserve"> Rund 22 Staaten inklusive DC haben ein landesweites Helmgesetz, meist für Minderjährige (Altersgrenzen 12 bis 18), dazu über 200 lokale Vorschriften (BHSI, August 2026). Auch ohne Pflicht ist der Helm sinnvoll.</w:t>
      </w:r>
    </w:p>
    <w:p w14:paraId="7A794156" w14:textId="77777777" w:rsidR="001F7233" w:rsidRDefault="00000000">
      <w:pPr>
        <w:pStyle w:val="ListParagraph"/>
        <w:numPr>
          <w:ilvl w:val="0"/>
          <w:numId w:val="1"/>
        </w:numPr>
        <w:spacing w:after="60"/>
      </w:pPr>
      <w:r>
        <w:rPr>
          <w:b/>
          <w:bCs/>
        </w:rPr>
        <w:t>Pool.</w:t>
      </w:r>
      <w:r>
        <w:t xml:space="preserve"> Ertrinken gehört zu den häufigsten Todesursachen kleiner Kinder. Viele Kommunen verlangen für Privatpools einen Zaun (meist rund 1,20 m) mit selbstschließendem Tor; als Eigentümer kannst du haften, wenn fremde Kinder hineinfallen. Als Mieter frage Vermieter oder Eigentümergemeinschaft (Kapitel </w:t>
      </w:r>
      <w:hyperlink w:anchor="k13">
        <w:r w:rsidR="001F7233">
          <w:t>13</w:t>
        </w:r>
      </w:hyperlink>
      <w:r>
        <w:t>–</w:t>
      </w:r>
      <w:hyperlink w:anchor="k14">
        <w:r w:rsidR="001F7233">
          <w:t>14</w:t>
        </w:r>
      </w:hyperlink>
      <w:r>
        <w:t>).</w:t>
      </w:r>
    </w:p>
    <w:p w14:paraId="18CC7223" w14:textId="77777777" w:rsidR="001F7233" w:rsidRDefault="00000000">
      <w:pPr>
        <w:pStyle w:val="ListParagraph"/>
        <w:numPr>
          <w:ilvl w:val="0"/>
          <w:numId w:val="1"/>
        </w:numPr>
        <w:spacing w:after="60"/>
      </w:pPr>
      <w:r>
        <w:rPr>
          <w:b/>
          <w:bCs/>
        </w:rPr>
        <w:t>Schulbus.</w:t>
      </w:r>
      <w:r>
        <w:t xml:space="preserve"> Blinkt der Bus rot und fährt den Stoparm aus, musst du halten (Gesetze in allen Staaten, je nach Straße auch im Gegenverkehr). Der Bus gilt laut NHTSA als über 70-mal sicherer als die Autofahrt.</w:t>
      </w:r>
    </w:p>
    <w:p w14:paraId="76435FC9" w14:textId="77777777" w:rsidR="001F7233" w:rsidRDefault="001F7233">
      <w:pPr>
        <w:spacing w:line="120" w:lineRule="exact"/>
      </w:pPr>
    </w:p>
    <w:p w14:paraId="11BE8F45" w14:textId="77777777" w:rsidR="001F7233" w:rsidRDefault="00000000">
      <w:pPr>
        <w:spacing w:after="140"/>
      </w:pPr>
      <w:r>
        <w:t>Wie du das Thema Waffen im Haushalt bei Verabredungen ansprichst, steht in Kapitel </w:t>
      </w:r>
      <w:hyperlink w:anchor="k40">
        <w:r w:rsidR="001F7233">
          <w:t>40</w:t>
        </w:r>
      </w:hyperlink>
      <w:r>
        <w:t>.</w:t>
      </w:r>
    </w:p>
    <w:p w14:paraId="568AF7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Kinder allein lassen: Rechtslage und Kulturkonflikt</w:t>
      </w:r>
    </w:p>
    <w:p w14:paraId="2C3C1A08" w14:textId="77777777" w:rsidR="001F7233" w:rsidRDefault="00000000">
      <w:pPr>
        <w:spacing w:after="140"/>
      </w:pPr>
      <w:r>
        <w:rPr>
          <w:i/>
          <w:iCs/>
        </w:rPr>
        <w:t>Für deutsche Eltern ist der Schulweg ab der ersten Klasse allein normal. In den USA gibt es dazu kein Bundesgesetz, sondern Landesrecht, Behördenrichtlinien und Nachbarschaftsnormen. Maryland verbietet, ein Kind unter 8 Jahren eingesperrt oder außer Sicht ohne zuverlässige Aufsicht (mindestens 13 Jahre) zu lassen (Family Law § 5-801). Oregon wertet es als Vernachlässigung zweiten Grades, ein Kind unter 10 Jahren so allein zu lassen, dass seine Gesundheit gefährdet sein kann (ORS 163.545). Illinois nennt 14 Jahre als Richtwert, ohne gesetzliche Grenze. Dagegen haben 13 Staaten seit 2018 Gesetze zur Reasonable Childhood Independence erlassen, die angemessene Selbständigkeit ausdrücklich nicht als Vernachlässigung werten, zuerst Utah, später u. a. Texas, Colorado, Virginia und Florida (Let Grow, Stand April 2026).</w:t>
      </w:r>
    </w:p>
    <w:p w14:paraId="18BF7F33" w14:textId="77777777" w:rsidR="001F7233" w:rsidRDefault="00000000">
      <w:pPr>
        <w:spacing w:after="140"/>
      </w:pPr>
      <w:r>
        <w:t>Auch ohne Gesetz gilt: Eine besorgte Nachbarin oder Lehrkraft kann CPS einschalten. Ein Kind allein im geparkten Auto ist in etlichen Staaten ausdrücklich verboten und im Sommer lebensgefährlich. Ein viel zitierter Fall aus Maryland (2014/15) zeigt das Risiko: Es wurde gegen Eltern ermittelt, weil ihre Kinder allein vom Park heimgingen.</w:t>
      </w:r>
    </w:p>
    <w:p w14:paraId="057F7649" w14:textId="77777777" w:rsidR="001F7233" w:rsidRDefault="001F7233">
      <w:pPr>
        <w:spacing w:line="220" w:lineRule="exact"/>
      </w:pPr>
    </w:p>
    <w:p w14:paraId="05E98F30" w14:textId="77777777" w:rsidR="001F7233" w:rsidRDefault="00000000">
      <w:r>
        <w:rPr>
          <w:b/>
        </w:rPr>
        <w:t xml:space="preserve">MERKE: </w:t>
      </w:r>
    </w:p>
    <w:p w14:paraId="6C26CE8B" w14:textId="77777777" w:rsidR="001F7233" w:rsidRDefault="00000000">
      <w:r>
        <w:t>• Es gibt keine bundesweite Altersgrenze. Wichtig sind Staat, Lebensjahr, Reife und Umstände. Wähle bis zum Kennenlernen der örtlichen Gepflogenheiten die vorsichtigere Variante und sprich mit Nachbarn und Schule.</w:t>
      </w:r>
    </w:p>
    <w:p w14:paraId="27CEADD9" w14:textId="77777777" w:rsidR="001F7233" w:rsidRDefault="001F7233">
      <w:pPr>
        <w:spacing w:line="220" w:lineRule="exact"/>
      </w:pPr>
    </w:p>
    <w:p w14:paraId="3EF021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Teenager: Führerschein, Sport, Alkohol, Social Media</w:t>
      </w:r>
    </w:p>
    <w:p w14:paraId="1D3BF9B3" w14:textId="77777777" w:rsidR="001F7233" w:rsidRDefault="00000000">
      <w:pPr>
        <w:spacing w:after="140"/>
      </w:pPr>
      <w:r>
        <w:rPr>
          <w:b/>
          <w:bCs/>
        </w:rPr>
        <w:t>Führerschein mit 16.</w:t>
      </w:r>
      <w:r>
        <w:t xml:space="preserve"> In den meisten Staaten beginnt der Weg (</w:t>
      </w:r>
      <w:r>
        <w:rPr>
          <w:i/>
          <w:iCs/>
        </w:rPr>
        <w:t>Graduated Driver Licensing</w:t>
      </w:r>
      <w:r>
        <w:t>, GDL) mit einem Lernführerschein (</w:t>
      </w:r>
      <w:r>
        <w:rPr>
          <w:i/>
          <w:iCs/>
        </w:rPr>
        <w:t>Learner’s Permit</w:t>
      </w:r>
      <w:r>
        <w:t>) ab 15 Jahren; die Spanne reicht von 14 bis 16, New Jersey beginnt mit 16. Es folgen 20 bis 70 Stunden begleitete Fahrpraxis, meist etwa 50, und eine Zwischenlizenz mit Nachtfahrverbot (meist zwischen 21 und 24 Uhr bis 4 oder 6 Uhr) und Mitfahrerlimit (IIHS, September 2026). Deutschland erlaubt begleitetes Fahren frühestens mit 17. In Vororten ohne Bahn und Bus ist der Führerschein der Schlüssel zur Selbständigkeit: Der erste eigene Trip zum Drive-in-Restaurant ohne Elternbegleitung ist für viele Teenager ein Meilenstein, den es in dieser Form in Deutschland erst mit 18 gibt. Er verteuert aber die Familienpolice spürbar. Hole vor dem 16. Geburtstag ein Angebot ein (Kapitel </w:t>
      </w:r>
      <w:hyperlink w:anchor="k25">
        <w:r w:rsidR="001F7233">
          <w:t>25</w:t>
        </w:r>
      </w:hyperlink>
      <w:r>
        <w:t xml:space="preserve"> und </w:t>
      </w:r>
      <w:hyperlink w:anchor="k27">
        <w:r w:rsidR="001F7233">
          <w:t>27</w:t>
        </w:r>
      </w:hyperlink>
      <w:r>
        <w:t>).</w:t>
      </w:r>
    </w:p>
    <w:p w14:paraId="20E6FB81" w14:textId="77777777" w:rsidR="001F7233" w:rsidRDefault="00000000">
      <w:pPr>
        <w:spacing w:after="140"/>
      </w:pPr>
      <w:r>
        <w:rPr>
          <w:b/>
          <w:bCs/>
        </w:rPr>
        <w:t>Sport. Schulmannschaften (Varsity und Junior Varsity) prägen das Schulleben. Die Aufnahme läuft meist über Tryouts vor der Saison, dazu kommen oft eine Sporttauglichkeitsuntersuchung (Sports Physical) und in manchen Distrikten eine Teilnahmegebühr. Frage bei der Ankunft nach den Terminen, damit die Saison nicht ohne dein Kind beginnt.</w:t>
      </w:r>
    </w:p>
    <w:p w14:paraId="584B5589" w14:textId="77777777" w:rsidR="001F7233" w:rsidRDefault="00000000">
      <w:pPr>
        <w:spacing w:after="140"/>
      </w:pPr>
      <w:r>
        <w:rPr>
          <w:b/>
          <w:bCs/>
        </w:rPr>
        <w:t>Alkohol ab 21.</w:t>
      </w:r>
      <w:r>
        <w:t xml:space="preserve"> Bier und Wein mit 16 sind in Deutschland erlaubt, in den USA gilt bundesweit die Grenze 21.</w:t>
      </w:r>
    </w:p>
    <w:p w14:paraId="5D1D4228" w14:textId="77777777" w:rsidR="001F7233" w:rsidRDefault="00000000">
      <w:r>
        <w:rPr>
          <w:b/>
        </w:rPr>
        <w:t xml:space="preserve">ACHTUNG: </w:t>
      </w:r>
    </w:p>
    <w:p w14:paraId="467FED1F" w14:textId="77777777" w:rsidR="001F7233" w:rsidRDefault="00000000">
      <w:r>
        <w:t>• Für Fahrer unter 21 gelten in allen Staaten extrem niedrige Alkoholgrenzwerte (meist 0,02 % oder weniger). Cannabis ist in einigen Staaten für Erwachsene legal, bleibt bundesrechtlich aber verboten. Alkohol- und Drogendelikte können für Nichtstaatsbürger Folgen für Visum und Status haben (</w:t>
      </w:r>
      <w:hyperlink w:anchor="k40">
        <w:r w:rsidR="001F7233">
          <w:rPr>
            <w:color w:val="0563C1"/>
            <w:u w:val="single"/>
          </w:rPr>
          <w:t>Kapitel 40</w:t>
        </w:r>
      </w:hyperlink>
      <w:r>
        <w:t>).</w:t>
      </w:r>
    </w:p>
    <w:p w14:paraId="34B88A04" w14:textId="77777777" w:rsidR="001F7233" w:rsidRDefault="001F7233">
      <w:pPr>
        <w:spacing w:line="220" w:lineRule="exact"/>
      </w:pPr>
    </w:p>
    <w:p w14:paraId="2693876F" w14:textId="77777777" w:rsidR="001F7233" w:rsidRDefault="00000000">
      <w:pPr>
        <w:spacing w:after="140"/>
      </w:pPr>
      <w:r>
        <w:rPr>
          <w:b/>
          <w:bCs/>
        </w:rPr>
        <w:lastRenderedPageBreak/>
        <w:t>Social Media und Smartphones. Das Bundesgesetz COPPA verlangt für die Datenerhebung bei Kindern unter 13 Jahren die Einwilligung der Eltern. Deshalb setzen die großen Netzwerke die Mindestgrenze bei 13. Außerdem haben Staaten eigene Gesetze mit Altersprüfung und Elternzustimmung erlassen. Viele blockierten Gerichte aus verfassungsrechtlichen Gründen (u. a. Arkansas, Utah, Ohio, Texas, Louisiana und im Februar 2026 Virginia), andere gelten zumindest teilweise (u. a. Florida, Mississippi, Tennessee und New York, Stand Mitte 2026). An den Schulen ist die Lage klarer: Nach Zählungen vom Sommer 2026 schreiben mehr als 35 Staaten und DC den Schuldistrikten Handyverbote oder Einschränkungen vor, in rund 29 davon für den ganzen Schultag. Die Zahlen schwanken je nach Zählung; die Regeln deiner Schule stehen im Handbuch.</w:t>
      </w:r>
    </w:p>
    <w:p w14:paraId="04BF67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Klassen 10 bis 12: der schwierige Einstieg</w:t>
      </w:r>
    </w:p>
    <w:p w14:paraId="3DFF9DFD" w14:textId="77777777" w:rsidR="001F7233" w:rsidRDefault="00000000">
      <w:pPr>
        <w:spacing w:after="140"/>
      </w:pPr>
      <w:r>
        <w:t>Am härtesten trifft der Wechsel Jugendliche in Klasse 10 bis 12. Der Abschluss (</w:t>
      </w:r>
      <w:r>
        <w:rPr>
          <w:i/>
          <w:iCs/>
        </w:rPr>
        <w:t>High School Diploma</w:t>
      </w:r>
      <w:r>
        <w:t>) setzt Credits in festen Fächern voraus, meist 20 bis 24, je nach Staat und Distrikt; ein Zuzug in Klasse 11 oder 12 kann Lücken bei Pflichtkursen erzeugen, etwa in US-Geschichte. Der Notenschnitt (</w:t>
      </w:r>
      <w:r>
        <w:rPr>
          <w:i/>
          <w:iCs/>
        </w:rPr>
        <w:t>GPA</w:t>
      </w:r>
      <w:r>
        <w:t>) zählt seit Klasse 9. Bitte am ersten Tag um ein Gespräch mit dem Beratungslehrer (</w:t>
      </w:r>
      <w:r>
        <w:rPr>
          <w:i/>
          <w:iCs/>
        </w:rPr>
        <w:t>Counselor</w:t>
      </w:r>
      <w:r>
        <w:t>): Welche Zeugnisse werden angerechnet, welche Kurse fehlen, welche Tests stehen an? Zur Sprachförderung siehe Kapitel </w:t>
      </w:r>
      <w:hyperlink w:anchor="k37">
        <w:r w:rsidR="001F7233">
          <w:t>37</w:t>
        </w:r>
      </w:hyperlink>
      <w:r>
        <w:t>. Bleibt die Familie nur wenige Jahre, kann eine Deutsche Auslandsschule die Alternative sein (2026/27 grob 27.000–36.000 $ im Jahr, Abschluss DIA plus US-Diploma; Kapitel </w:t>
      </w:r>
      <w:hyperlink w:anchor="k36">
        <w:r w:rsidR="001F7233">
          <w:t>36</w:t>
        </w:r>
      </w:hyperlink>
      <w:r>
        <w:t>).</w:t>
      </w:r>
    </w:p>
    <w:p w14:paraId="125CC8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College-Vorbereitung</w:t>
      </w:r>
    </w:p>
    <w:p w14:paraId="0C86BAAB" w14:textId="77777777" w:rsidR="001F7233" w:rsidRDefault="00000000">
      <w:pPr>
        <w:spacing w:after="140"/>
      </w:pPr>
      <w:r>
        <w:rPr>
          <w:b/>
          <w:bCs/>
        </w:rPr>
        <w:t>Zeitplan. Die Noten zählen ab Klasse 9. In Klasse 10 und 11 folgen die Tests, in Klasse 12 die Bewerbung, meist über die Common App mit Fristen zum 1. November (frühe Bewerbung) und im Januar (reguläre Bewerbung), je nach Hochschule. Der digitale SAT (400–1.600 Punkte, rund 2 Std. 14 Min., zuletzt 68 $) und der ACT sind die Standardtests. Nach Sekundärquellen verlangen für den Zyklus 2026–27 wieder u. a. Harvard, Yale, Stanford und MIT Testergebnisse; die Universitätssysteme in Kalifornien ignorieren sie und viele Hochschulen unterhalb der Top 50 bleiben test-optional. Prüfe die Regel jeder Zielhochschule, denn sie ändert sich jährlich.</w:t>
      </w:r>
    </w:p>
    <w:p w14:paraId="27B3E5C0" w14:textId="77777777" w:rsidR="001F7233" w:rsidRDefault="00000000">
      <w:pPr>
        <w:spacing w:after="140"/>
      </w:pPr>
      <w:r>
        <w:rPr>
          <w:b/>
          <w:bCs/>
        </w:rPr>
        <w:t>Kosten.</w:t>
      </w:r>
      <w:r>
        <w:t xml:space="preserve"> Die Tabelle zeigt die Listenpreise (</w:t>
      </w:r>
      <w:r>
        <w:rPr>
          <w:i/>
          <w:iCs/>
        </w:rPr>
        <w:t>Sticker Price</w:t>
      </w:r>
      <w:r>
        <w:t>) des Studienjahrs 2025–26 (College Board):</w:t>
      </w:r>
    </w:p>
    <w:p w14:paraId="3B81AFFF" w14:textId="77777777" w:rsidR="001F7233" w:rsidRDefault="00000000">
      <w:r>
        <w:rPr>
          <w:b/>
        </w:rPr>
        <w:t>Community College (Bezirk, Pendler)</w:t>
      </w:r>
    </w:p>
    <w:p w14:paraId="79499AC8" w14:textId="77777777" w:rsidR="001F7233" w:rsidRDefault="00000000">
      <w:r>
        <w:rPr>
          <w:b/>
        </w:rPr>
        <w:t xml:space="preserve">Gebühren: </w:t>
      </w:r>
      <w:r>
        <w:t>4.150 $</w:t>
      </w:r>
    </w:p>
    <w:p w14:paraId="17C3DFFF" w14:textId="77777777" w:rsidR="001F7233" w:rsidRDefault="00000000">
      <w:r>
        <w:rPr>
          <w:b/>
        </w:rPr>
        <w:t xml:space="preserve">Wohnen und Essen: </w:t>
      </w:r>
      <w:r>
        <w:t>10.850 $</w:t>
      </w:r>
    </w:p>
    <w:p w14:paraId="5074FE7F" w14:textId="77777777" w:rsidR="001F7233" w:rsidRDefault="00000000">
      <w:r>
        <w:rPr>
          <w:b/>
        </w:rPr>
        <w:t xml:space="preserve">Gesamtbudget: </w:t>
      </w:r>
      <w:r>
        <w:t>21.320 $</w:t>
      </w:r>
    </w:p>
    <w:p w14:paraId="33542534" w14:textId="77777777" w:rsidR="001F7233" w:rsidRDefault="00000000">
      <w:r>
        <w:rPr>
          <w:b/>
        </w:rPr>
        <w:t>Staatliche Hochschule, Landeskind</w:t>
      </w:r>
    </w:p>
    <w:p w14:paraId="3E241847" w14:textId="77777777" w:rsidR="001F7233" w:rsidRDefault="00000000">
      <w:r>
        <w:rPr>
          <w:b/>
        </w:rPr>
        <w:t xml:space="preserve">Gebühren: </w:t>
      </w:r>
      <w:r>
        <w:t>11.950 $</w:t>
      </w:r>
    </w:p>
    <w:p w14:paraId="09C43436" w14:textId="77777777" w:rsidR="001F7233" w:rsidRDefault="00000000">
      <w:r>
        <w:rPr>
          <w:b/>
        </w:rPr>
        <w:t xml:space="preserve">Wohnen und Essen: </w:t>
      </w:r>
      <w:r>
        <w:t>13.900 $</w:t>
      </w:r>
    </w:p>
    <w:p w14:paraId="4713BBFB" w14:textId="77777777" w:rsidR="001F7233" w:rsidRDefault="00000000">
      <w:r>
        <w:rPr>
          <w:b/>
        </w:rPr>
        <w:t xml:space="preserve">Gesamtbudget: </w:t>
      </w:r>
      <w:r>
        <w:t>30.990 $</w:t>
      </w:r>
    </w:p>
    <w:p w14:paraId="5B1F6725" w14:textId="77777777" w:rsidR="001F7233" w:rsidRDefault="00000000">
      <w:r>
        <w:rPr>
          <w:b/>
        </w:rPr>
        <w:t>Staatliche Hochschule, von außerhalb</w:t>
      </w:r>
    </w:p>
    <w:p w14:paraId="5EC4E3E9" w14:textId="77777777" w:rsidR="001F7233" w:rsidRDefault="00000000">
      <w:r>
        <w:rPr>
          <w:b/>
        </w:rPr>
        <w:t xml:space="preserve">Gebühren: </w:t>
      </w:r>
      <w:r>
        <w:t>31.880 $</w:t>
      </w:r>
    </w:p>
    <w:p w14:paraId="426849F2" w14:textId="77777777" w:rsidR="001F7233" w:rsidRDefault="00000000">
      <w:r>
        <w:rPr>
          <w:b/>
        </w:rPr>
        <w:t xml:space="preserve">Wohnen und Essen: </w:t>
      </w:r>
      <w:r>
        <w:t>13.900 $</w:t>
      </w:r>
    </w:p>
    <w:p w14:paraId="35E99CC2" w14:textId="77777777" w:rsidR="001F7233" w:rsidRDefault="00000000">
      <w:r>
        <w:rPr>
          <w:b/>
        </w:rPr>
        <w:t xml:space="preserve">Gesamtbudget: </w:t>
      </w:r>
      <w:r>
        <w:t>50.920 $</w:t>
      </w:r>
    </w:p>
    <w:p w14:paraId="5E2FA221" w14:textId="77777777" w:rsidR="001F7233" w:rsidRDefault="00000000">
      <w:r>
        <w:rPr>
          <w:b/>
        </w:rPr>
        <w:t>Private gemeinnützige Hochschule</w:t>
      </w:r>
    </w:p>
    <w:p w14:paraId="646BBC27" w14:textId="77777777" w:rsidR="001F7233" w:rsidRDefault="00000000">
      <w:r>
        <w:rPr>
          <w:b/>
        </w:rPr>
        <w:t xml:space="preserve">Gebühren: </w:t>
      </w:r>
      <w:r>
        <w:t>45.000 $</w:t>
      </w:r>
    </w:p>
    <w:p w14:paraId="141E2127" w14:textId="77777777" w:rsidR="001F7233" w:rsidRDefault="00000000">
      <w:r>
        <w:rPr>
          <w:b/>
        </w:rPr>
        <w:t xml:space="preserve">Wohnen und Essen: </w:t>
      </w:r>
      <w:r>
        <w:t>15.920 $</w:t>
      </w:r>
    </w:p>
    <w:p w14:paraId="62EA87BE" w14:textId="77777777" w:rsidR="001F7233" w:rsidRDefault="00000000">
      <w:r>
        <w:rPr>
          <w:b/>
        </w:rPr>
        <w:t xml:space="preserve">Gesamtbudget: </w:t>
      </w:r>
      <w:r>
        <w:t>65.470 $</w:t>
      </w:r>
    </w:p>
    <w:p w14:paraId="5A66752A" w14:textId="77777777" w:rsidR="001F7233" w:rsidRDefault="001F7233">
      <w:pPr>
        <w:spacing w:line="180" w:lineRule="exact"/>
      </w:pPr>
    </w:p>
    <w:p w14:paraId="27A9B0BD" w14:textId="77777777" w:rsidR="001F7233" w:rsidRDefault="00000000">
      <w:pPr>
        <w:spacing w:after="140"/>
      </w:pPr>
      <w:r>
        <w:t>Nach Stipendien liegt der tatsächliche Preis (</w:t>
      </w:r>
      <w:r>
        <w:rPr>
          <w:i/>
          <w:iCs/>
        </w:rPr>
        <w:t>Net Price</w:t>
      </w:r>
      <w:r>
        <w:t xml:space="preserve">) niedriger. Die Gebühren staatlicher Hochschulen für Landeskinder reichen von </w:t>
      </w:r>
      <w:r>
        <w:lastRenderedPageBreak/>
        <w:t>6.360 $ in Florida bis 18.090 $ in Vermont. An deutschen staatlichen Hochschulen zahlst du meist nur einen Semesterbeitrag im dreistelligen Euro-Bereich.</w:t>
      </w:r>
    </w:p>
    <w:p w14:paraId="33EE0C64" w14:textId="77777777" w:rsidR="001F7233" w:rsidRDefault="00000000">
      <w:r>
        <w:rPr>
          <w:b/>
        </w:rPr>
        <w:t xml:space="preserve">SPARTIPP: </w:t>
      </w:r>
    </w:p>
    <w:p w14:paraId="4E5E27FA" w14:textId="77777777" w:rsidR="001F7233" w:rsidRDefault="00000000">
      <w:r>
        <w:t>• Zwei Jahre am Community College und danach der Wechsel an eine vierjährige Hochschule (Transfer) können viel sparen. Der günstige Preis gilt nur mit Wohnsitz im Bezirk und ob Kurse angerechnet werden, klärst du vorher mit der Zielhochschule.</w:t>
      </w:r>
    </w:p>
    <w:p w14:paraId="0D307EE2" w14:textId="77777777" w:rsidR="001F7233" w:rsidRDefault="001F7233">
      <w:pPr>
        <w:spacing w:line="220" w:lineRule="exact"/>
      </w:pPr>
    </w:p>
    <w:p w14:paraId="18806E82" w14:textId="77777777" w:rsidR="001F7233" w:rsidRDefault="00000000">
      <w:pPr>
        <w:spacing w:after="140"/>
      </w:pPr>
      <w:r>
        <w:rPr>
          <w:b/>
          <w:bCs/>
        </w:rPr>
        <w:t>Finanzhilfe und Tuition.</w:t>
      </w:r>
      <w:r>
        <w:t xml:space="preserve"> Bundesmittel (etwa Pell Grant, Bundesdarlehen) beantragst du über die FAFSA. Berechtigt sind US-Bürger, Green-Card-Inhaber und einige weitere Gruppen (20 U.S.C. § 1091(a)(5)); Kinder mit H-4, L-2 oder E-2 zählen nach den Regeln der Bundesstudienhilfe nicht dazu, ein in den USA geborenes Geschwisterkind mit US-Pass schon. Den günstigen Landeskindertarif (</w:t>
      </w:r>
      <w:r>
        <w:rPr>
          <w:i/>
          <w:iCs/>
        </w:rPr>
        <w:t>In-State Tuition</w:t>
      </w:r>
      <w:r>
        <w:t>) regelt jeder Staat selbst: Florida verlangt zwölf Monate rechtmäßigen Wohnsitz (Fla. Stat. § 1009.21), Virginia knüpft an einen einjährigen Wohnsitz (§ 23.1-502). Eigene Stipendien vergeben manche Hochschulen auch an Nicht-Staatsbürger, viele nicht.</w:t>
      </w:r>
    </w:p>
    <w:p w14:paraId="121C32DE" w14:textId="77777777" w:rsidR="001F7233" w:rsidRDefault="00000000">
      <w:r>
        <w:rPr>
          <w:b/>
        </w:rPr>
        <w:t xml:space="preserve">ACHTUNG: </w:t>
      </w:r>
    </w:p>
    <w:p w14:paraId="5ED8269E" w14:textId="77777777" w:rsidR="001F7233" w:rsidRDefault="00000000">
      <w:r>
        <w:t>• Je nach Hochschule gelten Kinder mit temporärem Visum als International Applicants. Das betrifft Preisklasse, Fristen und Stipendienchancen. Nur eine erteilte Green Card ändert das, nicht der laufende Antrag. Kläre Tuition-Klasse und Berechtigung schriftlich beim Registrar (Studienverwaltung), bevor du dich festlegst.</w:t>
      </w:r>
    </w:p>
    <w:p w14:paraId="254E6F8A" w14:textId="77777777" w:rsidR="001F7233" w:rsidRDefault="001F7233">
      <w:pPr>
        <w:spacing w:line="220" w:lineRule="exact"/>
      </w:pPr>
    </w:p>
    <w:p w14:paraId="4D19C970" w14:textId="77777777" w:rsidR="001F7233" w:rsidRDefault="00000000">
      <w:pPr>
        <w:spacing w:after="140"/>
      </w:pPr>
      <w:r>
        <w:rPr>
          <w:b/>
          <w:bCs/>
        </w:rPr>
        <w:t>Abitur und US-Diploma.</w:t>
      </w:r>
      <w:r>
        <w:t xml:space="preserve"> Das Abitur gilt an US-Hochschulen als Nachweis der Hochschulreife; ob Leistungen angerechnet werden und ob SAT oder ACT verlangt werden, entscheidet jede Hochschule. Umgekehrt reicht ein US-High-School-Diploma allein für ein Studium in Deutschland oft nicht (DAAD New York). Die Bewertung (über anabin/ZAB und uni-assist) führt zu einem von vier Ergebnissen: </w:t>
      </w:r>
      <w:r>
        <w:lastRenderedPageBreak/>
        <w:t xml:space="preserve">Zulassung mit Zusatzleistungen wie Tests oder GPA, fachgebundene Zulassung, </w:t>
      </w:r>
      <w:r>
        <w:rPr>
          <w:i/>
          <w:iCs/>
        </w:rPr>
        <w:t>Studienkolleg</w:t>
      </w:r>
      <w:r>
        <w:t xml:space="preserve"> (zwei Semester mit Feststellungsprüfung) oder Anerkennung nach ein bis zwei Jahren US-College. Dazu kommt ein Deutschnachweis (TestDaF, DSH oder Goethe-Zertifikat ab B2). Ein IB-Diplom kann direkten Zugang geben, das DIA der Deutschen Auslandsschulen gilt wie das Abitur. Wer eine Rückkehr offenhält, plant das früh (Kapitel </w:t>
      </w:r>
      <w:hyperlink w:anchor="k42">
        <w:r w:rsidR="001F7233">
          <w:t>42</w:t>
        </w:r>
      </w:hyperlink>
      <w:r>
        <w:t>).</w:t>
      </w:r>
    </w:p>
    <w:p w14:paraId="7151B2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21 endet die Kinderrolle im Einwanderungsrecht</w:t>
      </w:r>
    </w:p>
    <w:p w14:paraId="663584F6" w14:textId="77777777" w:rsidR="001F7233" w:rsidRDefault="00000000">
      <w:pPr>
        <w:spacing w:after="140"/>
      </w:pPr>
      <w:r>
        <w:t>Im Einwanderungsrecht ist ein Kind unverheiratet und unter 21 (INA § 101(b)(1)). Mit dem 21. Geburtstag endet der H-4-Status; das gilt auch für L-2- und E-2-Kinder. Ein Kind, das mit 16 einreist, hat also nur fünf Jahre. Wer dann noch studiert, wechselt meist zu F-1, was Zulassung, Finanzierungsnachweis und rechtzeitige Planung verlangt (Kapitel </w:t>
      </w:r>
      <w:hyperlink w:anchor="k8">
        <w:r w:rsidR="001F7233">
          <w:t>8</w:t>
        </w:r>
      </w:hyperlink>
      <w:r>
        <w:t xml:space="preserve">). Läuft ein Green-Card-Verfahren der Eltern, kann der </w:t>
      </w:r>
      <w:r>
        <w:rPr>
          <w:i/>
          <w:iCs/>
        </w:rPr>
        <w:t>Child Status Protection Act</w:t>
      </w:r>
      <w:r>
        <w:t xml:space="preserve"> das Kindesalter unter Umständen einfrieren (Kapitel </w:t>
      </w:r>
      <w:hyperlink w:anchor="k10">
        <w:r w:rsidR="001F7233">
          <w:t>10</w:t>
        </w:r>
      </w:hyperlink>
      <w:r>
        <w:t xml:space="preserve"> und </w:t>
      </w:r>
      <w:hyperlink w:anchor="k6">
        <w:r w:rsidR="001F7233">
          <w:t>6</w:t>
        </w:r>
      </w:hyperlink>
      <w:r>
        <w:t>). Beginne die Planung spätestens mit 18.</w:t>
      </w:r>
    </w:p>
    <w:p w14:paraId="2E3ABB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Babys, Kleinkinder und Teenager</w:t>
      </w:r>
    </w:p>
    <w:p w14:paraId="1E284683" w14:textId="77777777" w:rsidR="001F7233" w:rsidRDefault="00000000">
      <w:r>
        <w:rPr>
          <w:b/>
        </w:rPr>
        <w:t>Plus: In den USA geborene Kinder erhalten mit US-Pass und deutschem Pass zwei Staatsangehörigkeiten</w:t>
      </w:r>
    </w:p>
    <w:p w14:paraId="0A25CB50" w14:textId="77777777" w:rsidR="001F7233" w:rsidRDefault="00000000">
      <w:r>
        <w:rPr>
          <w:b/>
        </w:rPr>
        <w:t xml:space="preserve">Minus: </w:t>
      </w:r>
      <w:r>
        <w:t>Geburt: Eigenanteil im Schnitt 2.743 $, Gesamtrechnung über 20.000 $</w:t>
      </w:r>
    </w:p>
    <w:p w14:paraId="66F5669F" w14:textId="77777777" w:rsidR="001F7233" w:rsidRDefault="00000000">
      <w:r>
        <w:rPr>
          <w:b/>
        </w:rPr>
        <w:t>Plus: Bezahlter Familienurlaub in zwölf Staaten und DC</w:t>
      </w:r>
    </w:p>
    <w:p w14:paraId="6F6EC231" w14:textId="77777777" w:rsidR="001F7233" w:rsidRDefault="00000000">
      <w:r>
        <w:rPr>
          <w:b/>
        </w:rPr>
        <w:t xml:space="preserve">Minus: </w:t>
      </w:r>
      <w:r>
        <w:t>Bundesweit nur zwölf unbezahlte Wochen, erst nach zwölf Monaten im Betrieb</w:t>
      </w:r>
    </w:p>
    <w:p w14:paraId="071CC93E" w14:textId="77777777" w:rsidR="001F7233" w:rsidRDefault="00000000">
      <w:r>
        <w:rPr>
          <w:b/>
        </w:rPr>
        <w:t>Plus: Führerschein mit 16 bringt früh Selbständigkeit</w:t>
      </w:r>
    </w:p>
    <w:p w14:paraId="7660F150" w14:textId="77777777" w:rsidR="001F7233" w:rsidRDefault="00000000">
      <w:r>
        <w:rPr>
          <w:b/>
        </w:rPr>
        <w:t xml:space="preserve">Minus: </w:t>
      </w:r>
      <w:r>
        <w:t>Betreuung im Schnitt 13.184 $ im Jahr, Wartelisten</w:t>
      </w:r>
    </w:p>
    <w:p w14:paraId="00168732" w14:textId="77777777" w:rsidR="001F7233" w:rsidRDefault="00000000">
      <w:r>
        <w:rPr>
          <w:b/>
        </w:rPr>
        <w:lastRenderedPageBreak/>
        <w:t>Plus: Vielfältiges Sportangebot an den Schulen</w:t>
      </w:r>
    </w:p>
    <w:p w14:paraId="7B4D49D3" w14:textId="77777777" w:rsidR="001F7233" w:rsidRDefault="00000000">
      <w:r>
        <w:rPr>
          <w:b/>
        </w:rPr>
        <w:t xml:space="preserve">Minus: </w:t>
      </w:r>
      <w:r>
        <w:t>Au-pair für Visa-Familien ausgeschlossen</w:t>
      </w:r>
    </w:p>
    <w:p w14:paraId="5F161A7D" w14:textId="77777777" w:rsidR="001F7233" w:rsidRDefault="00000000">
      <w:r>
        <w:rPr>
          <w:b/>
        </w:rPr>
        <w:t>Plus: Community College als günstiger Einstieg ins Studium</w:t>
      </w:r>
    </w:p>
    <w:p w14:paraId="6E03182E" w14:textId="77777777" w:rsidR="001F7233" w:rsidRDefault="00000000">
      <w:r>
        <w:rPr>
          <w:b/>
        </w:rPr>
        <w:t xml:space="preserve">Minus: </w:t>
      </w:r>
      <w:r>
        <w:t>Unklare Rechtslage, wenn Kinder allein bleiben; Meldungen durch Nachbarn möglich</w:t>
      </w:r>
    </w:p>
    <w:p w14:paraId="07C396B3" w14:textId="77777777" w:rsidR="001F7233" w:rsidRDefault="00000000">
      <w:r>
        <w:rPr>
          <w:b/>
        </w:rPr>
        <w:t>Plus: Kinder lernen Englisch früh und meist rasch</w:t>
      </w:r>
    </w:p>
    <w:p w14:paraId="7578F969" w14:textId="77777777" w:rsidR="001F7233" w:rsidRDefault="00000000">
      <w:r>
        <w:rPr>
          <w:b/>
        </w:rPr>
        <w:t xml:space="preserve">Minus: </w:t>
      </w:r>
      <w:r>
        <w:t>College 31.000–65.000 $ im Jahr, keine Bundeshilfe mit H-4</w:t>
      </w:r>
    </w:p>
    <w:p w14:paraId="3D052DAD" w14:textId="77777777" w:rsidR="001F7233" w:rsidRDefault="00000000">
      <w:r>
        <w:rPr>
          <w:b/>
        </w:rPr>
        <w:t>Plus: Kinder mit deutschem Pass können in Deutschland ohne Visum studieren</w:t>
      </w:r>
    </w:p>
    <w:p w14:paraId="0AB61B7F" w14:textId="77777777" w:rsidR="001F7233" w:rsidRDefault="00000000">
      <w:r>
        <w:rPr>
          <w:b/>
        </w:rPr>
        <w:t xml:space="preserve">Minus: </w:t>
      </w:r>
      <w:r>
        <w:t>H-4-Status endet mit 21</w:t>
      </w:r>
    </w:p>
    <w:p w14:paraId="07497BDB" w14:textId="77777777" w:rsidR="001F7233" w:rsidRDefault="001F7233">
      <w:pPr>
        <w:spacing w:line="180" w:lineRule="exact"/>
      </w:pPr>
    </w:p>
    <w:p w14:paraId="292134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Checkliste und nächste Schritte</w:t>
      </w:r>
    </w:p>
    <w:p w14:paraId="79DBCEAE" w14:textId="77777777" w:rsidR="001F7233" w:rsidRDefault="00000000">
      <w:r>
        <w:rPr>
          <w:b/>
        </w:rPr>
        <w:t>ZUM ABHAKEN</w:t>
      </w:r>
    </w:p>
    <w:p w14:paraId="0094E0BA" w14:textId="77777777" w:rsidR="001F7233" w:rsidRDefault="00000000">
      <w:r>
        <w:t>• Vor der Geburt: Deckungsbeginn und Wartefrist beim Arbeitgeber klären, Frauenarzt, Klinik und Kinderarzt im Netzwerk prüfen.</w:t>
      </w:r>
    </w:p>
    <w:p w14:paraId="6A7DE841" w14:textId="77777777" w:rsidR="001F7233" w:rsidRDefault="00000000">
      <w:r>
        <w:t>• Nach der Geburt: Baby innerhalb von 30 Tagen im Arbeitgeberplan anmelden (Marktplatz: 60 Tage).</w:t>
      </w:r>
    </w:p>
    <w:p w14:paraId="7B43F7A7" w14:textId="77777777" w:rsidR="001F7233" w:rsidRDefault="00000000">
      <w:r>
        <w:t>• Mehrere beglaubigte Geburtsurkunden bestellen und den Eingang der SSN-Karte kontrollieren.</w:t>
      </w:r>
    </w:p>
    <w:p w14:paraId="7980B880" w14:textId="77777777" w:rsidR="001F7233" w:rsidRDefault="00000000">
      <w:r>
        <w:t>• US-Pass und deutschen Kinder-ePass beantragen, die Beurkundung der Geburt beim Konsulat einleiten.</w:t>
      </w:r>
    </w:p>
    <w:p w14:paraId="5A3309FF" w14:textId="77777777" w:rsidR="001F7233" w:rsidRDefault="00000000">
      <w:r>
        <w:t>• FMLA-Anspruch und das Programm für bezahlten Familienurlaub deines Staates bei Arbeitgeber und Landesbehörde prüfen.</w:t>
      </w:r>
    </w:p>
    <w:p w14:paraId="73137372" w14:textId="77777777" w:rsidR="001F7233" w:rsidRDefault="00000000">
      <w:r>
        <w:t>• Betreuungsplatz früh suchen (Warteliste) und ein Dependent Care FSA erfragen.</w:t>
      </w:r>
    </w:p>
    <w:p w14:paraId="4C40C743" w14:textId="77777777" w:rsidR="001F7233" w:rsidRDefault="00000000">
      <w:r>
        <w:t>• Autositz in den USA kaufen, Pool sichern, Helmregeln am Wohnort prüfen.</w:t>
      </w:r>
    </w:p>
    <w:p w14:paraId="6C293013" w14:textId="77777777" w:rsidR="001F7233" w:rsidRDefault="00000000">
      <w:r>
        <w:t>• Regeln des Staates und des Schuldistrikts zum Alleinlassen und zum Schulweg nachlesen.</w:t>
      </w:r>
    </w:p>
    <w:p w14:paraId="032647D6" w14:textId="77777777" w:rsidR="001F7233" w:rsidRDefault="00000000">
      <w:r>
        <w:t>• Vor dem 16. Geburtstag Führerscheinregeln des Staates und ein Versicherungsangebot einholen.</w:t>
      </w:r>
    </w:p>
    <w:p w14:paraId="6E9E84D4" w14:textId="77777777" w:rsidR="001F7233" w:rsidRDefault="00000000">
      <w:r>
        <w:t>• Ab Klasse 9 mit dem Counselor Credits, GPA und Tests besprechen und Wege für ein Studium in Deutschland klären.</w:t>
      </w:r>
    </w:p>
    <w:p w14:paraId="525A99AD" w14:textId="77777777" w:rsidR="001F7233" w:rsidRDefault="00000000">
      <w:r>
        <w:lastRenderedPageBreak/>
        <w:t>• Spätestens mit 18 In-State-Tuition und FAFSA-Berechtigung schriftlich klären und den Statuswechsel vor dem 21. Geburtstag planen.</w:t>
      </w:r>
    </w:p>
    <w:p w14:paraId="78C65889" w14:textId="77777777" w:rsidR="001F7233" w:rsidRDefault="001F7233">
      <w:pPr>
        <w:spacing w:line="220" w:lineRule="exact"/>
      </w:pPr>
    </w:p>
    <w:p w14:paraId="6C3F86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061AA7" w14:textId="77777777" w:rsidR="001F7233" w:rsidRDefault="00000000">
      <w:pPr>
        <w:pStyle w:val="ListParagraph"/>
        <w:numPr>
          <w:ilvl w:val="0"/>
          <w:numId w:val="1"/>
        </w:numPr>
        <w:spacing w:after="60"/>
      </w:pPr>
      <w:r>
        <w:t>Supreme Court of the United States – opinion in case No. 25-365 (</w:t>
      </w:r>
      <w:hyperlink r:id="rId501">
        <w:r w:rsidR="001F7233">
          <w:rPr>
            <w:color w:val="0563C1"/>
            <w:u w:val="single"/>
          </w:rPr>
          <w:t>supremecourt.gov/opinions/25pdf/25-365_4hdj.pdf</w:t>
        </w:r>
      </w:hyperlink>
      <w:r>
        <w:t>)</w:t>
      </w:r>
    </w:p>
    <w:p w14:paraId="71395D98" w14:textId="77777777" w:rsidR="001F7233" w:rsidRDefault="00000000">
      <w:pPr>
        <w:pStyle w:val="ListParagraph"/>
        <w:numPr>
          <w:ilvl w:val="0"/>
          <w:numId w:val="1"/>
        </w:numPr>
        <w:spacing w:after="60"/>
      </w:pPr>
      <w:r>
        <w:t>Auswärtiges Amt, Auslandsvertretungen — Geburtsbeurkundung, Pässe, Staatsangehörigkeit (</w:t>
      </w:r>
      <w:hyperlink r:id="rId502">
        <w:r w:rsidR="001F7233">
          <w:rPr>
            <w:color w:val="0563C1"/>
            <w:u w:val="single"/>
          </w:rPr>
          <w:t>germany.info</w:t>
        </w:r>
      </w:hyperlink>
      <w:r>
        <w:t>)</w:t>
      </w:r>
    </w:p>
    <w:p w14:paraId="40C883C2" w14:textId="77777777" w:rsidR="001F7233" w:rsidRDefault="00000000">
      <w:pPr>
        <w:pStyle w:val="ListParagraph"/>
        <w:numPr>
          <w:ilvl w:val="0"/>
          <w:numId w:val="1"/>
        </w:numPr>
        <w:spacing w:after="60"/>
      </w:pPr>
      <w:r>
        <w:t>US-Arbeitsministerium — FMLA (</w:t>
      </w:r>
      <w:hyperlink r:id="rId503">
        <w:r w:rsidR="001F7233">
          <w:rPr>
            <w:color w:val="0563C1"/>
            <w:u w:val="single"/>
          </w:rPr>
          <w:t>dol.gov/agencies/whd/fmla</w:t>
        </w:r>
      </w:hyperlink>
      <w:r>
        <w:t>)</w:t>
      </w:r>
    </w:p>
    <w:p w14:paraId="677386E9" w14:textId="77777777" w:rsidR="001F7233" w:rsidRDefault="00000000">
      <w:pPr>
        <w:pStyle w:val="ListParagraph"/>
        <w:numPr>
          <w:ilvl w:val="0"/>
          <w:numId w:val="1"/>
        </w:numPr>
        <w:spacing w:after="60"/>
      </w:pPr>
      <w:r>
        <w:t>Child Care Aware of America — Kosten und Angebot der Kinderbetreuung (</w:t>
      </w:r>
      <w:hyperlink r:id="rId504">
        <w:r w:rsidR="001F7233">
          <w:rPr>
            <w:color w:val="0563C1"/>
            <w:u w:val="single"/>
          </w:rPr>
          <w:t>childcareaware.org</w:t>
        </w:r>
      </w:hyperlink>
      <w:r>
        <w:t>)</w:t>
      </w:r>
    </w:p>
    <w:p w14:paraId="560B85E4" w14:textId="77777777" w:rsidR="001F7233" w:rsidRDefault="00000000">
      <w:pPr>
        <w:pStyle w:val="ListParagraph"/>
        <w:numPr>
          <w:ilvl w:val="0"/>
          <w:numId w:val="1"/>
        </w:numPr>
        <w:spacing w:after="60"/>
      </w:pPr>
      <w:r>
        <w:t>State Department — Au-pair-Programm (</w:t>
      </w:r>
      <w:hyperlink r:id="rId505">
        <w:r w:rsidR="001F7233">
          <w:rPr>
            <w:color w:val="0563C1"/>
            <w:u w:val="single"/>
          </w:rPr>
          <w:t>j1visa.state.gov/programs/au-pair</w:t>
        </w:r>
      </w:hyperlink>
      <w:r>
        <w:t>)</w:t>
      </w:r>
    </w:p>
    <w:p w14:paraId="131C4F3A" w14:textId="77777777" w:rsidR="001F7233" w:rsidRDefault="00000000">
      <w:pPr>
        <w:pStyle w:val="ListParagraph"/>
        <w:numPr>
          <w:ilvl w:val="0"/>
          <w:numId w:val="1"/>
        </w:numPr>
        <w:spacing w:after="60"/>
      </w:pPr>
      <w:r>
        <w:t>College Board — Trends in College Pricing (</w:t>
      </w:r>
      <w:hyperlink r:id="rId506">
        <w:r w:rsidR="001F7233">
          <w:rPr>
            <w:color w:val="0563C1"/>
            <w:u w:val="single"/>
          </w:rPr>
          <w:t>research.collegeboard.org/trends/college-pricing</w:t>
        </w:r>
      </w:hyperlink>
      <w:r>
        <w:t>)</w:t>
      </w:r>
    </w:p>
    <w:p w14:paraId="40181DEA" w14:textId="77777777" w:rsidR="001F7233" w:rsidRDefault="00000000">
      <w:pPr>
        <w:pStyle w:val="ListParagraph"/>
        <w:numPr>
          <w:ilvl w:val="0"/>
          <w:numId w:val="1"/>
        </w:numPr>
        <w:spacing w:after="60"/>
      </w:pPr>
      <w:r>
        <w:t>Federal Student Aid — Berechtigung für Bundeshilfe (</w:t>
      </w:r>
      <w:hyperlink r:id="rId507">
        <w:r w:rsidR="001F7233">
          <w:rPr>
            <w:color w:val="0563C1"/>
            <w:u w:val="single"/>
          </w:rPr>
          <w:t>studentaid.gov</w:t>
        </w:r>
      </w:hyperlink>
      <w:r>
        <w:t>)</w:t>
      </w:r>
    </w:p>
    <w:p w14:paraId="78407C89" w14:textId="77777777" w:rsidR="001F7233" w:rsidRDefault="00000000">
      <w:pPr>
        <w:pStyle w:val="ListParagraph"/>
        <w:numPr>
          <w:ilvl w:val="0"/>
          <w:numId w:val="1"/>
        </w:numPr>
        <w:spacing w:after="60"/>
      </w:pPr>
      <w:r>
        <w:t>DAAD — Studium in Deutschland mit US-Abschluss (</w:t>
      </w:r>
      <w:hyperlink r:id="rId508">
        <w:r w:rsidR="001F7233">
          <w:rPr>
            <w:color w:val="0563C1"/>
            <w:u w:val="single"/>
          </w:rPr>
          <w:t>daad.org/en/study-research-in-germany/study-in-germany/undergraduate</w:t>
        </w:r>
      </w:hyperlink>
      <w:r>
        <w:t>)</w:t>
      </w:r>
    </w:p>
    <w:p w14:paraId="5CF68E80" w14:textId="77777777" w:rsidR="001F7233" w:rsidRDefault="001F7233">
      <w:pPr>
        <w:spacing w:line="120" w:lineRule="exact"/>
      </w:pPr>
    </w:p>
    <w:p w14:paraId="79C5B2B7" w14:textId="77777777" w:rsidR="001F7233" w:rsidRDefault="00000000">
      <w:r>
        <w:t>• Quellen- und Datenstand: September 2026; Redaktionsschluss: Oktober 2026. Schnell ändern sich die Rechtslage zur Geburtsstaatsangehörigkeit (Klagen gegen die Erlasse vom 6. August 2026 laufen), die Programme für bezahlten Familienurlaub (Beträge jährlich, Maryland und Virginia ab 2028), Preise für Betreuung und College, die Testpflichten der Hochschulen sowie Landesgesetze zu Social Media und Handys. Prüfe vor jeder Entscheidung die offiziellen Seiten.</w:t>
      </w:r>
    </w:p>
    <w:p w14:paraId="30661E1A" w14:textId="77777777" w:rsidR="001F7233" w:rsidRDefault="001F7233">
      <w:pPr>
        <w:spacing w:line="220" w:lineRule="exact"/>
      </w:pPr>
    </w:p>
    <w:p w14:paraId="589D9C97" w14:textId="77777777" w:rsidR="001F7233" w:rsidRDefault="00000000">
      <w:r>
        <w:br w:type="page"/>
      </w:r>
    </w:p>
    <w:p w14:paraId="318D4232" w14:textId="77777777" w:rsidR="001F7233" w:rsidRDefault="00000000">
      <w:pPr>
        <w:pStyle w:val="Heading1"/>
        <w:keepNext/>
        <w:spacing w:line="341" w:lineRule="auto"/>
        <w:jc w:val="center"/>
      </w:pPr>
      <w:bookmarkStart w:id="78" w:name="rev73h2015"/>
      <w:r>
        <w:rPr>
          <w:rFonts w:ascii="Amazon Ember" w:eastAsia="Amazon Ember" w:hAnsi="Amazon Ember" w:cs="Amazon Ember"/>
          <w:color w:val="0000FF"/>
        </w:rPr>
        <w:lastRenderedPageBreak/>
        <w:t>TEIL X — Langfristig</w:t>
      </w:r>
      <w:bookmarkEnd w:id="78"/>
    </w:p>
    <w:p w14:paraId="13313CE0" w14:textId="77777777" w:rsidR="001F7233" w:rsidRDefault="00000000">
      <w:pPr>
        <w:spacing w:after="160" w:line="300" w:lineRule="auto"/>
        <w:ind w:left="400" w:right="400"/>
        <w:jc w:val="center"/>
      </w:pPr>
      <w:r>
        <w:rPr>
          <w:i/>
          <w:iCs/>
          <w:sz w:val="24"/>
          <w:szCs w:val="24"/>
        </w:rPr>
        <w:t>Vorsorge, Erbe, Recht, Staatsbürgerschaft und der Plan B für den Fall, dass du zurückkehrst.</w:t>
      </w:r>
    </w:p>
    <w:p w14:paraId="62F92681" w14:textId="77777777" w:rsidR="001F7233" w:rsidRDefault="00000000">
      <w:r>
        <w:br w:type="page"/>
      </w:r>
    </w:p>
    <w:p w14:paraId="0B47077F" w14:textId="77777777" w:rsidR="001F7233" w:rsidRDefault="00000000">
      <w:pPr>
        <w:pStyle w:val="Heading2"/>
        <w:keepNext/>
        <w:spacing w:line="341" w:lineRule="auto"/>
        <w:jc w:val="center"/>
      </w:pPr>
      <w:bookmarkStart w:id="79" w:name="k39"/>
      <w:r>
        <w:rPr>
          <w:rFonts w:ascii="Amazon Ember" w:eastAsia="Amazon Ember" w:hAnsi="Amazon Ember" w:cs="Amazon Ember"/>
          <w:color w:val="0000FF"/>
          <w:sz w:val="36"/>
          <w:szCs w:val="36"/>
        </w:rPr>
        <w:lastRenderedPageBreak/>
        <w:t>Kapitel 39: Vorsorge, Erbe und Vermögen</w:t>
      </w:r>
      <w:bookmarkEnd w:id="79"/>
    </w:p>
    <w:p w14:paraId="3EF74471" w14:textId="77777777" w:rsidR="001F7233" w:rsidRDefault="00000000">
      <w:pPr>
        <w:spacing w:after="140"/>
      </w:pPr>
      <w:r>
        <w:t>Fünf Jahre nach dem Umzug ruft ein „Finanzberater“ an: Er habe da eine Lebensversicherung mit garantierter Rendite, perfekt für Auswanderer. Was er nicht sagt: Seine Provision liegt oft bei mehreren tausend Dollar, gezahlt aus deiner ersten Jahresprämie. Genau in diesem Moment merkst du, dass Vorsorge in den USA nicht nebenbei mitläuft. Wer hier lebt, verwaltet zwei Rentensysteme, zwei Steuerpflichten fürs Erbe und oft zwei Rechtsordnungen gleichzeitig und die meisten deutschen Papiere gelten hier keinen Meter weit.</w:t>
      </w:r>
    </w:p>
    <w:p w14:paraId="2F096A75" w14:textId="77777777" w:rsidR="001F7233" w:rsidRDefault="00000000">
      <w:r>
        <w:rPr>
          <w:b/>
        </w:rPr>
        <w:t xml:space="preserve">KURZ GESAGT: </w:t>
      </w:r>
    </w:p>
    <w:p w14:paraId="1745E851" w14:textId="77777777" w:rsidR="001F7233" w:rsidRDefault="00000000">
      <w:r>
        <w:t>• Die US-Rente (Social Security) braucht 40 Credits. Das Sozialversicherungsabkommen mit Deutschland zählt für die Wartezeit deutsche und US-Jahre zusammen, zahlt aber getrennt. Seit 2025 kürzt eine deutsche Rente die US-Rente nicht mehr.</w:t>
      </w:r>
    </w:p>
    <w:p w14:paraId="6FEE2EC9" w14:textId="77777777" w:rsidR="001F7233" w:rsidRDefault="00000000">
      <w:r>
        <w:t>• Medicare kommt erst mit 65 Jahren und setzt Staatsbürgerschaft, Green Card oder bestimmte Aufenthaltsjahre voraus.</w:t>
      </w:r>
    </w:p>
    <w:p w14:paraId="1F85BA2D" w14:textId="77777777" w:rsidR="001F7233" w:rsidRDefault="00000000">
      <w:r>
        <w:t>• 401(k), IRA/Roth IRA und HSA sind die drei wichtigsten Sparkonten. Nimm mindestens den Arbeitgeber-Match mit.</w:t>
      </w:r>
    </w:p>
    <w:p w14:paraId="68440C37" w14:textId="77777777" w:rsidR="001F7233" w:rsidRDefault="00000000">
      <w:r>
        <w:t>• Deutsche Fonds und ETFs werden in den USA zur Steuerfalle (PFIC). Kaufe nach dem Zuzug nur US-Fonds.</w:t>
      </w:r>
    </w:p>
    <w:p w14:paraId="159578D8" w14:textId="77777777" w:rsidR="001F7233" w:rsidRDefault="00000000">
      <w:r>
        <w:t>• Ohne Testament, Vollmacht und Patientenverfügung nach US-Recht entscheidet im Ernstfall ein Gericht oder der Bundesstaat, nicht die Familie.</w:t>
      </w:r>
    </w:p>
    <w:p w14:paraId="2249A84C" w14:textId="77777777" w:rsidR="001F7233" w:rsidRDefault="00000000">
      <w:r>
        <w:t>• US-Nachlasssteuer und deutsche Erbschaftsteuer können gleichzeitig zuschlagen. Wer auswandert, bleibt bis zu fünf Jahre in Deutschland erbschaftsteuerpflichtig.</w:t>
      </w:r>
    </w:p>
    <w:p w14:paraId="7ECA3D6D" w14:textId="77777777" w:rsidR="001F7233" w:rsidRDefault="001F7233">
      <w:pPr>
        <w:spacing w:line="220" w:lineRule="exact"/>
      </w:pPr>
    </w:p>
    <w:p w14:paraId="2FA38C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Rentensysteme unter einem Dach</w:t>
      </w:r>
    </w:p>
    <w:p w14:paraId="3049B8F1" w14:textId="77777777" w:rsidR="001F7233" w:rsidRDefault="00000000">
      <w:pPr>
        <w:spacing w:after="140"/>
      </w:pPr>
      <w:r>
        <w:rPr>
          <w:i/>
          <w:iCs/>
        </w:rPr>
        <w:t>Verbreiteter Irrtum: Wer Beitragsjahre in Deutschland und den USA gesammelt hat, erwartet oft eine Art Gesamtabrechnung am Ende des Erwerbslebens. Eine Rente aus einem Guss, fein zusammengerechnet von einer Stelle, die für beide Länder spricht. Die gibt es nicht. Für die Altersvorsorge zählen in den USA vor allem drei Bausteine: die staatliche Rente (Social Security), Arbeitgeberkonten wie das 401(k) und individuelle Konten wie IRA und Roth IRA. Die deutsche gesetzliche Rente läuft parallel weiter, wenn du vor dem Umzug eingezahlt hast. Sie verschwindet nicht, wird aber auch nicht automatisch mit der US-Rente verrechnet. Beide Systeme rechnen getrennt, und genau das überrascht viele Zugezogene erst Jahre später, wenn die erste Renteninformation aus beiden Ländern im Briefkasten liegt.</w:t>
      </w:r>
    </w:p>
    <w:p w14:paraId="1748C9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Social Security: 40 Credits und das Abkommen mit Deutschland</w:t>
      </w:r>
    </w:p>
    <w:p w14:paraId="5E54ABFE" w14:textId="77777777" w:rsidR="001F7233" w:rsidRDefault="00000000">
      <w:pPr>
        <w:spacing w:after="140"/>
      </w:pPr>
      <w:r>
        <w:t xml:space="preserve">Wer in den USA arbeitet, zahlt über die Lohnsteuer </w:t>
      </w:r>
      <w:r>
        <w:rPr>
          <w:i/>
          <w:iCs/>
        </w:rPr>
        <w:t>FICA</w:t>
      </w:r>
      <w:r>
        <w:t xml:space="preserve"> (Kapitel </w:t>
      </w:r>
      <w:hyperlink w:anchor="k28">
        <w:r w:rsidR="001F7233">
          <w:t>28</w:t>
        </w:r>
      </w:hyperlink>
      <w:r>
        <w:t xml:space="preserve">) automatisch in Social Security ein. Für einen eigenen Rentenanspruch brauchst du 40 </w:t>
      </w:r>
      <w:r>
        <w:rPr>
          <w:i/>
          <w:iCs/>
        </w:rPr>
        <w:t>Credits</w:t>
      </w:r>
      <w:r>
        <w:t xml:space="preserve"> (Beitragspunkte): Pro Kalenderjahr sind bis zu vier Credits möglich, rechnerisch also zehn Beitragsjahre. Das Sozialversicherungsabkommen zwischen Deutschland und den USA (</w:t>
      </w:r>
      <w:r>
        <w:rPr>
          <w:i/>
          <w:iCs/>
        </w:rPr>
        <w:t>Totalization Agreement</w:t>
      </w:r>
      <w:r>
        <w:t>, seit 1. Dezember 1979) hilft, wenn zehn Jahre allein in den USA nicht zusammenkommen: Für die Wartezeit zählen deutsche und US-Versicherungszeiten zusammen, ausgezahlt wird aber getrennt – jedes Land berechnet seine Rente nur aus den eigenen Beitragsjahren.</w:t>
      </w:r>
    </w:p>
    <w:p w14:paraId="71570DAE" w14:textId="77777777" w:rsidR="001F7233" w:rsidRDefault="00000000">
      <w:pPr>
        <w:spacing w:after="140"/>
      </w:pPr>
      <w:r>
        <w:rPr>
          <w:i/>
          <w:iCs/>
        </w:rPr>
        <w:t xml:space="preserve">Bis Ende 2024 kürzten zwei US-Regeln (Windfall Elimination Provision, WEP und government Pension Offset, GPO) die eigene US-Rente, wenn daneben eine ausländische oder nicht FICA-pflichtige Rente floss. Der Social Security Fairness Act hat beide Regeln am 5. </w:t>
      </w:r>
      <w:r>
        <w:rPr>
          <w:i/>
          <w:iCs/>
        </w:rPr>
        <w:lastRenderedPageBreak/>
        <w:t>Januar 2025 rückwirkend zum Januar 2024 abgeschafft. Eine deutsche Rente mindert die eigene US-Rente seither nicht mehr. Wer beides bezieht, bekommt beide ungekürzt.</w:t>
      </w:r>
    </w:p>
    <w:p w14:paraId="33B4C752" w14:textId="77777777" w:rsidR="001F7233" w:rsidRDefault="00000000">
      <w:pPr>
        <w:spacing w:after="140"/>
      </w:pPr>
      <w:r>
        <w:t>Steuerlich gilt nach dem Doppelbesteuerungsabkommen (DBA) Artikel 18 Absatz 5: Die deutsche gesetzliche Rente wird bei US-Ansässigkeit nur in den USA besteuert, dort wie eine eigene Social-Security-Leistung. Die Deutsche Rentenversicherung zahlt unverändert und ungekürzt in die USA aus (aktueller Rentenwert 42,52 € seit 1. Juli 2026); Bankgebühren und Wechselkurs trägt der Empfänger. Melde dich drei bis vier Monate vor dem Umzug bei der Rentenversicherung, kläre deinen Versicherungsverlauf und erwäge freiwillige Beiträge, um Lücken zu schließen oder den Erwerbsminderungsschutz zu erhalten. Für Nichtdeutsche geht das erst nach 60 Beitragsmonaten.</w:t>
      </w:r>
    </w:p>
    <w:p w14:paraId="394F590D" w14:textId="77777777" w:rsidR="001F7233" w:rsidRDefault="00000000">
      <w:r>
        <w:rPr>
          <w:b/>
        </w:rPr>
        <w:t xml:space="preserve">MERKE: </w:t>
      </w:r>
    </w:p>
    <w:p w14:paraId="34180D68" w14:textId="77777777" w:rsidR="001F7233" w:rsidRDefault="00000000">
      <w:r>
        <w:t>• Die Rente aus zwei Ländern ist keine gemeinsame Rechnung. Jedes Land zahlt nur, was du dort erarbeitet hast. Das Abkommen hilft lediglich, die Mindestzeiten zu erreichen.</w:t>
      </w:r>
    </w:p>
    <w:p w14:paraId="19C725C7" w14:textId="77777777" w:rsidR="001F7233" w:rsidRDefault="001F7233">
      <w:pPr>
        <w:spacing w:line="220" w:lineRule="exact"/>
      </w:pPr>
    </w:p>
    <w:p w14:paraId="0800F2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Krankenversicherung im Ruhestand</w:t>
      </w:r>
    </w:p>
    <w:p w14:paraId="275E1CDF" w14:textId="77777777" w:rsidR="001F7233" w:rsidRDefault="00000000">
      <w:pPr>
        <w:spacing w:after="140"/>
      </w:pPr>
      <w:r>
        <w:t>Medicare ist die staatliche Krankenversicherung für Menschen ab 65 Jahren und für bestimmte Erwerbsunfähige. Beitragsfrei ist Teil A (Krankenhausversicherung) nur, wer mindestens 40 Credits durch die Medicare-Steuer gesammelt hat. Dieselbe Zählweise wie bei Social Security. Fehlen die 40 Credits, lässt sich Teil A ab fünf Jahren ununterbrochenem Aufenthalt als Green-Card-Inhaber zukaufen: 2026 kostet das 311 $ im Monat (30 bis 39 Credits) oder 565 $ (weniger als 30 Credits). Teil B (ambulante Behandlung) kostet 2026 unabhängig von den Credits 202,90 $ im Monat, dazu Selbstbehalte von 283 $ (Teil B) und 1.736 $ je Krankenhausaufenthalt (Teil A).</w:t>
      </w:r>
    </w:p>
    <w:p w14:paraId="60865700" w14:textId="77777777" w:rsidR="001F7233" w:rsidRDefault="00000000">
      <w:r>
        <w:rPr>
          <w:b/>
        </w:rPr>
        <w:lastRenderedPageBreak/>
        <w:t xml:space="preserve">ACHTUNG: </w:t>
      </w:r>
    </w:p>
    <w:p w14:paraId="1CC4797D" w14:textId="77777777" w:rsidR="001F7233" w:rsidRDefault="00000000">
      <w:r>
        <w:t>• Seit Juli 2025 steht Medicare nur noch Staatsbürgern, Green-Card-Inhabern sowie wenigen weiteren Gruppen offen; laufende Ansprüche anderer Gruppen enden bis zum 4. Januar 2027. Wer mit einem Arbeitsvisum bis 65 im Land bleibt, sollte die eigene Green-Card-Planung (</w:t>
      </w:r>
      <w:hyperlink w:anchor="k6">
        <w:r w:rsidR="001F7233">
          <w:rPr>
            <w:color w:val="0563C1"/>
            <w:u w:val="single"/>
          </w:rPr>
          <w:t>Kapitel 6</w:t>
        </w:r>
      </w:hyperlink>
      <w:r>
        <w:t>) rechtzeitig mit dem Medicare-Zugang zusammendenken – ohne Green Card oder Staatsbürgerschaft gibt es keinen Anspruch.</w:t>
      </w:r>
    </w:p>
    <w:p w14:paraId="387565C3" w14:textId="77777777" w:rsidR="001F7233" w:rsidRDefault="001F7233">
      <w:pPr>
        <w:spacing w:line="220" w:lineRule="exact"/>
      </w:pPr>
    </w:p>
    <w:p w14:paraId="0ACDA9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US-Sparkonten: 401(k), IRA, Roth und HSA</w:t>
      </w:r>
    </w:p>
    <w:p w14:paraId="0EFBE860" w14:textId="77777777" w:rsidR="001F7233" w:rsidRDefault="00000000">
      <w:r>
        <w:rPr>
          <w:b/>
        </w:rPr>
        <w:t>401(k)</w:t>
      </w:r>
    </w:p>
    <w:p w14:paraId="710E5C1A" w14:textId="77777777" w:rsidR="001F7233" w:rsidRDefault="00000000">
      <w:r>
        <w:rPr>
          <w:b/>
        </w:rPr>
        <w:t xml:space="preserve">Grenze 2026: </w:t>
      </w:r>
      <w:r>
        <w:t>24.500 $ (ab 50: +8.000 $; 60–63: +11.250 $)</w:t>
      </w:r>
    </w:p>
    <w:p w14:paraId="4EF0383F" w14:textId="77777777" w:rsidR="001F7233" w:rsidRDefault="00000000">
      <w:r>
        <w:rPr>
          <w:b/>
        </w:rPr>
        <w:t xml:space="preserve">Steuerlogik: </w:t>
      </w:r>
      <w:r>
        <w:t>Vor Steuer eingezahlt, Auszahlung im Ruhestand versteuert</w:t>
      </w:r>
    </w:p>
    <w:p w14:paraId="70AAAAD1" w14:textId="77777777" w:rsidR="001F7233" w:rsidRDefault="00000000">
      <w:r>
        <w:rPr>
          <w:b/>
        </w:rPr>
        <w:t xml:space="preserve">Praxis: </w:t>
      </w:r>
      <w:r>
        <w:t>Arbeitgeber-Match zuerst mitnehmen</w:t>
      </w:r>
    </w:p>
    <w:p w14:paraId="5E67FD46" w14:textId="77777777" w:rsidR="001F7233" w:rsidRDefault="00000000">
      <w:r>
        <w:rPr>
          <w:b/>
        </w:rPr>
        <w:t>Traditional IRA</w:t>
      </w:r>
    </w:p>
    <w:p w14:paraId="566C4F41" w14:textId="77777777" w:rsidR="001F7233" w:rsidRDefault="00000000">
      <w:r>
        <w:rPr>
          <w:b/>
        </w:rPr>
        <w:t xml:space="preserve">Grenze 2026: </w:t>
      </w:r>
      <w:r>
        <w:t>7.500 $ (ab 50: +1.100 $)</w:t>
      </w:r>
    </w:p>
    <w:p w14:paraId="14294EE0" w14:textId="77777777" w:rsidR="001F7233" w:rsidRDefault="00000000">
      <w:r>
        <w:rPr>
          <w:b/>
        </w:rPr>
        <w:t xml:space="preserve">Steuerlogik: </w:t>
      </w:r>
      <w:r>
        <w:t>Beitrag oft absetzbar, Auszahlung versteuert</w:t>
      </w:r>
    </w:p>
    <w:p w14:paraId="0FC3AE2F" w14:textId="77777777" w:rsidR="001F7233" w:rsidRDefault="00000000">
      <w:r>
        <w:rPr>
          <w:b/>
        </w:rPr>
        <w:t xml:space="preserve">Praxis: </w:t>
      </w:r>
      <w:r>
        <w:t>Abzug entfällt bei hohem Einkommen mit Betriebsplan</w:t>
      </w:r>
    </w:p>
    <w:p w14:paraId="60FE0D80" w14:textId="77777777" w:rsidR="001F7233" w:rsidRDefault="00000000">
      <w:r>
        <w:rPr>
          <w:b/>
        </w:rPr>
        <w:t>Roth IRA</w:t>
      </w:r>
    </w:p>
    <w:p w14:paraId="0D58CBD5" w14:textId="77777777" w:rsidR="001F7233" w:rsidRDefault="00000000">
      <w:r>
        <w:rPr>
          <w:b/>
        </w:rPr>
        <w:t xml:space="preserve">Grenze 2026: </w:t>
      </w:r>
      <w:r>
        <w:t>gemeinsame Grenze mit IRA</w:t>
      </w:r>
    </w:p>
    <w:p w14:paraId="2290662C" w14:textId="77777777" w:rsidR="001F7233" w:rsidRDefault="00000000">
      <w:r>
        <w:rPr>
          <w:b/>
        </w:rPr>
        <w:t xml:space="preserve">Steuerlogik: </w:t>
      </w:r>
      <w:r>
        <w:t>Beitrag aus versteuertem Geld, Auszahlung steuerfrei</w:t>
      </w:r>
    </w:p>
    <w:p w14:paraId="18AC7DE1" w14:textId="77777777" w:rsidR="001F7233" w:rsidRDefault="00000000">
      <w:r>
        <w:rPr>
          <w:b/>
        </w:rPr>
        <w:t xml:space="preserve">Praxis: </w:t>
      </w:r>
      <w:r>
        <w:t>Einkommensgrenze: Einzelperson 153.000–168.000 $, Ehepaar 242.000–252.000 $</w:t>
      </w:r>
    </w:p>
    <w:p w14:paraId="2C65D6B0" w14:textId="77777777" w:rsidR="001F7233" w:rsidRDefault="00000000">
      <w:r>
        <w:rPr>
          <w:b/>
        </w:rPr>
        <w:t>HSA</w:t>
      </w:r>
    </w:p>
    <w:p w14:paraId="59E9EF62" w14:textId="77777777" w:rsidR="001F7233" w:rsidRDefault="00000000">
      <w:r>
        <w:rPr>
          <w:b/>
        </w:rPr>
        <w:t xml:space="preserve">Grenze 2026: </w:t>
      </w:r>
      <w:r>
        <w:t>4.400 $ Einzelperson / 8.750 $ Familie (ab 55: +1.000 $)</w:t>
      </w:r>
    </w:p>
    <w:p w14:paraId="7E916D72" w14:textId="77777777" w:rsidR="001F7233" w:rsidRDefault="00000000">
      <w:r>
        <w:rPr>
          <w:b/>
        </w:rPr>
        <w:t xml:space="preserve">Steuerlogik: </w:t>
      </w:r>
      <w:r>
        <w:t>Dreifach steuerbegünstigt</w:t>
      </w:r>
    </w:p>
    <w:p w14:paraId="2C20AF5E" w14:textId="77777777" w:rsidR="001F7233" w:rsidRDefault="00000000">
      <w:r>
        <w:rPr>
          <w:b/>
        </w:rPr>
        <w:t xml:space="preserve">Praxis: </w:t>
      </w:r>
      <w:r>
        <w:t xml:space="preserve">Nur mit Hochselbstbehalt-Tarif (HDHP); Details </w:t>
      </w:r>
      <w:hyperlink w:anchor="k26">
        <w:r w:rsidR="001F7233">
          <w:rPr>
            <w:rStyle w:val="Hyperlink"/>
          </w:rPr>
          <w:t>Kapitel 26</w:t>
        </w:r>
      </w:hyperlink>
    </w:p>
    <w:p w14:paraId="7CF473D9" w14:textId="77777777" w:rsidR="001F7233" w:rsidRDefault="001F7233">
      <w:pPr>
        <w:spacing w:line="180" w:lineRule="exact"/>
      </w:pPr>
    </w:p>
    <w:p w14:paraId="490D4FB5" w14:textId="77777777" w:rsidR="001F7233" w:rsidRDefault="00000000">
      <w:pPr>
        <w:spacing w:after="140"/>
      </w:pPr>
      <w:r>
        <w:rPr>
          <w:i/>
          <w:iCs/>
        </w:rPr>
        <w:lastRenderedPageBreak/>
        <w:t>Das 401(k) ist ein Arbeitgeberkonto, oft mit Match: Der Arbeitgeber verdoppelt oder ergänzt deinen Beitrag bis zu einer Grenze, meist 3 bis 6 % des Gehalts. Viele Pläne bieten auch eine Roth-401(k)-Variante mit derselben Logik wie die Roth IRA. Für die IRA brauchst du eigenes Erwerbseinkommen. Wer die Roth-Einkommensgrenze überschreitet, nutzt oft die sogenannte Backdoor Roth-Strategie (nicht abziehbare IRA-Einzahlung, anschließende Umwandlung). Das ist im Detail komplex und gehört in die Hände eines Steuerexperten. Die HSA ist der einzige Kontotyp mit dreifachem Steuervorteil: Einzahlung mindert das Einkommen, Wachstum bleibt steuerfrei und abhebungen für Gesundheitskosten sind es ebenfalls.</w:t>
      </w:r>
    </w:p>
    <w:p w14:paraId="1EB7A09B" w14:textId="77777777" w:rsidR="001F7233" w:rsidRDefault="00000000">
      <w:r>
        <w:rPr>
          <w:b/>
        </w:rPr>
        <w:t xml:space="preserve">SPARTIPP: </w:t>
      </w:r>
    </w:p>
    <w:p w14:paraId="05992996" w14:textId="77777777" w:rsidR="001F7233" w:rsidRDefault="00000000">
      <w:r>
        <w:t>• Zahle immer mindestens so viel ins 401(k) ein, wie der Arbeitgeber-Match ausschöpft. Das ist sofortige Rendite von häufig 50 bis 100 %, die sonst verschenkt wird.</w:t>
      </w:r>
    </w:p>
    <w:p w14:paraId="5FDD19B6" w14:textId="77777777" w:rsidR="001F7233" w:rsidRDefault="001F7233">
      <w:pPr>
        <w:spacing w:line="220" w:lineRule="exact"/>
      </w:pPr>
    </w:p>
    <w:p w14:paraId="40303A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529-Sparplan und Aktienvergütung</w:t>
      </w:r>
    </w:p>
    <w:p w14:paraId="1532C3C1" w14:textId="77777777" w:rsidR="001F7233" w:rsidRDefault="00000000">
      <w:pPr>
        <w:spacing w:after="140"/>
      </w:pPr>
      <w:r>
        <w:t>Für die Ausbildung der Kinder gibt es den 529-Plan: Das Vermögen wächst steuerfrei, solange du es für Bildungskosten nutzt. Einen Bundesabzug gibt es nicht, viele Bundesstaaten gewähren aber einen eigenen Abzug auf den Beitrag. Ein Teil lässt sich inzwischen auch für Schulgeld an K-12-Schulen verwenden, allerdings begrenzt auf einen jährlichen Höchstbetrag. Prüfe die genaue Grenze bei deinem Anbieter, da sie sich durch die jüngste Steuerreform geändert hat.</w:t>
      </w:r>
    </w:p>
    <w:p w14:paraId="578C8CB1" w14:textId="77777777" w:rsidR="001F7233" w:rsidRDefault="00000000">
      <w:pPr>
        <w:spacing w:after="140"/>
      </w:pPr>
      <w:r>
        <w:t xml:space="preserve">Die IRS unterscheidet zwei Typen von Optionen. NSOs (nicht qualifizierte Optionen) werden bei Ausübung wie Lohn versteuert; ISOs (Incentive Stock Options) lösen dabei keine reguläre Steuer aus, können aber die Alternative Minimum Tax auslösen. Die günstige Kapitalgewinnbesteuerung greift nur bei Haltefristen von zwei Jahren ab Gewährung und einem Jahr ab Ausübung (siehe Kapitel </w:t>
      </w:r>
      <w:hyperlink w:anchor="k29">
        <w:r w:rsidR="001F7233">
          <w:t>29</w:t>
        </w:r>
      </w:hyperlink>
      <w:r>
        <w:t>).</w:t>
      </w:r>
    </w:p>
    <w:p w14:paraId="45FE4A60" w14:textId="77777777" w:rsidR="001F7233" w:rsidRDefault="001F7233">
      <w:pPr>
        <w:spacing w:line="220" w:lineRule="exact"/>
      </w:pPr>
    </w:p>
    <w:p w14:paraId="47782A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Sparen und Investieren: die PFIC-Falle vermeiden</w:t>
      </w:r>
    </w:p>
    <w:p w14:paraId="67F6F05D" w14:textId="77777777" w:rsidR="001F7233" w:rsidRDefault="00000000">
      <w:pPr>
        <w:spacing w:after="140"/>
      </w:pPr>
      <w:r>
        <w:t>Wer als Ansässiger in den USA lebt, sollte deutsche Fonds und ETFs meiden. Kapitel </w:t>
      </w:r>
      <w:hyperlink w:anchor="k28">
        <w:r w:rsidR="001F7233">
          <w:t>28</w:t>
        </w:r>
      </w:hyperlink>
      <w:r>
        <w:t xml:space="preserve"> erklärt die Meldepflichten für Auslandsvermögen im Detail; hier nur die Kurzfassung fürs Sparen.</w:t>
      </w:r>
    </w:p>
    <w:p w14:paraId="07700ED5" w14:textId="77777777" w:rsidR="001F7233" w:rsidRDefault="00000000">
      <w:r>
        <w:rPr>
          <w:b/>
        </w:rPr>
        <w:t xml:space="preserve">ACHTUNG: </w:t>
      </w:r>
    </w:p>
    <w:p w14:paraId="70F5BC32" w14:textId="77777777" w:rsidR="001F7233" w:rsidRDefault="00000000">
      <w:r>
        <w:t xml:space="preserve">• Deutsche Fonds und ETFs gelten für US-Steuerpflichtige fast immer als PFIC (Passive Foreign Investment Company, passive ausländische Kapitalgesellschaft) mit teurer Sonderbesteuerung und eigener Formularpflicht (Form 8621). Kläre vor dem Zuzug mit einem Berater beider Länder, ob du bestehende Fonds verkaufst, und kaufe danach nur noch in den USA aufgelegte Indexfonds. Details zu PFIC und den Meldepflichten: </w:t>
      </w:r>
      <w:hyperlink w:anchor="k28">
        <w:r w:rsidR="001F7233">
          <w:rPr>
            <w:color w:val="0563C1"/>
            <w:u w:val="single"/>
          </w:rPr>
          <w:t>Kapitel 28</w:t>
        </w:r>
      </w:hyperlink>
      <w:r>
        <w:t>.</w:t>
      </w:r>
    </w:p>
    <w:p w14:paraId="1E41BA8F" w14:textId="77777777" w:rsidR="001F7233" w:rsidRDefault="001F7233">
      <w:pPr>
        <w:spacing w:line="220" w:lineRule="exact"/>
      </w:pPr>
    </w:p>
    <w:p w14:paraId="5A9EC5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Vorsorge: behalten oder abwickeln</w:t>
      </w:r>
    </w:p>
    <w:p w14:paraId="17FC8FC0" w14:textId="77777777" w:rsidR="001F7233" w:rsidRDefault="00000000">
      <w:pPr>
        <w:spacing w:after="140"/>
      </w:pPr>
      <w:r>
        <w:t>Deutsche Vorsorgeverträge sind zäh – sie kündigen sich nicht von selbst, auch nicht über den Atlantik hinweg und laufen munter weiter, wenn du sie nicht aktiv beendest. Ob das sinnvoll ist, hängt vom Vertrag ab.</w:t>
      </w:r>
    </w:p>
    <w:p w14:paraId="4F2384A7" w14:textId="77777777" w:rsidR="001F7233" w:rsidRDefault="00000000">
      <w:pPr>
        <w:pStyle w:val="ListParagraph"/>
        <w:numPr>
          <w:ilvl w:val="0"/>
          <w:numId w:val="1"/>
        </w:numPr>
        <w:spacing w:after="60"/>
      </w:pPr>
      <w:r>
        <w:rPr>
          <w:b/>
          <w:bCs/>
        </w:rPr>
        <w:t xml:space="preserve">Gesetzliche Krankenversicherung (GKV): Die Pflichtmitgliedschaft endet mit dem letzten Arbeitstag. Eine freiwillige Mitgliedschaft läuft dagegen weiter, bis du sie kündigst. Ohne Kündigung zahlst du trotz ruhendem </w:t>
      </w:r>
      <w:r>
        <w:rPr>
          <w:b/>
          <w:bCs/>
        </w:rPr>
        <w:lastRenderedPageBreak/>
        <w:t>Leistungsanspruch im Ausland weiter. Wer eine Rückkehroption offenhalten will, fragt die eigene Kasse nach einer Anwartschaft. Den Beitrag nennt die Kasse. Dieses Kapitel druckt ihn nicht.</w:t>
      </w:r>
    </w:p>
    <w:p w14:paraId="20A4D496" w14:textId="77777777" w:rsidR="001F7233" w:rsidRDefault="00000000">
      <w:pPr>
        <w:pStyle w:val="ListParagraph"/>
        <w:numPr>
          <w:ilvl w:val="0"/>
          <w:numId w:val="1"/>
        </w:numPr>
        <w:spacing w:after="60"/>
      </w:pPr>
      <w:r>
        <w:rPr>
          <w:b/>
          <w:bCs/>
        </w:rPr>
        <w:t>Private Krankenversicherung (PKV): Eine Kündigung vernichtet die angesparten Alterungsrückstellungen. Eine „kleine“ Anwartschaft sichert den Gesundheitszustand, eine „große“ auch das Eintrittsalter. Den Anteil am Beitrag nennt der Versicherer.</w:t>
      </w:r>
    </w:p>
    <w:p w14:paraId="6E7C30C4" w14:textId="77777777" w:rsidR="001F7233" w:rsidRDefault="00000000">
      <w:pPr>
        <w:pStyle w:val="ListParagraph"/>
        <w:numPr>
          <w:ilvl w:val="0"/>
          <w:numId w:val="1"/>
        </w:numPr>
        <w:spacing w:after="60"/>
      </w:pPr>
      <w:r>
        <w:rPr>
          <w:b/>
          <w:bCs/>
        </w:rPr>
        <w:t>Riester: Der Wegzug in der Ansparphase löst nichts aus. Kritisch wird es erst, wenn die Auszahlungsphase beginnt, während du außer der EU/EWR wohnst. Dann fordert der Anbieter Zulagen und Steuervorteile zurück. Ab 1. Januar 2027 gibt es keine neuen Riester-Verträge mehr, bestehende laufen mit Bestandsschutz weiter.</w:t>
      </w:r>
    </w:p>
    <w:p w14:paraId="2D67CAD6" w14:textId="77777777" w:rsidR="001F7233" w:rsidRDefault="00000000">
      <w:pPr>
        <w:pStyle w:val="ListParagraph"/>
        <w:numPr>
          <w:ilvl w:val="0"/>
          <w:numId w:val="1"/>
        </w:numPr>
        <w:spacing w:after="60"/>
      </w:pPr>
      <w:r>
        <w:rPr>
          <w:b/>
          <w:bCs/>
        </w:rPr>
        <w:t>Rürup und betriebliche Altersvorsorge (bAV): Rürup-Verträge sind nicht kündbar. Der Wegzug allein löst nichts aus, die US-Besteuerung der späteren Auszahlung ist aber noch nicht abschließend geklärt. Die bAV nach § 1 BetrAVG ist im DBA ausdrücklich als „Pension Plan“ anerkannt. Unverfallbare Ansprüche bleiben erhalten und werden auch ins Ausland ausgezahlt.</w:t>
      </w:r>
    </w:p>
    <w:p w14:paraId="01DD427F" w14:textId="77777777" w:rsidR="001F7233" w:rsidRDefault="001F7233">
      <w:pPr>
        <w:spacing w:line="120" w:lineRule="exact"/>
      </w:pPr>
    </w:p>
    <w:p w14:paraId="204CB1F1" w14:textId="77777777" w:rsidR="001F7233" w:rsidRDefault="00000000">
      <w:r>
        <w:rPr>
          <w:b/>
        </w:rPr>
        <w:t xml:space="preserve">SPARTIPP: </w:t>
      </w:r>
    </w:p>
    <w:p w14:paraId="3953400C" w14:textId="77777777" w:rsidR="001F7233" w:rsidRDefault="00000000">
      <w:r>
        <w:t>• Lass Riester-, Rürup- und bAV-Verträge vor dem Umzug von einem Berater bewerten, der beide Länder kennt. Oft lohnt sich das Weiterführen der bAV, während Riester in der Auszahlungsphase zum Problem werden kann.</w:t>
      </w:r>
    </w:p>
    <w:p w14:paraId="49CCE081" w14:textId="77777777" w:rsidR="001F7233" w:rsidRDefault="001F7233">
      <w:pPr>
        <w:spacing w:line="220" w:lineRule="exact"/>
      </w:pPr>
    </w:p>
    <w:p w14:paraId="53CD8E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Testament, Vollmacht und Patientenverfügung</w:t>
      </w:r>
    </w:p>
    <w:p w14:paraId="0FCE823B" w14:textId="77777777" w:rsidR="001F7233" w:rsidRDefault="00000000">
      <w:pPr>
        <w:spacing w:after="140"/>
      </w:pPr>
      <w:r>
        <w:rPr>
          <w:i/>
          <w:iCs/>
        </w:rPr>
        <w:t>Eine deutsche Vorsorgevollmacht oder ein deutsches Testament regeln dein Vermögen und deine Vertretung in den USA nicht. Jeder Bundesstaat legt eigene Formvorschriften fest, meist: schriftlich, unterschrieben, von zwei Zeugen bestätigt. Eine notarielle Beglaubigung ist in den meisten Staaten nicht Pflicht, aber sinnvoll. Ohne Testament (Will) entscheidet die gesetzliche Erbfolge des Bundesstaats, wer erbt. Das muss nicht der Partner oder die Kinder sein und bei minderjährigen Kindern entscheidet im Zweifel ein Familiengericht über die Vormundschaft.</w:t>
      </w:r>
    </w:p>
    <w:p w14:paraId="0066C331" w14:textId="77777777" w:rsidR="001F7233" w:rsidRDefault="00000000">
      <w:pPr>
        <w:spacing w:after="140"/>
      </w:pPr>
      <w:r>
        <w:rPr>
          <w:i/>
          <w:iCs/>
        </w:rPr>
        <w:t>Ergänzend nutzen viele Amerikaner einen widerruflichen Trust (Revocable Living Trust): Du überträgst Vermögen zu Lebzeiten in den Trust, bleibst selbst Verwalter und Begünstigter und nach deinem Tod geht es ohne Probate – das gerichtliche Nachlassverfahren zur Bestätigung des Testaments und Verteilung des Vermögens – direkt an die genannten Personen. Probate kann je nach Bundesstaat Monate bis über ein Jahr dauern und Anwalts- sowie Gerichtskosten verursachen. Auch gemeinsames Eigentum mit Überlebensrecht oder direkte Begünstigtenbenennungen bei Renten- und Bankkonten (Payable on Death, POD) umgehen Probate. 401(k), IRA und Lebensversicherungen gehen ohnehin direkt an die dort benannte Person. Prüfe diese Angaben nach jedem größeren Lebensereignis. Für den Ernstfall zu Lebzeiten brauchst du auch eine finanzielle Vollmacht (Durable Power of Attorney) und eine Patientenverfügung mit Vollmacht für Gesundheitsentscheidungen (Healthcare Directive, Healthcare Power of Attorney). Beide Formulare stellen viele Bundesstaaten und Anwaltskammern kostenlos bereit.</w:t>
      </w:r>
    </w:p>
    <w:p w14:paraId="015AD34C" w14:textId="77777777" w:rsidR="001F7233" w:rsidRDefault="001F7233">
      <w:pPr>
        <w:spacing w:line="220" w:lineRule="exact"/>
      </w:pPr>
    </w:p>
    <w:p w14:paraId="1468A956" w14:textId="77777777" w:rsidR="001F7233" w:rsidRDefault="00000000">
      <w:r>
        <w:rPr>
          <w:b/>
        </w:rPr>
        <w:t xml:space="preserve">ACHTUNG: </w:t>
      </w:r>
    </w:p>
    <w:p w14:paraId="0E34F5DD" w14:textId="77777777" w:rsidR="001F7233" w:rsidRDefault="00000000">
      <w:r>
        <w:t xml:space="preserve">• Eine deutsche Vorsorgevollmacht oder Patientenverfügung gilt in den USA nicht automatisch. Kliniken und Banken verlangen eigene, </w:t>
      </w:r>
      <w:r>
        <w:lastRenderedPageBreak/>
        <w:t>bundesstaatliche Formulare. Besorge dir US-Dokumente, sobald du einen festen Wohnsitz hast und bewahre die deutschen Originale parallel auf, falls du dort noch Vermögen hast.</w:t>
      </w:r>
    </w:p>
    <w:p w14:paraId="20C8DF20" w14:textId="77777777" w:rsidR="001F7233" w:rsidRDefault="001F7233">
      <w:pPr>
        <w:spacing w:line="220" w:lineRule="exact"/>
      </w:pPr>
    </w:p>
    <w:p w14:paraId="55249F2C" w14:textId="77777777" w:rsidR="001F7233" w:rsidRDefault="00000000">
      <w:r>
        <w:t>• Dieser Abschnitt erklärt Begriffe und Zusammenhänge, ersetzt aber keine Rechtsberatung. Testament, Trust und Vollmachten regelt jeder Bundesstaat unterschiedlich. Lass die Dokumente von einer Anwältin oder einem Anwalt für Nachlassrecht in deinem Bundesstaat aufsetzen.</w:t>
      </w:r>
    </w:p>
    <w:p w14:paraId="78FB3EF0" w14:textId="77777777" w:rsidR="001F7233" w:rsidRDefault="001F7233">
      <w:pPr>
        <w:spacing w:line="220" w:lineRule="exact"/>
      </w:pPr>
    </w:p>
    <w:p w14:paraId="59AA62DD" w14:textId="77777777" w:rsidR="001F7233" w:rsidRDefault="00000000">
      <w:pPr>
        <w:pStyle w:val="Heading3"/>
      </w:pPr>
      <w:r>
        <w:t>Ein Todesfall in den USA: erst Bestattung oder Überführung klären</w:t>
      </w:r>
    </w:p>
    <w:p w14:paraId="789FA4DA" w14:textId="77777777" w:rsidR="001F7233" w:rsidRDefault="00000000">
      <w:r>
        <w:t>Einäscherung oder Beerdigung vor Ort ist häufig schneller und organisatorisch einfacher als die Überführung eines Sarges nach Deutschland. Auch eine Urne braucht vorgeschriebene Dokumente und Abstimmung zwischen Auslandsvertretung und Bestatter. Eine Beisetzung vor Ort kann kulturell oder familiär passen, verursacht aber Friedhofs- und Grabpflegekosten. Direkte Einäscherung oder unmittelbare Beerdigung sind oft einfacher und günstiger; eine Trauerfeier kann davon getrennt stattfinden. Verlange eine aufgeschlüsselte Preisliste und vergleiche Anbieter. Nach der FTC Funeral Rule darfst du Leistungen einzeln wählen. Einbalsamierung ist nicht pauschal gesetzlich vorgeschrieben. Die Auslandsvertretung kann bei Dokumenten und Überführung beraten, übernimmt aber keine Kosten. Prüfe Reise-, Arbeitgeber- oder Sterbegeldversicherung.</w:t>
      </w:r>
    </w:p>
    <w:p w14:paraId="1F8446F8" w14:textId="77777777" w:rsidR="001F7233" w:rsidRDefault="00000000">
      <w:r>
        <w:t xml:space="preserve">Bei einem Todesfall stellt die passende Stelle den Tod fest und registriert ihn. Bei ungeklärter Ursache kann ein Coroner oder Medical Examiner untersuchen. Abläufe und Freigaben unterscheiden sich nach Bundesstaat und Fall. Ein deutsches Testament ist nicht automatisch unwirksam, wird aber auch nicht automatisch nach US-Verfahren vollzogen. Form, Anerkennung und Zuständigkeit müssen geprüft werden. Probate betrifft Vermögen, das nicht durch Miteigentum mit Überlebensrecht, Trust oder </w:t>
      </w:r>
      <w:r>
        <w:lastRenderedPageBreak/>
        <w:t>wirksame Begünstigtenbenennung außer des Nachlasses übergeht. Banken oder Grundbuchstellen können bis zum Nachweis der Vertretungsbefugnis Unterlagen verlangen. Nicht jedes Konto und jede Immobilie wird pauschal eingefroren. Bei Heimführung koordiniert ein Bestatter Papiere und Transport mit dem deutschen Bestatter und der passenden Auslandsvertretung.</w:t>
      </w:r>
    </w:p>
    <w:p w14:paraId="30A350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Nachlasssteuer und Erbschaft über den Atlantik</w:t>
      </w:r>
    </w:p>
    <w:p w14:paraId="045A68EC" w14:textId="77777777" w:rsidR="001F7233" w:rsidRDefault="00000000">
      <w:pPr>
        <w:spacing w:after="140"/>
      </w:pPr>
      <w:r>
        <w:t>Für die US-Nachlasssteuer zählt bei Nicht-US-Bürgern der Wohnsitz mit der Absicht, dauerhaft zu bleiben (domicile), nicht der Einkommensteuer-Test. US-Bürger unterliegen mit ihrem weltweiten Nachlass der Bundessteuer; bei US-domizilierten Personen gilt das ebenfalls. Für Todesfälle 2026 beträgt der Bundesfreibetrag 15 Mio. $ pro Person. Der Spitzensatz beträgt 40 %, wird aber nicht auf das ganze Vermögen angewandt. Bei Ehepaaren kann der ungenutzte Freibetrag des zuerst Verstorbenen durch eine fristgerechte Portability-Wahl auf den überlebenden Ehepartner übertragen werden; 30 Mio. $ sind deshalb kein automatischer gemeinsamer Freibetrag. Bei einem nicht US-bürgerlichen Ehepartner gelten für den unbegrenzten Ehegattenabzug besondere Regeln, oft mit einem Qualified Domestic Trust (QDOT).</w:t>
      </w:r>
    </w:p>
    <w:p w14:paraId="1B77CD13" w14:textId="77777777" w:rsidR="001F7233" w:rsidRDefault="00000000">
      <w:r>
        <w:rPr>
          <w:b/>
        </w:rPr>
        <w:t xml:space="preserve">ACHTUNG: </w:t>
      </w:r>
    </w:p>
    <w:p w14:paraId="5E03133D" w14:textId="77777777" w:rsidR="001F7233" w:rsidRDefault="00000000">
      <w:r>
        <w:t xml:space="preserve">⚠ Nicht-US-Bürger ohne US-domizil unterliegen meist nur mit bestimmten US-Vermögenswerten der Steuer, etwa US-Immobilien und Aktien US-amerikanischer Gesellschaften. Ab mehr als 60.000 $ US-Vermögen kann Form 706-NA fällig werden. Das ist keine allgemeingültige Aussage, dass stets nur 60.000 $ abziehbar sind: Das deutsch-amerikanische Nachlasssteuerabkommen kann Berechnung und anrechenbaren Freibetrag verändern. Vor Kauf </w:t>
      </w:r>
      <w:r>
        <w:lastRenderedPageBreak/>
        <w:t>einer US-Immobilie oder groesserer US-Wertpapierpositionen fachkundig prüfen lassen.</w:t>
      </w:r>
    </w:p>
    <w:p w14:paraId="3705F3FC" w14:textId="77777777" w:rsidR="001F7233" w:rsidRDefault="001F7233">
      <w:pPr>
        <w:spacing w:line="220" w:lineRule="exact"/>
      </w:pPr>
    </w:p>
    <w:p w14:paraId="7A6DE8CE" w14:textId="77777777" w:rsidR="001F7233" w:rsidRDefault="00000000">
      <w:pPr>
        <w:spacing w:after="140"/>
      </w:pPr>
      <w:r>
        <w:t>Die deutsche Erbschaftsteuer kann parallel greifen, etwa wenn Erblasser oder Erwerber in Deutschland steuerlich ansässig sind oder bei deutschen Staatsangehörigen in der gesetzlichen Fünf-Jahres-Nachwirkung nach dem Wegzug (Paragraph 2 ErbStG). Die persönlichen Freibeträge betragen unter anderem 500.000 € für Ehepartner und 400.000 € je Kind. Das deutsch-amerikanische Abkommen zur Vermeidung der Doppelbesteuerung bei Nachlass-, Erbschaft- und Schenkungsteuern wurde 1980 unterzeichnet, trat 1986 in Kraft und 1998 geändert (in Kraft seit 2000). Es enthält Regeln zur Zuweisung und Steueranrechnung. Die Wirkung hängt von Wohnsitz, Staatsangehörigkeit und Vermögensart ab. Es ist keine einfache Regel "Immobilie dort, bewegliches Vermögen hier". Einkommensteuerabkommen und Erbschaftsteuerabkommen sind getrennte Verträge. Lass einen grenzüberschreitenden Nachlass konkret prüfen.</w:t>
      </w:r>
    </w:p>
    <w:p w14:paraId="65891401" w14:textId="77777777" w:rsidR="001F7233" w:rsidRDefault="00000000">
      <w:pPr>
        <w:pStyle w:val="Heading3"/>
      </w:pPr>
      <w:r>
        <w:t>Form 706: Erklärung des Nachlasses</w:t>
      </w:r>
    </w:p>
    <w:p w14:paraId="56D15D3A" w14:textId="77777777" w:rsidR="001F7233" w:rsidRDefault="00000000">
      <w:r>
        <w:t xml:space="preserve">Der Personal Representative (Nachlassverwalter) reicht Form 706 beim IRS ein. Sie berechnet die Bundes-Nachlasssteuer und falls nötig die Generation-Skipping-Transfer-Steuer. Für Todesfälle 2026 ist sie bei US-Bürgern und US-domizilierten Personen meist vorgeschrieben, wenn Bruttonachlass, bereinigte steuerpflichtige Schenkungen und bestimmte frühere Freibeträge zusammen 15 Mio. $ übersteigen. Sie kann auch darunter nötig sein, wenn der Nachlass den ungenutzten Freibetrag auf den überlebenden Ehepartner übertragen will (Portability). Dafür muss die Wahl meist fristgerecht und vollständig erklärt werden. Eine vereinfachte nachträgliche Wahl kann in bestimmten Fällen innerhalb von fünf Jahren möglich sein, ist aber kein automatischer Anspruch für jeden Nachlass. Form 706 ist meist neun Monate nach dem Tod fällig. Form 4768 kann die Abgabe um sechs Monate verlängern, nicht aber den </w:t>
      </w:r>
      <w:r>
        <w:lastRenderedPageBreak/>
        <w:t>Zahlungstermin: geschuldete Steuer bleibt meist nach neun Monaten fällig. Der Nachlass wird bewertet; zulässige Schulden, Bestattungs- und Verwaltungskosten sowie Ehegatten- und Spendenabzüge werden berücksichtigt. Frühere steuerpflichtige Schenkungen fließen in die Berechnung ein. Bei einem nicht US-bürgerlichen Ehepartner ist der unbegrenzte Ehegattenabzug regelmäßig nur über einen QDOT möglich. Soweit die Steuer anfällt, zahlt sie der Nachlass vor der Verteilung.</w:t>
      </w:r>
    </w:p>
    <w:p w14:paraId="38F2655E" w14:textId="77777777" w:rsidR="001F7233" w:rsidRDefault="00000000">
      <w:pPr>
        <w:pStyle w:val="Heading3"/>
      </w:pPr>
      <w:r>
        <w:t>Form 709: Schenkungen zu Lebzeiten</w:t>
      </w:r>
    </w:p>
    <w:p w14:paraId="4627A52F" w14:textId="77777777" w:rsidR="001F7233" w:rsidRDefault="00000000">
      <w:r>
        <w:t>Form 709 reicht meist der Schenker ein, nicht der Empfänger. Für 2026 beträgt der Jahresfreibetrag 19.000 $ pro Empfänger für sofort nutzbare Schenkungen (present interests). Bis dahin bleibt eine solche Schenkung meist außer der Meldung. Eine Schenkung darüber löst meist eine Erklärung aus, aber nicht automatisch sofortige Steuer: Der übersteigende Betrag nutzt meist den gemeinsamen lebenslangen Schenkungs- und Nachlassfreibetrag von 15 Mio. $. Meldepflicht kann auch bei kleineren Beträgen entstehen, etwa bei künftigen Nutzungsrechten (future interests), bei gewähltem gift splitting mit dem Ehepartner oder bei Zuweisung des GST-Freibetrags. Ehepartner reichen keine gemeinsame Form 709 ein; bei gift splitting muss jeder die erforderliche Erklärung abgeben. Für Geschenke an einen US-bürgerlichen Ehepartner gilt meist ein unbegrenzter Abzug. Bei einem nicht US-bürgerlichen Ehepartner liegt die besondere Jahresgrenze 2026 bei 194.000 $. Direkte Zahlungen an eine qualifizierte Bildungseinrichtung für Studiengebühren oder an einen medizinischen Leistungserbringer für anrechenbare Behandlung fallen meist unter eigene Ausnahmen. Bücher, Unterkunft und erstattete Behandlungskosten sind nicht automatisch umfasst. Form 709 ist am 15. April des Folgejahres fällig; eine Fristverlängerung für die Abgabe verschiebt nicht die Zahlungsfrist einer tatsächlich geschuldeten Steuer. Bewahre Belege und frühere Erklärungen auf, denn Form 706 fragt nach steuerpflichtigen Schenkungen.</w:t>
      </w:r>
    </w:p>
    <w:p w14:paraId="79F8D456" w14:textId="77777777" w:rsidR="001F7233" w:rsidRDefault="00000000">
      <w:pPr>
        <w:spacing w:after="140"/>
      </w:pPr>
      <w:r>
        <w:lastRenderedPageBreak/>
        <w:t>Erbst du selbst aus Deutschland, ist das für die US-Steuer meist unproblematisch: Der Empfänger einer Erbschaft zahlt in den USA grundsätzlich keine eigene Steuer darauf. Melden musst du trotzdem: Erbschaften oder Schenkungen von im Ausland ansässigen Personen über 100.000 $ im Jahr gehören mit Form 3520 in die Steuererklärung, obwohl keine Steuer fällig wird. Wer die Meldung vergisst, riskiert eine Strafe von 5 % je Monat, höchstens 25 % der Summe. Weitere Meldepflichten für Auslandsvermögen (FBAR, Form 8938): Kapitel </w:t>
      </w:r>
      <w:hyperlink w:anchor="k28">
        <w:r w:rsidR="001F7233">
          <w:t>28</w:t>
        </w:r>
      </w:hyperlink>
      <w:r>
        <w:t>.</w:t>
      </w:r>
    </w:p>
    <w:p w14:paraId="59F6E6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und Arbeitskraft absichern</w:t>
      </w:r>
    </w:p>
    <w:p w14:paraId="6FF193F8" w14:textId="77777777" w:rsidR="001F7233" w:rsidRDefault="00000000">
      <w:pPr>
        <w:spacing w:after="140"/>
      </w:pPr>
      <w:r>
        <w:rPr>
          <w:i/>
          <w:iCs/>
        </w:rPr>
        <w:t>In Deutschland ist die Berufsunfähigkeitsversicherung eine der wichtigsten Absicherungen; ein direktes US-Gegenstück gibt es nicht. Der nächste Verwandte ist die Long-Term Disability-Versicherung (LTD, Erwerbsunfähigkeitsschutz), die viele Arbeitgeber als Zusatzleistung anbieten. Meist ersetzt sie 50 bis 60 % des Gehalts und endet mit dem Arbeitsverhältnis. Wer den Job wechselt oder entlassen wird, verliert den Schutz. Eine private, portable Zusatzpolice schließt die Lücke, verlangt aber eine Gesundheitsprüfung und sollte vor einer Diagnose abgeschlossen werden. Die staatliche Social Security Disability Insurance (SSDI) springt erst bei sehr strengen Voraussetzungen und eigenen Beitragsjahren ein und ersetzt keine private Absicherung.</w:t>
      </w:r>
    </w:p>
    <w:p w14:paraId="21C684C9" w14:textId="77777777" w:rsidR="001F7233" w:rsidRDefault="00000000">
      <w:pPr>
        <w:spacing w:after="140"/>
      </w:pPr>
      <w:r>
        <w:rPr>
          <w:i/>
          <w:iCs/>
        </w:rPr>
        <w:t>Lebensversicherung heißt in den USA meist Term Life: eine reine Risikoversicherung über 10, 20 oder 30 Jahre ohne Sparanteil, günstig und für die meisten Familien mit Kindern oder Hypothek ausreichend. Eine Gruppen-Lebensversicherung des Arbeitgebers ist oft auf ein niedriges Vielfaches des Jahresgehalts begrenzt und endet mit dem Job. Für die eigentliche Absicherung zählt meist nur die private Police.</w:t>
      </w:r>
    </w:p>
    <w:p w14:paraId="57E0D7E1" w14:textId="77777777" w:rsidR="001F7233" w:rsidRDefault="00000000">
      <w:r>
        <w:rPr>
          <w:b/>
        </w:rPr>
        <w:t xml:space="preserve">ACHTUNG: </w:t>
      </w:r>
    </w:p>
    <w:p w14:paraId="67C6A9CE" w14:textId="77777777" w:rsidR="001F7233" w:rsidRDefault="00000000">
      <w:r>
        <w:t xml:space="preserve">• Berater verkaufen Einwanderern häufig fondsgebundene oder lebenslange Policen (Whole Life, Universal Life) als Vorsorge- und Sparlösung in einem. Die Abschlussprovision steckt in den ersten </w:t>
      </w:r>
      <w:r>
        <w:lastRenderedPageBreak/>
        <w:t>Jahresprämien, die Rendite bleibt oft hinter einem einfachen Sparplan zurück. Trenne Risikoschutz (Term Life, LTD) und Vermögensaufbau (401(k), IRA, US-Fonds) bewusst.</w:t>
      </w:r>
    </w:p>
    <w:p w14:paraId="4B6D2039" w14:textId="77777777" w:rsidR="001F7233" w:rsidRDefault="001F7233">
      <w:pPr>
        <w:spacing w:line="220" w:lineRule="exact"/>
      </w:pPr>
    </w:p>
    <w:p w14:paraId="347A03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Finanzberater ohne Provisionsfalle wählen</w:t>
      </w:r>
    </w:p>
    <w:p w14:paraId="47D6A2FD" w14:textId="77777777" w:rsidR="001F7233" w:rsidRDefault="00000000">
      <w:pPr>
        <w:spacing w:after="140"/>
      </w:pPr>
      <w:r>
        <w:rPr>
          <w:i/>
          <w:iCs/>
        </w:rPr>
        <w:t>Der Anruf vom Kapitelanfang folgt fast immer demselben Muster: viel Wärme, viel Dringlichkeit, wenig Zahlen. Viele „Finanzberater“ in den USA sind in Wahrheit Vertriebsmitarbeiter von Versicherungen oder Brokern. Diese verdienen an Abschlussprovisionen, nicht an einer festen Gebühr und müssen rechtlich nur eine „geeignete“, nicht zwingend die beste Empfehlung geben. Ein gebührenbasierter Berater (Fee-Only Advisor) verdient dagegen nur von dir. Als Stundensatz, Pauschale oder Prozentsatz des verwalteten Vermögens und unterliegt meist einer durchgehenden Treuepflicht (Fiduciary Duty). Frage direkt: „Are you a fee-only fiduciary at all times?“ Eine ausweichende Antwort ist ein Warnsignal.</w:t>
      </w:r>
    </w:p>
    <w:p w14:paraId="10379EE0" w14:textId="77777777" w:rsidR="001F7233" w:rsidRDefault="00000000">
      <w:r>
        <w:rPr>
          <w:b/>
        </w:rPr>
        <w:t xml:space="preserve">SPARTIPP: </w:t>
      </w:r>
    </w:p>
    <w:p w14:paraId="40D6BE7B" w14:textId="77777777" w:rsidR="001F7233" w:rsidRDefault="00000000">
      <w:r>
        <w:t xml:space="preserve">• Verzeichnisse wie </w:t>
      </w:r>
      <w:hyperlink r:id="rId509">
        <w:r w:rsidR="001F7233">
          <w:rPr>
            <w:color w:val="0563C1"/>
            <w:u w:val="single"/>
          </w:rPr>
          <w:t>letsmakeaplan.org</w:t>
        </w:r>
      </w:hyperlink>
      <w:r>
        <w:t xml:space="preserve"> (CFP Board) listen zertifizierte, teils gebührenbasierte Planer nach Postleitzahl. Ein Erstgespräch ist meist kostenlos; nutze es, um Vergütung und Interessenkonflikte offen zu erfragen, bevor du unterschreibst.</w:t>
      </w:r>
    </w:p>
    <w:p w14:paraId="09565CFD" w14:textId="77777777" w:rsidR="001F7233" w:rsidRDefault="001F7233">
      <w:pPr>
        <w:spacing w:line="220" w:lineRule="exact"/>
      </w:pPr>
    </w:p>
    <w:p w14:paraId="513A03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Wohnsitze: was das für Vorsorge und Nachlass bedeutet</w:t>
      </w:r>
    </w:p>
    <w:p w14:paraId="39A0F6FC" w14:textId="77777777" w:rsidR="001F7233" w:rsidRDefault="00000000">
      <w:pPr>
        <w:spacing w:after="140"/>
      </w:pPr>
      <w:r>
        <w:t xml:space="preserve">Wer Wohnsitze in beide Richtungen offenhält – eine Wohnung in Deutschland, ein Zuhause in den USA –, sollte wissen, dass das mehr betrifft als die Steuererklärung. Steuerlich kann eine „jederzeit </w:t>
      </w:r>
      <w:r>
        <w:lastRenderedPageBreak/>
        <w:t>nutzbare“ deutsche Wohnung die unbeschränkte Steuerpflicht in Deutschland auslösen (Kapitel </w:t>
      </w:r>
      <w:hyperlink w:anchor="k17">
        <w:r w:rsidR="001F7233">
          <w:t>17</w:t>
        </w:r>
      </w:hyperlink>
      <w:r>
        <w:t>); für die US-Nachlasssteuer zählt daneben die Bleibeabsicht, nicht nur die Steuerresidenz – auch ohne deutschen Wohnsitz kannst du als US-domiziliert gelten, wenn dein Lebensmittelpunkt erkennbar hier liegt. Die deutsche Krankenversicherung ruht bei Auslandsaufenthalt; wer regelmäßig länger in Deutschland ist, braucht dafür eine eigene Reise- oder Auslandskrankenversicherung, nicht die Fortsetzung der GKV-Leistung. Bei Bankkonten, Depots und Versicherungen in beiden Ländern lohnt sich eine jährliche Bestandsaufnahme: Wo bist du gemeldet, welche Meldepflichten laufen (FBAR, Form 8938, deutsche Steuererklärung), und welches Testament – deutsches oder amerikanisches – gilt für welches Vermögen. Zwei Wohnsitze sind kein Problem, solange du sie bewusst verwaltest, statt sie „mitlaufen“ zu lassen.</w:t>
      </w:r>
    </w:p>
    <w:p w14:paraId="6F2FEB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Vorsorge, Erbe und Vermögen</w:t>
      </w:r>
    </w:p>
    <w:p w14:paraId="1C64B251" w14:textId="77777777" w:rsidR="001F7233" w:rsidRDefault="00000000">
      <w:r>
        <w:rPr>
          <w:b/>
        </w:rPr>
        <w:t>Plus: Hohe Beitragsgrenzen bei 401(k) und IRA erlauben schnellen Vermögensaufbau mit Steuervorteil</w:t>
      </w:r>
    </w:p>
    <w:p w14:paraId="5E198000" w14:textId="77777777" w:rsidR="001F7233" w:rsidRDefault="00000000">
      <w:r>
        <w:rPr>
          <w:b/>
        </w:rPr>
        <w:t xml:space="preserve">Minus: </w:t>
      </w:r>
      <w:r>
        <w:t>Zwei Rentensysteme, zwei Steuerpflichten fürs Erbe – die Planung wird komplizierter</w:t>
      </w:r>
    </w:p>
    <w:p w14:paraId="13507125" w14:textId="77777777" w:rsidR="001F7233" w:rsidRDefault="00000000">
      <w:r>
        <w:rPr>
          <w:b/>
        </w:rPr>
        <w:t>Plus: Das Sozialversicherungsabkommen sichert die Wartezeit für die US-Rente; WEP/GPO kürzen seit 2025 nicht mehr</w:t>
      </w:r>
    </w:p>
    <w:p w14:paraId="1011568F" w14:textId="77777777" w:rsidR="001F7233" w:rsidRDefault="00000000">
      <w:r>
        <w:rPr>
          <w:b/>
        </w:rPr>
        <w:t xml:space="preserve">Minus: </w:t>
      </w:r>
      <w:r>
        <w:t>Deutsche Fonds werden zur PFIC-Falle; Umschichten kostet Zeit und oft deutsche Steuer</w:t>
      </w:r>
    </w:p>
    <w:p w14:paraId="043275AF" w14:textId="77777777" w:rsidR="001F7233" w:rsidRDefault="00000000">
      <w:r>
        <w:rPr>
          <w:b/>
        </w:rPr>
        <w:t>Plus: Die HSA bietet einen in Deutschland unbekannten dreifachen Steuervorteil</w:t>
      </w:r>
    </w:p>
    <w:p w14:paraId="1ED963DD" w14:textId="77777777" w:rsidR="001F7233" w:rsidRDefault="00000000">
      <w:r>
        <w:rPr>
          <w:b/>
        </w:rPr>
        <w:t xml:space="preserve">Minus: </w:t>
      </w:r>
      <w:r>
        <w:t>Deutsche Vorsorgeverträge (Riester, Lebensversicherung) sind aus den USA schwer zu bewerten</w:t>
      </w:r>
    </w:p>
    <w:p w14:paraId="14D8CBFC" w14:textId="77777777" w:rsidR="001F7233" w:rsidRDefault="00000000">
      <w:r>
        <w:rPr>
          <w:b/>
        </w:rPr>
        <w:t>Plus: Trusts und Begünstigtenbenennungen vermeiden ein langwieriges Nachlassverfahren</w:t>
      </w:r>
    </w:p>
    <w:p w14:paraId="5C164CF3" w14:textId="77777777" w:rsidR="001F7233" w:rsidRDefault="00000000">
      <w:r>
        <w:rPr>
          <w:b/>
        </w:rPr>
        <w:lastRenderedPageBreak/>
        <w:t xml:space="preserve">Minus: </w:t>
      </w:r>
      <w:r>
        <w:t>Ohne US-Testament entscheidet im Ernstfall ein fremdes Gericht über die Kinder</w:t>
      </w:r>
    </w:p>
    <w:p w14:paraId="5E92EE47" w14:textId="77777777" w:rsidR="001F7233" w:rsidRDefault="00000000">
      <w:r>
        <w:rPr>
          <w:b/>
        </w:rPr>
        <w:t>Plus: Der Freibetrag für US-Domizilierte bei der Nachlasssteuer ist mit 15 Mio. $ hoch</w:t>
      </w:r>
    </w:p>
    <w:p w14:paraId="45CBF821" w14:textId="77777777" w:rsidR="001F7233" w:rsidRDefault="00000000">
      <w:r>
        <w:t>Minus: Bei US-Vermögen ohne US-domizil kann schon die 60.000-$-Meldeschwelle relevant werden; das Steuerabkommen ist mitzudenken.</w:t>
      </w:r>
    </w:p>
    <w:p w14:paraId="3CFAD7C4" w14:textId="77777777" w:rsidR="001F7233" w:rsidRDefault="001F7233">
      <w:pPr>
        <w:spacing w:line="180" w:lineRule="exact"/>
      </w:pPr>
    </w:p>
    <w:p w14:paraId="7E3442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5E859EE" w14:textId="77777777" w:rsidR="001F7233" w:rsidRDefault="00000000">
      <w:pPr>
        <w:spacing w:after="140"/>
      </w:pPr>
      <w:r>
        <w:t>In den ersten Monaten reicht es, die Konten zu eröffnen und den Arbeitgeber-Match mitzunehmen. In des ersten Jahres solltest du ein US-Testament mit Vormundschaftsklausel, eine finanzielle Vollmacht und eine Patientenverfügung aufsetzen lassen. Das kostet meist wenige hundert bis rund 1.000 $ und schließt die größte Lücke. Kläre parallel mit einem Berater beider Länder, was mit deutschen Fonds, Riester- oder Lebensversicherungsverträgen passiert, bevor die erste Steuererklärung ansteht. Sobald du dich langfristig niederlässt, lohnt ein Gesamtblick: Rentenanspruch in beiden Ländern, Nachlassplanung, Versicherungsschutz und, bei größerem Vermögen, die Frage nach einem Trust.</w:t>
      </w:r>
    </w:p>
    <w:p w14:paraId="2DCEDE19" w14:textId="77777777" w:rsidR="001F7233" w:rsidRDefault="00000000">
      <w:r>
        <w:t>• Arbeitgeber-Match beim 401(k) vollständig mitnehmen, danach IRA oder Roth IRA prüfen.</w:t>
      </w:r>
    </w:p>
    <w:p w14:paraId="742B285D" w14:textId="77777777" w:rsidR="001F7233" w:rsidRDefault="00000000">
      <w:r>
        <w:t>• HSA eröffnen, falls ein Hochselbstbehalt-Tarif (HDHP) vorliegt.</w:t>
      </w:r>
    </w:p>
    <w:p w14:paraId="36B87C56" w14:textId="77777777" w:rsidR="001F7233" w:rsidRDefault="00000000">
      <w:r>
        <w:t xml:space="preserve">• Deutsche Fonds und ETFs vor dem Zuzug mit einem Berater beider Länder klären (PFIC, </w:t>
      </w:r>
      <w:hyperlink w:anchor="k28">
        <w:r w:rsidR="001F7233">
          <w:rPr>
            <w:color w:val="0563C1"/>
            <w:u w:val="single"/>
          </w:rPr>
          <w:t>Kapitel 28</w:t>
        </w:r>
      </w:hyperlink>
      <w:r>
        <w:t>).</w:t>
      </w:r>
    </w:p>
    <w:p w14:paraId="5E86AF28" w14:textId="77777777" w:rsidR="001F7233" w:rsidRDefault="00000000">
      <w:r>
        <w:t>• Deutsche Rentenversicherung informieren, Versicherungsverlauf klären, freiwillige Beiträge prüfen.</w:t>
      </w:r>
    </w:p>
    <w:p w14:paraId="6FFA690B" w14:textId="77777777" w:rsidR="001F7233" w:rsidRDefault="00000000">
      <w:r>
        <w:t>• GKV- oder PKV-Anwartschaft vor der Ausreise klären, falls eine Rückkehr denkbar ist.</w:t>
      </w:r>
    </w:p>
    <w:p w14:paraId="749CD131" w14:textId="77777777" w:rsidR="001F7233" w:rsidRDefault="00000000">
      <w:r>
        <w:t>• Riester-, Rürup- und bAV-Verträge auf Wegzugsfolgen prüfen lassen.</w:t>
      </w:r>
    </w:p>
    <w:p w14:paraId="3F122AEE" w14:textId="77777777" w:rsidR="001F7233" w:rsidRDefault="00000000">
      <w:r>
        <w:lastRenderedPageBreak/>
        <w:t>• US-Testament mit Vormundschaftsklausel, finanzielle Vollmacht und Patientenverfügung nach dem Recht deines Bundesstaats aufsetzen.</w:t>
      </w:r>
    </w:p>
    <w:p w14:paraId="3705B61E" w14:textId="77777777" w:rsidR="001F7233" w:rsidRDefault="00000000">
      <w:r>
        <w:t>• Begünstigte bei Renten-, Bank- und Versicherungskonten eintragen und nach jedem Lebensereignis aktualisieren.</w:t>
      </w:r>
    </w:p>
    <w:p w14:paraId="71286594" w14:textId="77777777" w:rsidR="001F7233" w:rsidRDefault="00000000">
      <w:r>
        <w:t>• Bei größerem US-Vermögen vor Erreichen der Domizil-Schwelle die Nachlasssteuer-Freibeträge mit einem Steuerberater prüfen.</w:t>
      </w:r>
    </w:p>
    <w:p w14:paraId="35CDBFF3" w14:textId="77777777" w:rsidR="001F7233" w:rsidRDefault="00000000">
      <w:r>
        <w:t>• Erbschaften oder Schenkungen aus Deutschland über 100.000 $ mit Form 3520 melden.</w:t>
      </w:r>
    </w:p>
    <w:p w14:paraId="31499762" w14:textId="77777777" w:rsidR="001F7233" w:rsidRDefault="00000000">
      <w:r>
        <w:t>• Finanzberater nach Vergütung fragen und einen gebührenbasierten Fiduciary-Berater bevorzugen.</w:t>
      </w:r>
    </w:p>
    <w:p w14:paraId="6F4156BA" w14:textId="77777777" w:rsidR="001F7233" w:rsidRDefault="00000000">
      <w:r>
        <w:t>• Erwerbsunfähigkeitsschutz (LTD) und Term-Life-Versicherung unabhängig vom Arbeitgeber prüfen.</w:t>
      </w:r>
    </w:p>
    <w:p w14:paraId="38A90C64" w14:textId="77777777" w:rsidR="001F7233" w:rsidRDefault="001F7233">
      <w:pPr>
        <w:spacing w:line="220" w:lineRule="exact"/>
      </w:pPr>
    </w:p>
    <w:p w14:paraId="484D24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850492" w14:textId="77777777" w:rsidR="001F7233" w:rsidRDefault="00000000">
      <w:pPr>
        <w:pStyle w:val="ListParagraph"/>
        <w:numPr>
          <w:ilvl w:val="0"/>
          <w:numId w:val="1"/>
        </w:numPr>
        <w:spacing w:after="60"/>
      </w:pPr>
      <w:r>
        <w:t>SSA — Sozialversicherungsabkommen Deutschland–USA (</w:t>
      </w:r>
      <w:hyperlink r:id="rId510">
        <w:r w:rsidR="001F7233">
          <w:rPr>
            <w:color w:val="0563C1"/>
            <w:u w:val="single"/>
          </w:rPr>
          <w:t>ssa.gov/international/Agreement_Pamphlets/germany.html</w:t>
        </w:r>
      </w:hyperlink>
      <w:r>
        <w:t>)</w:t>
      </w:r>
    </w:p>
    <w:p w14:paraId="540D3B51" w14:textId="77777777" w:rsidR="001F7233" w:rsidRDefault="00000000">
      <w:pPr>
        <w:pStyle w:val="ListParagraph"/>
        <w:numPr>
          <w:ilvl w:val="0"/>
          <w:numId w:val="1"/>
        </w:numPr>
        <w:spacing w:after="60"/>
      </w:pPr>
      <w:r>
        <w:t>SSA — Social Security Fairness Act, WEP/GPO-Abschaffung (</w:t>
      </w:r>
      <w:hyperlink r:id="rId511">
        <w:r w:rsidR="001F7233">
          <w:rPr>
            <w:color w:val="0563C1"/>
            <w:u w:val="single"/>
          </w:rPr>
          <w:t>ssa.gov/benefits/retirement/social-security-fairness-act.html</w:t>
        </w:r>
      </w:hyperlink>
      <w:r>
        <w:t>)</w:t>
      </w:r>
    </w:p>
    <w:p w14:paraId="1AA969F2" w14:textId="77777777" w:rsidR="001F7233" w:rsidRDefault="00000000">
      <w:pPr>
        <w:pStyle w:val="ListParagraph"/>
        <w:numPr>
          <w:ilvl w:val="0"/>
          <w:numId w:val="1"/>
        </w:numPr>
        <w:spacing w:after="60"/>
      </w:pPr>
      <w:r>
        <w:t>Medicare.gov — Kosten und Anspruchsvoraussetzungen (</w:t>
      </w:r>
      <w:hyperlink r:id="rId512">
        <w:r w:rsidR="001F7233">
          <w:rPr>
            <w:color w:val="0563C1"/>
            <w:u w:val="single"/>
          </w:rPr>
          <w:t>medicare.gov/basics/costs</w:t>
        </w:r>
      </w:hyperlink>
      <w:r>
        <w:t>)</w:t>
      </w:r>
    </w:p>
    <w:p w14:paraId="70522262" w14:textId="77777777" w:rsidR="001F7233" w:rsidRDefault="00000000">
      <w:pPr>
        <w:pStyle w:val="ListParagraph"/>
        <w:numPr>
          <w:ilvl w:val="0"/>
          <w:numId w:val="1"/>
        </w:numPr>
        <w:spacing w:after="60"/>
      </w:pPr>
      <w:r>
        <w:t>IRS — Nachlass- und Schenkungsteuer (</w:t>
      </w:r>
      <w:hyperlink r:id="rId513">
        <w:r w:rsidR="001F7233">
          <w:rPr>
            <w:color w:val="0563C1"/>
            <w:u w:val="single"/>
          </w:rPr>
          <w:t>irs.gov/businesses/small-businesses-self-employed/whats-new-estate-and-gift-tax</w:t>
        </w:r>
      </w:hyperlink>
      <w:r>
        <w:t>)</w:t>
      </w:r>
    </w:p>
    <w:p w14:paraId="19FDEFA8" w14:textId="77777777" w:rsidR="001F7233" w:rsidRDefault="00000000">
      <w:pPr>
        <w:pStyle w:val="ListParagraph"/>
        <w:numPr>
          <w:ilvl w:val="0"/>
          <w:numId w:val="1"/>
        </w:numPr>
        <w:spacing w:after="60"/>
      </w:pPr>
      <w:r>
        <w:t>IRS — Form 3520, Anleitung (</w:t>
      </w:r>
      <w:hyperlink r:id="rId514">
        <w:r w:rsidR="001F7233">
          <w:rPr>
            <w:color w:val="0563C1"/>
            <w:u w:val="single"/>
          </w:rPr>
          <w:t>irs.gov/instructions/i3520</w:t>
        </w:r>
      </w:hyperlink>
      <w:r>
        <w:t>)</w:t>
      </w:r>
    </w:p>
    <w:p w14:paraId="3DDFC2CB" w14:textId="77777777" w:rsidR="001F7233" w:rsidRDefault="00000000">
      <w:pPr>
        <w:pStyle w:val="ListParagraph"/>
        <w:numPr>
          <w:ilvl w:val="0"/>
          <w:numId w:val="1"/>
        </w:numPr>
        <w:spacing w:after="60"/>
      </w:pPr>
      <w:r>
        <w:t>Deutsche Rentenversicherung — Broschüre „Arbeit und Rente in Deutschland und in den USA“ (</w:t>
      </w:r>
      <w:hyperlink r:id="rId515">
        <w:r w:rsidR="001F7233">
          <w:rPr>
            <w:color w:val="0563C1"/>
            <w:u w:val="single"/>
          </w:rPr>
          <w:t>deutsche-rentenversicherung.de</w:t>
        </w:r>
      </w:hyperlink>
      <w:r>
        <w:t>)</w:t>
      </w:r>
    </w:p>
    <w:p w14:paraId="4C40B984" w14:textId="77777777" w:rsidR="001F7233" w:rsidRDefault="00000000">
      <w:pPr>
        <w:pStyle w:val="ListParagraph"/>
        <w:numPr>
          <w:ilvl w:val="0"/>
          <w:numId w:val="1"/>
        </w:numPr>
        <w:spacing w:after="60"/>
      </w:pPr>
      <w:r>
        <w:t>Gesetze im Internet — Erbschaftsteuer- und Schenkungsteuergesetz, § 2 und § 16 (</w:t>
      </w:r>
      <w:hyperlink r:id="rId516">
        <w:r w:rsidR="001F7233">
          <w:rPr>
            <w:color w:val="0563C1"/>
            <w:u w:val="single"/>
          </w:rPr>
          <w:t>gesetze-im-internet.de/erbstg_1974</w:t>
        </w:r>
      </w:hyperlink>
      <w:r>
        <w:t>)</w:t>
      </w:r>
    </w:p>
    <w:p w14:paraId="6A19D9A3" w14:textId="77777777" w:rsidR="001F7233" w:rsidRDefault="00000000">
      <w:pPr>
        <w:pStyle w:val="ListParagraph"/>
        <w:numPr>
          <w:ilvl w:val="0"/>
          <w:numId w:val="1"/>
        </w:numPr>
        <w:spacing w:after="60"/>
      </w:pPr>
      <w:r>
        <w:lastRenderedPageBreak/>
        <w:t>CFP Board — Verzeichnis gebührenbasierter Finanzplaner (</w:t>
      </w:r>
      <w:hyperlink r:id="rId517">
        <w:r w:rsidR="001F7233">
          <w:rPr>
            <w:color w:val="0563C1"/>
            <w:u w:val="single"/>
          </w:rPr>
          <w:t>letsmakeaplan.org</w:t>
        </w:r>
      </w:hyperlink>
      <w:r>
        <w:t>)</w:t>
      </w:r>
    </w:p>
    <w:p w14:paraId="7CBF3680" w14:textId="77777777" w:rsidR="001F7233" w:rsidRDefault="001F7233">
      <w:pPr>
        <w:spacing w:line="120" w:lineRule="exact"/>
      </w:pPr>
    </w:p>
    <w:p w14:paraId="4E9AC91B" w14:textId="77777777" w:rsidR="001F7233" w:rsidRDefault="00000000">
      <w:pPr>
        <w:pStyle w:val="ListParagraph"/>
      </w:pPr>
      <w:r>
        <w:t>IRS - Instructions for Form 706 (</w:t>
      </w:r>
      <w:hyperlink r:id="rId518">
        <w:r w:rsidR="001F7233">
          <w:rPr>
            <w:rStyle w:val="Hyperlink"/>
          </w:rPr>
          <w:t>irs.gov/instructions/i706</w:t>
        </w:r>
      </w:hyperlink>
      <w:r>
        <w:t>)</w:t>
      </w:r>
    </w:p>
    <w:p w14:paraId="2321ED59" w14:textId="77777777" w:rsidR="001F7233" w:rsidRDefault="00000000">
      <w:pPr>
        <w:pStyle w:val="ListParagraph"/>
      </w:pPr>
      <w:r>
        <w:t>IRS - Estate-tax filing thresholds and FAQs (</w:t>
      </w:r>
      <w:hyperlink r:id="rId519">
        <w:r w:rsidR="001F7233">
          <w:rPr>
            <w:rStyle w:val="Hyperlink"/>
          </w:rPr>
          <w:t>irs.gov/businesses/small-businesses-self-employed/frequently-asked-questions-on-estate-taxes</w:t>
        </w:r>
      </w:hyperlink>
      <w:r>
        <w:t>)</w:t>
      </w:r>
    </w:p>
    <w:p w14:paraId="679B2F52" w14:textId="77777777" w:rsidR="001F7233" w:rsidRDefault="00000000">
      <w:pPr>
        <w:pStyle w:val="ListParagraph"/>
      </w:pPr>
      <w:r>
        <w:t>IRS - Instructions for Form 706-NA (</w:t>
      </w:r>
      <w:hyperlink r:id="rId520">
        <w:r w:rsidR="001F7233">
          <w:rPr>
            <w:rStyle w:val="Hyperlink"/>
          </w:rPr>
          <w:t>irs.gov/instructions/i706na</w:t>
        </w:r>
      </w:hyperlink>
      <w:r>
        <w:t>)</w:t>
      </w:r>
    </w:p>
    <w:p w14:paraId="47733B46" w14:textId="77777777" w:rsidR="001F7233" w:rsidRDefault="00000000">
      <w:pPr>
        <w:pStyle w:val="ListParagraph"/>
      </w:pPr>
      <w:r>
        <w:t>IRS - Instructions for Form 709 (</w:t>
      </w:r>
      <w:hyperlink r:id="rId521">
        <w:r w:rsidR="001F7233">
          <w:rPr>
            <w:rStyle w:val="Hyperlink"/>
          </w:rPr>
          <w:t>irs.gov/instructions/i709</w:t>
        </w:r>
      </w:hyperlink>
      <w:r>
        <w:t>)</w:t>
      </w:r>
    </w:p>
    <w:p w14:paraId="2AB5C825" w14:textId="77777777" w:rsidR="001F7233" w:rsidRDefault="00000000">
      <w:pPr>
        <w:pStyle w:val="ListParagraph"/>
      </w:pPr>
      <w:r>
        <w:t>IRS - Filing estate and gift tax returns and deadlines (</w:t>
      </w:r>
      <w:hyperlink r:id="rId522">
        <w:r w:rsidR="001F7233">
          <w:rPr>
            <w:rStyle w:val="Hyperlink"/>
          </w:rPr>
          <w:t>irs.gov/businesses/small-businesses-self-employed/filing-estate-and-gift-tax-returns</w:t>
        </w:r>
      </w:hyperlink>
      <w:r>
        <w:t>)</w:t>
      </w:r>
    </w:p>
    <w:p w14:paraId="1ACBF382" w14:textId="77777777" w:rsidR="001F7233" w:rsidRDefault="00000000">
      <w:pPr>
        <w:pStyle w:val="ListParagraph"/>
      </w:pPr>
      <w:r>
        <w:t>BMF - Deutsch-amerikanisches Nachlass- und Erbschaftsteuerabkommen (bundesfinanzministerium.de; USA-Abkommen Erbschaftsteuer)</w:t>
      </w:r>
    </w:p>
    <w:p w14:paraId="1D498152" w14:textId="77777777" w:rsidR="001F7233" w:rsidRDefault="00000000">
      <w:pPr>
        <w:pStyle w:val="ListParagraph"/>
      </w:pPr>
      <w:r>
        <w:t>FTC - Funeral Costs and Pricing Checklist (</w:t>
      </w:r>
      <w:hyperlink r:id="rId523">
        <w:r w:rsidR="001F7233">
          <w:rPr>
            <w:rStyle w:val="Hyperlink"/>
          </w:rPr>
          <w:t>consumer.ftc.gov/articles/funeral-costs-pricing-checklist</w:t>
        </w:r>
      </w:hyperlink>
      <w:r>
        <w:t>)</w:t>
      </w:r>
    </w:p>
    <w:p w14:paraId="27F2D805" w14:textId="77777777" w:rsidR="001F7233" w:rsidRDefault="00000000">
      <w:pPr>
        <w:pStyle w:val="ListParagraph"/>
      </w:pPr>
      <w:r>
        <w:t>Auswärtiges Amt - Hilfe in Todesfällen im Ausland (auswaertiges-amt.de/de/service/konsularinfo/hilfe-notfaelle)</w:t>
      </w:r>
    </w:p>
    <w:p w14:paraId="2A55F842" w14:textId="77777777" w:rsidR="001F7233" w:rsidRDefault="00000000">
      <w:r>
        <w:t>• Datenstand: September 2026; redaktionell geprüft im Oktober 2026. Beträge für 401(k), IRA, HSA, Nachlasssteuer und Medicare gelten für 2026 und werden jährlich angepasst. Die Werte für 2027 veröffentlichen IRS und SSA meist im Herbst. Die Abschaffung von WEP/GPO gilt seit Januar 2025 unbefristet, der Zugang zu Medicare kann sich dagegen mit der Einwanderungspolitik ändern. Prüfe vor jeder Entscheidung ssa.gov, irs.gov und gesetze-im-internet.de.</w:t>
      </w:r>
    </w:p>
    <w:p w14:paraId="3F21B78C" w14:textId="77777777" w:rsidR="001F7233" w:rsidRDefault="00000000">
      <w:pPr>
        <w:spacing w:line="220" w:lineRule="exact"/>
      </w:pPr>
      <w:r>
        <w:br w:type="page"/>
      </w:r>
    </w:p>
    <w:p w14:paraId="0B8B38D9" w14:textId="77777777" w:rsidR="001F7233" w:rsidRDefault="00000000">
      <w:pPr>
        <w:pStyle w:val="Heading2"/>
        <w:keepNext/>
        <w:spacing w:line="341" w:lineRule="auto"/>
        <w:jc w:val="center"/>
      </w:pPr>
      <w:bookmarkStart w:id="80" w:name="k40"/>
      <w:r>
        <w:rPr>
          <w:rFonts w:ascii="Amazon Ember" w:eastAsia="Amazon Ember" w:hAnsi="Amazon Ember" w:cs="Amazon Ember"/>
          <w:color w:val="0000FF"/>
          <w:sz w:val="36"/>
          <w:szCs w:val="36"/>
        </w:rPr>
        <w:lastRenderedPageBreak/>
        <w:t>Kapitel 40: Recht und Sicherheit im Alltag</w:t>
      </w:r>
      <w:bookmarkEnd w:id="80"/>
    </w:p>
    <w:p w14:paraId="77109F24" w14:textId="77777777" w:rsidR="001F7233" w:rsidRDefault="00000000">
      <w:pPr>
        <w:spacing w:after="140"/>
      </w:pPr>
      <w:r>
        <w:t>Dienstagabend, du fährst nach Hause, im Rückspiegel blinkt Blaulicht. In Deutschland würdest du anhalten, aussteigen und die Papiere zeigen. In den USA ist genau das der falsche Reflex: Sitzenbleiben gilt hier als die höfliche Variante. Dieses Kapitel erklärt, wie das Rechtssystem arbeitet, was für dich als Nichtstaatsbürger auch gilt und wie du dich, deine Familie und dein Geld im Alltag schützt.</w:t>
      </w:r>
    </w:p>
    <w:p w14:paraId="53B61EC3" w14:textId="77777777" w:rsidR="001F7233" w:rsidRDefault="00000000">
      <w:r>
        <w:rPr>
          <w:b/>
        </w:rPr>
        <w:t xml:space="preserve">KURZ GESAGT: </w:t>
      </w:r>
    </w:p>
    <w:p w14:paraId="0CC71442" w14:textId="77777777" w:rsidR="001F7233" w:rsidRDefault="00000000">
      <w:r>
        <w:t>• Es gilt dasselbe Strafrecht wie für alle, aber Bagatellen können bei dir Visum, Green Card und Einbürgerung gefährden. Die größten Risiken: Trunkenheit am Steuer, Drogen (auch Cannabis), Diebstahl und Gewalt.</w:t>
      </w:r>
    </w:p>
    <w:p w14:paraId="4C60CD4A" w14:textId="77777777" w:rsidR="001F7233" w:rsidRDefault="00000000">
      <w:r>
        <w:t>• Bei Polizeikontakt: ruhig bleiben, Hände sichtbar, nichts unterschreiben, was du nicht verstehst. Das Recht zu schweigen und einen Anwalt zu verlangen gilt für alle, muss aber ausgesprochen werden.</w:t>
      </w:r>
    </w:p>
    <w:p w14:paraId="38B07B41" w14:textId="77777777" w:rsidR="001F7233" w:rsidRDefault="00000000">
      <w:r>
        <w:t>• Pflichten als Nichtstaatsbürger: Registrierungsnachweis bei dir tragen, jeden Umzug binnen 10 Tagen melden (AR-11), nie wählen. Männer von 18 bis 25 mit Green Card müssen sich beim Selective Service registrieren.</w:t>
      </w:r>
    </w:p>
    <w:p w14:paraId="6575519D" w14:textId="77777777" w:rsidR="001F7233" w:rsidRDefault="00000000">
      <w:r>
        <w:t>• Waffen: Inhabern eines Visums wie H-1B, L-1 oder F-1 sind Besitz und Erwerb bundesrechtlich verboten. Mit Green Card sind sie erlaubt, je nach Bundesstaat.</w:t>
      </w:r>
    </w:p>
    <w:p w14:paraId="60C8EE8B" w14:textId="77777777" w:rsidR="001F7233" w:rsidRDefault="00000000">
      <w:r>
        <w:t>• Notruf 911. Für Katastrophen brauchst du Warnungen aufs Handy, einen Notvorrat und getrennte Hochwasser- und Erdbebenversicherung.</w:t>
      </w:r>
    </w:p>
    <w:p w14:paraId="177423AA" w14:textId="77777777" w:rsidR="001F7233" w:rsidRDefault="00000000">
      <w:r>
        <w:t>• Betrug ist häufig; deutsche Vertretungen helfen bei Festnahme und Notlagen.</w:t>
      </w:r>
    </w:p>
    <w:p w14:paraId="5D88EA14" w14:textId="77777777" w:rsidR="001F7233" w:rsidRDefault="001F7233">
      <w:pPr>
        <w:spacing w:line="220" w:lineRule="exact"/>
      </w:pPr>
    </w:p>
    <w:p w14:paraId="6888D9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Rechtssystem in Kurzform</w:t>
      </w:r>
    </w:p>
    <w:p w14:paraId="65084F74" w14:textId="77777777" w:rsidR="001F7233" w:rsidRDefault="00000000">
      <w:pPr>
        <w:spacing w:after="140"/>
      </w:pPr>
      <w:r>
        <w:rPr>
          <w:i/>
          <w:iCs/>
        </w:rPr>
        <w:t>Die USA haben nicht ein Rechtssystem, sondern 51: das Bundesrecht (Federal Law) und das Recht der 50 Staaten, dazu Vorschriften von Landkreisen und Städten. Für Einwanderung, Visa und Zoll ist allein der Bund zuständig. Deshalb zählt bei Cannabis für dich das Bundesrecht, selbst dort, wo der Staat den Konsum erlaubt.</w:t>
      </w:r>
    </w:p>
    <w:p w14:paraId="0ADD0097" w14:textId="77777777" w:rsidR="001F7233" w:rsidRDefault="00000000">
      <w:pPr>
        <w:spacing w:after="140"/>
      </w:pPr>
      <w:r>
        <w:t xml:space="preserve">Im Strafrecht klagt der Staat gegen eine Person. Taten werden in drei Stufen eingeteilt: </w:t>
      </w:r>
      <w:r>
        <w:rPr>
          <w:i/>
          <w:iCs/>
        </w:rPr>
        <w:t>Infraction</w:t>
      </w:r>
      <w:r>
        <w:t xml:space="preserve"> (Ordnungswidrigkeit, etwa ein Strafzettel), </w:t>
      </w:r>
      <w:r>
        <w:rPr>
          <w:i/>
          <w:iCs/>
        </w:rPr>
        <w:t>Misdemeanor</w:t>
      </w:r>
      <w:r>
        <w:t xml:space="preserve"> (Vergehen, meist bis zu einem Jahr Haft) und </w:t>
      </w:r>
      <w:r>
        <w:rPr>
          <w:i/>
          <w:iCs/>
        </w:rPr>
        <w:t>Felony</w:t>
      </w:r>
      <w:r>
        <w:t xml:space="preserve"> (Verbrechen, mehr als ein Jahr). Im Zivilrecht streiten Private ums Geld. In beiden Verfahren gibt es Geschworene (</w:t>
      </w:r>
      <w:r>
        <w:rPr>
          <w:i/>
          <w:iCs/>
        </w:rPr>
        <w:t>Jury</w:t>
      </w:r>
      <w:r>
        <w:t>). Ein Kernunterschied zu Deutschland: Im Zivilprozess zahlt jede Seite ihre Anwälte selbst, auch die Siegerin (</w:t>
      </w:r>
      <w:r>
        <w:rPr>
          <w:i/>
          <w:iCs/>
        </w:rPr>
        <w:t>American Rule</w:t>
      </w:r>
      <w:r>
        <w:t>); in Deutschland trägt meist der Unterlegene die Kosten. Das macht Prozesse teuer und Vergleiche üblich; wer aus Deutschland gewohnt ist, am Ende einfach recht zu bekommen, lernt hier schnell, dass Rechthaben und Kostendecken zwei verschiedene Dinge sind. Erfolgshonorare und Haftungskultur: Kapitel </w:t>
      </w:r>
      <w:hyperlink w:anchor="k31">
        <w:r w:rsidR="001F7233">
          <w:t>31</w:t>
        </w:r>
      </w:hyperlink>
      <w:r>
        <w:t>.</w:t>
      </w:r>
    </w:p>
    <w:p w14:paraId="5B6C6676" w14:textId="77777777" w:rsidR="001F7233" w:rsidRDefault="00000000">
      <w:pPr>
        <w:spacing w:after="140"/>
      </w:pPr>
      <w:r>
        <w:t xml:space="preserve">Kleinere Streitigkeiten löst das </w:t>
      </w:r>
      <w:r>
        <w:rPr>
          <w:i/>
          <w:iCs/>
        </w:rPr>
        <w:t>Small Claims Court</w:t>
      </w:r>
      <w:r>
        <w:t>, ein vereinfachtes Gericht für Geldforderungen bis zu einer Obergrenze, die jeder Staat selbst festlegt: 2.500 $ in Kentucky, 12.500 $ in Kalifornien, 20.000 $ in Texas, 25.000 $ in Delaware und Tennessee (Stand 2026). Du brauchst meist keinen Anwalt. Typische Fälle sind zurückgehaltene Mietkaution (Kapitel </w:t>
      </w:r>
      <w:hyperlink w:anchor="k13">
        <w:r w:rsidR="001F7233">
          <w:t>13</w:t>
        </w:r>
      </w:hyperlink>
      <w:r>
        <w:t>), Streit mit Handwerkern und unbezahlte Rechnungen. Der Ablauf: schriftliche Zahlungsaufforderung, Klage beim örtlichen Gericht, förmliche Zustellung an den Gegner (</w:t>
      </w:r>
      <w:r>
        <w:rPr>
          <w:i/>
          <w:iCs/>
        </w:rPr>
        <w:t>Service of Process</w:t>
      </w:r>
      <w:r>
        <w:t>), Verhandlung. Danach musst du das Geld noch eintreiben, denn ein Urteil ist noch keine Zahlung. Haftpflichtschutz für Schäden, die du anderen zufügst, steckt meist in der Mieter- oder Hausversicherung (Kapitel </w:t>
      </w:r>
      <w:hyperlink w:anchor="k25">
        <w:r w:rsidR="001F7233">
          <w:t>25</w:t>
        </w:r>
      </w:hyperlink>
      <w:r>
        <w:t>).</w:t>
      </w:r>
    </w:p>
    <w:p w14:paraId="68A3B340" w14:textId="77777777" w:rsidR="001F7233" w:rsidRDefault="00000000">
      <w:r>
        <w:rPr>
          <w:b/>
        </w:rPr>
        <w:t xml:space="preserve">ACHTUNG: </w:t>
      </w:r>
    </w:p>
    <w:p w14:paraId="6B209E26" w14:textId="77777777" w:rsidR="001F7233" w:rsidRDefault="00000000">
      <w:r>
        <w:lastRenderedPageBreak/>
        <w:t>• Ignoriere nie eine Vorladung (Summons), einen Strafzettel oder Gerichtspost. Wer nicht erscheint, verliert automatisch (Default Judgment); bei Strafzetteln folgen Führerscheinsperre oder Haftbefehl (Bench Warrant). Ein offener Haftbefehl fällt bei jeder Verlängerung und Einreise auf.</w:t>
      </w:r>
    </w:p>
    <w:p w14:paraId="5D601A54" w14:textId="77777777" w:rsidR="001F7233" w:rsidRDefault="001F7233">
      <w:pPr>
        <w:spacing w:line="220" w:lineRule="exact"/>
      </w:pPr>
    </w:p>
    <w:p w14:paraId="4ADEF2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So verhältst du dich</w:t>
      </w:r>
    </w:p>
    <w:p w14:paraId="660B72CB" w14:textId="77777777" w:rsidR="001F7233" w:rsidRDefault="00000000">
      <w:pPr>
        <w:spacing w:after="140"/>
      </w:pPr>
      <w:r>
        <w:rPr>
          <w:b/>
          <w:bCs/>
        </w:rPr>
        <w:t>Verkehrskontrolle (</w:t>
      </w:r>
      <w:r>
        <w:rPr>
          <w:b/>
          <w:bCs/>
          <w:i/>
          <w:iCs/>
        </w:rPr>
        <w:t>Traffic Stop</w:t>
      </w:r>
      <w:r>
        <w:rPr>
          <w:b/>
          <w:bCs/>
        </w:rPr>
        <w:t>).</w:t>
      </w:r>
      <w:r>
        <w:t xml:space="preserve"> Bei Blaulicht fährst du rechts ran, sobald es sicher ist, stellst den Motor aus, lässt das Fenster herunter, schaltest nachts das Innenlicht ein und legst beide Hände sichtbar ans Lenkrad. Der Puls geht hoch, das ist normal – wichtig ist, was die Hände tun, nicht wie ruhig du dich fühlst. Du bleibst sitzen, bis ein Beamter etwas anderes sagt. Beamte sind bewaffnet, und plötzliche Bewegungen machen sie nervös; sichtbare Hände nehmen die Spannung aus der Lage. Sage, wo Führerschein, Fahrzeugschein (</w:t>
      </w:r>
      <w:r>
        <w:rPr>
          <w:i/>
          <w:iCs/>
        </w:rPr>
        <w:t>Registration</w:t>
      </w:r>
      <w:r>
        <w:t>) und Versicherungsnachweis liegen, bevor du danach greifst. Bleibe höflich („Officer“, „Sir“, „Ma’am“), diskutiere nicht am Straßenrand und fahre nie weg. Ob die Kontrolle berechtigt war, klärst du später vor Gericht, nicht an der Autotür. Die Unterschrift auf dem Strafzettel ist in den meisten Staaten kein Schuldeingeständnis, sondern das Versprechen, zu zahlen oder zu erscheinen. Alkohol am Steuer und Verstöße: Kapitel </w:t>
      </w:r>
      <w:hyperlink w:anchor="k27">
        <w:r w:rsidR="001F7233">
          <w:t>27</w:t>
        </w:r>
      </w:hyperlink>
      <w:r>
        <w:t>.</w:t>
      </w:r>
    </w:p>
    <w:p w14:paraId="603FCDB4" w14:textId="77777777" w:rsidR="001F7233" w:rsidRDefault="00000000">
      <w:pPr>
        <w:spacing w:after="140"/>
      </w:pPr>
      <w:r>
        <w:rPr>
          <w:b/>
          <w:bCs/>
        </w:rPr>
        <w:t xml:space="preserve">Filmen der Kontrolle. Das Handy laufen zu lassen ist nach mehreren Bundesberufungsgerichten durch den Ersten Verfassungszusatz gedeckt, solange du Polizeibeamte bei ihrer Arbeit im öffentlichen Raum offen filmst, statt sie zu stören. Wichtig ist der Unterschied zwischen Beobachten und Einmischen: Handy sichtbar halten, Abstand wahren, Anweisungen weiter befolgen. In einer Handvoll Staaten gilt für Tonaufnahmen auch eine Zustimmungspflicht aller Beteiligten (Two-Party Consent). Ob das auch für eine offen laufende Aufnahme von Polizeiarbeit im öffentlichen Raum gilt, ist je </w:t>
      </w:r>
      <w:r>
        <w:rPr>
          <w:b/>
          <w:bCs/>
        </w:rPr>
        <w:lastRenderedPageBreak/>
        <w:t>nach Staat unterschiedlich geregelt und im Zweifel nicht der Moment für einen Rechtsstreit an der Bordsteinkante.</w:t>
      </w:r>
    </w:p>
    <w:p w14:paraId="0AC36B2E" w14:textId="77777777" w:rsidR="001F7233" w:rsidRDefault="00000000">
      <w:pPr>
        <w:spacing w:after="140"/>
      </w:pPr>
      <w:r>
        <w:rPr>
          <w:b/>
          <w:bCs/>
        </w:rPr>
        <w:t>Deine Rechte. Der Vierte, Fünfte und Sechste Verfassungszusatz gelten auch für Nichtstaatsbürger: Schutz vor unangemessener Durchsuchung, Recht zu schweigen, Recht auf einen Anwalt. Verbreiteter Irrtum: Viele glauben, das Recht zu schweigen gelte automatisch, sobald man einfach nichts mehr sagt. Zwei Feinheiten helfen in der Praxis. Erstens musst du das Schweigen ausdrücklich beanspruchen („I am invoking my right to remain silent. I want to speak to a lawyer.“) und danach wirklich schweigen. Zweitens darfst du eine Durchsuchung höflich ablehnen („I do not consent to a search.“), ohne dich körperlich zu wehren. Hat ein Beamter hinreichenden Verdacht, darf er ein Auto trotzdem durchsuchen, aber deine Ablehnung bleibt für das Verfahren festgehalten. Namen und Adresse nennst du auf Nachfrage. In vielen Staaten besteht bei Kontrollen eine Ausweispflicht (Stop and Identify).</w:t>
      </w:r>
    </w:p>
    <w:p w14:paraId="05F36FB3" w14:textId="77777777" w:rsidR="001F7233" w:rsidRDefault="00000000">
      <w:pPr>
        <w:spacing w:after="140"/>
      </w:pPr>
      <w:r>
        <w:rPr>
          <w:b/>
          <w:bCs/>
        </w:rPr>
        <w:t>Festnahme. Leistest du keinen Widerstand, bleibt die Lage kontrollierbar. Sage nur Namen, Adresse und den Satz zum Anwalt. Im Strafverfahren steht dir ein kostenloser Pflichtverteidiger (Public Defender) zu, wenn du dir keinen Anwalt leisten kannst. Im Einwanderungsverfahren gibt es das nicht. Sage deinem Verteidiger als Erstes, dass du kein Staatsbürger bist: Nach dem Urteil des Supreme Court in Padilla v. Kentucky (2010) muss er dich über das Abschiebungsrisiko beraten. Gegen Kaution (Bail) kommst du oft frei. Ein Kautionsagent verlangt dafür in den meisten Staaten rund 10 % der Summe, nicht erstattbar. Als Deutscher hast du das Recht, mit dem Konsulat zu sprechen (siehe unten).</w:t>
      </w:r>
    </w:p>
    <w:p w14:paraId="6710CB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Strafrecht und Einwanderung</w:t>
      </w:r>
    </w:p>
    <w:p w14:paraId="0A4A3480" w14:textId="77777777" w:rsidR="001F7233" w:rsidRDefault="00000000">
      <w:pPr>
        <w:spacing w:after="140"/>
      </w:pPr>
      <w:r>
        <w:rPr>
          <w:i/>
          <w:iCs/>
        </w:rPr>
        <w:t xml:space="preserve">Neben der Strafe droht Nichtstaatsbürgern der Verlust des Status: Widerruf des Visums, Abschiebung (Removal), abgelehnte </w:t>
      </w:r>
      <w:r>
        <w:rPr>
          <w:i/>
          <w:iCs/>
        </w:rPr>
        <w:lastRenderedPageBreak/>
        <w:t>Verlängerung, Green Card oder Einbürgerung. Zwei Begriffe entscheiden über die Schwere. Erstens die Verurteilung (Conviction): Verbreiteter Irrtum ist, eine später eingestellte Anzeige oder eine zur Bewährung ausgesetzte Strafe für harmlos zu halten, weil ja „nichts dabei herausgekommen“ sei. Im Einwanderungsrecht genügt ein Schuldbekenntnis (auch „no contest“) plus irgendeine Auflage wie Bewährung, Kurs oder Geldbuße. Dann zählt der Fall auch, wenn der Staat ihn später „einstellt“ oder die Akte löscht und eine zur Bewährung ausgesetzte Haftstrafe gilt als verhängte Strafe. Ob eine Einigung als Verurteilung zählt, hängt am genauen Wortlaut. Zweitens die Tat selbst: Bestimmte Delikte machen unzulässig oder abschiebbar, andere nicht. Festnahmen musst du in Visa- und Green-Card-Formularen auch dann angeben, wenn das Verfahren eingestellt wurde.</w:t>
      </w:r>
    </w:p>
    <w:p w14:paraId="5BCCBB42" w14:textId="77777777" w:rsidR="001F7233" w:rsidRDefault="00000000">
      <w:r>
        <w:rPr>
          <w:b/>
        </w:rPr>
        <w:t>Trunkenheit am Steuer (DUI)</w:t>
      </w:r>
    </w:p>
    <w:p w14:paraId="5838CBFC" w14:textId="77777777" w:rsidR="001F7233" w:rsidRDefault="00000000">
      <w:r>
        <w:rPr>
          <w:b/>
        </w:rPr>
        <w:t>Risiko für deinen Status: Visum-Widerruf möglich; bei Verletzten, Kind im Auto, entzogenem Führerschein oder Wiederholung kann es zum Abschiebegrund werden. Nachfragen bei Green Card und Einbürgerung.</w:t>
      </w:r>
    </w:p>
    <w:p w14:paraId="15F669CD" w14:textId="77777777" w:rsidR="001F7233" w:rsidRDefault="00000000">
      <w:r>
        <w:rPr>
          <w:b/>
        </w:rPr>
        <w:t xml:space="preserve">Was du tun kannst: </w:t>
      </w:r>
      <w:r>
        <w:t>Nach Alkohol nie fahren; Fahrdienst nutzen</w:t>
      </w:r>
    </w:p>
    <w:p w14:paraId="29459C7D" w14:textId="77777777" w:rsidR="001F7233" w:rsidRDefault="00000000">
      <w:r>
        <w:rPr>
          <w:b/>
        </w:rPr>
        <w:t>Drogen, auch Cannabis</w:t>
      </w:r>
    </w:p>
    <w:p w14:paraId="6E913808" w14:textId="77777777" w:rsidR="001F7233" w:rsidRDefault="00000000">
      <w:r>
        <w:rPr>
          <w:b/>
        </w:rPr>
        <w:t>Risiko für deinen Status: Fast jede Verurteilung ist ein Abschiebegrund (Ausnahme: einmaliger Eigenbesitz bis 30 g Marihuana). Auch Geständnis oder Branchentätigkeit kann zur Unzulässigkeit führen.</w:t>
      </w:r>
    </w:p>
    <w:p w14:paraId="541F75D4" w14:textId="77777777" w:rsidR="001F7233" w:rsidRDefault="00000000">
      <w:r>
        <w:rPr>
          <w:b/>
        </w:rPr>
        <w:t xml:space="preserve">Was du tun kannst: </w:t>
      </w:r>
      <w:r>
        <w:t>Meiden, auch mit Landeserlaubnis</w:t>
      </w:r>
    </w:p>
    <w:p w14:paraId="55F827A5" w14:textId="77777777" w:rsidR="001F7233" w:rsidRDefault="00000000">
      <w:r>
        <w:rPr>
          <w:b/>
        </w:rPr>
        <w:t>Ladendiebstahl</w:t>
      </w:r>
    </w:p>
    <w:p w14:paraId="2C15D8C8" w14:textId="77777777" w:rsidR="001F7233" w:rsidRDefault="00000000">
      <w:r>
        <w:rPr>
          <w:b/>
        </w:rPr>
        <w:t>Risiko für deinen Status: Diebstahl gilt meist als CIMT (Delikt mit „sittlicher Verworfenheit“). Zwei Taten oder eine Tat in den ersten fünf Jahren nach der Zulassung mit möglicher Jahresstrafe können reichen.</w:t>
      </w:r>
    </w:p>
    <w:p w14:paraId="5D2A4373" w14:textId="77777777" w:rsidR="001F7233" w:rsidRDefault="00000000">
      <w:r>
        <w:rPr>
          <w:b/>
        </w:rPr>
        <w:t xml:space="preserve">Was du tun kannst: </w:t>
      </w:r>
      <w:r>
        <w:t>Nie mitnehmen, was nicht bezahlt ist; Vorwürfe nie ohne Anwalt beantworten</w:t>
      </w:r>
    </w:p>
    <w:p w14:paraId="396A87F7" w14:textId="77777777" w:rsidR="001F7233" w:rsidRDefault="00000000">
      <w:r>
        <w:rPr>
          <w:b/>
        </w:rPr>
        <w:t>Körperverletzung, häusliche Gewalt</w:t>
      </w:r>
    </w:p>
    <w:p w14:paraId="46EEEBDE" w14:textId="77777777" w:rsidR="001F7233" w:rsidRDefault="00000000">
      <w:r>
        <w:rPr>
          <w:b/>
        </w:rPr>
        <w:lastRenderedPageBreak/>
        <w:t xml:space="preserve">Risiko für deinen Status: </w:t>
      </w:r>
      <w:r>
        <w:t>Abschiebegrund; in einigen Staaten führt ein Polizeieinsatz nach Streit zur Festnahme</w:t>
      </w:r>
    </w:p>
    <w:p w14:paraId="56DB7505" w14:textId="77777777" w:rsidR="001F7233" w:rsidRDefault="00000000">
      <w:r>
        <w:rPr>
          <w:b/>
        </w:rPr>
        <w:t xml:space="preserve">Was du tun kannst: </w:t>
      </w:r>
      <w:r>
        <w:t>Streit deeskalieren, Hilfe suchen (</w:t>
      </w:r>
      <w:hyperlink w:anchor="k33">
        <w:r w:rsidR="001F7233">
          <w:rPr>
            <w:rStyle w:val="Hyperlink"/>
          </w:rPr>
          <w:t>Kapitel 33</w:t>
        </w:r>
      </w:hyperlink>
      <w:r>
        <w:t>)</w:t>
      </w:r>
    </w:p>
    <w:p w14:paraId="3C2524B2" w14:textId="77777777" w:rsidR="001F7233" w:rsidRDefault="00000000">
      <w:r>
        <w:rPr>
          <w:b/>
        </w:rPr>
        <w:t>Verkehrsverstöße</w:t>
      </w:r>
    </w:p>
    <w:p w14:paraId="77FD9F5F" w14:textId="77777777" w:rsidR="001F7233" w:rsidRDefault="00000000">
      <w:r>
        <w:rPr>
          <w:b/>
        </w:rPr>
        <w:t xml:space="preserve">Risiko für deinen Status: </w:t>
      </w:r>
      <w:r>
        <w:t>Meist kein Statusproblem, zählen aber im Gesamtbild (</w:t>
      </w:r>
      <w:hyperlink w:anchor="k41">
        <w:r w:rsidR="001F7233">
          <w:rPr>
            <w:rStyle w:val="Hyperlink"/>
          </w:rPr>
          <w:t>Kapitel 41</w:t>
        </w:r>
      </w:hyperlink>
      <w:r>
        <w:t>)</w:t>
      </w:r>
    </w:p>
    <w:p w14:paraId="57D7F021" w14:textId="77777777" w:rsidR="001F7233" w:rsidRDefault="00000000">
      <w:r>
        <w:rPr>
          <w:b/>
        </w:rPr>
        <w:t xml:space="preserve">Was du tun kannst: </w:t>
      </w:r>
      <w:r>
        <w:t>Zahlen oder anfechten, nie ignorieren</w:t>
      </w:r>
    </w:p>
    <w:p w14:paraId="1223FC21" w14:textId="77777777" w:rsidR="001F7233" w:rsidRDefault="001F7233">
      <w:pPr>
        <w:spacing w:line="180" w:lineRule="exact"/>
      </w:pPr>
    </w:p>
    <w:p w14:paraId="098C452C" w14:textId="77777777" w:rsidR="001F7233" w:rsidRDefault="00000000">
      <w:pPr>
        <w:spacing w:after="140"/>
      </w:pPr>
      <w:r>
        <w:t xml:space="preserve">Bei Diebstahl kommt eine zweite Ebene dazu: Mit einer verhängten Strafe von mindestens einem Jahr, auch auf Bewährung, wird er zum </w:t>
      </w:r>
      <w:r>
        <w:rPr>
          <w:i/>
          <w:iCs/>
        </w:rPr>
        <w:t>Aggravated Felony</w:t>
      </w:r>
      <w:r>
        <w:t>, einer Kategorie mit Abschiebung und wenigen Ausnahmen. Händler schicken bei Ladendiebstahl außerdem zivilrechtliche Forderungsschreiben, die du nicht ignorieren solltest. Die Wertgrenze, ab der aus dem Vergehen ein Verbrechen wird, legt jeder Staat selbst fest.</w:t>
      </w:r>
    </w:p>
    <w:p w14:paraId="654671E3" w14:textId="77777777" w:rsidR="001F7233" w:rsidRDefault="00000000">
      <w:pPr>
        <w:spacing w:after="140"/>
      </w:pPr>
      <w:r>
        <w:rPr>
          <w:b/>
          <w:bCs/>
        </w:rPr>
        <w:t>Cannabis. Konsum, Besitz und Kauf können nach Bundesrecht zur Unzulässigkeit führen, auch ohne Verurteilung. Auch ein Geständnis gegen Behörden oder Arzt kann als Einräumen einer Straftat zählen. Das Dilemma gehört vor ein Gespräch mit einem Einwanderungsanwalt, denn Lügen macht es nur schlimmer. Für die Einbürgerung wertet USCIS Cannabis weiter als Verstoß, selbst wenn der Staat es erlaubt. Die Umstufung im April 2026 betrifft nur zugelassene Arzneimittel und staatlich lizenzierte medizinische Produkte (Schedule III). Über eine breitere Umstufung verhandelte die DEA im Sommer 2026. Rescheduling ist keine Legalisierung, und nach Einschätzung von Kanzleien ändert es die Einwanderungspraxis nicht. Bei CBD und Hanfprodukten ist die Rechtslage uneinheitlich und der THC-Gehalt oft unzuverlässig.</w:t>
      </w:r>
    </w:p>
    <w:p w14:paraId="5A8C078D" w14:textId="77777777" w:rsidR="001F7233" w:rsidRDefault="001F7233">
      <w:pPr>
        <w:spacing w:line="220" w:lineRule="exact"/>
      </w:pPr>
    </w:p>
    <w:p w14:paraId="490A9040" w14:textId="77777777" w:rsidR="001F7233" w:rsidRDefault="00000000">
      <w:r>
        <w:rPr>
          <w:b/>
        </w:rPr>
        <w:t xml:space="preserve">ACHTUNG: </w:t>
      </w:r>
    </w:p>
    <w:p w14:paraId="354CD3E6" w14:textId="77777777" w:rsidR="001F7233" w:rsidRDefault="00000000">
      <w:r>
        <w:t xml:space="preserve">• Sage bei einem Angebot der Staatsanwaltschaft (Plea Deal) nie „schuldig“, bevor die Einwanderungsfolgen geprüft sind, auch nicht </w:t>
      </w:r>
      <w:r>
        <w:lastRenderedPageBreak/>
        <w:t>bei Bagatellen. Ein Strafverteidiger kennt das lokale Verfahren, aber oft nicht das Einwanderungsrecht; bitte beide, sich abzustimmen.</w:t>
      </w:r>
    </w:p>
    <w:p w14:paraId="5F69E091" w14:textId="77777777" w:rsidR="001F7233" w:rsidRDefault="001F7233">
      <w:pPr>
        <w:spacing w:line="220" w:lineRule="exact"/>
      </w:pPr>
    </w:p>
    <w:p w14:paraId="7BD8F57C" w14:textId="77777777" w:rsidR="001F7233" w:rsidRDefault="00000000">
      <w:r>
        <w:t>• Dieses Kapitel ist eine Orientierung, keine Rechts- oder Steuerberatung. Was eine Tat für deinen Status bedeutet, hängt vom Staat, vom Wortlaut der Einigung und deinem Aufenthaltsstatus ab. Klär es vorab mit einem Einwanderungsanwalt (</w:t>
      </w:r>
      <w:hyperlink w:anchor="k11">
        <w:r w:rsidR="001F7233">
          <w:rPr>
            <w:color w:val="0563C1"/>
            <w:u w:val="single"/>
          </w:rPr>
          <w:t>Kapitel 11</w:t>
        </w:r>
      </w:hyperlink>
      <w:r>
        <w:t>).</w:t>
      </w:r>
    </w:p>
    <w:p w14:paraId="4D4E9BF1" w14:textId="77777777" w:rsidR="001F7233" w:rsidRDefault="001F7233">
      <w:pPr>
        <w:spacing w:line="220" w:lineRule="exact"/>
      </w:pPr>
    </w:p>
    <w:p w14:paraId="5BC15D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 Recht, Aufbewahrung, Fragen an Gastgeber</w:t>
      </w:r>
    </w:p>
    <w:p w14:paraId="242014B0" w14:textId="77777777" w:rsidR="001F7233" w:rsidRDefault="00000000">
      <w:pPr>
        <w:spacing w:after="140"/>
      </w:pPr>
      <w:r>
        <w:t>Der Zweite Verfassungszusatz schützt den Waffenbesitz. Beim Kauf im lizenzierten Handel prüft ein bundesweites System die Käufer (</w:t>
      </w:r>
      <w:r>
        <w:rPr>
          <w:i/>
          <w:iCs/>
        </w:rPr>
        <w:t>Background Check</w:t>
      </w:r>
      <w:r>
        <w:t>); Privatverkäufe, Tragen und Transport regelt jeder Staat für sich. Zahlen und Kultur: Kapitel </w:t>
      </w:r>
      <w:hyperlink w:anchor="k31">
        <w:r w:rsidR="001F7233">
          <w:t>31</w:t>
        </w:r>
      </w:hyperlink>
      <w:r>
        <w:t>. Für Nichtstaatsbürger unterscheidet das Bundesrecht klar:</w:t>
      </w:r>
    </w:p>
    <w:p w14:paraId="7DC66426" w14:textId="77777777" w:rsidR="001F7233" w:rsidRDefault="00000000">
      <w:pPr>
        <w:pStyle w:val="ListParagraph"/>
        <w:numPr>
          <w:ilvl w:val="0"/>
          <w:numId w:val="1"/>
        </w:numPr>
        <w:spacing w:after="60"/>
      </w:pPr>
      <w:r>
        <w:rPr>
          <w:b/>
          <w:bCs/>
        </w:rPr>
        <w:t>Green Card:</w:t>
      </w:r>
      <w:r>
        <w:t xml:space="preserve"> Erwerb und Besitz sind wie bei Staatsbürgern erlaubt, mit den zusätzlichen Auflagen deines Staats (Erlaubnisschein, Wartefrist, Kurs).</w:t>
      </w:r>
    </w:p>
    <w:p w14:paraId="3EFCF932" w14:textId="77777777" w:rsidR="001F7233" w:rsidRDefault="00000000">
      <w:pPr>
        <w:pStyle w:val="ListParagraph"/>
        <w:numPr>
          <w:ilvl w:val="0"/>
          <w:numId w:val="1"/>
        </w:numPr>
        <w:spacing w:after="60"/>
      </w:pPr>
      <w:r>
        <w:rPr>
          <w:b/>
          <w:bCs/>
        </w:rPr>
        <w:t>Nichteinwanderervisum (H-1B, L-1, F-1, E-2, J-1 und ihre Angehörigen): Nach 18 U.S.C. § 922(g)(5)(B) sind Besitz und Erwerb von Schusswaffen und Munition verboten und nach § 922(d)(5) darf sie dir niemand verkaufen oder überlassen. Ausnahmen (§ 922(y)) gelten unter anderem bei einer gültigen, in den USA ausgestellten Jagdlizenz oder mit einer Ausnahmegenehmigung des Justizministeriums (Waiver). Ein Verstoß ist ein Bundesverbrechen mit bis zu 15 Jahren Haft und beendet fast sicher deinen Aufenthalt.</w:t>
      </w:r>
    </w:p>
    <w:p w14:paraId="09F0C284" w14:textId="77777777" w:rsidR="001F7233" w:rsidRDefault="001F7233">
      <w:pPr>
        <w:spacing w:line="120" w:lineRule="exact"/>
      </w:pPr>
    </w:p>
    <w:p w14:paraId="74630323" w14:textId="77777777" w:rsidR="001F7233" w:rsidRDefault="00000000">
      <w:pPr>
        <w:spacing w:after="140"/>
      </w:pPr>
      <w:r>
        <w:t>Zieht ein Waffenbesitzer in deiner Wohnung oder in deinem Auto etwas ab, kann das als Besitz zählen. Fasse fremde Waffen nicht an, leihe keine aus und nimm auch nichts zur Aufbewahrung an. Ein Probeschießen am Schießstand mit geliehener Waffe ist für Visum-</w:t>
      </w:r>
      <w:r>
        <w:lastRenderedPageBreak/>
        <w:t>Inhaber eine Grauzone; lass es ohne anwaltliche Klärung. Aus Deutschland mitbringen solltest du Waffen nicht (Kapitel </w:t>
      </w:r>
      <w:hyperlink w:anchor="k20">
        <w:r w:rsidR="001F7233">
          <w:t>20</w:t>
        </w:r>
      </w:hyperlink>
      <w:r>
        <w:t>).</w:t>
      </w:r>
    </w:p>
    <w:p w14:paraId="157C56F8" w14:textId="77777777" w:rsidR="001F7233" w:rsidRDefault="00000000">
      <w:pPr>
        <w:spacing w:after="140"/>
      </w:pPr>
      <w:r>
        <w:t>Wenn du selbst als Green-Card-Inhaber Waffen besitzt: Bewahre Waffe und Munition getrennt und verschlossen auf (Tresor, Abzugsschloss); viele Staaten haben Kinderzugangsgesetze. Bei Verabredungen deiner Kinder ist die Frage „Gibt es bei euch Waffen im Haus, und wie sind sie gesichert?“ üblich, ähnlich wie die Frage nach Nussallergien. Bedanke dich für die Antwort und bewerte sie nicht; ist dir unwohl, trefft ihr euch bei dir oder auf dem Spielplatz. Schulische Sicherheitsübungen: Kapitel </w:t>
      </w:r>
      <w:hyperlink w:anchor="k36">
        <w:r w:rsidR="001F7233">
          <w:t>36</w:t>
        </w:r>
      </w:hyperlink>
      <w:r>
        <w:t>.</w:t>
      </w:r>
    </w:p>
    <w:p w14:paraId="5E2128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LGBTQ+: Rechtslage und Sicherheit je nach Bundesstaat</w:t>
      </w:r>
    </w:p>
    <w:p w14:paraId="39142BBA" w14:textId="77777777" w:rsidR="001F7233" w:rsidRDefault="00000000">
      <w:pPr>
        <w:spacing w:after="140"/>
      </w:pPr>
      <w:r>
        <w:t>Die Ehe zählt bundesweit unabhängig vom Geschlecht der Partner (Kapitel </w:t>
      </w:r>
      <w:hyperlink w:anchor="k10">
        <w:r w:rsidR="001F7233">
          <w:t>10</w:t>
        </w:r>
      </w:hyperlink>
      <w:r>
        <w:t>). Darüber hinaus ist die Rechtslage so uneinheitlich wie bei kaum einem anderen Thema in diesem Buch, und sie ändert sich schnell.</w:t>
      </w:r>
    </w:p>
    <w:p w14:paraId="55DE4DEB" w14:textId="77777777" w:rsidR="001F7233" w:rsidRDefault="00000000">
      <w:pPr>
        <w:spacing w:after="140"/>
      </w:pPr>
      <w:r>
        <w:rPr>
          <w:i/>
          <w:iCs/>
        </w:rPr>
        <w:t>Bundesweit einheitlich gelten zwei Dinge: Die Ehe ist seit 2015 in allen Bundesstaaten geöffnet (Obergefell v. Hodges), und Kündigung wegen sexueller Orientierung oder Geschlechtsidentität verstößt seit einem Urteil des Obersten Gerichtshofs von 2020 (Bostock v. Clayton County) gegen das Bundes-Antidiskriminierungsrecht Title VII. Das gilt bei Arbeitgebern ab 15 Beschäftigten in jedem Bundesstaat.</w:t>
      </w:r>
    </w:p>
    <w:p w14:paraId="4C6017EC" w14:textId="77777777" w:rsidR="001F7233" w:rsidRDefault="00000000">
      <w:pPr>
        <w:spacing w:after="140"/>
      </w:pPr>
      <w:r>
        <w:t>Alles andere regelt jeder Bundesstaat selbst, und die Unterschiede sind groß. Ob auch Vermieter, Restaurants oder Geschäfte nicht diskriminieren dürfen, legt nur etwa die Hälfte der Bundesstaaten ausdrücklich fest. In der anderen Hälfte greift nur der schmalere Bundesschutz. Einzelne Staaten haben ihre Schutzgesetze zuletzt sogar zurückgenommen: Iowa strich 2025 als erster Bundesstaat den Schutz der Geschlechtsidentität wieder aus seinem Antidiskriminierungsgesetz.</w:t>
      </w:r>
    </w:p>
    <w:p w14:paraId="1D8293A0" w14:textId="77777777" w:rsidR="001F7233" w:rsidRDefault="00000000">
      <w:pPr>
        <w:spacing w:after="140"/>
      </w:pPr>
      <w:r>
        <w:rPr>
          <w:i/>
          <w:iCs/>
        </w:rPr>
        <w:lastRenderedPageBreak/>
        <w:t>Am folgenreichsten für Familien ist die medizinische Versorgung trans Jugendlicher. Der Oberste Gerichtshof entschied im Juni 2025 (United States v. Skrmetti), dass Bundesstaaten pubertätsblockierende und hormonelle Behandlungen für Minderjährige verbieten dürfen. Rund 25 Staaten haben ein solches Verbot (Stand 2026, zwei davon durch einstweilige Gerichtsbeschlüsse derzeit ausgesetzt). In den übrigen Staaten bleibt die Behandlung zugänglich.</w:t>
      </w:r>
    </w:p>
    <w:p w14:paraId="35662144" w14:textId="77777777" w:rsidR="001F7233" w:rsidRDefault="00000000">
      <w:r>
        <w:rPr>
          <w:b/>
        </w:rPr>
        <w:t xml:space="preserve">ACHTUNG: </w:t>
      </w:r>
    </w:p>
    <w:p w14:paraId="2A16F3C3" w14:textId="77777777" w:rsidR="001F7233" w:rsidRDefault="00000000">
      <w:r>
        <w:t>• Ziehst du mit einem minderjährigen trans Kind, das bereits in Behandlung ist, entscheidet allein der Bundesstaat, ob diese Behandlung dort fortgesetzt werden darf. Prüfe das für jeden infrage kommenden Wohnort, bevor du unterschreibst, nicht danach.</w:t>
      </w:r>
    </w:p>
    <w:p w14:paraId="4D92534F" w14:textId="77777777" w:rsidR="001F7233" w:rsidRDefault="001F7233">
      <w:pPr>
        <w:spacing w:line="220" w:lineRule="exact"/>
      </w:pPr>
    </w:p>
    <w:p w14:paraId="0192E4E1" w14:textId="77777777" w:rsidR="001F7233" w:rsidRDefault="00000000">
      <w:pPr>
        <w:spacing w:after="140"/>
      </w:pPr>
      <w:r>
        <w:t xml:space="preserve">Für den aktuellen Stand je Bundesstaat (Antidiskriminierung, Familienrecht, Gesundheitsversorgung, Schulrecht) führt die überparteiliche Organisation </w:t>
      </w:r>
      <w:r>
        <w:rPr>
          <w:i/>
          <w:iCs/>
        </w:rPr>
        <w:t>Movement Advancement Project</w:t>
      </w:r>
      <w:r>
        <w:t xml:space="preserve"> eine laufend aktualisierte Übersichtskarte. Bei der Wohnortwahl (Kapitel </w:t>
      </w:r>
      <w:hyperlink w:anchor="k12">
        <w:r w:rsidR="001F7233">
          <w:t>12</w:t>
        </w:r>
      </w:hyperlink>
      <w:r>
        <w:t>) und bei Schulentscheidungen (Kapitel </w:t>
      </w:r>
      <w:hyperlink w:anchor="k36">
        <w:r w:rsidR="001F7233">
          <w:t>36</w:t>
        </w:r>
      </w:hyperlink>
      <w:r>
        <w:t xml:space="preserve"> und </w:t>
      </w:r>
      <w:hyperlink w:anchor="k38">
        <w:r w:rsidR="001F7233">
          <w:t>38</w:t>
        </w:r>
      </w:hyperlink>
      <w:r>
        <w:t>) lohnt sich ein Blick dorthin, bevor du dich festlegst.</w:t>
      </w:r>
    </w:p>
    <w:p w14:paraId="7B6343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sachlich und die Wahl des Viertels</w:t>
      </w:r>
    </w:p>
    <w:p w14:paraId="2A2C4AC4" w14:textId="77777777" w:rsidR="001F7233" w:rsidRDefault="00000000">
      <w:pPr>
        <w:spacing w:after="140"/>
      </w:pPr>
      <w:r>
        <w:t>Die Kriminalität schwankt zwischen Städten stark und in einer Stadt oft mehr als zwischen Städten: Ein Großteil der Delikte konzentriert sich auf wenige Straßenzüge. Pauschale Urteile über „gefährliche Städte“ helfen dir also nicht, konkrete Kriterien schon:</w:t>
      </w:r>
    </w:p>
    <w:p w14:paraId="003D1102" w14:textId="77777777" w:rsidR="001F7233" w:rsidRDefault="00000000">
      <w:pPr>
        <w:pStyle w:val="ListParagraph"/>
        <w:numPr>
          <w:ilvl w:val="0"/>
          <w:numId w:val="35"/>
        </w:numPr>
        <w:spacing w:after="60"/>
      </w:pPr>
      <w:r>
        <w:t>Daten der Adresse: Viele Polizeibehörden veröffentlichen Kriminalitätskarten; landesweite Zahlen gibt es im FBI Crime Data Explorer (</w:t>
      </w:r>
      <w:hyperlink r:id="rId524">
        <w:r w:rsidR="001F7233">
          <w:rPr>
            <w:color w:val="0563C1"/>
            <w:u w:val="single"/>
          </w:rPr>
          <w:t>cde.fbi.gov</w:t>
        </w:r>
      </w:hyperlink>
      <w:r>
        <w:t>).</w:t>
      </w:r>
    </w:p>
    <w:p w14:paraId="41C217FF" w14:textId="77777777" w:rsidR="001F7233" w:rsidRDefault="00000000">
      <w:pPr>
        <w:pStyle w:val="ListParagraph"/>
        <w:numPr>
          <w:ilvl w:val="0"/>
          <w:numId w:val="2"/>
        </w:numPr>
        <w:spacing w:after="60"/>
      </w:pPr>
      <w:r>
        <w:t xml:space="preserve">Sexualstraftäterregister: Die Website </w:t>
      </w:r>
      <w:hyperlink r:id="rId525">
        <w:r w:rsidR="001F7233">
          <w:rPr>
            <w:color w:val="0563C1"/>
            <w:u w:val="single"/>
          </w:rPr>
          <w:t>nsopw.gov</w:t>
        </w:r>
      </w:hyperlink>
      <w:r>
        <w:t xml:space="preserve"> durchsucht alle Staaten nach registrierten Tätern in Adressnähe.</w:t>
      </w:r>
    </w:p>
    <w:p w14:paraId="4E1F7A2A" w14:textId="77777777" w:rsidR="001F7233" w:rsidRDefault="00000000">
      <w:pPr>
        <w:pStyle w:val="ListParagraph"/>
        <w:numPr>
          <w:ilvl w:val="0"/>
          <w:numId w:val="2"/>
        </w:numPr>
        <w:spacing w:after="60"/>
      </w:pPr>
      <w:r>
        <w:rPr>
          <w:b/>
          <w:bCs/>
        </w:rPr>
        <w:lastRenderedPageBreak/>
        <w:t>Besuch zu verschiedenen Zeiten:</w:t>
      </w:r>
      <w:r>
        <w:t xml:space="preserve"> Werktag, Abend, Wochenende. Achte auf Beleuchtung, Zustand der Gebäude, Leerstand und Verkehr.</w:t>
      </w:r>
    </w:p>
    <w:p w14:paraId="289E6E08" w14:textId="77777777" w:rsidR="001F7233" w:rsidRDefault="00000000">
      <w:pPr>
        <w:pStyle w:val="ListParagraph"/>
        <w:numPr>
          <w:ilvl w:val="0"/>
          <w:numId w:val="2"/>
        </w:numPr>
        <w:spacing w:after="60"/>
      </w:pPr>
      <w:r>
        <w:rPr>
          <w:b/>
          <w:bCs/>
        </w:rPr>
        <w:t>Nachbarn, Schulen und Vermieter fragen:</w:t>
      </w:r>
      <w:r>
        <w:t xml:space="preserve"> Kapitel </w:t>
      </w:r>
      <w:hyperlink w:anchor="k12">
        <w:r w:rsidR="001F7233">
          <w:t>12</w:t>
        </w:r>
      </w:hyperlink>
      <w:r>
        <w:t xml:space="preserve"> und </w:t>
      </w:r>
      <w:hyperlink w:anchor="k36">
        <w:r w:rsidR="001F7233">
          <w:t>36</w:t>
        </w:r>
      </w:hyperlink>
      <w:r>
        <w:t>.</w:t>
      </w:r>
    </w:p>
    <w:p w14:paraId="60EFFB67" w14:textId="77777777" w:rsidR="001F7233" w:rsidRDefault="00000000">
      <w:pPr>
        <w:pStyle w:val="ListParagraph"/>
        <w:numPr>
          <w:ilvl w:val="0"/>
          <w:numId w:val="2"/>
        </w:numPr>
        <w:spacing w:after="60"/>
      </w:pPr>
      <w:r>
        <w:rPr>
          <w:b/>
          <w:bCs/>
        </w:rPr>
        <w:t>Eigentumsdelikte einplanen:</w:t>
      </w:r>
      <w:r>
        <w:t xml:space="preserve"> Autoaufbrüche und Paketdiebstähle sind häufiger als Gewalt. Lasse nichts sichtbar im Auto, nutze Paketfächer oder Abholstationen.</w:t>
      </w:r>
    </w:p>
    <w:p w14:paraId="718C77BB" w14:textId="77777777" w:rsidR="001F7233" w:rsidRDefault="001F7233">
      <w:pPr>
        <w:spacing w:line="120" w:lineRule="exact"/>
      </w:pPr>
    </w:p>
    <w:p w14:paraId="34DA2E8E" w14:textId="77777777" w:rsidR="001F7233" w:rsidRDefault="00000000">
      <w:pPr>
        <w:spacing w:after="140"/>
      </w:pPr>
      <w:r>
        <w:t xml:space="preserve">Bei einem Überfall gibst du Wertsachen heraus und rufst danach 911; Gegenwehr lohnt selten. Für den seltenen Fall einer Schießerei empfehlen Behörden die Regel </w:t>
      </w:r>
      <w:r>
        <w:rPr>
          <w:i/>
          <w:iCs/>
        </w:rPr>
        <w:t>Run, Hide, Fight</w:t>
      </w:r>
      <w:r>
        <w:t>: Fluchtweg suchen, sich verstecken, nur im äußersten Notfall wehren. Aufsicht über Kinder: Kapitel </w:t>
      </w:r>
      <w:hyperlink w:anchor="k38">
        <w:r w:rsidR="001F7233">
          <w:t>38</w:t>
        </w:r>
      </w:hyperlink>
      <w:r>
        <w:t>.</w:t>
      </w:r>
    </w:p>
    <w:p w14:paraId="3138CD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und Scams</w:t>
      </w:r>
    </w:p>
    <w:p w14:paraId="6B31D357" w14:textId="77777777" w:rsidR="001F7233" w:rsidRDefault="00000000">
      <w:pPr>
        <w:spacing w:after="140"/>
      </w:pPr>
      <w:r>
        <w:t>Die Verbraucherschutzbehörde FTC verzeichnete für 2025 rund 16 Milliarden $ gemeldete Betrugsverluste, etwa ein Viertel mehr als 2024. Am häufigsten sind Imitationen (</w:t>
      </w:r>
      <w:r>
        <w:rPr>
          <w:i/>
          <w:iCs/>
        </w:rPr>
        <w:t>Imposter Scams</w:t>
      </w:r>
      <w:r>
        <w:t>): Betrüger geben sich als Behörde, Bank oder Firma aus; für Behörden-Imitatoren meldete die FTC rund 920 Millionen $ Verlust. Der größte Schaden entsteht durch Anlagebetrug. Die Muster für Neuankömmlinge (Wohnung, Behördenanruf, Fake-Job, Visa-Berater) stehen in Kapitel </w:t>
      </w:r>
      <w:hyperlink w:anchor="k23">
        <w:r w:rsidR="001F7233">
          <w:t>23</w:t>
        </w:r>
      </w:hyperlink>
      <w:r>
        <w:t>; dazu kommen:</w:t>
      </w:r>
    </w:p>
    <w:p w14:paraId="718590E3" w14:textId="77777777" w:rsidR="001F7233" w:rsidRDefault="00000000">
      <w:pPr>
        <w:pStyle w:val="ListParagraph"/>
        <w:numPr>
          <w:ilvl w:val="0"/>
          <w:numId w:val="1"/>
        </w:numPr>
        <w:spacing w:after="60"/>
      </w:pPr>
      <w:r>
        <w:rPr>
          <w:b/>
          <w:bCs/>
        </w:rPr>
        <w:t>Bank-Alarm:</w:t>
      </w:r>
      <w:r>
        <w:t xml:space="preserve"> SMS oder Anruf „verdächtige Abbuchung“, oft mit gefälschter Absendernummer. Lege auf und rufe die Nummer auf deiner Karte an.</w:t>
      </w:r>
    </w:p>
    <w:p w14:paraId="2C143E0A" w14:textId="77777777" w:rsidR="001F7233" w:rsidRDefault="00000000">
      <w:pPr>
        <w:pStyle w:val="ListParagraph"/>
        <w:numPr>
          <w:ilvl w:val="0"/>
          <w:numId w:val="1"/>
        </w:numPr>
        <w:spacing w:after="60"/>
      </w:pPr>
      <w:r>
        <w:rPr>
          <w:b/>
          <w:bCs/>
        </w:rPr>
        <w:t>Maut- und Paket-SMS:</w:t>
      </w:r>
      <w:r>
        <w:t xml:space="preserve"> „Offene Mautgebühr“ mit Link, formuliert mit einer Dringlichkeit, die keine echte Behörde je an den Tag legt; öffne ihn nie.</w:t>
      </w:r>
    </w:p>
    <w:p w14:paraId="1F9CDCED" w14:textId="77777777" w:rsidR="001F7233" w:rsidRDefault="00000000">
      <w:pPr>
        <w:pStyle w:val="ListParagraph"/>
        <w:numPr>
          <w:ilvl w:val="0"/>
          <w:numId w:val="1"/>
        </w:numPr>
        <w:spacing w:after="60"/>
      </w:pPr>
      <w:r>
        <w:rPr>
          <w:b/>
          <w:bCs/>
        </w:rPr>
        <w:t>Anlage- und Romantikbetrug:</w:t>
      </w:r>
      <w:r>
        <w:t xml:space="preserve"> Kontakt über Chat oder Dating-App, dann „sichere Krypto-Anlage“.</w:t>
      </w:r>
    </w:p>
    <w:p w14:paraId="5FD43B06" w14:textId="77777777" w:rsidR="001F7233" w:rsidRDefault="00000000">
      <w:pPr>
        <w:pStyle w:val="ListParagraph"/>
        <w:numPr>
          <w:ilvl w:val="0"/>
          <w:numId w:val="1"/>
        </w:numPr>
        <w:spacing w:after="60"/>
      </w:pPr>
      <w:r>
        <w:rPr>
          <w:b/>
          <w:bCs/>
        </w:rPr>
        <w:lastRenderedPageBreak/>
        <w:t>Schockanruf in Deutschland:</w:t>
      </w:r>
      <w:r>
        <w:t xml:space="preserve"> Deine Eltern hören, dass du verhaftet wurdest oder einen Unfall hattest. Vereinbare ein Codewort.</w:t>
      </w:r>
    </w:p>
    <w:p w14:paraId="6BE94798" w14:textId="77777777" w:rsidR="001F7233" w:rsidRDefault="001F7233">
      <w:pPr>
        <w:spacing w:line="120" w:lineRule="exact"/>
      </w:pPr>
    </w:p>
    <w:p w14:paraId="6F6C7A11" w14:textId="77777777" w:rsidR="001F7233" w:rsidRDefault="00000000">
      <w:pPr>
        <w:pStyle w:val="Heading4"/>
      </w:pPr>
      <w:r>
        <w:t>„Nigerianischer Prinz“: Vorschussbetrug</w:t>
      </w:r>
    </w:p>
    <w:p w14:paraId="2F93D517" w14:textId="77777777" w:rsidR="001F7233" w:rsidRDefault="00000000">
      <w:r>
        <w:t xml:space="preserve">Der angebliche Prinz, der Hilfe beim Transfer eines Vermögens braucht, ist ein Vorschussbetrug: Erst sollst du Gebühren, Steuern oder Freischaltkosten zahlen; das versprochene Geld kommt nie. Heute kommt dieselbe Masche als Erbschaft, Lotteriegewinn, Darlehen oder Paketfreigabe. „Nigerianischer Prinz“ bezeichnet eine alte Betrugsgeschichte, nicht die Herkunft des heutigen Anrufers. Zahle nie, um einen unerwarteten Gewinn oder eine Erbschaft freizuschalten. Quellen: </w:t>
      </w:r>
      <w:hyperlink r:id="rId526">
        <w:r w:rsidR="001F7233">
          <w:rPr>
            <w:color w:val="0563C1"/>
            <w:u w:val="single"/>
          </w:rPr>
          <w:t>FTC: Vorschuss- und Erbschaftsbetrug</w:t>
        </w:r>
      </w:hyperlink>
    </w:p>
    <w:p w14:paraId="55629105" w14:textId="77777777" w:rsidR="001F7233" w:rsidRDefault="00000000">
      <w:pPr>
        <w:spacing w:after="140"/>
      </w:pPr>
      <w:r>
        <w:rPr>
          <w:b/>
          <w:bCs/>
        </w:rPr>
        <w:t>Regeln:</w:t>
      </w:r>
      <w:r>
        <w:t xml:space="preserve"> Zahle nie unter Zeitdruck, nie per Geschenkkarte, Krypto oder Zelle an Unbekannte. Behörden fordern keine SSN am Telefon (Kapitel </w:t>
      </w:r>
      <w:hyperlink w:anchor="k24">
        <w:r w:rsidR="001F7233">
          <w:t>24</w:t>
        </w:r>
      </w:hyperlink>
      <w:r>
        <w:t>). Kreditkarten schützen besser als Überweisungen: Bei unautorisierten Zahlungen begrenzt Bundesrecht die Haftung auf 50 $ (Kapitel </w:t>
      </w:r>
      <w:hyperlink w:anchor="k25">
        <w:r w:rsidR="001F7233">
          <w:t>25</w:t>
        </w:r>
      </w:hyperlink>
      <w:r>
        <w:t>). Meldestellen: reportfraud.ftc.gov, bei Identitätsdiebstahl identitytheft.gov.</w:t>
      </w:r>
    </w:p>
    <w:p w14:paraId="41625976" w14:textId="77777777" w:rsidR="001F7233" w:rsidRDefault="00000000">
      <w:pPr>
        <w:pStyle w:val="Heading4"/>
      </w:pPr>
      <w:r>
        <w:t>Robocalls, gefälschte Nummern und Romance-Scams</w:t>
      </w:r>
    </w:p>
    <w:p w14:paraId="750EEC3D" w14:textId="77777777" w:rsidR="001F7233" w:rsidRDefault="00000000">
      <w:r>
        <w:t xml:space="preserve">Robocalls und gefälschte Rufnummern kommen auch in den USA vor; eine angezeigte Nummer beweist nicht, wer anruft. Für die vier Zielländer gibt es keine belastbare Rangliste, weil Meldesysteme Unterschiedliches zählen. T-Mobile bietet je nach Tarif Scam-Warnungen und Sperren; sie filtern einen Teil der Anrufe, aber nicht jeden Betrug und können Anrufe falsch markieren. Lass Unbekannte auf die Mailbox sprechen, drücke bei Robocalls keine Taste und rufe Bank oder Behörde über eine selbst gefundene offizielle Nummer zurück. Die US-Do-Not-Call-Liste hilft gegen bestimmte Werbeanrufe, nicht gegen Betrüger. Quellen: </w:t>
      </w:r>
      <w:hyperlink r:id="rId527">
        <w:r w:rsidR="001F7233">
          <w:rPr>
            <w:color w:val="0563C1"/>
            <w:u w:val="single"/>
          </w:rPr>
          <w:t>T-Mobile: Scam Shield</w:t>
        </w:r>
      </w:hyperlink>
      <w:r>
        <w:t xml:space="preserve"> | </w:t>
      </w:r>
      <w:hyperlink r:id="rId528">
        <w:r w:rsidR="001F7233">
          <w:rPr>
            <w:color w:val="0563C1"/>
            <w:u w:val="single"/>
          </w:rPr>
          <w:t>FTC: Telefonbetrug</w:t>
        </w:r>
      </w:hyperlink>
      <w:r>
        <w:t xml:space="preserve"> | </w:t>
      </w:r>
      <w:hyperlink r:id="rId529">
        <w:r w:rsidR="001F7233">
          <w:rPr>
            <w:color w:val="0563C1"/>
            <w:u w:val="single"/>
          </w:rPr>
          <w:t>FCC: unerwünschte Anrufe</w:t>
        </w:r>
      </w:hyperlink>
    </w:p>
    <w:p w14:paraId="5889E156" w14:textId="77777777" w:rsidR="001F7233" w:rsidRDefault="00000000">
      <w:r>
        <w:t xml:space="preserve">Auch Dating-Apps können für Romance-Scams dienen: gestohlene Fotos, schnelle Vertrautheit, kein Treffen und schließlich eine Bitte </w:t>
      </w:r>
      <w:r>
        <w:lastRenderedPageBreak/>
        <w:t xml:space="preserve">um Geld, Geschenkkarten oder Krypto. Überweise nichts und leite kein Geld für einen Online-Kontakt weiter. Hast du gezahlt, ruf sofort Bank oder Zahlungsdienst an, sichere Nachrichten und melde das Profil der App und der FTC. Quellen: </w:t>
      </w:r>
      <w:hyperlink r:id="rId530">
        <w:r w:rsidR="001F7233">
          <w:rPr>
            <w:color w:val="0563C1"/>
            <w:u w:val="single"/>
          </w:rPr>
          <w:t>FTC: Romance-Scams</w:t>
        </w:r>
      </w:hyperlink>
    </w:p>
    <w:p w14:paraId="3C967FC7" w14:textId="77777777" w:rsidR="001F7233" w:rsidRDefault="00000000">
      <w:r>
        <w:rPr>
          <w:b/>
        </w:rPr>
        <w:t xml:space="preserve">SPARTIPP: </w:t>
      </w:r>
    </w:p>
    <w:p w14:paraId="74B0BF78" w14:textId="77777777" w:rsidR="001F7233" w:rsidRDefault="00000000">
      <w:r>
        <w:t>• Ein Kredit-Freeze bei Equifax, Experian und TransUnion kostet nichts und verhindert, dass Betrüger mit deiner SSN neue Kredite eröffnen. Du hebst ihn für eigene Anträge kurz auf.</w:t>
      </w:r>
    </w:p>
    <w:p w14:paraId="3BAE580E" w14:textId="77777777" w:rsidR="001F7233" w:rsidRDefault="001F7233">
      <w:pPr>
        <w:spacing w:line="220" w:lineRule="exact"/>
      </w:pPr>
    </w:p>
    <w:p w14:paraId="2A74D5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Notfälle: 911 und Krankenwagen</w:t>
      </w:r>
    </w:p>
    <w:p w14:paraId="5F2F3CC1" w14:textId="77777777" w:rsidR="001F7233" w:rsidRDefault="00000000">
      <w:pPr>
        <w:spacing w:after="140"/>
      </w:pPr>
      <w:r>
        <w:t>Die Grundlagen zum Notruf 911 stehen in Kapitel </w:t>
      </w:r>
      <w:hyperlink w:anchor="k23">
        <w:r w:rsidR="001F7233">
          <w:t>23</w:t>
        </w:r>
      </w:hyperlink>
      <w:r>
        <w:t>. Nenne zuerst den Ort (Straße, Hausnummer, Apartment), dann was passiert, und bleibe in der Leitung: Die Leitstelle gibt Anweisungen, etwa zur Herzdruckmassage. Ohne akute Gefahr wählst du die örtliche Non-Emergency-Nummer der Polizei oder 311. Bei Herzinfarkt, Schlaganfall oder schwerem Unfall ruf den Rettungswagen, statt selbst zu fahren. Ein Krankenwagen (</w:t>
      </w:r>
      <w:r>
        <w:rPr>
          <w:i/>
          <w:iCs/>
        </w:rPr>
        <w:t>Ambulance</w:t>
      </w:r>
      <w:r>
        <w:t xml:space="preserve">) kostet Geld, oft mehrere hundert bis über tausend Dollar, und der Schutz des </w:t>
      </w:r>
      <w:r>
        <w:rPr>
          <w:i/>
          <w:iCs/>
        </w:rPr>
        <w:t>No Surprises Act</w:t>
      </w:r>
      <w:r>
        <w:t xml:space="preserve"> gilt nicht für Bodenrettung (Kapitel </w:t>
      </w:r>
      <w:hyperlink w:anchor="k26">
        <w:r w:rsidR="001F7233">
          <w:t>26</w:t>
        </w:r>
      </w:hyperlink>
      <w:r>
        <w:t>). Zögere trotzdem nicht: Rechnungen lassen sich verhandeln, Leben nicht.</w:t>
      </w:r>
    </w:p>
    <w:p w14:paraId="323AAD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Naturkatastrophen und Vorsorge</w:t>
      </w:r>
    </w:p>
    <w:p w14:paraId="1014603E" w14:textId="77777777" w:rsidR="001F7233" w:rsidRDefault="00000000">
      <w:pPr>
        <w:spacing w:after="140"/>
      </w:pPr>
      <w:r>
        <w:t>Welche Gefahr droht, hängt vom Wohnort ab (Orte: Kapitel </w:t>
      </w:r>
      <w:hyperlink w:anchor="k12">
        <w:r w:rsidR="001F7233">
          <w:t>12</w:t>
        </w:r>
      </w:hyperlink>
      <w:r>
        <w:t>):</w:t>
      </w:r>
    </w:p>
    <w:p w14:paraId="78BCD9A6" w14:textId="77777777" w:rsidR="001F7233" w:rsidRDefault="00000000">
      <w:r>
        <w:rPr>
          <w:b/>
        </w:rPr>
        <w:t>Atlantikküste, Carolinas (Raum Raleigh–Durham durch Restzyklone)</w:t>
      </w:r>
    </w:p>
    <w:p w14:paraId="7FF6BF2B" w14:textId="77777777" w:rsidR="001F7233" w:rsidRDefault="00000000">
      <w:r>
        <w:rPr>
          <w:b/>
        </w:rPr>
        <w:t xml:space="preserve">Typische Gefahr: </w:t>
      </w:r>
      <w:r>
        <w:t>Hurrikane, Überflutung; Saison 1. Juni bis 30. November</w:t>
      </w:r>
    </w:p>
    <w:p w14:paraId="3810DD37" w14:textId="77777777" w:rsidR="001F7233" w:rsidRDefault="00000000">
      <w:r>
        <w:rPr>
          <w:b/>
        </w:rPr>
        <w:t>Michigan, Mittlerer Westen</w:t>
      </w:r>
    </w:p>
    <w:p w14:paraId="7A0365E9" w14:textId="77777777" w:rsidR="001F7233" w:rsidRDefault="00000000">
      <w:r>
        <w:rPr>
          <w:b/>
        </w:rPr>
        <w:t xml:space="preserve">Typische Gefahr: </w:t>
      </w:r>
      <w:r>
        <w:t>Tornados (Frühjahr bis Sommer), Blizzards, Stromausfälle</w:t>
      </w:r>
    </w:p>
    <w:p w14:paraId="6F69A12A" w14:textId="77777777" w:rsidR="001F7233" w:rsidRDefault="00000000">
      <w:r>
        <w:rPr>
          <w:b/>
        </w:rPr>
        <w:t>Nordosten (Boston)</w:t>
      </w:r>
    </w:p>
    <w:p w14:paraId="4258BC79" w14:textId="77777777" w:rsidR="001F7233" w:rsidRDefault="00000000">
      <w:r>
        <w:rPr>
          <w:b/>
        </w:rPr>
        <w:lastRenderedPageBreak/>
        <w:t xml:space="preserve">Typische Gefahr: </w:t>
      </w:r>
      <w:r>
        <w:t>Nor’easter (Nordoststurm), Schneestürme, Küstenflut</w:t>
      </w:r>
    </w:p>
    <w:p w14:paraId="61433D4E" w14:textId="77777777" w:rsidR="001F7233" w:rsidRDefault="00000000">
      <w:r>
        <w:rPr>
          <w:b/>
        </w:rPr>
        <w:t>Westküste (Seattle)</w:t>
      </w:r>
    </w:p>
    <w:p w14:paraId="6B93C0E2" w14:textId="77777777" w:rsidR="001F7233" w:rsidRDefault="00000000">
      <w:r>
        <w:rPr>
          <w:b/>
        </w:rPr>
        <w:t xml:space="preserve">Typische Gefahr: </w:t>
      </w:r>
      <w:r>
        <w:t>Erdbeben, Waldbrände und Rauch im Sommer und Herbst</w:t>
      </w:r>
    </w:p>
    <w:p w14:paraId="1E5B9F5B" w14:textId="77777777" w:rsidR="001F7233" w:rsidRDefault="00000000">
      <w:r>
        <w:rPr>
          <w:b/>
        </w:rPr>
        <w:t>Südwesten (Phoenix)</w:t>
      </w:r>
    </w:p>
    <w:p w14:paraId="3BFD2646" w14:textId="77777777" w:rsidR="001F7233" w:rsidRDefault="00000000">
      <w:r>
        <w:rPr>
          <w:b/>
        </w:rPr>
        <w:t xml:space="preserve">Typische Gefahr: </w:t>
      </w:r>
      <w:r>
        <w:t>Extreme Hitze; Monsun vom 15. Juni bis 30. September mit Staubstürmen und Sturzfluten</w:t>
      </w:r>
    </w:p>
    <w:p w14:paraId="79B21874" w14:textId="77777777" w:rsidR="001F7233" w:rsidRDefault="001F7233">
      <w:pPr>
        <w:spacing w:line="180" w:lineRule="exact"/>
      </w:pPr>
    </w:p>
    <w:p w14:paraId="40610FDA" w14:textId="77777777" w:rsidR="001F7233" w:rsidRDefault="00000000">
      <w:pPr>
        <w:spacing w:after="140"/>
      </w:pPr>
      <w:r>
        <w:t xml:space="preserve">Der Wetterdienst unterscheidet Watch (Bedingungen möglich, sei vorbereitet) und Warning (Gefahr akut, handle jetzt). Warnungen kommen automatisch als Wireless Emergency Alert auf dein Handy, ähnlich dem Cell Broadcast in Deutschland; dazu gibt es </w:t>
      </w:r>
      <w:hyperlink r:id="rId531">
        <w:r w:rsidR="001F7233">
          <w:rPr>
            <w:color w:val="0563C1"/>
            <w:u w:val="single"/>
          </w:rPr>
          <w:t>weather.gov</w:t>
        </w:r>
      </w:hyperlink>
      <w:r>
        <w:t xml:space="preserve"> und das NOAA-Wetterradio. Sinnvoll sind ein Notvorrat für mindestens drei Tage (Wasser: rund 3,8 Liter pro Person und Tag, Nahrung, Medikamente, Taschenlampe, Powerbank, Radio, Bargeld), ein Familienplan mit Treffpunkt und einer Kontaktperson außerhalb der Region sowie Kopien von Pass, I-94 und Green Card in der Cloud. In Küstengebieten kennst du deine Evakuierungszone.</w:t>
      </w:r>
    </w:p>
    <w:p w14:paraId="66AA05D2" w14:textId="77777777" w:rsidR="001F7233" w:rsidRDefault="00000000">
      <w:r>
        <w:rPr>
          <w:b/>
        </w:rPr>
        <w:t xml:space="preserve">ACHTUNG: </w:t>
      </w:r>
    </w:p>
    <w:p w14:paraId="23AE2B26" w14:textId="77777777" w:rsidR="001F7233" w:rsidRDefault="00000000">
      <w:r>
        <w:t>• Hochwasser und Erdbeben sind in der Standardpolice der Haus- und Mieterversicherung nicht eingeschlossen. Eine Flutversicherung (staatlich über das NFIP oder privat) hat meist eine Wartefrist von 30 Tagen, und Überflutung gibt es auch außerhalb der Risikozonen. Prüfe das beim Einzug (</w:t>
      </w:r>
      <w:hyperlink w:anchor="k14">
        <w:r w:rsidR="001F7233">
          <w:rPr>
            <w:color w:val="0563C1"/>
            <w:u w:val="single"/>
          </w:rPr>
          <w:t>Kapitel 14</w:t>
        </w:r>
      </w:hyperlink>
      <w:r>
        <w:t xml:space="preserve"> und 25).</w:t>
      </w:r>
    </w:p>
    <w:p w14:paraId="6BBA0CD2" w14:textId="77777777" w:rsidR="001F7233" w:rsidRDefault="001F7233">
      <w:pPr>
        <w:spacing w:line="220" w:lineRule="exact"/>
      </w:pPr>
    </w:p>
    <w:p w14:paraId="5B8AC115" w14:textId="77777777" w:rsidR="001F7233" w:rsidRDefault="00000000">
      <w:pPr>
        <w:spacing w:after="140"/>
      </w:pPr>
      <w:r>
        <w:t>Nach einer Katastrophe setzt die individuelle Hilfe der Katastrophenschutzbehörde FEMA in der Regel Staatsbürgerschaft oder den Status Qualified Alien voraus (dazu zählen Green-Card-Inhaber); Inhaber befristeter Visa sind meist nicht antragsberechtigt, für Kinder mit US-Staatsbürgerschaft können Eltern aber Hilfe beantragen (</w:t>
      </w:r>
      <w:hyperlink r:id="rId532">
        <w:r w:rsidR="001F7233">
          <w:rPr>
            <w:color w:val="0563C1"/>
            <w:u w:val="single"/>
          </w:rPr>
          <w:t>disasterassistance.gov</w:t>
        </w:r>
      </w:hyperlink>
      <w:r>
        <w:t>). Notunterkünfte stehen in der Regel allen offen.</w:t>
      </w:r>
    </w:p>
    <w:p w14:paraId="751E38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Datenschutz und digitale Sicherheit</w:t>
      </w:r>
    </w:p>
    <w:p w14:paraId="237B4820" w14:textId="77777777" w:rsidR="001F7233" w:rsidRDefault="00000000">
      <w:pPr>
        <w:spacing w:after="140"/>
      </w:pPr>
      <w:r>
        <w:t>Grundlagen zum US-Datenschutz (keine DSGVO, Einzelgesetze und Landesrecht) stehen in Kapitel </w:t>
      </w:r>
      <w:hyperlink w:anchor="k31">
        <w:r w:rsidR="001F7233">
          <w:t>31</w:t>
        </w:r>
      </w:hyperlink>
      <w:r>
        <w:t>. Praktisch: Nenne die SSN nur, wo sie nötig ist. In Staaten wie Kalifornien kannst du Auskunft und Löschung verlangen und dem Verkauf deiner Daten widersprechen („Do Not Sell or Share My Personal Information“). Auf Firmenrechner und Firmen-E-Mail hast du keinen Anspruch auf Privatsphäre. An der Grenze darf CBP Handys und Laptops in einfacher Form ohne Verdacht durchsehen; wer als Visum-Inhaber die Entsperrung verweigert, riskiert die Einreiseverweigerung. Nimm auf Reisen nur mit, was du brauchst. Passwortmanager und Zwei-Faktor-Anmeldung verhindern die meisten Kontoübernahmen.</w:t>
      </w:r>
    </w:p>
    <w:p w14:paraId="4B8AAD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Pflichten von Nichtstaatsbürgern</w:t>
      </w:r>
    </w:p>
    <w:p w14:paraId="223656BD" w14:textId="77777777" w:rsidR="001F7233" w:rsidRDefault="00000000">
      <w:pPr>
        <w:spacing w:after="140"/>
      </w:pPr>
      <w:r>
        <w:t>Als Nichtstaatsbürger unterliegst du einigen Pflichten, die es in Deutschland so nicht gibt. Die wichtigsten im Überblick:</w:t>
      </w:r>
    </w:p>
    <w:p w14:paraId="19AA58AB" w14:textId="77777777" w:rsidR="001F7233" w:rsidRDefault="00000000">
      <w:r>
        <w:rPr>
          <w:b/>
        </w:rPr>
        <w:t>Registrierungsnachweis mitführen (8 U.S.C. § 1304(e))</w:t>
      </w:r>
    </w:p>
    <w:p w14:paraId="371860F4" w14:textId="77777777" w:rsidR="001F7233" w:rsidRDefault="00000000">
      <w:r>
        <w:rPr>
          <w:b/>
        </w:rPr>
        <w:t xml:space="preserve">Gilt für: </w:t>
      </w:r>
      <w:r>
        <w:t>Ab 18 Jahren</w:t>
      </w:r>
    </w:p>
    <w:p w14:paraId="3D4C3966" w14:textId="77777777" w:rsidR="001F7233" w:rsidRDefault="00000000">
      <w:r>
        <w:rPr>
          <w:b/>
        </w:rPr>
        <w:t>Was du tun musst: Green Card im Original. Sonst I-94 (Ausdruck oder Handy) mit Pass und Visum bzw. Bescheid I-797A oder EAD</w:t>
      </w:r>
    </w:p>
    <w:p w14:paraId="3042BFD8" w14:textId="77777777" w:rsidR="001F7233" w:rsidRDefault="00000000">
      <w:r>
        <w:rPr>
          <w:b/>
        </w:rPr>
        <w:t xml:space="preserve">Folge bei Verstoß: </w:t>
      </w:r>
      <w:r>
        <w:t>Vergehen; nach USCIS bis 5.000 $ und/oder 30 Tage Haft</w:t>
      </w:r>
    </w:p>
    <w:p w14:paraId="0BC68761" w14:textId="77777777" w:rsidR="001F7233" w:rsidRDefault="00000000">
      <w:r>
        <w:rPr>
          <w:b/>
        </w:rPr>
        <w:t>Registrierung (Form G-325R)</w:t>
      </w:r>
    </w:p>
    <w:p w14:paraId="5A4459C5" w14:textId="77777777" w:rsidR="001F7233" w:rsidRDefault="00000000">
      <w:r>
        <w:rPr>
          <w:b/>
        </w:rPr>
        <w:t xml:space="preserve">Gilt für: </w:t>
      </w:r>
      <w:r>
        <w:t>Ab 14 Jahren, wenn noch nicht registriert</w:t>
      </w:r>
    </w:p>
    <w:p w14:paraId="0B34C9FD" w14:textId="77777777" w:rsidR="001F7233" w:rsidRDefault="00000000">
      <w:r>
        <w:rPr>
          <w:b/>
        </w:rPr>
        <w:t>Was du tun musst: Wer mit Visum eingereist ist oder Green Card oder EAD hat, gilt als registriert; sonst online mit Biometrie.</w:t>
      </w:r>
    </w:p>
    <w:p w14:paraId="0335A636" w14:textId="77777777" w:rsidR="001F7233" w:rsidRDefault="00000000">
      <w:r>
        <w:rPr>
          <w:b/>
        </w:rPr>
        <w:t xml:space="preserve">Folge bei Verstoß: </w:t>
      </w:r>
      <w:r>
        <w:t>Vorsätzliches Unterlassen: bis 5.000 $ und/oder 6 Monate Haft</w:t>
      </w:r>
    </w:p>
    <w:p w14:paraId="3C361B0B" w14:textId="77777777" w:rsidR="001F7233" w:rsidRDefault="00000000">
      <w:r>
        <w:rPr>
          <w:b/>
        </w:rPr>
        <w:t>Adressänderung (AR-11)</w:t>
      </w:r>
    </w:p>
    <w:p w14:paraId="02B83C09" w14:textId="77777777" w:rsidR="001F7233" w:rsidRDefault="00000000">
      <w:r>
        <w:rPr>
          <w:b/>
        </w:rPr>
        <w:t xml:space="preserve">Gilt für: </w:t>
      </w:r>
      <w:r>
        <w:t>Fast alle Nichtstaatsbürger</w:t>
      </w:r>
    </w:p>
    <w:p w14:paraId="70E3D0E0" w14:textId="77777777" w:rsidR="001F7233" w:rsidRDefault="00000000">
      <w:r>
        <w:rPr>
          <w:b/>
        </w:rPr>
        <w:lastRenderedPageBreak/>
        <w:t xml:space="preserve">Was du tun musst: </w:t>
      </w:r>
      <w:r>
        <w:t>Jeden Umzug binnen 10 Tagen online melden (</w:t>
      </w:r>
      <w:hyperlink w:anchor="k30">
        <w:r w:rsidR="001F7233">
          <w:rPr>
            <w:rStyle w:val="Hyperlink"/>
          </w:rPr>
          <w:t>Kapitel 30</w:t>
        </w:r>
      </w:hyperlink>
      <w:r>
        <w:t>)</w:t>
      </w:r>
    </w:p>
    <w:p w14:paraId="6ED116A3" w14:textId="77777777" w:rsidR="001F7233" w:rsidRDefault="00000000">
      <w:r>
        <w:rPr>
          <w:b/>
        </w:rPr>
        <w:t xml:space="preserve">Folge bei Verstoß: </w:t>
      </w:r>
      <w:r>
        <w:t>Nach USCIS bis 5.000 $ und/oder 30 Tage Haft; kann Abschiebeverfahren auslösen</w:t>
      </w:r>
    </w:p>
    <w:p w14:paraId="665E6652" w14:textId="77777777" w:rsidR="001F7233" w:rsidRDefault="00000000">
      <w:r>
        <w:rPr>
          <w:b/>
        </w:rPr>
        <w:t>Wahlverbot</w:t>
      </w:r>
    </w:p>
    <w:p w14:paraId="4E884269" w14:textId="77777777" w:rsidR="001F7233" w:rsidRDefault="00000000">
      <w:r>
        <w:rPr>
          <w:b/>
        </w:rPr>
        <w:t xml:space="preserve">Gilt für: </w:t>
      </w:r>
      <w:r>
        <w:t>Alle</w:t>
      </w:r>
    </w:p>
    <w:p w14:paraId="5C68A231" w14:textId="77777777" w:rsidR="001F7233" w:rsidRDefault="00000000">
      <w:r>
        <w:rPr>
          <w:b/>
        </w:rPr>
        <w:t xml:space="preserve">Was du tun musst: </w:t>
      </w:r>
      <w:r>
        <w:t>Nicht wählen, dich nicht registrieren lassen, dich nie als Staatsbürger ausgeben</w:t>
      </w:r>
    </w:p>
    <w:p w14:paraId="352308CB" w14:textId="77777777" w:rsidR="001F7233" w:rsidRDefault="00000000">
      <w:r>
        <w:rPr>
          <w:b/>
        </w:rPr>
        <w:t xml:space="preserve">Folge bei Verstoß: </w:t>
      </w:r>
      <w:r>
        <w:t>Strafbar; kann Abschiebung und Einreisesperre bedeuten</w:t>
      </w:r>
    </w:p>
    <w:p w14:paraId="1C15292B" w14:textId="77777777" w:rsidR="001F7233" w:rsidRDefault="00000000">
      <w:r>
        <w:rPr>
          <w:b/>
        </w:rPr>
        <w:t>Selective Service</w:t>
      </w:r>
    </w:p>
    <w:p w14:paraId="72D90CCB" w14:textId="77777777" w:rsidR="001F7233" w:rsidRDefault="00000000">
      <w:r>
        <w:rPr>
          <w:b/>
        </w:rPr>
        <w:t xml:space="preserve">Gilt für: </w:t>
      </w:r>
      <w:r>
        <w:t>Männer von 18 bis 25 mit Green Card</w:t>
      </w:r>
    </w:p>
    <w:p w14:paraId="0BCCAE1A" w14:textId="77777777" w:rsidR="001F7233" w:rsidRDefault="00000000">
      <w:r>
        <w:rPr>
          <w:b/>
        </w:rPr>
        <w:t xml:space="preserve">Was du tun musst: </w:t>
      </w:r>
      <w:r>
        <w:t>Binnen 30 Tagen nach Einreise oder 18. Geburtstag registrieren</w:t>
      </w:r>
    </w:p>
    <w:p w14:paraId="463FD3B7" w14:textId="77777777" w:rsidR="001F7233" w:rsidRDefault="00000000">
      <w:r>
        <w:rPr>
          <w:b/>
        </w:rPr>
        <w:t xml:space="preserve">Folge bei Verstoß: </w:t>
      </w:r>
      <w:r>
        <w:t>Nachteile bei Einbürgerung, Bundesjobs, staatlicher Studienhilfe</w:t>
      </w:r>
    </w:p>
    <w:p w14:paraId="19A9FD22" w14:textId="77777777" w:rsidR="001F7233" w:rsidRDefault="001F7233">
      <w:pPr>
        <w:spacing w:line="180" w:lineRule="exact"/>
      </w:pPr>
    </w:p>
    <w:p w14:paraId="2960B92D" w14:textId="77777777" w:rsidR="001F7233" w:rsidRDefault="00000000">
      <w:pPr>
        <w:spacing w:after="140"/>
      </w:pPr>
      <w:r>
        <w:t xml:space="preserve">Registrierung und Nachweis. Seit 11. April 2025 müssen Ausländer ab 14 Jahren, die länger als 30 Tage im Land sind und noch nicht registriert wurden, sich online melden. Die Pflicht besteht seit 1940; die Bundesregierung hat ihre Durchsetzung 2025 zur Priorität erklärt. Für dich heißt das: Dein I-94 ist dein Nachweis. Lade es unter </w:t>
      </w:r>
      <w:hyperlink r:id="rId533">
        <w:r w:rsidR="001F7233">
          <w:rPr>
            <w:color w:val="0563C1"/>
            <w:u w:val="single"/>
          </w:rPr>
          <w:t>i94.cbp.dhs.gov</w:t>
        </w:r>
      </w:hyperlink>
      <w:r>
        <w:t xml:space="preserve"> herunter, speichere es auf dem Handy und lege einen Ausdruck in die Brieftasche. Kinder, die 14 werden, müssen laut USCIS binnen 30 Tagen nach dem Geburtstag erneut erfasst werden; frage deine Anwältin, wie das bei deiner Familie läuft.</w:t>
      </w:r>
    </w:p>
    <w:p w14:paraId="7EACB32F" w14:textId="77777777" w:rsidR="001F7233" w:rsidRDefault="00000000">
      <w:pPr>
        <w:spacing w:after="140"/>
      </w:pPr>
      <w:r>
        <w:rPr>
          <w:b/>
          <w:bCs/>
        </w:rPr>
        <w:t>Wählen verboten.</w:t>
      </w:r>
      <w:r>
        <w:t xml:space="preserve"> Bei Bundeswahlen ist die Stimmabgabe für Nichtstaatsbürger strafbar; auch die Registrierung im Wählerverzeichnis kann Abschiebung nach sich ziehen. Beim Führerscheinantrag im </w:t>
      </w:r>
      <w:r>
        <w:rPr>
          <w:i/>
          <w:iCs/>
        </w:rPr>
        <w:t>DMV</w:t>
      </w:r>
      <w:r>
        <w:t xml:space="preserve"> wirst du gefragt, ob du dich als Wähler registrieren willst: Kreuze „Nein“ an und lies das Formular genau. Kreuze in keinem Formular (Form I-9, Bewerbung, Wählerverzeichnis) „Staatsbürger“ an; die falsche Behauptung der Staatsbürgerschaft macht dauerhaft unzulässig. Spenden an Kandidaten sind Inhabern befristeter Visa untersagt (Kapitel </w:t>
      </w:r>
      <w:hyperlink w:anchor="k31">
        <w:r w:rsidR="001F7233">
          <w:t>31</w:t>
        </w:r>
      </w:hyperlink>
      <w:r>
        <w:t xml:space="preserve">). </w:t>
      </w:r>
      <w:r>
        <w:lastRenderedPageBreak/>
        <w:t>Auch zum Geschworenendienst (</w:t>
      </w:r>
      <w:r>
        <w:rPr>
          <w:i/>
          <w:iCs/>
        </w:rPr>
        <w:t>Jury Duty</w:t>
      </w:r>
      <w:r>
        <w:t>) werden nur Staatsbürger berufen. Kommt eine Ladung, ignoriere sie nicht: Antworte wahrheitsgemäß, dass du kein Staatsbürger bist.</w:t>
      </w:r>
    </w:p>
    <w:p w14:paraId="426308FC" w14:textId="77777777" w:rsidR="001F7233" w:rsidRDefault="00000000">
      <w:r>
        <w:rPr>
          <w:b/>
        </w:rPr>
        <w:t xml:space="preserve">ACHTUNG: </w:t>
      </w:r>
    </w:p>
    <w:p w14:paraId="6C5C8F93" w14:textId="77777777" w:rsidR="001F7233" w:rsidRDefault="00000000">
      <w:r>
        <w:t>• Ein Kreuz an der falschen Stelle im Wählerregister-Formular hat schon Nichtstaatsbürger die Green Card gekostet. Wer irrtümlich registriert wurde, sollte sich mit anwaltlicher Hilfe abmelden, bevor er wählt oder eine Ladung ignoriert.</w:t>
      </w:r>
    </w:p>
    <w:p w14:paraId="35FCE70D" w14:textId="77777777" w:rsidR="001F7233" w:rsidRDefault="001F7233">
      <w:pPr>
        <w:spacing w:line="220" w:lineRule="exact"/>
      </w:pPr>
    </w:p>
    <w:p w14:paraId="42389FE2" w14:textId="77777777" w:rsidR="001F7233" w:rsidRDefault="00000000">
      <w:pPr>
        <w:spacing w:after="140"/>
      </w:pPr>
      <w:r>
        <w:t xml:space="preserve">Selective Service. Fast alle Männer im Alter von 18 bis 25 müssen sich in einer Datei für den Kriegsfall registrieren, auch Green-Card-Inhaber. Eine Einberufung gibt es seit 1973 nicht. Inhaber befristeter Visa (H-1B, L-1, F-1, J-1 und Angehörige) sind ausgenommen. Ab 18. Dezember 2026 registriert die Behörde Männer laut Gesetz automatisch aus Behördendaten; Details für Nichteinwanderer prüfst du auf </w:t>
      </w:r>
      <w:hyperlink r:id="rId534">
        <w:r w:rsidR="001F7233">
          <w:rPr>
            <w:color w:val="0563C1"/>
            <w:u w:val="single"/>
          </w:rPr>
          <w:t>sss.gov</w:t>
        </w:r>
      </w:hyperlink>
      <w:r>
        <w:t>.</w:t>
      </w:r>
    </w:p>
    <w:p w14:paraId="115A89DB" w14:textId="77777777" w:rsidR="001F7233" w:rsidRDefault="00000000">
      <w:pPr>
        <w:spacing w:after="140"/>
      </w:pPr>
      <w:r>
        <w:rPr>
          <w:b/>
          <w:bCs/>
        </w:rPr>
        <w:t>Sozialleistungen (</w:t>
      </w:r>
      <w:r>
        <w:rPr>
          <w:b/>
          <w:bCs/>
          <w:i/>
          <w:iCs/>
        </w:rPr>
        <w:t>Public Charge</w:t>
      </w:r>
      <w:r>
        <w:rPr>
          <w:b/>
          <w:bCs/>
        </w:rPr>
        <w:t>).</w:t>
      </w:r>
      <w:r>
        <w:t xml:space="preserve"> Für Green-Card-Anträge, die seit 18. September 2026 gestellt werden, bewerten Beamte alle Umstände im Einzelfall. Leistungen wie Medicaid, SNAP (Lebensmittelhilfe) oder Wohngeld, die du danach beziehst, können berücksichtigt werden. Für Beschäftigte mit sicherem Einkommen dürfte das Risiko gering sein; sprich vor einem Antrag mit einer Anwältin, wenn ein Green-Card-Verfahren läuft (Kapitel </w:t>
      </w:r>
      <w:hyperlink w:anchor="k6">
        <w:r w:rsidR="001F7233">
          <w:t>6</w:t>
        </w:r>
      </w:hyperlink>
      <w:r>
        <w:t xml:space="preserve">, </w:t>
      </w:r>
      <w:hyperlink w:anchor="k26">
        <w:r w:rsidR="001F7233">
          <w:t>26</w:t>
        </w:r>
      </w:hyperlink>
      <w:r>
        <w:t>).</w:t>
      </w:r>
    </w:p>
    <w:p w14:paraId="596747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gegenüber Behörden</w:t>
      </w:r>
    </w:p>
    <w:p w14:paraId="6A2E5156" w14:textId="77777777" w:rsidR="001F7233" w:rsidRDefault="00000000">
      <w:pPr>
        <w:spacing w:after="140"/>
      </w:pPr>
      <w:r>
        <w:rPr>
          <w:i/>
          <w:iCs/>
        </w:rPr>
        <w:t>Zwei Grundsätze: Schweigen ist erlaubt, Lügen nie. Falsche Angaben in Visa-, Green-Card- oder Steuerformularen können als Täuschung (Misrepresentation) dauerhaft unzulässig machen. Wer einen Bundesbeamten belügt, begeht eine Straftat (18 U.S.C. § 1001). Das gilt auch für falsche Papiere.</w:t>
      </w:r>
    </w:p>
    <w:p w14:paraId="0DF342A9" w14:textId="77777777" w:rsidR="001F7233" w:rsidRDefault="00000000">
      <w:pPr>
        <w:pStyle w:val="ListParagraph"/>
        <w:numPr>
          <w:ilvl w:val="0"/>
          <w:numId w:val="1"/>
        </w:numPr>
        <w:spacing w:after="60"/>
      </w:pPr>
      <w:r>
        <w:lastRenderedPageBreak/>
        <w:t>Bei Fragen nach deinem Status zeigst du deine Dokumente vor (Mitführpflicht). Weitere Fragen beantwortest du nicht, sondern verlangst deinen Anwalt.</w:t>
      </w:r>
    </w:p>
    <w:p w14:paraId="48510EE2" w14:textId="77777777" w:rsidR="001F7233" w:rsidRDefault="00000000">
      <w:pPr>
        <w:pStyle w:val="ListParagraph"/>
        <w:numPr>
          <w:ilvl w:val="0"/>
          <w:numId w:val="1"/>
        </w:numPr>
        <w:spacing w:after="60"/>
      </w:pPr>
      <w:r>
        <w:t>Unterschreibe nichts, was du nicht verstehst, etwa die Aufgabe der Green Card (</w:t>
      </w:r>
      <w:r>
        <w:rPr>
          <w:i/>
          <w:iCs/>
        </w:rPr>
        <w:t>Form I-407</w:t>
      </w:r>
      <w:r>
        <w:t>) unter Druck (Kapitel </w:t>
      </w:r>
      <w:hyperlink w:anchor="k42">
        <w:r w:rsidR="001F7233">
          <w:t>42</w:t>
        </w:r>
      </w:hyperlink>
      <w:r>
        <w:t>).</w:t>
      </w:r>
    </w:p>
    <w:p w14:paraId="68B4C47F" w14:textId="77777777" w:rsidR="001F7233" w:rsidRDefault="00000000">
      <w:pPr>
        <w:pStyle w:val="ListParagraph"/>
        <w:numPr>
          <w:ilvl w:val="0"/>
          <w:numId w:val="1"/>
        </w:numPr>
        <w:spacing w:after="60"/>
      </w:pPr>
      <w:r>
        <w:rPr>
          <w:i/>
          <w:iCs/>
        </w:rPr>
        <w:t>Beamte dürfen deine Wohnung meist nur mit deiner Zustimmung oder mit einem richterlichen Beschluss (Judicial Warrant) betreten. Ob ein behördeneigener Haftbefehl (Administrative Warrant), wie ihn auch die Einwanderungsbehörde ausstellt, dafür genügt, ist rechtlich umstritten. Öffne im Zweifel nicht, sondern frage durch die Tür nach dem Beschluss und rufe deinen Anwalt an.</w:t>
      </w:r>
    </w:p>
    <w:p w14:paraId="79E33884" w14:textId="77777777" w:rsidR="001F7233" w:rsidRDefault="00000000">
      <w:pPr>
        <w:pStyle w:val="ListParagraph"/>
        <w:numPr>
          <w:ilvl w:val="0"/>
          <w:numId w:val="1"/>
        </w:numPr>
        <w:spacing w:after="60"/>
      </w:pPr>
      <w:r>
        <w:t>Trage die Nummer deines Einwanderungsanwalts bei dir und lege für Behördenbriefe (Nachforderungen, Steuerbescheide, Ladungen) eine Fristenliste an. Nicht zu antworten kann ein Verfahren beenden.</w:t>
      </w:r>
    </w:p>
    <w:p w14:paraId="1CFC0DE0" w14:textId="77777777" w:rsidR="001F7233" w:rsidRDefault="001F7233">
      <w:pPr>
        <w:spacing w:line="120" w:lineRule="exact"/>
      </w:pPr>
    </w:p>
    <w:p w14:paraId="0CAD0F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664546D4" w14:textId="77777777" w:rsidR="001F7233" w:rsidRDefault="00000000">
      <w:pPr>
        <w:spacing w:after="140"/>
      </w:pPr>
      <w:r>
        <w:rPr>
          <w:i/>
          <w:iCs/>
        </w:rPr>
        <w:t>Deutschland unterhält die Botschaft in Washington und acht Generalkonsulate (Atlanta, Boston, Chicago, Houston, Los Angeles, Miami, New York, San Francisco). Die Zuständigkeit richtet sich nach dem Bundesstaat. Sie helfen bei Erkrankung, Verhaftung, Verbrechen und Passverlust, etwa mit einem Reiseausweis als Passersatz und stellen auf Wunsch Kontakt zu Angehörigen her. Bei einer Festnahme hast du das Recht, umgehend mit einem Konsularbeamten zu sprechen, ausdrücklich verlangen solltest du es selbst. Nicht zuständig sind sie für Anwaltskosten, Kaution oder Eingriffe in Verfahren, und auch nicht für US-Visa und Einwanderung. Der Notdienst der Botschaft ist außer der Dienstzeiten unter +1 202 298 4000 erreichbar. Trage dich außerdem in die Krisenvorsorgeliste Elefand ein. Damit das Auswärtige Amt dich bei Krisen erreicht.</w:t>
      </w:r>
    </w:p>
    <w:p w14:paraId="0ABB14CD" w14:textId="77777777" w:rsidR="001F7233" w:rsidRDefault="00000000">
      <w:r>
        <w:lastRenderedPageBreak/>
        <w:t>Die Todesstrafe ist ein wichtiger Rechtsunterschied zu Deutschland. Sie kann nach Bundesrecht und in einigen Bundesstaaten weiterhin beantragt werden; andere Staaten haben sie abgeschafft oder verhängen sie nicht. Zuständigkeit und Praxis hängen von Tatort und Anklage ab. Bei einem Strafverfahren sofort eine im betreffenden Staat zugelassene Strafverteidigung einschalten. Bundesregeln: https://www.justice.gov/jm/jm-9-10000-capital-crimes.</w:t>
      </w:r>
    </w:p>
    <w:p w14:paraId="4619B186" w14:textId="77777777" w:rsidR="001F7233" w:rsidRDefault="00000000">
      <w:pPr>
        <w:pStyle w:val="Heading3"/>
      </w:pPr>
      <w:r>
        <w:t>Todesstrafe: wichtiger Rechtsunterschied</w:t>
      </w:r>
    </w:p>
    <w:p w14:paraId="62BC2C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Recht und Sicherheit im Alltag</w:t>
      </w:r>
    </w:p>
    <w:p w14:paraId="67F9C95E" w14:textId="77777777" w:rsidR="001F7233" w:rsidRDefault="00000000">
      <w:r>
        <w:rPr>
          <w:b/>
        </w:rPr>
        <w:t>Plus: Grundrechte (Schweigen, Anwalt, Durchsuchungsschutz) gelten für alle im Land</w:t>
      </w:r>
    </w:p>
    <w:p w14:paraId="74AF179A" w14:textId="77777777" w:rsidR="001F7233" w:rsidRDefault="00000000">
      <w:r>
        <w:rPr>
          <w:b/>
        </w:rPr>
        <w:t xml:space="preserve">Minus: </w:t>
      </w:r>
      <w:r>
        <w:t>Strafen treffen Nichtstaatsbürger härter, weil der Aufenthalt mitentschieden wird</w:t>
      </w:r>
    </w:p>
    <w:p w14:paraId="7C2963D5" w14:textId="77777777" w:rsidR="001F7233" w:rsidRDefault="00000000">
      <w:r>
        <w:rPr>
          <w:b/>
        </w:rPr>
        <w:t>Plus: Kostenloser Pflichtverteidiger im Strafverfahren</w:t>
      </w:r>
    </w:p>
    <w:p w14:paraId="5AE7CA01" w14:textId="77777777" w:rsidR="001F7233" w:rsidRDefault="00000000">
      <w:r>
        <w:rPr>
          <w:b/>
        </w:rPr>
        <w:t xml:space="preserve">Minus: </w:t>
      </w:r>
      <w:r>
        <w:t>Zivilprozesse sind teuer: jede Seite zahlt ihre Anwälte selbst</w:t>
      </w:r>
    </w:p>
    <w:p w14:paraId="093D6A4C" w14:textId="77777777" w:rsidR="001F7233" w:rsidRDefault="00000000">
      <w:r>
        <w:rPr>
          <w:b/>
        </w:rPr>
        <w:t>Plus: Small Claims: günstiger Weg zum Recht, meist ohne Anwalt</w:t>
      </w:r>
    </w:p>
    <w:p w14:paraId="1423A899" w14:textId="77777777" w:rsidR="001F7233" w:rsidRDefault="00000000">
      <w:r>
        <w:rPr>
          <w:b/>
        </w:rPr>
        <w:t xml:space="preserve">Minus: </w:t>
      </w:r>
      <w:r>
        <w:t>Bund plus 50 Staaten: Waffen, Cannabis und Streitwertgrenzen unterscheiden sich</w:t>
      </w:r>
    </w:p>
    <w:p w14:paraId="3707B7E5" w14:textId="77777777" w:rsidR="001F7233" w:rsidRDefault="00000000">
      <w:r>
        <w:rPr>
          <w:b/>
        </w:rPr>
        <w:t>Plus: Einheitlicher Notruf 911, Warnungen aufs Handy</w:t>
      </w:r>
    </w:p>
    <w:p w14:paraId="3E269C84" w14:textId="77777777" w:rsidR="001F7233" w:rsidRDefault="00000000">
      <w:r>
        <w:rPr>
          <w:b/>
        </w:rPr>
        <w:t xml:space="preserve">Minus: </w:t>
      </w:r>
      <w:r>
        <w:t>Krankenwagen und Katastrophenschäden können teuer werden, Hochwasser und Erdbeben sind extra zu versichern</w:t>
      </w:r>
    </w:p>
    <w:p w14:paraId="6A4F4300" w14:textId="77777777" w:rsidR="001F7233" w:rsidRDefault="00000000">
      <w:r>
        <w:rPr>
          <w:b/>
        </w:rPr>
        <w:t>Plus: Kreditkarten und Kredit-Freeze schützen gut vor Missbrauch</w:t>
      </w:r>
    </w:p>
    <w:p w14:paraId="7DCA490A" w14:textId="77777777" w:rsidR="001F7233" w:rsidRDefault="00000000">
      <w:r>
        <w:rPr>
          <w:b/>
        </w:rPr>
        <w:t xml:space="preserve">Minus: </w:t>
      </w:r>
      <w:r>
        <w:t>Betrug ist häufig, Überweisungen lassen sich kaum zurückholen</w:t>
      </w:r>
    </w:p>
    <w:p w14:paraId="5460F001" w14:textId="77777777" w:rsidR="001F7233" w:rsidRDefault="00000000">
      <w:r>
        <w:rPr>
          <w:b/>
        </w:rPr>
        <w:t>Plus: Deutsche Vertretungen helfen bei Festnahme und Notlage</w:t>
      </w:r>
    </w:p>
    <w:p w14:paraId="25E43B72" w14:textId="77777777" w:rsidR="001F7233" w:rsidRDefault="00000000">
      <w:r>
        <w:rPr>
          <w:b/>
        </w:rPr>
        <w:t xml:space="preserve">Minus: </w:t>
      </w:r>
      <w:r>
        <w:t>Melde- und Mitführpflichten lassen wenig Spielraum</w:t>
      </w:r>
    </w:p>
    <w:p w14:paraId="3FC9392A" w14:textId="77777777" w:rsidR="001F7233" w:rsidRDefault="001F7233">
      <w:pPr>
        <w:spacing w:line="180" w:lineRule="exact"/>
      </w:pPr>
    </w:p>
    <w:p w14:paraId="25A2D5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72DDCB07" w14:textId="77777777" w:rsidR="001F7233" w:rsidRDefault="00000000">
      <w:pPr>
        <w:spacing w:after="140"/>
      </w:pPr>
      <w:r>
        <w:t>Erledige zuerst die Pflichten, die nichts kosten: I-94 sichern, Anwaltsnummer speichern, Freeze einrichten, Versicherung auf Hochwasser prüfen. Sprich mit Familie und Kindern die Regeln bei Polizeikontakt durch. Wenn du Strafanzeige, Vorladung oder Behördenpost bekommst, hole rechtzeitig Rat.</w:t>
      </w:r>
    </w:p>
    <w:p w14:paraId="41C2C680" w14:textId="77777777" w:rsidR="001F7233" w:rsidRDefault="00000000">
      <w:r>
        <w:t xml:space="preserve">• I-94 unter </w:t>
      </w:r>
      <w:hyperlink r:id="rId535">
        <w:r w:rsidR="001F7233">
          <w:rPr>
            <w:color w:val="0563C1"/>
            <w:u w:val="single"/>
          </w:rPr>
          <w:t>i94.cbp.dhs.gov</w:t>
        </w:r>
      </w:hyperlink>
      <w:r>
        <w:t xml:space="preserve"> herunterladen, auf dem Handy speichern und ausdrucken; Green Card im Original bei dir tragen</w:t>
      </w:r>
    </w:p>
    <w:p w14:paraId="6845F92F" w14:textId="77777777" w:rsidR="001F7233" w:rsidRDefault="00000000">
      <w:r>
        <w:t>• Nach jedem Umzug binnen 10 Tagen AR-11 einreichen und die Bestätigung speichern</w:t>
      </w:r>
    </w:p>
    <w:p w14:paraId="5F75745D" w14:textId="77777777" w:rsidR="001F7233" w:rsidRDefault="00000000">
      <w:r>
        <w:t>• Nummer eines Einwanderungsanwalts im Handy und in der Brieftasche haben</w:t>
      </w:r>
    </w:p>
    <w:p w14:paraId="37FDEA07" w14:textId="77777777" w:rsidR="001F7233" w:rsidRDefault="00000000">
      <w:r>
        <w:t>• Beim Führerscheinantrag nicht als Wähler registrieren lassen und nie „Staatsbürger“ ankreuzen</w:t>
      </w:r>
    </w:p>
    <w:p w14:paraId="2307EB02" w14:textId="77777777" w:rsidR="001F7233" w:rsidRDefault="00000000">
      <w:r>
        <w:t>• Cannabis und Waffen meiden; als Visum-Inhaber keine Waffe leihen, halten oder aufbewahren</w:t>
      </w:r>
    </w:p>
    <w:p w14:paraId="01CF64C0" w14:textId="77777777" w:rsidR="001F7233" w:rsidRDefault="00000000">
      <w:r>
        <w:t>• Verhalten bei der Verkehrskontrolle und den Anwaltssatz mit Familie üben</w:t>
      </w:r>
    </w:p>
    <w:p w14:paraId="0C58D5FF" w14:textId="77777777" w:rsidR="001F7233" w:rsidRDefault="00000000">
      <w:r>
        <w:t>• Kredit-Freeze bei Equifax, Experian und TransUnion einrichten</w:t>
      </w:r>
    </w:p>
    <w:p w14:paraId="47164C9D" w14:textId="77777777" w:rsidR="001F7233" w:rsidRDefault="00000000">
      <w:r>
        <w:t>• Mit den Eltern in Deutschland ein Codewort gegen Schockanrufe vereinbaren</w:t>
      </w:r>
    </w:p>
    <w:p w14:paraId="3D85FD9D" w14:textId="77777777" w:rsidR="001F7233" w:rsidRDefault="00000000">
      <w:r>
        <w:t>• Wetterwarnungen (Wireless Emergency Alerts) aktivieren, Notvorrat und Familienplan anlegen</w:t>
      </w:r>
    </w:p>
    <w:p w14:paraId="585F51BE" w14:textId="77777777" w:rsidR="001F7233" w:rsidRDefault="00000000">
      <w:r>
        <w:t>• Flut- und Erdbebenversicherung prüfen; Wartefrist von 30 Tagen beachten</w:t>
      </w:r>
    </w:p>
    <w:p w14:paraId="5BCFBA77" w14:textId="77777777" w:rsidR="001F7233" w:rsidRDefault="00000000">
      <w:r>
        <w:t>• Notdienstnummer der Botschaft (+1 202 298 4000) speichern und dich in die Krisenvorsorgeliste eintragen</w:t>
      </w:r>
    </w:p>
    <w:p w14:paraId="4B315C45" w14:textId="77777777" w:rsidR="001F7233" w:rsidRDefault="00000000">
      <w:r>
        <w:t>• Bei Söhnen mit Green Card ab 18 Selective Service prüfen (</w:t>
      </w:r>
      <w:hyperlink r:id="rId536">
        <w:r w:rsidR="001F7233">
          <w:rPr>
            <w:color w:val="0563C1"/>
            <w:u w:val="single"/>
          </w:rPr>
          <w:t>sss.gov</w:t>
        </w:r>
      </w:hyperlink>
      <w:r>
        <w:t>)</w:t>
      </w:r>
    </w:p>
    <w:p w14:paraId="3FAD9244" w14:textId="77777777" w:rsidR="001F7233" w:rsidRDefault="001F7233">
      <w:pPr>
        <w:spacing w:line="220" w:lineRule="exact"/>
      </w:pPr>
    </w:p>
    <w:p w14:paraId="00D114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0054A8E" w14:textId="77777777" w:rsidR="001F7233" w:rsidRDefault="00000000">
      <w:pPr>
        <w:pStyle w:val="ListParagraph"/>
        <w:numPr>
          <w:ilvl w:val="0"/>
          <w:numId w:val="1"/>
        </w:numPr>
        <w:spacing w:after="60"/>
      </w:pPr>
      <w:r>
        <w:t>USCIS — Registrierungspflicht und Mitführen von Dokumenten (</w:t>
      </w:r>
      <w:hyperlink r:id="rId537">
        <w:r w:rsidR="001F7233">
          <w:rPr>
            <w:color w:val="0563C1"/>
            <w:u w:val="single"/>
          </w:rPr>
          <w:t>uscis.gov/alienregistration</w:t>
        </w:r>
      </w:hyperlink>
      <w:r>
        <w:t>)</w:t>
      </w:r>
    </w:p>
    <w:p w14:paraId="160A0F58" w14:textId="77777777" w:rsidR="001F7233" w:rsidRDefault="00000000">
      <w:pPr>
        <w:pStyle w:val="ListParagraph"/>
        <w:numPr>
          <w:ilvl w:val="0"/>
          <w:numId w:val="1"/>
        </w:numPr>
        <w:spacing w:after="60"/>
      </w:pPr>
      <w:r>
        <w:t>USCIS — Adressänderung Form AR-11 (</w:t>
      </w:r>
      <w:hyperlink r:id="rId538">
        <w:r w:rsidR="001F7233">
          <w:rPr>
            <w:color w:val="0563C1"/>
            <w:u w:val="single"/>
          </w:rPr>
          <w:t>uscis.gov/ar-11</w:t>
        </w:r>
      </w:hyperlink>
      <w:r>
        <w:t>)</w:t>
      </w:r>
    </w:p>
    <w:p w14:paraId="1AFB5540" w14:textId="77777777" w:rsidR="001F7233" w:rsidRDefault="00000000">
      <w:pPr>
        <w:pStyle w:val="ListParagraph"/>
        <w:numPr>
          <w:ilvl w:val="0"/>
          <w:numId w:val="1"/>
        </w:numPr>
        <w:spacing w:after="60"/>
      </w:pPr>
      <w:r>
        <w:t>Selective Service System — Registrierung (</w:t>
      </w:r>
      <w:hyperlink r:id="rId539">
        <w:r w:rsidR="001F7233">
          <w:rPr>
            <w:color w:val="0563C1"/>
            <w:u w:val="single"/>
          </w:rPr>
          <w:t>sss.gov</w:t>
        </w:r>
      </w:hyperlink>
      <w:r>
        <w:t>)</w:t>
      </w:r>
    </w:p>
    <w:p w14:paraId="37022728" w14:textId="77777777" w:rsidR="001F7233" w:rsidRDefault="00000000">
      <w:pPr>
        <w:pStyle w:val="ListParagraph"/>
        <w:numPr>
          <w:ilvl w:val="0"/>
          <w:numId w:val="1"/>
        </w:numPr>
        <w:spacing w:after="60"/>
      </w:pPr>
      <w:r>
        <w:t>Cornell Law School — 18 U.S.C. § 922, Waffen und Nichteinwanderer (</w:t>
      </w:r>
      <w:hyperlink r:id="rId540">
        <w:r w:rsidR="001F7233">
          <w:rPr>
            <w:color w:val="0563C1"/>
            <w:u w:val="single"/>
          </w:rPr>
          <w:t>law.cornell.edu/uscode/text/18/922</w:t>
        </w:r>
      </w:hyperlink>
      <w:r>
        <w:t>)</w:t>
      </w:r>
    </w:p>
    <w:p w14:paraId="68A4F821" w14:textId="77777777" w:rsidR="001F7233" w:rsidRDefault="00000000">
      <w:pPr>
        <w:pStyle w:val="ListParagraph"/>
        <w:numPr>
          <w:ilvl w:val="0"/>
          <w:numId w:val="1"/>
        </w:numPr>
        <w:spacing w:after="60"/>
      </w:pPr>
      <w:r>
        <w:t>Movement Advancement Project — Rechtslage für LGBTQ+ je Bundesstaat (</w:t>
      </w:r>
      <w:hyperlink r:id="rId541">
        <w:r w:rsidR="001F7233">
          <w:rPr>
            <w:color w:val="0563C1"/>
            <w:u w:val="single"/>
          </w:rPr>
          <w:t>mapresearch.org/equality-maps</w:t>
        </w:r>
      </w:hyperlink>
      <w:r>
        <w:t>)</w:t>
      </w:r>
    </w:p>
    <w:p w14:paraId="1BCFF896" w14:textId="77777777" w:rsidR="001F7233" w:rsidRDefault="00000000">
      <w:pPr>
        <w:pStyle w:val="ListParagraph"/>
        <w:numPr>
          <w:ilvl w:val="0"/>
          <w:numId w:val="1"/>
        </w:numPr>
        <w:spacing w:after="60"/>
      </w:pPr>
      <w:r>
        <w:t>DEA — Stand der Cannabis-Umstufung (</w:t>
      </w:r>
      <w:hyperlink r:id="rId542">
        <w:r w:rsidR="001F7233">
          <w:rPr>
            <w:color w:val="0563C1"/>
            <w:u w:val="single"/>
          </w:rPr>
          <w:t>dea.gov/marijuana-rescheduling-regulatory-actions</w:t>
        </w:r>
      </w:hyperlink>
      <w:r>
        <w:t>)</w:t>
      </w:r>
    </w:p>
    <w:p w14:paraId="148049DE" w14:textId="77777777" w:rsidR="001F7233" w:rsidRDefault="00000000">
      <w:pPr>
        <w:pStyle w:val="ListParagraph"/>
        <w:numPr>
          <w:ilvl w:val="0"/>
          <w:numId w:val="1"/>
        </w:numPr>
        <w:spacing w:after="60"/>
      </w:pPr>
      <w:r>
        <w:t>FTC — Betrug melden und Identitätsdiebstahl (</w:t>
      </w:r>
      <w:hyperlink r:id="rId543">
        <w:r w:rsidR="001F7233">
          <w:rPr>
            <w:color w:val="0563C1"/>
            <w:u w:val="single"/>
          </w:rPr>
          <w:t>reportfraud.ftc.gov</w:t>
        </w:r>
      </w:hyperlink>
      <w:r>
        <w:t xml:space="preserve">, </w:t>
      </w:r>
      <w:hyperlink r:id="rId544">
        <w:r w:rsidR="001F7233">
          <w:rPr>
            <w:color w:val="0563C1"/>
            <w:u w:val="single"/>
          </w:rPr>
          <w:t>identitytheft.gov</w:t>
        </w:r>
      </w:hyperlink>
      <w:r>
        <w:t>)</w:t>
      </w:r>
    </w:p>
    <w:p w14:paraId="189E860B" w14:textId="77777777" w:rsidR="001F7233" w:rsidRDefault="00000000">
      <w:pPr>
        <w:pStyle w:val="ListParagraph"/>
        <w:numPr>
          <w:ilvl w:val="0"/>
          <w:numId w:val="1"/>
        </w:numPr>
        <w:spacing w:after="60"/>
      </w:pPr>
      <w:r>
        <w:t>Ready.gov und Wetterdienst — Katastrophenvorsorge und Warnungen (</w:t>
      </w:r>
      <w:hyperlink r:id="rId545">
        <w:r w:rsidR="001F7233">
          <w:rPr>
            <w:color w:val="0563C1"/>
            <w:u w:val="single"/>
          </w:rPr>
          <w:t>ready.gov</w:t>
        </w:r>
      </w:hyperlink>
      <w:r>
        <w:t xml:space="preserve">, </w:t>
      </w:r>
      <w:hyperlink r:id="rId546">
        <w:r w:rsidR="001F7233">
          <w:rPr>
            <w:color w:val="0563C1"/>
            <w:u w:val="single"/>
          </w:rPr>
          <w:t>weather.gov</w:t>
        </w:r>
      </w:hyperlink>
      <w:r>
        <w:t>)</w:t>
      </w:r>
    </w:p>
    <w:p w14:paraId="148916E9" w14:textId="77777777" w:rsidR="001F7233" w:rsidRDefault="00000000">
      <w:pPr>
        <w:pStyle w:val="ListParagraph"/>
        <w:numPr>
          <w:ilvl w:val="0"/>
          <w:numId w:val="1"/>
        </w:numPr>
        <w:spacing w:after="60"/>
      </w:pPr>
      <w:r>
        <w:t>Auswärtiges Amt — Hilfe für Deutsche in Notfällen (</w:t>
      </w:r>
      <w:hyperlink r:id="rId547">
        <w:r w:rsidR="001F7233">
          <w:rPr>
            <w:color w:val="0563C1"/>
            <w:u w:val="single"/>
          </w:rPr>
          <w:t>germany.info/us-de/service/hilfe</w:t>
        </w:r>
      </w:hyperlink>
      <w:r>
        <w:t>)</w:t>
      </w:r>
    </w:p>
    <w:p w14:paraId="6A40A3FC" w14:textId="77777777" w:rsidR="001F7233" w:rsidRDefault="00000000">
      <w:pPr>
        <w:pStyle w:val="ListParagraph"/>
        <w:numPr>
          <w:ilvl w:val="0"/>
          <w:numId w:val="1"/>
        </w:numPr>
        <w:spacing w:after="60"/>
      </w:pPr>
      <w:r>
        <w:t>ACLU — Rechte beim Filmen von Polizeieinsätzen (</w:t>
      </w:r>
      <w:hyperlink r:id="rId548">
        <w:r w:rsidR="001F7233">
          <w:rPr>
            <w:color w:val="0563C1"/>
            <w:u w:val="single"/>
          </w:rPr>
          <w:t>aclu.org/know-your-rights/photographers</w:t>
        </w:r>
      </w:hyperlink>
      <w:r>
        <w:t>)</w:t>
      </w:r>
    </w:p>
    <w:p w14:paraId="4CDFF55B" w14:textId="77777777" w:rsidR="001F7233" w:rsidRDefault="001F7233">
      <w:pPr>
        <w:spacing w:line="120" w:lineRule="exact"/>
      </w:pPr>
    </w:p>
    <w:p w14:paraId="46D472BC" w14:textId="77777777" w:rsidR="001F7233" w:rsidRDefault="00000000">
      <w:r>
        <w:t>• Quellen- und Datenstand: September 2026; Redaktionsschluss: Oktober 2026. Diese Angaben ändern sich schnell: die Registrierungspflicht und ihre Durchsetzung (seit April 2025), die Umstufung von Cannabis (Verfahren läuft), die automatische Selective-Service-Registrierung ab 18. Dezember 2026, die Public-Charge-Regel seit 18. September 2026 sowie Waffen-, Small-Claims- und Datenschutzregeln der Staaten und die Betrugszahlen der FTC. Prüfe vor jeder Entscheidung die offiziellen Seiten und lasse Strafverfahren immer anwaltlich begleiten.</w:t>
      </w:r>
    </w:p>
    <w:p w14:paraId="5F42657F" w14:textId="77777777" w:rsidR="001F7233" w:rsidRDefault="001F7233">
      <w:pPr>
        <w:spacing w:line="220" w:lineRule="exact"/>
      </w:pPr>
    </w:p>
    <w:p w14:paraId="113C92C1" w14:textId="77777777" w:rsidR="001F7233" w:rsidRDefault="00000000">
      <w:pPr>
        <w:pStyle w:val="Heading3"/>
      </w:pPr>
      <w:r>
        <w:t>Waffen und Selbstschutz</w:t>
      </w:r>
    </w:p>
    <w:p w14:paraId="5BD6B2E1" w14:textId="77777777" w:rsidR="001F7233" w:rsidRDefault="00000000">
      <w:r>
        <w:lastRenderedPageBreak/>
        <w:t xml:space="preserve">Für den Alltag brauchst du normalerweise keine Waffe. Besitz, Transport und Führen richten sich nach Bundes-, einzelstaatlichem und örtlichem Recht; außerdem können Visumstatus und Einreisebedingungen entscheidend sein. Für bestimmte Personen mit einem US-Nichteinwanderungsvisum gilt grundsätzlich ein bundesrechtliches Besitzverbot mit eng umrissenen Ausnahmen. Kläre die Rechtslage vor Kauf, Einfuhr oder Mitnahme mit offiziellen Stellen. Tür- und Fensterschlösser, Beleuchtung, Rauch- und CO-Melder sowie ein Notfallplan sind die üblichen ersten Schritte; sie ersetzen keine örtliche Rechtsprüfung. </w:t>
      </w:r>
      <w:hyperlink r:id="rId549">
        <w:r w:rsidR="001F7233">
          <w:rPr>
            <w:color w:val="0563C1"/>
            <w:u w:val="single"/>
          </w:rPr>
          <w:t>ATF: Fragen zu Waffen und Visumstatus</w:t>
        </w:r>
      </w:hyperlink>
      <w:r>
        <w:t xml:space="preserve"> </w:t>
      </w:r>
      <w:hyperlink r:id="rId550">
        <w:r w:rsidR="001F7233">
          <w:rPr>
            <w:color w:val="0563C1"/>
            <w:u w:val="single"/>
          </w:rPr>
          <w:t>USA.gov: Notruf 911</w:t>
        </w:r>
      </w:hyperlink>
    </w:p>
    <w:p w14:paraId="5699477D" w14:textId="77777777" w:rsidR="001F7233" w:rsidRDefault="00000000">
      <w:pPr>
        <w:pStyle w:val="Heading3"/>
      </w:pPr>
      <w:r>
        <w:t>Wildtiere, Haustiere und Alltagssicherheit</w:t>
      </w:r>
    </w:p>
    <w:p w14:paraId="515879E0" w14:textId="77777777" w:rsidR="001F7233" w:rsidRDefault="00000000">
      <w:r>
        <w:t xml:space="preserve">Kojoten leben auch in Städten und Vororten; sie können unbeaufsichtigte kleine Hunde töten, auch in Hinterhöfen. Ein normaler Zaun ist nicht automatisch sicher. Begleite kleine Hunde draußen, hole Haustiere nachts hinein, halte sie an der Leine und sichere Tierfutter, Müll, Kompost und Fallobst. Bären, Schlangen, Alligatoren und andere Tiere sind regional sehr verschieden: prüfe Hinweise der zuständigen Gemeinde, des Bundesstaats oder Parks; nähere dich Wildtieren nicht und füttere sie nicht. </w:t>
      </w:r>
      <w:hyperlink r:id="rId551">
        <w:r w:rsidR="001F7233">
          <w:rPr>
            <w:color w:val="0563C1"/>
            <w:u w:val="single"/>
          </w:rPr>
          <w:t>National Park Service: Haustiere und Kojoten</w:t>
        </w:r>
      </w:hyperlink>
      <w:r>
        <w:t xml:space="preserve"> </w:t>
      </w:r>
      <w:hyperlink r:id="rId552">
        <w:r w:rsidR="001F7233">
          <w:rPr>
            <w:color w:val="0563C1"/>
            <w:u w:val="single"/>
          </w:rPr>
          <w:t>NPS: Kojoten und Haustiere</w:t>
        </w:r>
      </w:hyperlink>
    </w:p>
    <w:p w14:paraId="4A485CB1" w14:textId="77777777" w:rsidR="001F7233" w:rsidRDefault="00000000">
      <w:pPr>
        <w:pStyle w:val="Heading3"/>
      </w:pPr>
      <w:r>
        <w:t>Coast Guard, Seenotrettung und Strandwachen</w:t>
      </w:r>
    </w:p>
    <w:p w14:paraId="5518D5BB" w14:textId="77777777" w:rsidR="001F7233" w:rsidRDefault="00000000">
      <w:r>
        <w:t xml:space="preserve">Auf dem Wasser ist die U.S. Coast Guard für maritime Rettung zuständig; ein Notfall kann über 911 oder UKW/VHF-Kanal 16 gemeldet werden. Strandwachen sind örtlich, saisonal und nicht an jedem Strand vorhanden. Prüfe Flaggen, Strömung, Wetter und Dienstzeiten; schwimme nahe einer besetzten Rettungsstation und beaufsichtige Kinder direkt. </w:t>
      </w:r>
      <w:hyperlink r:id="rId553">
        <w:r w:rsidR="001F7233">
          <w:rPr>
            <w:color w:val="0563C1"/>
            <w:u w:val="single"/>
          </w:rPr>
          <w:t>U.S. Coast Guard: Seenotfall melden</w:t>
        </w:r>
      </w:hyperlink>
      <w:r>
        <w:t xml:space="preserve"> </w:t>
      </w:r>
      <w:hyperlink r:id="rId554">
        <w:r w:rsidR="001F7233">
          <w:rPr>
            <w:color w:val="0563C1"/>
            <w:u w:val="single"/>
          </w:rPr>
          <w:t>NOAA: Strand- und Strömungssicherheit</w:t>
        </w:r>
      </w:hyperlink>
    </w:p>
    <w:p w14:paraId="34CC4232" w14:textId="77777777" w:rsidR="001F7233" w:rsidRDefault="00000000">
      <w:pPr>
        <w:pStyle w:val="Heading3"/>
      </w:pPr>
      <w:r>
        <w:t>Sheriff, U.S. Marshals und ICE: Zuständigkeiten unterscheiden</w:t>
      </w:r>
    </w:p>
    <w:p w14:paraId="1B145B26" w14:textId="77777777" w:rsidR="001F7233" w:rsidRDefault="00000000">
      <w:r>
        <w:lastRenderedPageBreak/>
        <w:t xml:space="preserve">Ein Sheriff ist eine Behörde auf County-Ebene; Aufgaben und Befugnisse unterscheiden sich nach Bundesstaat und County. Die U.S. Marshals sind eine Bundesbehörde, die unter anderem Bundesgerichte unterstützt, Gerichtsschutz leistet und gesuchte Personen verfolgt. ICE ist eine Bundesbehörde im Department of Homeland Security: Enforcement and Removal Operations (ERO) bearbeitet die zivile Einwanderungsdurchsetzung, während Homeland Security Investigations (HSI) strafrechtlich ermittelt. Manche örtlichen Stellen kooperieren über ein 287(g)-Abkommen mit ICE; daraus folgt nicht, dass jeder lokale Polizist ICE-Beamter ist. Bei einer Begegnung bleib ruhig, lies Dienstausweis und Behörde ab, frage nach dem Grund und leiste keinen körperlichen Widerstand. Bei einer Wohnungsdurchsuchung sind Art und Unterschrift eines Haftbefehls entscheidend; ein ICE-Verwaltungsdokument ist nicht automatisch dasselbe wie ein richterlicher Durchsuchungsbefehl. Rechte hängen von Ort und Situation ab: kenne deine aktuellen Rechte und bewahre Kontaktdaten einer qualifizierten Einwanderungsanwältin oder eines Anwalts auf. </w:t>
      </w:r>
      <w:hyperlink r:id="rId555">
        <w:r w:rsidR="001F7233">
          <w:rPr>
            <w:color w:val="0563C1"/>
            <w:u w:val="single"/>
          </w:rPr>
          <w:t>U.S. Marshals Service: Auftrag</w:t>
        </w:r>
      </w:hyperlink>
      <w:r>
        <w:t xml:space="preserve"> </w:t>
      </w:r>
      <w:hyperlink r:id="rId556">
        <w:r w:rsidR="001F7233">
          <w:rPr>
            <w:color w:val="0563C1"/>
            <w:u w:val="single"/>
          </w:rPr>
          <w:t>ICE: Auftrag und Zusammenarbeit mit lokalen Stellen</w:t>
        </w:r>
      </w:hyperlink>
      <w:r>
        <w:t xml:space="preserve"> </w:t>
      </w:r>
      <w:hyperlink r:id="rId557">
        <w:r w:rsidR="001F7233">
          <w:rPr>
            <w:color w:val="0563C1"/>
            <w:u w:val="single"/>
          </w:rPr>
          <w:t>ACLU: Rechte von Einwanderern</w:t>
        </w:r>
      </w:hyperlink>
    </w:p>
    <w:p w14:paraId="76F97241" w14:textId="77777777" w:rsidR="001F7233" w:rsidRDefault="00000000">
      <w:r>
        <w:t xml:space="preserve">Die National Guard ist eine Reservekomponente mit staatlicher und bundesweiter Aufgabe. Im Staatsdienst kann der Gouverneur sie etwa bei Naturkatastrophen oder anderen Notlagen aktivieren; der Präsident kann sie für Bundesaufträge einsetzen. Sie ist daher weder eine gewöhnliche örtliche Polizeibehörde noch gleichbedeutend mit ICE. Bei Aktivierungen im öffentlichen Raum beachte Absperrungen und behördliche Anweisungen; Zuständigkeit und Auftrag hängen vom jeweiligen Einsatzstatus ab. </w:t>
      </w:r>
      <w:hyperlink r:id="rId558">
        <w:r w:rsidR="001F7233">
          <w:rPr>
            <w:color w:val="0563C1"/>
            <w:u w:val="single"/>
          </w:rPr>
          <w:t>National Guard: Auftrag und Aktivierung</w:t>
        </w:r>
      </w:hyperlink>
    </w:p>
    <w:p w14:paraId="5AA12352" w14:textId="77777777" w:rsidR="001F7233" w:rsidRDefault="00000000">
      <w:pPr>
        <w:pStyle w:val="Heading3"/>
      </w:pPr>
      <w:r>
        <w:t>Mafia und organisierte Kriminalität: betrifft mich das?</w:t>
      </w:r>
    </w:p>
    <w:p w14:paraId="72D4D66E" w14:textId="77777777" w:rsidR="001F7233" w:rsidRDefault="00000000">
      <w:r>
        <w:t xml:space="preserve">Cosa Nostra bezeichnet eine historisch gewachsene italienisch-amerikanische organisierte Kriminalität, nicht eine allgemeine Gefahr für Zugewanderte oder ein Synonym für jede Gang. Solche </w:t>
      </w:r>
      <w:r>
        <w:lastRenderedPageBreak/>
        <w:t>Gruppen tauchen in Ermittlungen zu bestimmten Straftaten und Regionen auf. Daraus folgt kein Grund, im normalen Alltag mit ihnen rechnen zu müssen. Für Neuankömmlinge sind gewöhnliche Risiken wie Betrug, Diebstahl, Gewalt im persönlichen Umfeld und unsichere Verkehrssituationen praktischer. Meide illegale Geschäfte und einschüchternde Angebote, bewahre Belege bei Betrugsversuchen auf und melde eine konkrete Drohung der Polizei. Beurteile eine Wohngegend anhand aktueller, lokaler Daten und Besichtigungen statt durch Filmklischees oder pauschale Zuschreibungen an Bewohner.</w:t>
      </w:r>
      <w:r>
        <w:br w:type="page"/>
      </w:r>
    </w:p>
    <w:p w14:paraId="6A332B66" w14:textId="77777777" w:rsidR="001F7233" w:rsidRDefault="00000000">
      <w:pPr>
        <w:pStyle w:val="Heading2"/>
        <w:keepNext/>
        <w:spacing w:line="341" w:lineRule="auto"/>
        <w:jc w:val="center"/>
      </w:pPr>
      <w:bookmarkStart w:id="81" w:name="k41"/>
      <w:r>
        <w:rPr>
          <w:rFonts w:ascii="Amazon Ember" w:eastAsia="Amazon Ember" w:hAnsi="Amazon Ember" w:cs="Amazon Ember"/>
          <w:color w:val="0000FF"/>
          <w:sz w:val="36"/>
          <w:szCs w:val="36"/>
        </w:rPr>
        <w:lastRenderedPageBreak/>
        <w:t>Kapitel 41: Von der Green Card zur Staatsbürgerschaft: Der Doppelpass</w:t>
      </w:r>
      <w:bookmarkEnd w:id="81"/>
    </w:p>
    <w:p w14:paraId="4814E88E" w14:textId="77777777" w:rsidR="001F7233" w:rsidRDefault="00000000">
      <w:pPr>
        <w:spacing w:after="140"/>
      </w:pPr>
      <w:r>
        <w:t>Du landest nach acht Wochen in Deutschland wieder in Detroit, schiebst Pass und Green Card über den Tresen und rechnest still mit: Wie viele Tage war ich im letzten Jahr insgesamt weg? Diese Rechnerei begleitet viele Green-Card-Inhaber, die Familie in Deutschland haben. Die Einbürgerung beendet sie und bringt Wahlrecht, gesicherten Aufenthalt und einen zweiten Pass. Der Preis dafür wird oft erst spät sichtbar: Die US-Steuerpflicht gilt dann lebenslang, auch nach einer Rückkehr nach Deutschland.</w:t>
      </w:r>
    </w:p>
    <w:p w14:paraId="652A7D21" w14:textId="77777777" w:rsidR="001F7233" w:rsidRDefault="00000000">
      <w:r>
        <w:rPr>
          <w:b/>
        </w:rPr>
        <w:t xml:space="preserve">KURZ GESAGT: </w:t>
      </w:r>
    </w:p>
    <w:p w14:paraId="2A0F4A42" w14:textId="77777777" w:rsidR="001F7233" w:rsidRDefault="00000000">
      <w:r>
        <w:t>• Einbürgerung frühestens nach fünf Jahren Green Card (drei bei Ehe mit einem US-Bürger). Jahre mit H-1B zählen nicht. Die Gebühr beträgt 760 $ (Papier) oder 710 $ (online), die Bearbeitung dauert derzeit etwa 8–17,5 Monate.</w:t>
      </w:r>
    </w:p>
    <w:p w14:paraId="27A095B4" w14:textId="77777777" w:rsidR="001F7233" w:rsidRDefault="00000000">
      <w:r>
        <w:t>• Neu seit Oktober 2025 und August 2026: ein schwererer Staatskundetest (Civics Test, 128 Fragen) und Nachbarschaftsermittlungen (Neighborhood Investigations).</w:t>
      </w:r>
    </w:p>
    <w:p w14:paraId="569BD80E" w14:textId="77777777" w:rsidR="001F7233" w:rsidRDefault="00000000">
      <w:r>
        <w:t>• Deutschland erlaubt den Doppelpass seit dem 27. Juni 2024: Du behältst die deutsche Staatsangehörigkeit ohne Genehmigung.</w:t>
      </w:r>
    </w:p>
    <w:p w14:paraId="33BC7DBC" w14:textId="77777777" w:rsidR="001F7233" w:rsidRDefault="00000000">
      <w:r>
        <w:t>• Der Preis: lebenslange US-Steuerpflicht, auch in Deutschland. Der Verzicht kostet seit dem 13. April 2026 nur noch 450 $, kann aber die Exit Tax auslösen.</w:t>
      </w:r>
    </w:p>
    <w:p w14:paraId="6130574F" w14:textId="77777777" w:rsidR="001F7233" w:rsidRDefault="00000000">
      <w:r>
        <w:t>• Kinder unter 18 mit Green Card werden automatisch US-Bürger, in den USA geborene sind es von Geburt. Deutsche sind sie zugleich, wenn ein Elternteil Deutscher ist.</w:t>
      </w:r>
    </w:p>
    <w:p w14:paraId="16924C84" w14:textId="77777777" w:rsidR="001F7233" w:rsidRDefault="00000000">
      <w:r>
        <w:t>• In die USA reist du mit dem US-Pass, nach Deutschland mit dem deutschen.</w:t>
      </w:r>
    </w:p>
    <w:p w14:paraId="058E1D21" w14:textId="77777777" w:rsidR="001F7233" w:rsidRDefault="001F7233">
      <w:pPr>
        <w:spacing w:line="220" w:lineRule="exact"/>
      </w:pPr>
    </w:p>
    <w:p w14:paraId="38001E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Voraussetzungen: Wann du den Antrag stellen darfst</w:t>
      </w:r>
    </w:p>
    <w:p w14:paraId="77AA97EE" w14:textId="77777777" w:rsidR="001F7233" w:rsidRDefault="00000000">
      <w:pPr>
        <w:spacing w:after="140"/>
      </w:pPr>
      <w:r>
        <w:t>Die Einbürgerung (</w:t>
      </w:r>
      <w:r>
        <w:rPr>
          <w:i/>
          <w:iCs/>
        </w:rPr>
        <w:t>Naturalization</w:t>
      </w:r>
      <w:r>
        <w:t>) folgt festen Kriterien: Wer sie erfüllt und im Verfahren nichts verschweigt, hat in der Regel einen Anspruch darauf. Verbreiteter Irrtum: Viele rechnen ihre gesamte Zeit im Land zusammen, vom ersten Tag mit H-1B-Visum an. Tatsächlich läuft die Uhr erst ab dem Tag, an dem du Green-Card-Inhaber (</w:t>
      </w:r>
      <w:r>
        <w:rPr>
          <w:i/>
          <w:iCs/>
        </w:rPr>
        <w:t>Lawful Permanent Resident</w:t>
      </w:r>
      <w:r>
        <w:t xml:space="preserve">, LPR) wirst; das Datum steht auf der Karte als </w:t>
      </w:r>
      <w:r>
        <w:rPr>
          <w:i/>
          <w:iCs/>
        </w:rPr>
        <w:t>Resident Since</w:t>
      </w:r>
      <w:r>
        <w:t>. Jahre in H-1B, L-1 oder F-1 zählen nicht mit. Dauert der Weg zur Green Card drei bis fünf Jahre (Kapitel </w:t>
      </w:r>
      <w:hyperlink w:anchor="k6">
        <w:r w:rsidR="001F7233">
          <w:t>6</w:t>
        </w:r>
      </w:hyperlink>
      <w:r>
        <w:t>), liegt der US-Pass daher frühestens nach etwa acht bis elf Jahren in Reichweite (eigene Schätzung, inklusive Bearbeitungszeit).</w:t>
      </w:r>
    </w:p>
    <w:p w14:paraId="66937028" w14:textId="77777777" w:rsidR="001F7233" w:rsidRDefault="00000000">
      <w:pPr>
        <w:spacing w:after="140"/>
      </w:pPr>
      <w:r>
        <w:t>Die Kriterien im Überblick (Datenstand September 2026; geprüft im Oktober 2026):</w:t>
      </w:r>
    </w:p>
    <w:p w14:paraId="4142A18C" w14:textId="77777777" w:rsidR="001F7233" w:rsidRDefault="00000000">
      <w:pPr>
        <w:pStyle w:val="ListParagraph"/>
        <w:numPr>
          <w:ilvl w:val="0"/>
          <w:numId w:val="1"/>
        </w:numPr>
        <w:spacing w:after="60"/>
      </w:pPr>
      <w:r>
        <w:rPr>
          <w:b/>
          <w:bCs/>
        </w:rPr>
        <w:t>Aufenthalt:</w:t>
      </w:r>
      <w:r>
        <w:t xml:space="preserve"> mindestens 18 Jahre alt und fünf Jahre Green Card. Nur drei Jahre gelten, wenn du seit drei Jahren mit einem US-Bürger verheiratet bist und mit ihm zusammenlebst. Den Antrag (Form N-400) darfst du frühestens 90 Tage vor Ablauf dieser Frist stellen.</w:t>
      </w:r>
    </w:p>
    <w:p w14:paraId="343C4ABB" w14:textId="77777777" w:rsidR="001F7233" w:rsidRDefault="00000000">
      <w:pPr>
        <w:pStyle w:val="ListParagraph"/>
        <w:numPr>
          <w:ilvl w:val="0"/>
          <w:numId w:val="1"/>
        </w:numPr>
        <w:spacing w:after="60"/>
      </w:pPr>
      <w:r>
        <w:rPr>
          <w:b/>
          <w:bCs/>
        </w:rPr>
        <w:t>Anwesenheit: mindestens 30 der 60 Monate physisch in den USA (auf dem Drei-Jahres-Weg 18 von 36), dazu drei Monate in dem Bundesstaat oder Bezirk der Einwanderungsbehörde USCIS, in dem du den Antrag stellst.</w:t>
      </w:r>
    </w:p>
    <w:p w14:paraId="080BBDBB" w14:textId="77777777" w:rsidR="001F7233" w:rsidRDefault="00000000">
      <w:pPr>
        <w:pStyle w:val="ListParagraph"/>
        <w:numPr>
          <w:ilvl w:val="0"/>
          <w:numId w:val="1"/>
        </w:numPr>
        <w:spacing w:after="60"/>
      </w:pPr>
      <w:r>
        <w:rPr>
          <w:b/>
          <w:bCs/>
        </w:rPr>
        <w:t>Ununterbrochener Aufenthalt: Eine Abwesenheit von mehr als sechs und weniger als zwölf Monaten lässt vermuten, dass du den Aufenthalt unterbrochen hast. Mit Belegen (Wohnung, Arbeit, Steuererklärungen in den USA) kannst du das widerlegen. Ab einem Jahr gilt er als unterbrochen, die Uhr beginnt neu. In Sonderfällen kann Form N-470 (420 $) den Aufenthalt schützen; das ist ein Fall für den Einwanderungsanwalt.</w:t>
      </w:r>
    </w:p>
    <w:p w14:paraId="457A6196" w14:textId="77777777" w:rsidR="001F7233" w:rsidRDefault="00000000">
      <w:pPr>
        <w:pStyle w:val="ListParagraph"/>
        <w:numPr>
          <w:ilvl w:val="0"/>
          <w:numId w:val="1"/>
        </w:numPr>
        <w:spacing w:after="60"/>
      </w:pPr>
      <w:r>
        <w:rPr>
          <w:b/>
          <w:bCs/>
        </w:rPr>
        <w:lastRenderedPageBreak/>
        <w:t>Englisch und Staatskunde: Im Interview sprichst du Englisch, liest und schreibst kurze Sätze und beantwortest mündlich Fragen zum Staatskundetest. Für Anträge seit dem 20. Oktober 2025 gilt der neue Test: 128 Fragen im Pool, 20 werden gestellt, 12 müssen stimmen (vorher 100, 10 und 6). Kanzleien berichten von mehr Durchfallern, belegte Quoten fehlen. Wer durchfällt, bekommt meist einen Wiederholungstermin.</w:t>
      </w:r>
    </w:p>
    <w:p w14:paraId="02FE893E" w14:textId="77777777" w:rsidR="001F7233" w:rsidRDefault="00000000">
      <w:pPr>
        <w:pStyle w:val="ListParagraph"/>
        <w:numPr>
          <w:ilvl w:val="0"/>
          <w:numId w:val="1"/>
        </w:numPr>
        <w:spacing w:after="60"/>
      </w:pPr>
      <w:r>
        <w:rPr>
          <w:b/>
          <w:bCs/>
        </w:rPr>
        <w:t>Charakterliche Eignung (</w:t>
      </w:r>
      <w:r>
        <w:rPr>
          <w:b/>
          <w:bCs/>
          <w:i/>
          <w:iCs/>
        </w:rPr>
        <w:t>Good Moral Character</w:t>
      </w:r>
      <w:r>
        <w:rPr>
          <w:b/>
          <w:bCs/>
        </w:rPr>
        <w:t>):</w:t>
      </w:r>
      <w:r>
        <w:t xml:space="preserve"> Seit einem USCIS-Memo vom 15. August 2025 gilt eine Gesamtschau statt einer Checkliste. Zugunsten zählen Beiträge zu Gemeinde, Familie, Bildung und Steuertreue; Bedenken wecken etwa Verkehrsdelikte und Belästigung. Jede Festnahme und jede Anzeige gehört in den Antrag. Strafrechtliche Folgen für den Status: Kapitel </w:t>
      </w:r>
      <w:hyperlink w:anchor="k40">
        <w:r w:rsidR="001F7233">
          <w:t>40</w:t>
        </w:r>
      </w:hyperlink>
      <w:r>
        <w:t>.</w:t>
      </w:r>
    </w:p>
    <w:p w14:paraId="79E3C984" w14:textId="77777777" w:rsidR="001F7233" w:rsidRDefault="00000000">
      <w:pPr>
        <w:pStyle w:val="ListParagraph"/>
        <w:numPr>
          <w:ilvl w:val="0"/>
          <w:numId w:val="1"/>
        </w:numPr>
        <w:spacing w:after="60"/>
      </w:pPr>
      <w:r>
        <w:rPr>
          <w:b/>
          <w:bCs/>
        </w:rPr>
        <w:t>Verfassungstreue und Eid:</w:t>
      </w:r>
      <w:r>
        <w:t xml:space="preserve"> Du bekennst dich zur Verfassung und legst am Ende einen Eid ab.</w:t>
      </w:r>
    </w:p>
    <w:p w14:paraId="32B6BD6D" w14:textId="77777777" w:rsidR="001F7233" w:rsidRDefault="001F7233">
      <w:pPr>
        <w:spacing w:line="120" w:lineRule="exact"/>
      </w:pPr>
    </w:p>
    <w:p w14:paraId="278DBB5E" w14:textId="77777777" w:rsidR="001F7233" w:rsidRDefault="00000000">
      <w:pPr>
        <w:spacing w:after="140"/>
      </w:pPr>
      <w:r>
        <w:rPr>
          <w:b/>
          <w:bCs/>
        </w:rPr>
        <w:t>Neu seit dem 25. August 2026: Mit dem Policy Alert PA-2026-10 hat USCIS die seit 1991 übliche Praxis beendet, generell auf solche Ermittlungen zu verzichten und führt wieder persönliche Ermittlungen im Umfeld der Antragsteller durch (Neighborhood Investigations, § 335(a) des Einwanderungsgesetzes INA). Sie gelten auch für laufende Anträge und finden laut Kanzleien meist vor dem Interview statt. Im Einzelfall kann USCIS weiterhin darauf verzichten. Du darfst Leumundsschreiben einreichen, am besten von US-Bürgern außer deiner Familie. USCIS berücksichtigt sie bei dieser Entscheidung. Praktisch heißt das: Deine Angaben zu Adressen und Arbeitgebern müssen lückenlos und überprüfbar sein.</w:t>
      </w:r>
    </w:p>
    <w:p w14:paraId="0359C48B" w14:textId="77777777" w:rsidR="001F7233" w:rsidRDefault="00000000">
      <w:r>
        <w:rPr>
          <w:b/>
        </w:rPr>
        <w:t xml:space="preserve">ACHTUNG: </w:t>
      </w:r>
    </w:p>
    <w:p w14:paraId="25D5AF3C" w14:textId="77777777" w:rsidR="001F7233" w:rsidRDefault="00000000">
      <w:r>
        <w:t xml:space="preserve">• Führe ab dem ersten Tag der Green Card ein Reiseprotokoll mit allen Ein- und Ausreisedaten und bewahre alle Steuerbescheide auf; beides fragt USCIS ab. Wer sich in den USA als Nichteinwanderer </w:t>
      </w:r>
      <w:r>
        <w:lastRenderedPageBreak/>
        <w:t>(Nonresident) besteuern lässt, riskiert außerdem, dass dies als Aufgabe der Green Card gewertet wird (</w:t>
      </w:r>
      <w:hyperlink w:anchor="k28">
        <w:r w:rsidR="001F7233">
          <w:rPr>
            <w:color w:val="0563C1"/>
            <w:u w:val="single"/>
          </w:rPr>
          <w:t>Kapitel 28</w:t>
        </w:r>
      </w:hyperlink>
      <w:r>
        <w:t>).</w:t>
      </w:r>
    </w:p>
    <w:p w14:paraId="11B0671E" w14:textId="77777777" w:rsidR="001F7233" w:rsidRDefault="001F7233">
      <w:pPr>
        <w:spacing w:line="220" w:lineRule="exact"/>
      </w:pPr>
    </w:p>
    <w:p w14:paraId="3770A6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Kosten und Dauer</w:t>
      </w:r>
    </w:p>
    <w:p w14:paraId="77C22CFD" w14:textId="77777777" w:rsidR="001F7233" w:rsidRDefault="00000000">
      <w:pPr>
        <w:spacing w:after="140"/>
      </w:pPr>
      <w:r>
        <w:t>Der Weg vom Entschluss bis zum Pass hat sechs Schritte:</w:t>
      </w:r>
    </w:p>
    <w:p w14:paraId="6F44EF40" w14:textId="77777777" w:rsidR="001F7233" w:rsidRDefault="00000000">
      <w:pPr>
        <w:pStyle w:val="ListParagraph"/>
        <w:numPr>
          <w:ilvl w:val="0"/>
          <w:numId w:val="36"/>
        </w:numPr>
        <w:spacing w:after="60"/>
      </w:pPr>
      <w:r>
        <w:rPr>
          <w:b/>
          <w:bCs/>
        </w:rPr>
        <w:t>Unterlagen sammeln: Green Card, Reiseprotokoll der letzten fünf Jahre, Steuerbescheide, Liste aller Adressen und Arbeitgeber, bei Festnahmen die Gerichtsakten.</w:t>
      </w:r>
    </w:p>
    <w:p w14:paraId="429B6881" w14:textId="77777777" w:rsidR="001F7233" w:rsidRDefault="00000000">
      <w:pPr>
        <w:pStyle w:val="ListParagraph"/>
        <w:numPr>
          <w:ilvl w:val="0"/>
          <w:numId w:val="2"/>
        </w:numPr>
        <w:spacing w:after="60"/>
      </w:pPr>
      <w:r>
        <w:rPr>
          <w:b/>
          <w:bCs/>
        </w:rPr>
        <w:t>Antrag stellen:</w:t>
      </w:r>
      <w:r>
        <w:t xml:space="preserve"> Form N-400 (</w:t>
      </w:r>
      <w:r>
        <w:rPr>
          <w:i/>
          <w:iCs/>
        </w:rPr>
        <w:t>Application for Naturalization</w:t>
      </w:r>
      <w:r>
        <w:t>) online im USCIS-Konto oder auf Papier.</w:t>
      </w:r>
    </w:p>
    <w:p w14:paraId="5F04F940" w14:textId="77777777" w:rsidR="001F7233" w:rsidRDefault="00000000">
      <w:pPr>
        <w:pStyle w:val="ListParagraph"/>
        <w:numPr>
          <w:ilvl w:val="0"/>
          <w:numId w:val="2"/>
        </w:numPr>
        <w:spacing w:after="60"/>
      </w:pPr>
      <w:r>
        <w:rPr>
          <w:b/>
          <w:bCs/>
        </w:rPr>
        <w:t>Biometrie-Termin:</w:t>
      </w:r>
      <w:r>
        <w:t xml:space="preserve"> Fingerabdrücke und Foto.</w:t>
      </w:r>
    </w:p>
    <w:p w14:paraId="5CDAE4AA" w14:textId="77777777" w:rsidR="001F7233" w:rsidRDefault="00000000">
      <w:pPr>
        <w:pStyle w:val="ListParagraph"/>
        <w:numPr>
          <w:ilvl w:val="0"/>
          <w:numId w:val="2"/>
        </w:numPr>
        <w:spacing w:after="60"/>
      </w:pPr>
      <w:r>
        <w:rPr>
          <w:b/>
          <w:bCs/>
        </w:rPr>
        <w:t>Interview</w:t>
      </w:r>
      <w:r>
        <w:t xml:space="preserve"> beim örtlichen USCIS-Büro (</w:t>
      </w:r>
      <w:r>
        <w:rPr>
          <w:i/>
          <w:iCs/>
        </w:rPr>
        <w:t>Field Office</w:t>
      </w:r>
      <w:r>
        <w:t>): Fragen zum Antrag, Englisch- und Staatskundetest.</w:t>
      </w:r>
    </w:p>
    <w:p w14:paraId="5483347C" w14:textId="77777777" w:rsidR="001F7233" w:rsidRDefault="00000000">
      <w:pPr>
        <w:pStyle w:val="ListParagraph"/>
        <w:numPr>
          <w:ilvl w:val="0"/>
          <w:numId w:val="2"/>
        </w:numPr>
        <w:spacing w:after="60"/>
      </w:pPr>
      <w:r>
        <w:rPr>
          <w:b/>
          <w:bCs/>
        </w:rPr>
        <w:t>Entscheidung und Eid: Nach der Genehmigung legst du bei der Vereidigung (Oath Ceremony) den Eid ab. Oft in einem Saal mit hundert anderen Antragstellern aus ebenso vielen Ländern und erhältst die Einbürgerungsurkunde (Certificate of Naturalization). Erst mit dem Eid bist du US-Bürger.</w:t>
      </w:r>
    </w:p>
    <w:p w14:paraId="48815402" w14:textId="77777777" w:rsidR="001F7233" w:rsidRDefault="00000000">
      <w:pPr>
        <w:pStyle w:val="ListParagraph"/>
        <w:numPr>
          <w:ilvl w:val="0"/>
          <w:numId w:val="2"/>
        </w:numPr>
        <w:spacing w:after="60"/>
      </w:pPr>
      <w:r>
        <w:t xml:space="preserve">Danach: US-Pass beantragen (Formular DS-11, Gebühr auf </w:t>
      </w:r>
      <w:hyperlink r:id="rId559">
        <w:r w:rsidR="001F7233">
          <w:rPr>
            <w:color w:val="0563C1"/>
            <w:u w:val="single"/>
          </w:rPr>
          <w:t>travel.state.gov</w:t>
        </w:r>
      </w:hyperlink>
      <w:r>
        <w:t>), die Sozialversicherungsbehörde SSA informieren, dich zum Wählen registrieren.</w:t>
      </w:r>
    </w:p>
    <w:p w14:paraId="2480BE33" w14:textId="77777777" w:rsidR="001F7233" w:rsidRDefault="001F7233">
      <w:pPr>
        <w:spacing w:line="120" w:lineRule="exact"/>
      </w:pPr>
    </w:p>
    <w:p w14:paraId="7A0D6C76" w14:textId="77777777" w:rsidR="001F7233" w:rsidRDefault="00000000">
      <w:pPr>
        <w:spacing w:after="140"/>
      </w:pPr>
      <w:r>
        <w:t xml:space="preserve">Die N-400 kostet 760 $ auf Papier und 710 $ online (USCIS-Gebührenblatt G-1055, Ausgabe vom 9. September 2026); die Zusatzgebühren des Gesetzes H.R. 1 fallen hier nicht an. Bei einem Haushaltseinkommen bis 400 % der </w:t>
      </w:r>
      <w:r>
        <w:rPr>
          <w:i/>
          <w:iCs/>
        </w:rPr>
        <w:t>Federal Poverty Guidelines</w:t>
      </w:r>
      <w:r>
        <w:t xml:space="preserve"> (der US-Armutsgrenzen) gilt eine ermäßigte Gebühr von 380 $ (nur Papier); eine Gebührenbefreiung ist möglich, Militärangehörige zahlen nichts. Ein Anwalt ist nicht vorgeschrieben, bei Festnahmen, langen Auslandsaufenthalten oder Steuerproblemen aber sinnvoll (Kapitel </w:t>
      </w:r>
      <w:hyperlink w:anchor="k11">
        <w:r w:rsidR="001F7233">
          <w:t>11</w:t>
        </w:r>
      </w:hyperlink>
      <w:r>
        <w:t xml:space="preserve">). Die Bearbeitung dauert im September 2026 je nach </w:t>
      </w:r>
      <w:r>
        <w:lastRenderedPageBreak/>
        <w:t>Field Office etwa 8–17,5 Monate (Auswertungen von Aggregatoren); die Zeit deines Büros zeigt egov.uscis.gov/processing-times.</w:t>
      </w:r>
    </w:p>
    <w:p w14:paraId="7006E513" w14:textId="77777777" w:rsidR="001F7233" w:rsidRDefault="00000000">
      <w:r>
        <w:rPr>
          <w:b/>
        </w:rPr>
        <w:t xml:space="preserve">SPARTIPP: </w:t>
      </w:r>
    </w:p>
    <w:p w14:paraId="538EEDA2" w14:textId="77777777" w:rsidR="001F7233" w:rsidRDefault="00000000">
      <w:r>
        <w:t>• Online zahlst du 50 $ weniger als auf Papier. Prüfe vor dem Absenden, ob dir die ermäßigte Gebühr von 380 $ oder eine Gebührenbefreiung zusteht.</w:t>
      </w:r>
    </w:p>
    <w:p w14:paraId="2D3F30B3" w14:textId="77777777" w:rsidR="001F7233" w:rsidRDefault="001F7233">
      <w:pPr>
        <w:spacing w:line="220" w:lineRule="exact"/>
      </w:pPr>
    </w:p>
    <w:p w14:paraId="6C3C1C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Staatsangehörigkeit: Was Deutschland und die USA sagen</w:t>
      </w:r>
    </w:p>
    <w:p w14:paraId="591DE2F7" w14:textId="77777777" w:rsidR="001F7233" w:rsidRDefault="00000000">
      <w:pPr>
        <w:spacing w:after="140"/>
      </w:pPr>
      <w:r>
        <w:t>Die USA verlangen nicht, dass du deine bisherige Staatsangehörigkeit aufgibst. Der Einbürgerungseid enthält zwar eine Formel, mit der du der Treue zu jedem anderen Staat entsagst. Sie klingt endgültiger, als sie gemeint ist. Durchgesetzt wird sie nicht als Verlust der deutschen Staatsangehörigkeit: Das Außenministerium (State Department) erkennt Doppelstaatlichkeit an, ohne sie zu fördern.</w:t>
      </w:r>
    </w:p>
    <w:p w14:paraId="6A990BCC" w14:textId="77777777" w:rsidR="001F7233" w:rsidRDefault="00000000">
      <w:pPr>
        <w:spacing w:after="140"/>
      </w:pPr>
      <w:r>
        <w:t>Deutschland hat die Hürde 2024 beseitigt. Viele denken noch in der alten Rechtslage: Wer sich in den USA einbürgern lässt, verliere automatisch den deutschen Pass. Das galt lange, gilt aber seit 2024 nicht mehr. Das Gesetz zur Modernisierung des Staatsangehörigkeitsrechts vom 22. März 2024 (BGBl. 2024 I Nr. 104) hob § 25 des Staatsangehörigkeitsgesetzes (StAG) auf, der den Verlust bei freiwilligem Erwerb einer fremden Staatsangehörigkeit anordnete. Seit dem 27. Juni 2024 behältst du den deutschen Pass, die frühere Beibehaltungsgenehmigung entfällt. Verlustgründe wie der ausdrückliche Verzicht oder die Rücknahme einer Einbürgerung bleiben bestehen (§ 17 StAG).</w:t>
      </w:r>
    </w:p>
    <w:p w14:paraId="0C668ACC" w14:textId="77777777" w:rsidR="001F7233" w:rsidRDefault="00000000">
      <w:r>
        <w:rPr>
          <w:b/>
        </w:rPr>
        <w:t xml:space="preserve">ACHTUNG: </w:t>
      </w:r>
    </w:p>
    <w:p w14:paraId="54E766FC" w14:textId="77777777" w:rsidR="001F7233" w:rsidRDefault="00000000">
      <w:r>
        <w:t xml:space="preserve">• Die Reform wirkt nicht rückwirkend. Wer sich vor dem 27. Juni 2024 in den USA einbürgern ließ, ohne vorher eine Beibehaltungsgenehmigung zu erhalten, hat die deutsche </w:t>
      </w:r>
      <w:r>
        <w:lastRenderedPageBreak/>
        <w:t>Staatsangehörigkeit damals verloren, und dieser Verlust bleibt wirksam. Ein Wiedererwerb ist über § 13 StAG möglich; kläre ihn mit dem Generalkonsulat oder dem Bundesverwaltungsamt. Das betrifft vor allem Verwandte, die früher ausgewandert sind.</w:t>
      </w:r>
    </w:p>
    <w:p w14:paraId="4C66B833" w14:textId="77777777" w:rsidR="001F7233" w:rsidRDefault="001F7233">
      <w:pPr>
        <w:spacing w:line="220" w:lineRule="exact"/>
      </w:pPr>
    </w:p>
    <w:p w14:paraId="1BB5508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und Staatsbürgerschaft im Vergleich</w:t>
      </w:r>
    </w:p>
    <w:p w14:paraId="15DEEFE9" w14:textId="77777777" w:rsidR="001F7233" w:rsidRDefault="00000000">
      <w:r>
        <w:rPr>
          <w:b/>
        </w:rPr>
        <w:t>Aufenthalt</w:t>
      </w:r>
    </w:p>
    <w:p w14:paraId="24A67F35" w14:textId="77777777" w:rsidR="001F7233" w:rsidRDefault="00000000">
      <w:r>
        <w:rPr>
          <w:b/>
        </w:rPr>
        <w:t xml:space="preserve">Green Card: </w:t>
      </w:r>
      <w:r>
        <w:t>unbefristet, aber verlierbar (Aufgabe, lange Abwesenheit)</w:t>
      </w:r>
    </w:p>
    <w:p w14:paraId="226AEB9F" w14:textId="77777777" w:rsidR="001F7233" w:rsidRDefault="00000000">
      <w:r>
        <w:rPr>
          <w:b/>
        </w:rPr>
        <w:t xml:space="preserve">US-Staatsbürgerschaft: </w:t>
      </w:r>
      <w:r>
        <w:t>gesichert; Verlust praktisch nur durch Verzicht oder Betrug bei der Einbürgerung</w:t>
      </w:r>
    </w:p>
    <w:p w14:paraId="7ADE04A8" w14:textId="77777777" w:rsidR="001F7233" w:rsidRDefault="00000000">
      <w:r>
        <w:rPr>
          <w:b/>
        </w:rPr>
        <w:t>Auslandsaufenthalt</w:t>
      </w:r>
    </w:p>
    <w:p w14:paraId="32658F54" w14:textId="77777777" w:rsidR="001F7233" w:rsidRDefault="00000000">
      <w:r>
        <w:rPr>
          <w:b/>
        </w:rPr>
        <w:t xml:space="preserve">Green Card: </w:t>
      </w:r>
      <w:r>
        <w:t>über 6 Monate: Prüfung bei Einreise; ab 1 Jahr Wiedereinreisegenehmigung (Reentry Permit, 630 $) nötig</w:t>
      </w:r>
    </w:p>
    <w:p w14:paraId="7D384B60" w14:textId="77777777" w:rsidR="001F7233" w:rsidRDefault="00000000">
      <w:r>
        <w:rPr>
          <w:b/>
        </w:rPr>
        <w:t xml:space="preserve">US-Staatsbürgerschaft: </w:t>
      </w:r>
      <w:r>
        <w:t>unbegrenzt möglich</w:t>
      </w:r>
    </w:p>
    <w:p w14:paraId="73B0951D" w14:textId="77777777" w:rsidR="001F7233" w:rsidRDefault="00000000">
      <w:r>
        <w:rPr>
          <w:b/>
        </w:rPr>
        <w:t>Wählen</w:t>
      </w:r>
    </w:p>
    <w:p w14:paraId="58556176" w14:textId="77777777" w:rsidR="001F7233" w:rsidRDefault="00000000">
      <w:r>
        <w:rPr>
          <w:b/>
        </w:rPr>
        <w:t xml:space="preserve">Green Card: </w:t>
      </w:r>
      <w:r>
        <w:t>nein</w:t>
      </w:r>
    </w:p>
    <w:p w14:paraId="5E88C34F" w14:textId="77777777" w:rsidR="001F7233" w:rsidRDefault="00000000">
      <w:r>
        <w:rPr>
          <w:b/>
        </w:rPr>
        <w:t xml:space="preserve">US-Staatsbürgerschaft: </w:t>
      </w:r>
      <w:r>
        <w:t>ja, in Bund, Bundesstaat und Kommune</w:t>
      </w:r>
    </w:p>
    <w:p w14:paraId="3FB98691" w14:textId="77777777" w:rsidR="001F7233" w:rsidRDefault="00000000">
      <w:r>
        <w:rPr>
          <w:b/>
        </w:rPr>
        <w:t>Berufe</w:t>
      </w:r>
    </w:p>
    <w:p w14:paraId="4B6C2C7C" w14:textId="77777777" w:rsidR="001F7233" w:rsidRDefault="00000000">
      <w:r>
        <w:rPr>
          <w:b/>
        </w:rPr>
        <w:t xml:space="preserve">Green Card: </w:t>
      </w:r>
      <w:r>
        <w:t>fast alle</w:t>
      </w:r>
    </w:p>
    <w:p w14:paraId="0FF379A6" w14:textId="77777777" w:rsidR="001F7233" w:rsidRDefault="00000000">
      <w:r>
        <w:rPr>
          <w:b/>
        </w:rPr>
        <w:t xml:space="preserve">US-Staatsbürgerschaft: </w:t>
      </w:r>
      <w:r>
        <w:t>alle; auch Stellen mit Staatsbürgerschaftserfordernis (viele Bundesjobs)</w:t>
      </w:r>
    </w:p>
    <w:p w14:paraId="0A8E9EAA" w14:textId="77777777" w:rsidR="001F7233" w:rsidRDefault="00000000">
      <w:r>
        <w:rPr>
          <w:b/>
        </w:rPr>
        <w:t>Steuern</w:t>
      </w:r>
    </w:p>
    <w:p w14:paraId="1C698C91" w14:textId="77777777" w:rsidR="001F7233" w:rsidRDefault="00000000">
      <w:r>
        <w:rPr>
          <w:b/>
        </w:rPr>
        <w:t xml:space="preserve">Green Card: </w:t>
      </w:r>
      <w:r>
        <w:t>weltweit steuerpflichtig, solange du LPR bist</w:t>
      </w:r>
    </w:p>
    <w:p w14:paraId="184261FB" w14:textId="77777777" w:rsidR="001F7233" w:rsidRDefault="00000000">
      <w:r>
        <w:rPr>
          <w:b/>
        </w:rPr>
        <w:t xml:space="preserve">US-Staatsbürgerschaft: </w:t>
      </w:r>
      <w:r>
        <w:t>weltweit, lebenslang, auch im Ausland</w:t>
      </w:r>
    </w:p>
    <w:p w14:paraId="45B5A2B7" w14:textId="77777777" w:rsidR="001F7233" w:rsidRDefault="00000000">
      <w:r>
        <w:rPr>
          <w:b/>
        </w:rPr>
        <w:t>Pflichten</w:t>
      </w:r>
    </w:p>
    <w:p w14:paraId="643019B9" w14:textId="77777777" w:rsidR="001F7233" w:rsidRDefault="00000000">
      <w:r>
        <w:rPr>
          <w:b/>
        </w:rPr>
        <w:t xml:space="preserve">Green Card: </w:t>
      </w:r>
      <w:r>
        <w:t>Adressmeldung (AR-11), Karte mitführen, Wehrerfassung (Selective Service) für Männer 18–25</w:t>
      </w:r>
    </w:p>
    <w:p w14:paraId="2457C6D8" w14:textId="77777777" w:rsidR="001F7233" w:rsidRDefault="00000000">
      <w:r>
        <w:rPr>
          <w:b/>
        </w:rPr>
        <w:t xml:space="preserve">US-Staatsbürgerschaft: </w:t>
      </w:r>
      <w:r>
        <w:t>Selective Service, Geschworenendienst (Jury Duty)</w:t>
      </w:r>
    </w:p>
    <w:p w14:paraId="567410E1" w14:textId="77777777" w:rsidR="001F7233" w:rsidRDefault="00000000">
      <w:r>
        <w:rPr>
          <w:b/>
        </w:rPr>
        <w:t>Reisen</w:t>
      </w:r>
    </w:p>
    <w:p w14:paraId="3DB85B5C" w14:textId="77777777" w:rsidR="001F7233" w:rsidRDefault="00000000">
      <w:r>
        <w:rPr>
          <w:b/>
        </w:rPr>
        <w:lastRenderedPageBreak/>
        <w:t xml:space="preserve">Green Card: </w:t>
      </w:r>
      <w:r>
        <w:t>deutscher Pass plus Green Card</w:t>
      </w:r>
    </w:p>
    <w:p w14:paraId="6495A72B" w14:textId="77777777" w:rsidR="001F7233" w:rsidRDefault="00000000">
      <w:r>
        <w:rPr>
          <w:b/>
        </w:rPr>
        <w:t xml:space="preserve">US-Staatsbürgerschaft: </w:t>
      </w:r>
      <w:r>
        <w:t>US-Pass für Ein- und Ausreise USA</w:t>
      </w:r>
    </w:p>
    <w:p w14:paraId="5C3B1927" w14:textId="77777777" w:rsidR="001F7233" w:rsidRDefault="00000000">
      <w:r>
        <w:rPr>
          <w:b/>
        </w:rPr>
        <w:t>Gebühren</w:t>
      </w:r>
    </w:p>
    <w:p w14:paraId="6240C2A9" w14:textId="77777777" w:rsidR="001F7233" w:rsidRDefault="00000000">
      <w:r>
        <w:rPr>
          <w:b/>
        </w:rPr>
        <w:t xml:space="preserve">Green Card: </w:t>
      </w:r>
      <w:r>
        <w:t>Erneuerung alle 10 Jahre: 465 $ / 415 $ (I-90)</w:t>
      </w:r>
    </w:p>
    <w:p w14:paraId="6978B0E6" w14:textId="77777777" w:rsidR="001F7233" w:rsidRDefault="00000000">
      <w:r>
        <w:rPr>
          <w:b/>
        </w:rPr>
        <w:t xml:space="preserve">US-Staatsbürgerschaft: </w:t>
      </w:r>
      <w:r>
        <w:t>einmalig 760 $ / 710 $</w:t>
      </w:r>
    </w:p>
    <w:p w14:paraId="562749C9" w14:textId="77777777" w:rsidR="001F7233" w:rsidRDefault="001F7233">
      <w:pPr>
        <w:spacing w:line="180" w:lineRule="exact"/>
      </w:pPr>
    </w:p>
    <w:p w14:paraId="3C4682E1" w14:textId="77777777" w:rsidR="001F7233" w:rsidRDefault="00000000">
      <w:pPr>
        <w:spacing w:after="140"/>
      </w:pPr>
      <w:r>
        <w:t>Der größte praktische Unterschied betrifft die Familie. Als Bürger holst du Ehepartner, unverheiratete Kinder unter 21 und Eltern (ab deinem 21. Geburtstag) ohne Quote nach (</w:t>
      </w:r>
      <w:r>
        <w:rPr>
          <w:i/>
          <w:iCs/>
        </w:rPr>
        <w:t>Immediate Relatives</w:t>
      </w:r>
      <w:r>
        <w:t>). Geschwister (Kategorie F4) warten laut Visa Bulletin vom September 2026 auf den Stichtag 22. Oktober 2011, also rund 15 Jahre. Green-Card-Inhaber dürfen nur Ehepartner und unverheiratete Kinder nachholen (Kategorien F2A und F2B).</w:t>
      </w:r>
    </w:p>
    <w:p w14:paraId="7817C9ED" w14:textId="77777777" w:rsidR="001F7233" w:rsidRDefault="00000000">
      <w:r>
        <w:rPr>
          <w:b/>
        </w:rPr>
        <w:t xml:space="preserve">MERKE: </w:t>
      </w:r>
    </w:p>
    <w:p w14:paraId="43AA8148" w14:textId="77777777" w:rsidR="001F7233" w:rsidRDefault="00000000">
      <w:r>
        <w:t>• Die US-Staatsbürgerschaft ist der einzige Status, den Jahre im Ausland dir nicht nehmen. Zugleich ist sie der einzige, aus dem du dich nur gegen Gebühr und nach einer Steuerprüfung wieder verabschieden kannst.</w:t>
      </w:r>
    </w:p>
    <w:p w14:paraId="7F2E8E7B" w14:textId="77777777" w:rsidR="001F7233" w:rsidRDefault="001F7233">
      <w:pPr>
        <w:spacing w:line="220" w:lineRule="exact"/>
      </w:pPr>
    </w:p>
    <w:p w14:paraId="381CF10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Rechnung dahinter: Steuern, Verzicht und Exit Tax</w:t>
      </w:r>
    </w:p>
    <w:p w14:paraId="49578C8F" w14:textId="77777777" w:rsidR="001F7233" w:rsidRDefault="00000000">
      <w:pPr>
        <w:spacing w:after="140"/>
      </w:pPr>
      <w:r>
        <w:t>Als US-Bürger gibst du lebenslang jedes Jahr eine US-Steuererklärung über dein weltweites Einkommen ab, auch wenn du in Deutschland lebst und arbeitest (Kapitel </w:t>
      </w:r>
      <w:hyperlink w:anchor="k28">
        <w:r w:rsidR="001F7233">
          <w:t>28</w:t>
        </w:r>
      </w:hyperlink>
      <w:r>
        <w:t>). Das Doppelbesteuerungsabkommen und die Anrechnung deutscher Steuern verhindern meist doppelte Zahlungen; die Meldepflichten für Auslandskonten (FBAR, Form 8938) bleiben, mit einer Green Card zunächst nicht anders. Der Unterschied liegt im Ausstieg: Die Green Card kannst du freiwillig mit Form I-407 aufgeben (0 $, Kapitel </w:t>
      </w:r>
      <w:hyperlink w:anchor="k42">
        <w:r w:rsidR="001F7233">
          <w:t>42</w:t>
        </w:r>
      </w:hyperlink>
      <w:r>
        <w:t>), die Staatsbürgerschaft nur durch förmlichen Verzicht (</w:t>
      </w:r>
      <w:r>
        <w:rPr>
          <w:i/>
          <w:iCs/>
        </w:rPr>
        <w:t>Renunciation</w:t>
      </w:r>
      <w:r>
        <w:t xml:space="preserve">). Er erfolgt persönlich vor einem US-Konsularbeamten außerhalb der USA und endet mit der Verlustbescheinigung </w:t>
      </w:r>
      <w:r>
        <w:rPr>
          <w:i/>
          <w:iCs/>
        </w:rPr>
        <w:lastRenderedPageBreak/>
        <w:t>Certificate of Loss of Nationality</w:t>
      </w:r>
      <w:r>
        <w:t>. Die Gebühr beträgt seit dem 13. April 2026 nur noch 450 $ (vorher 2.350 $).</w:t>
      </w:r>
    </w:p>
    <w:p w14:paraId="3EB81CD2" w14:textId="77777777" w:rsidR="001F7233" w:rsidRDefault="00000000">
      <w:pPr>
        <w:spacing w:after="140"/>
      </w:pPr>
      <w:r>
        <w:rPr>
          <w:i/>
          <w:iCs/>
        </w:rPr>
        <w:t>Teuer wird der Ausstieg nicht durch die Gebühr, sondern durch die Exit Tax (§ 877A des Internal Revenue Code). Betroffen ist, wer die Staatsbürgerschaft aufgibt oder als Long-term Resident (Green Card in mindestens 8 der letzten 15 Steuerjahre) den Status beendet und dabei als Covered Expatriate (steuerlich erfasster Aussteiger) gilt. Dafür genügt einer von drei Tests (Werte 2026):</w:t>
      </w:r>
    </w:p>
    <w:p w14:paraId="38367A15" w14:textId="77777777" w:rsidR="001F7233" w:rsidRDefault="00000000">
      <w:pPr>
        <w:pStyle w:val="ListParagraph"/>
        <w:numPr>
          <w:ilvl w:val="0"/>
          <w:numId w:val="1"/>
        </w:numPr>
        <w:spacing w:after="60"/>
      </w:pPr>
      <w:r>
        <w:t>Die durchschnittliche Einkommensteuer der letzten fünf Jahre liegt über 211.000 $.</w:t>
      </w:r>
    </w:p>
    <w:p w14:paraId="1CF650A5" w14:textId="77777777" w:rsidR="001F7233" w:rsidRDefault="00000000">
      <w:pPr>
        <w:pStyle w:val="ListParagraph"/>
        <w:numPr>
          <w:ilvl w:val="0"/>
          <w:numId w:val="1"/>
        </w:numPr>
        <w:spacing w:after="60"/>
      </w:pPr>
      <w:r>
        <w:t>Das Nettovermögen beträgt mindestens 2 Mio. $.</w:t>
      </w:r>
    </w:p>
    <w:p w14:paraId="30809BB0" w14:textId="77777777" w:rsidR="001F7233" w:rsidRDefault="00000000">
      <w:pPr>
        <w:pStyle w:val="ListParagraph"/>
        <w:numPr>
          <w:ilvl w:val="0"/>
          <w:numId w:val="1"/>
        </w:numPr>
        <w:spacing w:after="60"/>
      </w:pPr>
      <w:r>
        <w:t>Du kannst nicht nachweisen, dass du in den fünf Vorjahren steuerlich korrekt warst (Form 8854).</w:t>
      </w:r>
    </w:p>
    <w:p w14:paraId="50E18F4B" w14:textId="77777777" w:rsidR="001F7233" w:rsidRDefault="001F7233">
      <w:pPr>
        <w:spacing w:line="120" w:lineRule="exact"/>
      </w:pPr>
    </w:p>
    <w:p w14:paraId="784320B6" w14:textId="77777777" w:rsidR="001F7233" w:rsidRDefault="00000000">
      <w:pPr>
        <w:spacing w:after="140"/>
      </w:pPr>
      <w:r>
        <w:t>Dann gelten alle Vermögenswerte als am Vortag zum Marktwert verkauft; Gewinne über 910.000 $ (Freibetrag 2026) werden besteuert. Für Altersvorsorge gelten Sonderregeln, für Geschenke und Erbschaften an US-Empfänger eine eigene Steuer (§ 2801). Die Werte werden jährlich angepasst (Rev. Proc. 2025-32). Ob einer der drei Tests bei dir greift, klärt verlässlich nur eine Berechnung vor dem Schritt.</w:t>
      </w:r>
    </w:p>
    <w:p w14:paraId="424AD89C" w14:textId="77777777" w:rsidR="001F7233" w:rsidRDefault="00000000">
      <w:r>
        <w:rPr>
          <w:b/>
        </w:rPr>
        <w:t xml:space="preserve">ACHTUNG: </w:t>
      </w:r>
    </w:p>
    <w:p w14:paraId="4C64A121" w14:textId="77777777" w:rsidR="001F7233" w:rsidRDefault="00000000">
      <w:r>
        <w:t>• Rechne vor der Einbürgerung, nicht danach. Wer in fünf bis zehn Jahren nach Deutschland zurückwill, hat mit der Green Card den einfacheren Ausgang (Form I-407 statt förmlichem Verzicht), muss aber ab dem achten Green-Card-Jahr ebenfalls mit der Exit-Tax-Prüfung rechnen. Ein Staatsbürger bleibt steuerpflichtig, bis er verzichtet (</w:t>
      </w:r>
      <w:hyperlink w:anchor="k42">
        <w:r w:rsidR="001F7233">
          <w:rPr>
            <w:color w:val="0563C1"/>
            <w:u w:val="single"/>
          </w:rPr>
          <w:t>Kapitel 42</w:t>
        </w:r>
      </w:hyperlink>
      <w:r>
        <w:t>).</w:t>
      </w:r>
    </w:p>
    <w:p w14:paraId="4B863B44" w14:textId="77777777" w:rsidR="001F7233" w:rsidRDefault="001F7233">
      <w:pPr>
        <w:spacing w:line="220" w:lineRule="exact"/>
      </w:pPr>
    </w:p>
    <w:p w14:paraId="779C7618" w14:textId="77777777" w:rsidR="001F7233" w:rsidRDefault="00000000">
      <w:r>
        <w:t xml:space="preserve">• Das ist keine Rechts- oder Steuerberatung. Exit Tax, Verzicht und Einbürgerung hängen vom Einzelfall ab. Lass dich vor dem Antrag von einem Einwanderungsanwalt und einer auf US-Auslandsfälle </w:t>
      </w:r>
      <w:r>
        <w:lastRenderedPageBreak/>
        <w:t>spezialisierten Steuerfachperson (Certified Public Accountant oder Enrolled Agent) beraten.</w:t>
      </w:r>
    </w:p>
    <w:p w14:paraId="486B611E" w14:textId="77777777" w:rsidR="001F7233" w:rsidRDefault="001F7233">
      <w:pPr>
        <w:spacing w:line="220" w:lineRule="exact"/>
      </w:pPr>
    </w:p>
    <w:p w14:paraId="5A7993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Wer wann welchen Pass hat</w:t>
      </w:r>
    </w:p>
    <w:p w14:paraId="050AC9FE" w14:textId="77777777" w:rsidR="001F7233" w:rsidRDefault="00000000">
      <w:pPr>
        <w:spacing w:after="140"/>
      </w:pPr>
      <w:r>
        <w:t xml:space="preserve">Geburt in den USA. Nach dem Vierzehnten Zusatzartikel sind Kinder, die in den USA zur Welt kommen, grundsätzlich US-Bürger von Geburt; die wesentlichen Ausnahmen betreffen Kinder von Diplomaten und Personen, die nicht der US-Gerichtsbarkeit unterstehen. Am 30. Juni 2026 bestätigte der Supreme Court in Entscheidung Nr. 25-365, dass Kinder von Personen, die sich rechtswidrig oder vorübergehend in den USA aufhalten, ebenfalls unter die Citizenship Clause fallen. Die Executive Order 14160 kann dieses Ergebnis nicht ändern. Zwei weitere Erlasse vom 6. August 2026 nennen eng umrissene Kategorien, darunter Kinder ausländischer Regierungsbediensteter und Fälle kommerziell arrangierter Geburten. Ihre Umsetzung wurde am 2. September 2026 für die geschützte Klägergruppe durch ein Bundesgericht in Maryland vorläufig untersagt; das Verfahren läuft. Die Einzelheiten stehen in Kapitel </w:t>
      </w:r>
      <w:hyperlink w:anchor="k38">
        <w:r w:rsidR="001F7233">
          <w:t>38</w:t>
        </w:r>
      </w:hyperlink>
      <w:r>
        <w:t>.</w:t>
      </w:r>
    </w:p>
    <w:p w14:paraId="09F3C335" w14:textId="77777777" w:rsidR="001F7233" w:rsidRDefault="00000000">
      <w:pPr>
        <w:spacing w:after="140"/>
      </w:pPr>
      <w:r>
        <w:rPr>
          <w:b/>
          <w:bCs/>
        </w:rPr>
        <w:t>Die deutsche Seite. Ein Kind mit einem deutschen Elternteil ist von Geburt deutsch (§ 4 Abs. 1 StAG), auch bei Geburt in den USA. Den Nachweis holst du über die Beurkundung der Auslandsgeburt (§ 36 Personenstandsgesetz), meist über das Konsulat: 80 € Gebühr plus 12 € für die Geburtsurkunde (germany.info, Stand prüfen). Zuständig ist das Standesamt deines letzten deutschen Wohnsitzes, sonst das Standesamt I Berlin, das laut germany.info mindestens drei Jahre braucht. Einen Reisepass für das Kind kannst du früher beantragen (Vorgehen mit dem Konsulat klären).</w:t>
      </w:r>
    </w:p>
    <w:p w14:paraId="679488FD" w14:textId="77777777" w:rsidR="001F7233" w:rsidRDefault="00000000">
      <w:pPr>
        <w:spacing w:after="140"/>
      </w:pPr>
      <w:r>
        <w:rPr>
          <w:b/>
          <w:bCs/>
        </w:rPr>
        <w:t xml:space="preserve">Der Generationenschnitt (§ 4 Abs. 4 StAG) trifft erst die nächste Generation. Ist der deutsche Elternteil nach dem 31. Dezember 1999 im Ausland geboren und lebt dort, wird ein im Ausland </w:t>
      </w:r>
      <w:r>
        <w:rPr>
          <w:b/>
          <w:bCs/>
        </w:rPr>
        <w:lastRenderedPageBreak/>
        <w:t>geborenes Kind nur dann Deutsches, wenn die Beurkundung der Geburt binnen eines Jahres beantragt wird. Der Eingang bei der Auslandsvertretung wahrt die Frist. Für dich als in Deutschland Geborenen gilt das nicht. Erst wenn dein in Michigan geborenes Kind später selbst im Ausland Kinder bekommt, ist die Jahresfrist zu beachten. Wer sie versäumt, hat für dieses Kind keinen Automatismus mehr.</w:t>
      </w:r>
    </w:p>
    <w:p w14:paraId="48584FB7" w14:textId="77777777" w:rsidR="001F7233" w:rsidRDefault="00000000">
      <w:pPr>
        <w:spacing w:after="140"/>
      </w:pPr>
      <w:r>
        <w:rPr>
          <w:b/>
          <w:bCs/>
        </w:rPr>
        <w:t>Kinder mit Green Card und Kinder im Ausland. Nach dem Child Citizenship Act (8 U.S.C. § 1431) wird ein Kind mit Green Card automatisch US-Bürger, wenn es unter 18 ist und in der Obhut eines Elternteils lebt, der US-Bürger ist oder wird. Ab 18 gilt das nicht mehr; dann stellt das Kind seinen eigenen Antrag. Kommt später ein Kind im Ausland (etwa in Deutschland) zur Welt, kann es US-Bürger von Geburt sein: Ist nur ein Elternteil US-Bürger, muss dieser vor der Geburt mindestens fünf Jahre in den USA gewesen sein, davon zwei nach seinem 14. Geburtstag (INA § 301(g)); Zeiten vor der Einbürgerung zählen mit. Dokumentiert wird das mit dem Consular Report of Birth Abroad (CRBA, konsularischer Geburtsbericht).</w:t>
      </w:r>
    </w:p>
    <w:p w14:paraId="7EF6F858" w14:textId="77777777" w:rsidR="001F7233" w:rsidRDefault="00000000">
      <w:r>
        <w:rPr>
          <w:b/>
        </w:rPr>
        <w:t xml:space="preserve">SPARTIPP: </w:t>
      </w:r>
    </w:p>
    <w:p w14:paraId="63A23224" w14:textId="77777777" w:rsidR="001F7233" w:rsidRDefault="00000000">
      <w:r>
        <w:t>• Für Kinder, die automatisch Bürger geworden sind, ist die Bescheinigung N-600 (1.385 $ auf Papier, 1.335 $ online) nicht immer nötig: Ein US-Pass belegt die Staatsbürgerschaft ebenfalls.</w:t>
      </w:r>
    </w:p>
    <w:p w14:paraId="606A77C0" w14:textId="77777777" w:rsidR="001F7233" w:rsidRDefault="001F7233">
      <w:pPr>
        <w:spacing w:line="220" w:lineRule="exact"/>
      </w:pPr>
    </w:p>
    <w:p w14:paraId="6F80F76F" w14:textId="77777777" w:rsidR="001F7233" w:rsidRDefault="001F7233">
      <w:pPr>
        <w:spacing w:line="220" w:lineRule="exact"/>
      </w:pPr>
    </w:p>
    <w:p w14:paraId="41A152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Wählen: in den USA und in Deutschland</w:t>
      </w:r>
    </w:p>
    <w:p w14:paraId="64EFE869" w14:textId="77777777" w:rsidR="001F7233" w:rsidRDefault="00000000">
      <w:pPr>
        <w:spacing w:after="140"/>
      </w:pPr>
      <w:r>
        <w:t>Mit dem Eid darfst du in den USA bei Bundes-, Landes- und Kommunalwahlen wählen; die Registrierung regelt jeder Bundesstaat. Vorher ist das Wählen für Nichtstaatsbürger verboten (Kapitel </w:t>
      </w:r>
      <w:hyperlink w:anchor="k40">
        <w:r w:rsidR="001F7233">
          <w:t>40</w:t>
        </w:r>
      </w:hyperlink>
      <w:r>
        <w:t xml:space="preserve">). Dein deutsches Wahlrecht verlierst du durch die </w:t>
      </w:r>
      <w:r>
        <w:lastRenderedPageBreak/>
        <w:t>Einbürgerung nicht, es ruht aber, solange du nichts unternimmst: Deutsche im Ausland wählen den Bundestag nur auf Antrag. Wer am Küchentisch in Detroit einst die Tage bis zur nächsten Deutschlandreise zusammenzählte, füllt jetzt von demselben Tisch aus die Briefwahlunterlagen für beide Länder aus.</w:t>
      </w:r>
    </w:p>
    <w:p w14:paraId="62B3F67C" w14:textId="77777777" w:rsidR="001F7233" w:rsidRDefault="00000000">
      <w:pPr>
        <w:spacing w:after="140"/>
      </w:pPr>
      <w:r>
        <w:t>Die Voraussetzung steht in § 12 Abs. 2 des Bundeswahlgesetzes. Du hast nach deinem 14. Geburtstag mindestens drei Monate ununterbrochen in Deutschland gewohnt oder dich dort gewöhnlich aufgehalten und das liegt nicht länger als 25 Jahre zurück. Alternativ genügt eine persönliche und unmittelbare Vertrautheit mit den politischen Verhältnissen, von denen du betroffen bist. Ein Urlaub zählt nach dem Wortlaut nicht. Wer als Kind ausgewandert oder in den USA geboren ist, erfüllt die erste Alternative daher meist nicht.</w:t>
      </w:r>
    </w:p>
    <w:p w14:paraId="2D03D3EE" w14:textId="77777777" w:rsidR="001F7233" w:rsidRDefault="00000000">
      <w:pPr>
        <w:spacing w:after="140"/>
      </w:pPr>
      <w:r>
        <w:t>So gehst du vor: Du stellst schriftlich einen Antrag auf Eintragung ins Wählerverzeichnis bei der Gemeinde deines letzten Wohnorts, spätestens bis zum 21. Tag vor der Wahl (§ 18 Bundeswahlordnung; bei der Bundestagswahl 2025 der 2. Februar), mit eigenhändiger Unterschrift und vor jeder Wahl neu. Die Unterlagen kommen per Post, die Rückgabe muss rechtzeitig eintreffen. Plane die Laufzeit aus den USA großzügig ein. Die nächste reguläre Bundestagswahl steht für 2029 an (vorgezogene Neuwahlen sind möglich). Für Landtags- und Kommunalwahlen gilt Landesrecht; Auslandsdeutsche sind dort meist nicht wahlberechtigt.</w:t>
      </w:r>
    </w:p>
    <w:p w14:paraId="06E625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Welchen Pass benutzt du wann?</w:t>
      </w:r>
    </w:p>
    <w:p w14:paraId="464BE3D4" w14:textId="77777777" w:rsidR="001F7233" w:rsidRDefault="00000000">
      <w:r>
        <w:rPr>
          <w:b/>
        </w:rPr>
        <w:t>Ein- und Ausreise USA</w:t>
      </w:r>
    </w:p>
    <w:p w14:paraId="68700717" w14:textId="77777777" w:rsidR="001F7233" w:rsidRDefault="00000000">
      <w:r>
        <w:rPr>
          <w:b/>
        </w:rPr>
        <w:t xml:space="preserve">Pass: </w:t>
      </w:r>
      <w:r>
        <w:t>US-Pass</w:t>
      </w:r>
    </w:p>
    <w:p w14:paraId="2CCCFDB6" w14:textId="77777777" w:rsidR="001F7233" w:rsidRDefault="00000000">
      <w:r>
        <w:rPr>
          <w:b/>
        </w:rPr>
        <w:t xml:space="preserve">Grund: </w:t>
      </w:r>
      <w:r>
        <w:t>Pflicht für US-Bürger (8 U.S.C. § 1185(b)); Airlines prüfen es</w:t>
      </w:r>
    </w:p>
    <w:p w14:paraId="4F2DE85D" w14:textId="77777777" w:rsidR="001F7233" w:rsidRDefault="00000000">
      <w:r>
        <w:rPr>
          <w:b/>
        </w:rPr>
        <w:t>Einreise nach Deutschland und Schengen</w:t>
      </w:r>
    </w:p>
    <w:p w14:paraId="2F3808EF" w14:textId="77777777" w:rsidR="001F7233" w:rsidRDefault="00000000">
      <w:r>
        <w:rPr>
          <w:b/>
        </w:rPr>
        <w:t xml:space="preserve">Pass: </w:t>
      </w:r>
      <w:r>
        <w:t>deutscher Pass oder Personalausweis</w:t>
      </w:r>
    </w:p>
    <w:p w14:paraId="13BB87CD" w14:textId="77777777" w:rsidR="001F7233" w:rsidRDefault="00000000">
      <w:r>
        <w:rPr>
          <w:b/>
        </w:rPr>
        <w:t xml:space="preserve">Grund: </w:t>
      </w:r>
      <w:r>
        <w:t>Als Deutscher brauchst du weder Visum noch Reisegenehmigung</w:t>
      </w:r>
    </w:p>
    <w:p w14:paraId="1C55882F" w14:textId="77777777" w:rsidR="001F7233" w:rsidRDefault="00000000">
      <w:r>
        <w:rPr>
          <w:b/>
        </w:rPr>
        <w:t>Drittländer</w:t>
      </w:r>
    </w:p>
    <w:p w14:paraId="18563C35" w14:textId="77777777" w:rsidR="001F7233" w:rsidRDefault="00000000">
      <w:r>
        <w:rPr>
          <w:b/>
        </w:rPr>
        <w:lastRenderedPageBreak/>
        <w:t xml:space="preserve">Pass: </w:t>
      </w:r>
      <w:r>
        <w:t>Einreiseregeln beider Pässe prüfen</w:t>
      </w:r>
    </w:p>
    <w:p w14:paraId="3F507B85" w14:textId="77777777" w:rsidR="001F7233" w:rsidRDefault="00000000">
      <w:r>
        <w:rPr>
          <w:b/>
        </w:rPr>
        <w:t xml:space="preserve">Grund: </w:t>
      </w:r>
      <w:r>
        <w:t>Visumfreiheit und Gebühren unterscheiden sich</w:t>
      </w:r>
    </w:p>
    <w:p w14:paraId="0D9F74FC" w14:textId="77777777" w:rsidR="001F7233" w:rsidRDefault="00000000">
      <w:r>
        <w:rPr>
          <w:b/>
        </w:rPr>
        <w:t>Behörden vor Ort</w:t>
      </w:r>
    </w:p>
    <w:p w14:paraId="3957AEF4" w14:textId="77777777" w:rsidR="001F7233" w:rsidRDefault="00000000">
      <w:r>
        <w:rPr>
          <w:b/>
        </w:rPr>
        <w:t xml:space="preserve">Pass: </w:t>
      </w:r>
      <w:r>
        <w:t>Papiere des jeweiligen Staates</w:t>
      </w:r>
    </w:p>
    <w:p w14:paraId="73DFA473" w14:textId="77777777" w:rsidR="001F7233" w:rsidRDefault="00000000">
      <w:r>
        <w:rPr>
          <w:b/>
        </w:rPr>
        <w:t xml:space="preserve">Grund: </w:t>
      </w:r>
      <w:r>
        <w:t>Meldeamt, Rente, US-Führerschein</w:t>
      </w:r>
    </w:p>
    <w:p w14:paraId="65B4B980" w14:textId="77777777" w:rsidR="001F7233" w:rsidRDefault="001F7233">
      <w:pPr>
        <w:spacing w:line="180" w:lineRule="exact"/>
      </w:pPr>
    </w:p>
    <w:p w14:paraId="613D48BA" w14:textId="77777777" w:rsidR="001F7233" w:rsidRDefault="00000000">
      <w:pPr>
        <w:spacing w:after="140"/>
      </w:pPr>
      <w:r>
        <w:t>Der Personalausweis genügt in Europa, gilt aber nicht für die US-Einreise (Auswärtiges Amt). Die geplante EU-Reisegenehmigung ETIAS erfasst nach Angaben der EU Doppelstaatler mit EU-Pass nicht. Sie reisen mit diesem ein. Der Start war zuletzt für Ende 2026 vorgesehen und ist nach aktuellen Berichten offen. Im Land deiner anderen Staatsangehörigkeit kann dir der jeweils andere Staat konsularisch nur eingeschränkt helfen. In Deutschland behandeln dich die Behörden als Deutschen.</w:t>
      </w:r>
    </w:p>
    <w:p w14:paraId="071BF0A0" w14:textId="77777777" w:rsidR="001F7233" w:rsidRDefault="00000000">
      <w:pPr>
        <w:spacing w:after="140"/>
      </w:pPr>
      <w:r>
        <w:t>Halte beide Pässe gültig. Der deutsche Reisepass gilt zehn Jahre (unter 24 Jahren sechs Jahre). Im Konsulat brauchst du einen persönlichen Termin und rechnest mit etwa sechs bis acht Wochen Bearbeitung. Kinder erhalten einen ePass; den Kinderreisepass gibt es seit dem 1. Januar 2024 nicht mehr.</w:t>
      </w:r>
    </w:p>
    <w:p w14:paraId="55EAD090" w14:textId="77777777" w:rsidR="001F7233" w:rsidRDefault="00000000">
      <w:r>
        <w:rPr>
          <w:b/>
        </w:rPr>
        <w:t xml:space="preserve">ACHTUNG: </w:t>
      </w:r>
    </w:p>
    <w:p w14:paraId="2C50051F" w14:textId="77777777" w:rsidR="001F7233" w:rsidRDefault="00000000">
      <w:r>
        <w:t>• Wer als US-Bürger nur mit dem deutschen Pass in die USA fliegen will, verstößt gegen die Passpflicht und wird von Fluggesellschaften oft nicht befördert. Umgekehrt kann, wer als Deutscher mit dem US-Pass nach Europa einreist, bei einer künftigen ETIAS-Pflicht unnötig in Schwierigkeiten geraten.</w:t>
      </w:r>
    </w:p>
    <w:p w14:paraId="14E143D1" w14:textId="77777777" w:rsidR="001F7233" w:rsidRDefault="001F7233">
      <w:pPr>
        <w:spacing w:line="220" w:lineRule="exact"/>
      </w:pPr>
    </w:p>
    <w:p w14:paraId="20F35C54" w14:textId="77777777" w:rsidR="001F7233" w:rsidRDefault="00000000">
      <w:r>
        <w:rPr>
          <w:b/>
        </w:rPr>
        <w:t xml:space="preserve">MERKE: </w:t>
      </w:r>
    </w:p>
    <w:p w14:paraId="3329CD38" w14:textId="77777777" w:rsidR="001F7233" w:rsidRDefault="00000000">
      <w:r>
        <w:t>• In die USA mit dem US-Pass, nach Deutschland mit dem deutschen. Halte beide gültig.</w:t>
      </w:r>
    </w:p>
    <w:p w14:paraId="65B2BADA" w14:textId="77777777" w:rsidR="001F7233" w:rsidRDefault="001F7233">
      <w:pPr>
        <w:spacing w:line="220" w:lineRule="exact"/>
      </w:pPr>
    </w:p>
    <w:p w14:paraId="14B731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Denaturalisierung: sachlich betrachtet</w:t>
      </w:r>
    </w:p>
    <w:p w14:paraId="52EF586B" w14:textId="77777777" w:rsidR="001F7233" w:rsidRDefault="00000000">
      <w:pPr>
        <w:spacing w:after="140"/>
      </w:pPr>
      <w:r>
        <w:rPr>
          <w:i/>
          <w:iCs/>
        </w:rPr>
        <w:t>Die Einbürgerung ist nicht in jedem Fall endgültig. Ein Bundesgericht kann sie in einem Zivilverfahren aufheben (Denaturalization, Entzug der Einbürgerung, 8 U.S.C. § 1451), wenn sie rechtswidrig oder durch Betrug erlangt wurde. Die häufigsten Gründe sind falsche Identität und Einwanderungsbetrug. Daneben stehen schwere Straftaten wie Terrorismus, Betäubungsmittel- oder Sexualdelikte. Das Justizministerium hat solche Verfahren mit einem Memo vom 11. Juni 2025 zur Priorität erklärt. Nach Zählung von TRAC gab es 2025 acht Klagen, im Mai 2026 fünfzehn und vom 1. bis 12. Juni 2026 achtzehn; seit 2008 sind es insgesamt 166. Die Zahlen sind klein, die Richtung steigt. Wer im Verfahren wahrheitsgemäß angegeben hat, ist von diesen Fällen sehr wahrscheinlich nicht betroffen (Einschätzung, keine Garantie). Jahre im Ausland oder ein Steuerstreit sind für sich genommen kein Grund für den Entzug.</w:t>
      </w:r>
    </w:p>
    <w:p w14:paraId="431FE1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Von der Green Card zur Staatsbürgerschaft: Der Doppelpass</w:t>
      </w:r>
    </w:p>
    <w:p w14:paraId="3918FE27" w14:textId="77777777" w:rsidR="001F7233" w:rsidRDefault="00000000">
      <w:r>
        <w:rPr>
          <w:b/>
        </w:rPr>
        <w:t>Plus: Aufenthalt gesichert, keine Abwesenheitsrechnerei mehr</w:t>
      </w:r>
    </w:p>
    <w:p w14:paraId="0EDADDEF" w14:textId="77777777" w:rsidR="001F7233" w:rsidRDefault="00000000">
      <w:r>
        <w:rPr>
          <w:b/>
        </w:rPr>
        <w:t xml:space="preserve">Minus: </w:t>
      </w:r>
      <w:r>
        <w:t>US-Steuerpflicht lebenslang, auch aus Deutschland</w:t>
      </w:r>
    </w:p>
    <w:p w14:paraId="7D80E366" w14:textId="77777777" w:rsidR="001F7233" w:rsidRDefault="00000000">
      <w:r>
        <w:rPr>
          <w:b/>
        </w:rPr>
        <w:t>Plus: Wahlrecht in den USA</w:t>
      </w:r>
    </w:p>
    <w:p w14:paraId="54A0CE7E" w14:textId="77777777" w:rsidR="001F7233" w:rsidRDefault="00000000">
      <w:r>
        <w:rPr>
          <w:b/>
        </w:rPr>
        <w:t xml:space="preserve">Minus: </w:t>
      </w:r>
      <w:r>
        <w:t>Ausstieg kostet 450 $ Gebühr, Formalitäten und ggf. Exit Tax</w:t>
      </w:r>
    </w:p>
    <w:p w14:paraId="381E9D27" w14:textId="77777777" w:rsidR="001F7233" w:rsidRDefault="00000000">
      <w:r>
        <w:rPr>
          <w:b/>
        </w:rPr>
        <w:t>Plus: Kein I-90 alle zehn Jahre, keine Reentry Permits</w:t>
      </w:r>
    </w:p>
    <w:p w14:paraId="097FB1CB" w14:textId="77777777" w:rsidR="001F7233" w:rsidRDefault="00000000">
      <w:r>
        <w:rPr>
          <w:b/>
        </w:rPr>
        <w:t xml:space="preserve">Minus: </w:t>
      </w:r>
      <w:r>
        <w:t>Strengere Prüfung: Civics Test, Nachbarschaftsermittlungen, 8–17,5 Monate Wartezeit</w:t>
      </w:r>
    </w:p>
    <w:p w14:paraId="02D47D4F" w14:textId="77777777" w:rsidR="001F7233" w:rsidRDefault="00000000">
      <w:r>
        <w:rPr>
          <w:b/>
        </w:rPr>
        <w:t>Plus: Eltern und Geschwister nachholen (mit Wartezeit)</w:t>
      </w:r>
    </w:p>
    <w:p w14:paraId="2CD7FAE5" w14:textId="77777777" w:rsidR="001F7233" w:rsidRDefault="00000000">
      <w:r>
        <w:rPr>
          <w:b/>
        </w:rPr>
        <w:t xml:space="preserve">Minus: </w:t>
      </w:r>
      <w:r>
        <w:t>Geschworenendienst und Selective Service für Männer</w:t>
      </w:r>
    </w:p>
    <w:p w14:paraId="74C0E9B3" w14:textId="77777777" w:rsidR="001F7233" w:rsidRDefault="00000000">
      <w:r>
        <w:rPr>
          <w:b/>
        </w:rPr>
        <w:t>Plus: Kinder werden automatisch Bürger, Pass für die ganze Familie</w:t>
      </w:r>
    </w:p>
    <w:p w14:paraId="27D265F3" w14:textId="77777777" w:rsidR="001F7233" w:rsidRDefault="00000000">
      <w:r>
        <w:rPr>
          <w:b/>
        </w:rPr>
        <w:lastRenderedPageBreak/>
        <w:t xml:space="preserve">Minus: </w:t>
      </w:r>
      <w:r>
        <w:t>Entzug möglich bei Betrug im Verfahren (selten, aber priorisiert)</w:t>
      </w:r>
    </w:p>
    <w:p w14:paraId="4D9DE0BC" w14:textId="77777777" w:rsidR="001F7233" w:rsidRDefault="00000000">
      <w:r>
        <w:rPr>
          <w:b/>
        </w:rPr>
        <w:t>Plus: Deutscher Pass bleibt erhalten (seit 27. Juni 2024)</w:t>
      </w:r>
    </w:p>
    <w:p w14:paraId="3CC374BF" w14:textId="77777777" w:rsidR="001F7233" w:rsidRDefault="00000000">
      <w:r>
        <w:rPr>
          <w:b/>
        </w:rPr>
        <w:t xml:space="preserve">Minus: </w:t>
      </w:r>
      <w:r>
        <w:t>Zwei Pässe, zwei Verwaltungen, zwei Fristenkalender</w:t>
      </w:r>
    </w:p>
    <w:p w14:paraId="3162A52B" w14:textId="77777777" w:rsidR="001F7233" w:rsidRDefault="001F7233">
      <w:pPr>
        <w:spacing w:line="180" w:lineRule="exact"/>
      </w:pPr>
    </w:p>
    <w:p w14:paraId="30673E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3C3A9D4" w14:textId="77777777" w:rsidR="001F7233" w:rsidRDefault="00000000">
      <w:pPr>
        <w:spacing w:after="140"/>
      </w:pPr>
      <w:r>
        <w:t>Beantworte vor dem Antrag drei Fragen. Erstens: Wo willst du in zehn Jahren leben? Bleibst du sicher, überwiegen Wahlrecht und gesicherter Aufenthalt; ist eine Rückkehr denkbar, rechne vorher Steuerpflicht und Exit Tax durch (Kapitel </w:t>
      </w:r>
      <w:hyperlink w:anchor="k42">
        <w:r w:rsidR="001F7233">
          <w:t>42</w:t>
        </w:r>
      </w:hyperlink>
      <w:r>
        <w:t>). Zweitens: Wie oft und wie lange bist du in Deutschland? Mit dem US-Pass entfallen alle Abwesenheitsregeln. Drittens: Ist deine Akte sauber, also Reisedaten, Steuererklärungen, Adressen und mögliche Vorfälle? Wenn nicht, sprich vor dem Antrag mit einem Einwanderungsanwalt.</w:t>
      </w:r>
    </w:p>
    <w:p w14:paraId="0456D33B" w14:textId="77777777" w:rsidR="001F7233" w:rsidRDefault="00000000">
      <w:r>
        <w:t>• Datum Resident Since auf der Green Card notieren und den frühesten Antragstermin berechnen (90 Tage vor Ablauf der Frist).</w:t>
      </w:r>
    </w:p>
    <w:p w14:paraId="11F22E2B" w14:textId="77777777" w:rsidR="001F7233" w:rsidRDefault="00000000">
      <w:r>
        <w:t>• Reiseprotokoll aller Ein- und Ausreisen führen; Abwesenheiten über sechs Monate markieren.</w:t>
      </w:r>
    </w:p>
    <w:p w14:paraId="12E1CFC9" w14:textId="77777777" w:rsidR="001F7233" w:rsidRDefault="00000000">
      <w:r>
        <w:t>• Steuererklärungen der letzten fünf Jahre lückenlos ablegen; nie als Nichteinwanderer erklären.</w:t>
      </w:r>
    </w:p>
    <w:p w14:paraId="7BED1347" w14:textId="77777777" w:rsidR="001F7233" w:rsidRDefault="00000000">
      <w:r>
        <w:t>• Festnahmen, Anzeigen oder Verkehrsdelikte vor dem Antrag mit einem Einwanderungsanwalt klären.</w:t>
      </w:r>
    </w:p>
    <w:p w14:paraId="51099303" w14:textId="77777777" w:rsidR="001F7233" w:rsidRDefault="00000000">
      <w:r>
        <w:t xml:space="preserve">• Die 128 Fragen des Staatskundetests von </w:t>
      </w:r>
      <w:hyperlink r:id="rId560">
        <w:r w:rsidR="001F7233">
          <w:rPr>
            <w:color w:val="0563C1"/>
            <w:u w:val="single"/>
          </w:rPr>
          <w:t>uscis.gov/citizenship</w:t>
        </w:r>
      </w:hyperlink>
      <w:r>
        <w:t xml:space="preserve"> lernen und Englisch üben.</w:t>
      </w:r>
    </w:p>
    <w:p w14:paraId="7759BC9E" w14:textId="77777777" w:rsidR="001F7233" w:rsidRDefault="00000000">
      <w:r>
        <w:t>• Leumundsschreiben von US-Bürgern außerhalb der Familie sammeln (Nachbarschaftsermittlung).</w:t>
      </w:r>
    </w:p>
    <w:p w14:paraId="48A5F421" w14:textId="77777777" w:rsidR="001F7233" w:rsidRDefault="00000000">
      <w:r>
        <w:t>• Bei möglicher Rückkehr vorab mit einer Steuerfachperson die Exit-Tax-Werte durchrechnen.</w:t>
      </w:r>
    </w:p>
    <w:p w14:paraId="21938436" w14:textId="77777777" w:rsidR="001F7233" w:rsidRDefault="00000000">
      <w:r>
        <w:t>• Geburten im Ausland innerhalb eines Jahres beim deutschen Konsulat zur Beurkundung anmelden.</w:t>
      </w:r>
    </w:p>
    <w:p w14:paraId="3343C683" w14:textId="77777777" w:rsidR="001F7233" w:rsidRDefault="00000000">
      <w:r>
        <w:t>• Deutschen und US-Pass sowie die Pässe der Kinder rechtzeitig auf Gültigkeit prüfen.</w:t>
      </w:r>
    </w:p>
    <w:p w14:paraId="4A236096" w14:textId="77777777" w:rsidR="001F7233" w:rsidRDefault="00000000">
      <w:r>
        <w:lastRenderedPageBreak/>
        <w:t>• Vor der Bundestagswahl den Antrag auf Eintragung ins Wählerverzeichnis stellen (spätestens 21 Tage vorher).</w:t>
      </w:r>
    </w:p>
    <w:p w14:paraId="4A3D41E5" w14:textId="77777777" w:rsidR="001F7233" w:rsidRDefault="001F7233">
      <w:pPr>
        <w:spacing w:line="220" w:lineRule="exact"/>
      </w:pPr>
    </w:p>
    <w:p w14:paraId="2B15BB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BB942D2" w14:textId="77777777" w:rsidR="001F7233" w:rsidRDefault="00000000">
      <w:pPr>
        <w:pStyle w:val="ListParagraph"/>
        <w:numPr>
          <w:ilvl w:val="0"/>
          <w:numId w:val="1"/>
        </w:numPr>
        <w:spacing w:after="60"/>
      </w:pPr>
      <w:r>
        <w:t>USCIS — Einbürgerung, N-400, Staatskundetest, Gebühren (</w:t>
      </w:r>
      <w:hyperlink r:id="rId561">
        <w:r w:rsidR="001F7233">
          <w:rPr>
            <w:color w:val="0563C1"/>
            <w:u w:val="single"/>
          </w:rPr>
          <w:t>uscis.gov/n-400</w:t>
        </w:r>
      </w:hyperlink>
      <w:r>
        <w:t xml:space="preserve">, </w:t>
      </w:r>
      <w:hyperlink r:id="rId562">
        <w:r w:rsidR="001F7233">
          <w:rPr>
            <w:color w:val="0563C1"/>
            <w:u w:val="single"/>
          </w:rPr>
          <w:t>uscis.gov/citizenship</w:t>
        </w:r>
      </w:hyperlink>
      <w:r>
        <w:t xml:space="preserve">, </w:t>
      </w:r>
      <w:hyperlink r:id="rId563">
        <w:r w:rsidR="001F7233">
          <w:rPr>
            <w:color w:val="0563C1"/>
            <w:u w:val="single"/>
          </w:rPr>
          <w:t>uscis.gov/g-1055</w:t>
        </w:r>
      </w:hyperlink>
      <w:r>
        <w:t>)</w:t>
      </w:r>
    </w:p>
    <w:p w14:paraId="0D455DF7" w14:textId="77777777" w:rsidR="001F7233" w:rsidRDefault="00000000">
      <w:pPr>
        <w:pStyle w:val="ListParagraph"/>
        <w:numPr>
          <w:ilvl w:val="0"/>
          <w:numId w:val="1"/>
        </w:numPr>
        <w:spacing w:after="60"/>
      </w:pPr>
      <w:r>
        <w:t>USCIS — Bearbeitungszeiten (</w:t>
      </w:r>
      <w:hyperlink r:id="rId564">
        <w:r w:rsidR="001F7233">
          <w:rPr>
            <w:color w:val="0563C1"/>
            <w:u w:val="single"/>
          </w:rPr>
          <w:t>egov.uscis.gov/processing-times</w:t>
        </w:r>
      </w:hyperlink>
      <w:r>
        <w:t>)</w:t>
      </w:r>
    </w:p>
    <w:p w14:paraId="393280F5" w14:textId="77777777" w:rsidR="001F7233" w:rsidRDefault="00000000">
      <w:pPr>
        <w:pStyle w:val="ListParagraph"/>
        <w:numPr>
          <w:ilvl w:val="0"/>
          <w:numId w:val="1"/>
        </w:numPr>
        <w:spacing w:after="60"/>
      </w:pPr>
      <w:r>
        <w:t>State Department — Verzicht auf die US-Staatsbürgerschaft, Geburt im Ausland (</w:t>
      </w:r>
      <w:hyperlink r:id="rId565">
        <w:r w:rsidR="001F7233">
          <w:rPr>
            <w:color w:val="0563C1"/>
            <w:u w:val="single"/>
          </w:rPr>
          <w:t>travel.state.gov</w:t>
        </w:r>
      </w:hyperlink>
      <w:r>
        <w:t>)</w:t>
      </w:r>
    </w:p>
    <w:p w14:paraId="618A01A1" w14:textId="77777777" w:rsidR="001F7233" w:rsidRDefault="00000000">
      <w:pPr>
        <w:pStyle w:val="ListParagraph"/>
        <w:numPr>
          <w:ilvl w:val="0"/>
          <w:numId w:val="1"/>
        </w:numPr>
        <w:spacing w:after="60"/>
      </w:pPr>
      <w:r>
        <w:t>IRS — Expatriation Tax (</w:t>
      </w:r>
      <w:hyperlink r:id="rId566">
        <w:r w:rsidR="001F7233">
          <w:rPr>
            <w:color w:val="0563C1"/>
            <w:u w:val="single"/>
          </w:rPr>
          <w:t>irs.gov/individuals/international-taxpayers/expatriation-tax</w:t>
        </w:r>
      </w:hyperlink>
      <w:r>
        <w:t>)</w:t>
      </w:r>
    </w:p>
    <w:p w14:paraId="066D7A66" w14:textId="77777777" w:rsidR="001F7233" w:rsidRDefault="00000000">
      <w:pPr>
        <w:pStyle w:val="ListParagraph"/>
        <w:numPr>
          <w:ilvl w:val="0"/>
          <w:numId w:val="1"/>
        </w:numPr>
        <w:spacing w:after="60"/>
      </w:pPr>
      <w:r>
        <w:t>Bundesverwaltungsamt — Mehrstaatigkeit und Beibehaltung (</w:t>
      </w:r>
      <w:hyperlink r:id="rId567">
        <w:r w:rsidR="001F7233">
          <w:rPr>
            <w:color w:val="0563C1"/>
            <w:u w:val="single"/>
          </w:rPr>
          <w:t>bva.bund.de</w:t>
        </w:r>
      </w:hyperlink>
      <w:r>
        <w:t>)</w:t>
      </w:r>
    </w:p>
    <w:p w14:paraId="30FD46AA" w14:textId="77777777" w:rsidR="001F7233" w:rsidRDefault="00000000">
      <w:pPr>
        <w:pStyle w:val="ListParagraph"/>
        <w:numPr>
          <w:ilvl w:val="0"/>
          <w:numId w:val="1"/>
        </w:numPr>
        <w:spacing w:after="60"/>
      </w:pPr>
      <w:r>
        <w:t>Deutsche Auslandsvertretungen — Staatsangehörigkeit, Geburtsbeurkundung, Wahlen (</w:t>
      </w:r>
      <w:hyperlink r:id="rId568">
        <w:r w:rsidR="001F7233">
          <w:rPr>
            <w:color w:val="0563C1"/>
            <w:u w:val="single"/>
          </w:rPr>
          <w:t>germany.info/us-en</w:t>
        </w:r>
      </w:hyperlink>
      <w:r>
        <w:t>)</w:t>
      </w:r>
    </w:p>
    <w:p w14:paraId="7F8CB6A7" w14:textId="77777777" w:rsidR="001F7233" w:rsidRDefault="00000000">
      <w:pPr>
        <w:pStyle w:val="ListParagraph"/>
        <w:numPr>
          <w:ilvl w:val="0"/>
          <w:numId w:val="1"/>
        </w:numPr>
        <w:spacing w:after="60"/>
      </w:pPr>
      <w:r>
        <w:t>Bundeswahlleiterin — Wählen aus dem Ausland (</w:t>
      </w:r>
      <w:hyperlink r:id="rId569">
        <w:r w:rsidR="001F7233">
          <w:rPr>
            <w:color w:val="0563C1"/>
            <w:u w:val="single"/>
          </w:rPr>
          <w:t>bundeswahlleiterin.de</w:t>
        </w:r>
      </w:hyperlink>
      <w:r>
        <w:t>)</w:t>
      </w:r>
    </w:p>
    <w:p w14:paraId="54482F22" w14:textId="77777777" w:rsidR="001F7233" w:rsidRDefault="00000000">
      <w:pPr>
        <w:pStyle w:val="ListParagraph"/>
        <w:numPr>
          <w:ilvl w:val="0"/>
          <w:numId w:val="1"/>
        </w:numPr>
        <w:spacing w:after="60"/>
      </w:pPr>
      <w:r>
        <w:t>Oberster Gerichtshof – Entscheidung Nr. 25-365 (</w:t>
      </w:r>
      <w:hyperlink r:id="rId570">
        <w:r w:rsidR="001F7233">
          <w:rPr>
            <w:color w:val="0563C1"/>
            <w:u w:val="single"/>
          </w:rPr>
          <w:t>supremecourt.gov/opinions/25pdf/25-365_4hdj.pdf</w:t>
        </w:r>
      </w:hyperlink>
      <w:r>
        <w:t>)</w:t>
      </w:r>
    </w:p>
    <w:p w14:paraId="70451EF7" w14:textId="77777777" w:rsidR="001F7233" w:rsidRDefault="001F7233">
      <w:pPr>
        <w:spacing w:line="120" w:lineRule="exact"/>
      </w:pPr>
    </w:p>
    <w:p w14:paraId="26C1CDFD" w14:textId="77777777" w:rsidR="001F7233" w:rsidRDefault="00000000">
      <w:r>
        <w:t>• September 2026 (Schreibdatum 20. September 2026). Schnell ändern sich USCIS-Gebühren und Bearbeitungszeiten, die Vorgaben zu Staatskundetest, Charakterprüfung und Nachbarschaftsermittlungen, die Exit-Tax-Werte (jährlich neu festgesetzt; 2026: 211.000 $ und 910.000 $), die Verzichtsgebühr (450 $ seit 13. April 2026), die Verfahren um die Executive Orders vom 6. August 2026 zur Geburtsstaatsbürgerschaft und der Start von ETIAS. Prüfe vor jedem Schritt die offiziellen Seiten.</w:t>
      </w:r>
    </w:p>
    <w:p w14:paraId="740817E2" w14:textId="77777777" w:rsidR="001F7233" w:rsidRDefault="00000000">
      <w:pPr>
        <w:spacing w:line="220" w:lineRule="exact"/>
      </w:pPr>
      <w:r>
        <w:br w:type="page"/>
      </w:r>
    </w:p>
    <w:p w14:paraId="7589230C" w14:textId="77777777" w:rsidR="001F7233" w:rsidRDefault="00000000">
      <w:pPr>
        <w:pStyle w:val="Heading2"/>
        <w:keepNext/>
        <w:spacing w:line="341" w:lineRule="auto"/>
        <w:jc w:val="center"/>
      </w:pPr>
      <w:bookmarkStart w:id="82" w:name="k42"/>
      <w:r>
        <w:rPr>
          <w:rFonts w:ascii="Amazon Ember" w:eastAsia="Amazon Ember" w:hAnsi="Amazon Ember" w:cs="Amazon Ember"/>
          <w:color w:val="0000FF"/>
          <w:sz w:val="36"/>
          <w:szCs w:val="36"/>
        </w:rPr>
        <w:lastRenderedPageBreak/>
        <w:t>Kapitel 42: Plan B: Die Rückkehr nach Deutschland</w:t>
      </w:r>
      <w:bookmarkEnd w:id="82"/>
    </w:p>
    <w:p w14:paraId="29127D92" w14:textId="77777777" w:rsidR="001F7233" w:rsidRDefault="00000000">
      <w:pPr>
        <w:spacing w:after="140"/>
      </w:pPr>
      <w:r>
        <w:t xml:space="preserve">Der USA-Pfad behandelt hier nur den Green-Card-Status, die letzte US-Steuererklärung und die betriebliche Altersvorsorge. Prüfe Beträge in den zuständigen Behördenquellen kurz vor jedem Schritt. Die deutsche Seite – Krankenkasse, Anmeldung, Kindergeld, Schule, Rente, Konto und Zoll – ist im Kapitel </w:t>
      </w:r>
      <w:hyperlink w:anchor="t0004">
        <w:r w:rsidR="001F7233">
          <w:rPr>
            <w:color w:val="0563C1"/>
            <w:u w:val="single"/>
          </w:rPr>
          <w:t>Die Rückkehr nach Deutschland</w:t>
        </w:r>
      </w:hyperlink>
      <w:r>
        <w:t>.</w:t>
      </w:r>
    </w:p>
    <w:p w14:paraId="45680768" w14:textId="77777777" w:rsidR="001F7233" w:rsidRDefault="00000000">
      <w:pPr>
        <w:spacing w:after="140"/>
      </w:pPr>
      <w:r>
        <w:t>Irgendwann fällt der Satz zum ersten Mal offen aus: „Sollen wir zurück?“ Mal ist der Auslöser ein Stellenabbau, mal ein Elternteil in Deutschland, mal das Gefühl, dass dieses Leben nicht das eigene geworden ist. Eine Rückkehr ist kein Beleg, dass die Jahre falsch waren.</w:t>
      </w:r>
    </w:p>
    <w:p w14:paraId="42F0F18E" w14:textId="77777777" w:rsidR="001F7233" w:rsidRDefault="00000000">
      <w:r>
        <w:rPr>
          <w:b/>
        </w:rPr>
        <w:t xml:space="preserve">KURZ GESAGT: </w:t>
      </w:r>
    </w:p>
    <w:p w14:paraId="306FA715" w14:textId="77777777" w:rsidR="001F7233" w:rsidRDefault="00000000">
      <w:r>
        <w:t>• Eine Rückkehr ist normal: Verträge enden, Firmen bauen ab, Familien verändern sich. Sie ist kein Beleg dafür, dass die Auswanderung falsch war.</w:t>
      </w:r>
    </w:p>
    <w:p w14:paraId="4669A9F2" w14:textId="77777777" w:rsidR="001F7233" w:rsidRDefault="00000000">
      <w:r>
        <w:t>• Krankenversicherung, letzte US-Steuererklärung und der Umgang mit der Green Card brauchen drei bis sechs Monate Vorlauf.</w:t>
      </w:r>
    </w:p>
    <w:p w14:paraId="5EA9702B" w14:textId="77777777" w:rsidR="001F7233" w:rsidRDefault="00000000">
      <w:r>
        <w:t>• Wer die Green Card acht Jahre oder länger hatte, muss die Exit Tax prüfen (lassen). Bei kürzerer Zeit betrifft sie dich in aller Regel nicht.</w:t>
      </w:r>
    </w:p>
    <w:p w14:paraId="254117DC" w14:textId="77777777" w:rsidR="001F7233" w:rsidRDefault="00000000">
      <w:r>
        <w:t>• Krankenversicherung, Wohnungssuche und Bankkonto ohne aktuelle Schufa-Historie sind die am meisten unterschätzten Themen der Rückkehr.</w:t>
      </w:r>
    </w:p>
    <w:p w14:paraId="4D3D1E86" w14:textId="77777777" w:rsidR="001F7233" w:rsidRDefault="00000000">
      <w:r>
        <w:t>• Der umgekehrte Kulturschock trifft viele härter als erwartet: Man rechnet nicht damit, sich in der eigenen Heimat fremd zu fühlen.</w:t>
      </w:r>
    </w:p>
    <w:p w14:paraId="3CC8DF16" w14:textId="77777777" w:rsidR="001F7233" w:rsidRDefault="001F7233">
      <w:pPr>
        <w:spacing w:line="220" w:lineRule="exact"/>
      </w:pPr>
    </w:p>
    <w:p w14:paraId="012311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eine Rückkehr kein Scheitern ist</w:t>
      </w:r>
    </w:p>
    <w:p w14:paraId="396CECE2" w14:textId="77777777" w:rsidR="001F7233" w:rsidRDefault="00000000">
      <w:pPr>
        <w:spacing w:after="140"/>
      </w:pPr>
      <w:r>
        <w:t>Verbreiteter Irrtum: Wer zurückkehrt, habe irgendwie versagt. Tatsächlich ist Auswanderung selten eine Einbahnstraße fürs Leben, sie ist eine Entscheidung für eine Lebensphase. Der Arbeitgeber ruft den Sponsor zurück, der Green-Card-Prozess dauert länger als geplant (Kapitel </w:t>
      </w:r>
      <w:hyperlink w:anchor="k6">
        <w:r w:rsidR="001F7233">
          <w:t>6</w:t>
        </w:r>
      </w:hyperlink>
      <w:r>
        <w:t>), das Kind kommt ins Teenageralter und soll in Deutschland aufs Gymnasium, die eigenen Eltern werden pflegebedürftig, oder man merkt schlicht nach einigen Jahren, dass einem das amerikanische Leben trotz allem nicht liegt. Nichts davon ist ein Urteil über die Zeit in den USA. Die Buchbibel dieses Ratgebers gilt auch hier: ehrliche Bilanz statt Bewertung. Wer die Rückkehr früh und nüchtern plant, kommt mit weniger Verlust zurück als jemand, der erst in letzter Minute reagiert.</w:t>
      </w:r>
    </w:p>
    <w:p w14:paraId="22C876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Signale erkennen und die Entscheidung treffen</w:t>
      </w:r>
    </w:p>
    <w:p w14:paraId="7F81FCC5" w14:textId="77777777" w:rsidR="001F7233" w:rsidRDefault="00000000">
      <w:pPr>
        <w:spacing w:after="140"/>
      </w:pPr>
      <w:r>
        <w:t xml:space="preserve">Typische Auslöser: ein </w:t>
      </w:r>
      <w:r>
        <w:rPr>
          <w:i/>
          <w:iCs/>
        </w:rPr>
        <w:t>Layoff</w:t>
      </w:r>
      <w:r>
        <w:t xml:space="preserve"> (Stellenabbau) ohne neue Sponsoring-Option binnen der 60-Tage-Frist (Kapitel </w:t>
      </w:r>
      <w:hyperlink w:anchor="k30">
        <w:r w:rsidR="001F7233">
          <w:t>30</w:t>
        </w:r>
      </w:hyperlink>
      <w:r>
        <w:t>), ein H-1B-Verlängerungsantrag, der abgelehnt wird, ein Green-Card-Verfahren, das sich um Jahre verzögert, eine Scheidung oder Trennung, finanzielle Rechnungen, die in den USA nicht mehr aufgehen (Kapitel </w:t>
      </w:r>
      <w:hyperlink w:anchor="k3">
        <w:r w:rsidR="001F7233">
          <w:t>3</w:t>
        </w:r>
      </w:hyperlink>
      <w:r>
        <w:t>), oder familiäre Gründe, die keinen Zahlenbeweis brauchen. Sprich die Entscheidung offen mit Partner und Kindern durch, bevor Fristen dich treiben.</w:t>
      </w:r>
    </w:p>
    <w:p w14:paraId="38CB0628" w14:textId="77777777" w:rsidR="001F7233" w:rsidRDefault="00000000">
      <w:r>
        <w:rPr>
          <w:b/>
        </w:rPr>
        <w:t xml:space="preserve">ACHTUNG: </w:t>
      </w:r>
    </w:p>
    <w:p w14:paraId="5FB7F848" w14:textId="77777777" w:rsidR="001F7233" w:rsidRDefault="00000000">
      <w:r>
        <w:t>• Triff die Grundsatzentscheidung nicht unter dem Druck einer laufenden Frist. Wer erst nach der Kündigung anfängt, Krankenversicherung, Steuern und Green-Card-Status zu klären, zahlt fast immer mehr und hat weniger Auswahl.</w:t>
      </w:r>
    </w:p>
    <w:p w14:paraId="2FBCD480" w14:textId="77777777" w:rsidR="001F7233" w:rsidRDefault="001F7233">
      <w:pPr>
        <w:spacing w:line="220" w:lineRule="exact"/>
      </w:pPr>
    </w:p>
    <w:p w14:paraId="7A30ED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Zeitplan: von sechs Monaten bis zur Ankunft</w:t>
      </w:r>
    </w:p>
    <w:p w14:paraId="4201AD56" w14:textId="77777777" w:rsidR="001F7233" w:rsidRDefault="00000000">
      <w:r>
        <w:rPr>
          <w:b/>
        </w:rPr>
        <w:t>T–6 Monate</w:t>
      </w:r>
    </w:p>
    <w:p w14:paraId="556391E2" w14:textId="77777777" w:rsidR="001F7233" w:rsidRDefault="00000000">
      <w:r>
        <w:rPr>
          <w:b/>
        </w:rPr>
        <w:t xml:space="preserve">Aufgabe: </w:t>
      </w:r>
      <w:r>
        <w:t>Entscheidung mit Familie treffen, Zeitpunkt am deutschen Schuljahr ausrichten</w:t>
      </w:r>
    </w:p>
    <w:p w14:paraId="67E07C8A" w14:textId="77777777" w:rsidR="001F7233" w:rsidRDefault="00000000">
      <w:r>
        <w:rPr>
          <w:b/>
        </w:rPr>
        <w:t xml:space="preserve">Warum: </w:t>
      </w:r>
      <w:r>
        <w:t>Schulwechsel im August/September ist deutlich leichter als mitten im Halbjahr</w:t>
      </w:r>
    </w:p>
    <w:p w14:paraId="2A16BA7D" w14:textId="77777777" w:rsidR="001F7233" w:rsidRDefault="00000000">
      <w:r>
        <w:rPr>
          <w:b/>
        </w:rPr>
        <w:t>T–6 Monate</w:t>
      </w:r>
    </w:p>
    <w:p w14:paraId="44FD06A8" w14:textId="77777777" w:rsidR="001F7233" w:rsidRDefault="00000000">
      <w:r>
        <w:rPr>
          <w:b/>
        </w:rPr>
        <w:t xml:space="preserve">Aufgabe: </w:t>
      </w:r>
      <w:r>
        <w:t>GKV-/PKV-Anwartschaft prüfen und ggf. abschließen</w:t>
      </w:r>
    </w:p>
    <w:p w14:paraId="39F52C2E" w14:textId="77777777" w:rsidR="001F7233" w:rsidRDefault="00000000">
      <w:r>
        <w:rPr>
          <w:b/>
        </w:rPr>
        <w:t xml:space="preserve">Warum: </w:t>
      </w:r>
      <w:r>
        <w:t>sichert die Rückkehr ohne neue Gesundheitsprüfung</w:t>
      </w:r>
    </w:p>
    <w:p w14:paraId="0DACAFB0" w14:textId="77777777" w:rsidR="001F7233" w:rsidRDefault="00000000">
      <w:r>
        <w:rPr>
          <w:b/>
        </w:rPr>
        <w:t>T–5 Monate</w:t>
      </w:r>
    </w:p>
    <w:p w14:paraId="34DCB7A6" w14:textId="77777777" w:rsidR="001F7233" w:rsidRDefault="00000000">
      <w:r>
        <w:rPr>
          <w:b/>
        </w:rPr>
        <w:t xml:space="preserve">Aufgabe: </w:t>
      </w:r>
      <w:r>
        <w:t>Deutsche Rentenversicherung informieren, Green-Card-Weg entscheiden (I-407 oder Reentry Permit)</w:t>
      </w:r>
    </w:p>
    <w:p w14:paraId="127E2470" w14:textId="77777777" w:rsidR="001F7233" w:rsidRDefault="00000000">
      <w:r>
        <w:rPr>
          <w:b/>
        </w:rPr>
        <w:t xml:space="preserve">Warum: </w:t>
      </w:r>
      <w:r>
        <w:t>Vorlauf für Antrag und Biometrie</w:t>
      </w:r>
    </w:p>
    <w:p w14:paraId="0C489AF5" w14:textId="77777777" w:rsidR="001F7233" w:rsidRDefault="00000000">
      <w:r>
        <w:rPr>
          <w:b/>
        </w:rPr>
        <w:t>T–4 Monate</w:t>
      </w:r>
    </w:p>
    <w:p w14:paraId="586D5A4E" w14:textId="77777777" w:rsidR="001F7233" w:rsidRDefault="00000000">
      <w:r>
        <w:rPr>
          <w:b/>
        </w:rPr>
        <w:t xml:space="preserve">Aufgabe: </w:t>
      </w:r>
      <w:r>
        <w:t>Haus/Wohnung und Auto in den USA zum Verkauf anbieten</w:t>
      </w:r>
    </w:p>
    <w:p w14:paraId="762E501A" w14:textId="77777777" w:rsidR="001F7233" w:rsidRDefault="00000000">
      <w:r>
        <w:rPr>
          <w:b/>
        </w:rPr>
        <w:t xml:space="preserve">Warum: </w:t>
      </w:r>
      <w:r>
        <w:t>Verkauf als Resident ist steuerlich meist einfacher</w:t>
      </w:r>
    </w:p>
    <w:p w14:paraId="69C3F99E" w14:textId="77777777" w:rsidR="001F7233" w:rsidRDefault="00000000">
      <w:r>
        <w:rPr>
          <w:b/>
        </w:rPr>
        <w:t>T–3 Monate</w:t>
      </w:r>
    </w:p>
    <w:p w14:paraId="1E4C0C20" w14:textId="77777777" w:rsidR="001F7233" w:rsidRDefault="00000000">
      <w:r>
        <w:rPr>
          <w:b/>
        </w:rPr>
        <w:t xml:space="preserve">Aufgabe: </w:t>
      </w:r>
      <w:r>
        <w:t>Schule/Kita in Deutschland kontaktieren, Zeugnisse übersetzen lassen</w:t>
      </w:r>
    </w:p>
    <w:p w14:paraId="6679E66A" w14:textId="77777777" w:rsidR="001F7233" w:rsidRDefault="00000000">
      <w:r>
        <w:rPr>
          <w:b/>
        </w:rPr>
        <w:t xml:space="preserve">Warum: </w:t>
      </w:r>
      <w:r>
        <w:t>Einstufung und Platzvergabe brauchen Vorlauf</w:t>
      </w:r>
    </w:p>
    <w:p w14:paraId="6D895296" w14:textId="77777777" w:rsidR="001F7233" w:rsidRDefault="00000000">
      <w:r>
        <w:rPr>
          <w:b/>
        </w:rPr>
        <w:t>T–2 Monate</w:t>
      </w:r>
    </w:p>
    <w:p w14:paraId="48323BC7" w14:textId="77777777" w:rsidR="001F7233" w:rsidRDefault="00000000">
      <w:r>
        <w:rPr>
          <w:b/>
        </w:rPr>
        <w:t xml:space="preserve">Aufgabe: </w:t>
      </w:r>
      <w:r>
        <w:t>Umzugsfirma buchen, Übersiedlungsgut-Liste beginnen (</w:t>
      </w:r>
      <w:hyperlink w:anchor="k20">
        <w:r w:rsidR="001F7233">
          <w:rPr>
            <w:rStyle w:val="Hyperlink"/>
          </w:rPr>
          <w:t>Kapitel 20</w:t>
        </w:r>
      </w:hyperlink>
      <w:r>
        <w:t>)</w:t>
      </w:r>
    </w:p>
    <w:p w14:paraId="4A2C21BA" w14:textId="77777777" w:rsidR="001F7233" w:rsidRDefault="00000000">
      <w:r>
        <w:rPr>
          <w:b/>
        </w:rPr>
        <w:t xml:space="preserve">Warum: </w:t>
      </w:r>
      <w:r>
        <w:t>Zollfreiheit setzt Nachweise voraus</w:t>
      </w:r>
    </w:p>
    <w:p w14:paraId="1A16ADA5" w14:textId="77777777" w:rsidR="001F7233" w:rsidRDefault="00000000">
      <w:r>
        <w:rPr>
          <w:b/>
        </w:rPr>
        <w:t>T–1 Monat</w:t>
      </w:r>
    </w:p>
    <w:p w14:paraId="73105AF2" w14:textId="77777777" w:rsidR="001F7233" w:rsidRDefault="00000000">
      <w:r>
        <w:rPr>
          <w:b/>
        </w:rPr>
        <w:t xml:space="preserve">Aufgabe: </w:t>
      </w:r>
      <w:r>
        <w:t>US-Konten, Verträge, Mietvertrag kündigen; SCHUFA-Auskunft in Deutschland anfordern</w:t>
      </w:r>
    </w:p>
    <w:p w14:paraId="557DE51B" w14:textId="77777777" w:rsidR="001F7233" w:rsidRDefault="00000000">
      <w:r>
        <w:rPr>
          <w:b/>
        </w:rPr>
        <w:t xml:space="preserve">Warum: </w:t>
      </w:r>
      <w:r>
        <w:t>Fristen laufen unabhängig vom Flugdatum</w:t>
      </w:r>
    </w:p>
    <w:p w14:paraId="59CB2BED" w14:textId="77777777" w:rsidR="001F7233" w:rsidRDefault="00000000">
      <w:r>
        <w:rPr>
          <w:b/>
        </w:rPr>
        <w:t>Ankunft</w:t>
      </w:r>
    </w:p>
    <w:p w14:paraId="62610B3F" w14:textId="77777777" w:rsidR="001F7233" w:rsidRDefault="00000000">
      <w:r>
        <w:rPr>
          <w:b/>
        </w:rPr>
        <w:lastRenderedPageBreak/>
        <w:t xml:space="preserve">Aufgabe: </w:t>
      </w:r>
      <w:r>
        <w:t>Anmeldung, GKV/PKV aktivieren, Bankkonto reaktivieren, Kinder einschulen</w:t>
      </w:r>
    </w:p>
    <w:p w14:paraId="3FF95C29" w14:textId="77777777" w:rsidR="001F7233" w:rsidRDefault="00000000">
      <w:r>
        <w:rPr>
          <w:b/>
        </w:rPr>
        <w:t xml:space="preserve">Warum: </w:t>
      </w:r>
      <w:r>
        <w:t>gesetzliche Fristen beginnen mit dem Einzug</w:t>
      </w:r>
    </w:p>
    <w:p w14:paraId="5C51566D" w14:textId="77777777" w:rsidR="001F7233" w:rsidRDefault="00000000">
      <w:r>
        <w:rPr>
          <w:b/>
        </w:rPr>
        <w:t>Folgejahr</w:t>
      </w:r>
    </w:p>
    <w:p w14:paraId="376D8304" w14:textId="77777777" w:rsidR="001F7233" w:rsidRDefault="00000000">
      <w:r>
        <w:rPr>
          <w:b/>
        </w:rPr>
        <w:t xml:space="preserve">Aufgabe: </w:t>
      </w:r>
      <w:r>
        <w:t>Letzte US-Steuererklärung einreichen</w:t>
      </w:r>
    </w:p>
    <w:p w14:paraId="7F480E1C" w14:textId="77777777" w:rsidR="001F7233" w:rsidRDefault="00000000">
      <w:r>
        <w:rPr>
          <w:b/>
        </w:rPr>
        <w:t xml:space="preserve">Warum: </w:t>
      </w:r>
      <w:r>
        <w:t>Frist 15. April, mit Verlängerung 15. Oktober</w:t>
      </w:r>
    </w:p>
    <w:p w14:paraId="0A524A53" w14:textId="77777777" w:rsidR="001F7233" w:rsidRDefault="001F7233">
      <w:pPr>
        <w:spacing w:line="180" w:lineRule="exact"/>
      </w:pPr>
    </w:p>
    <w:p w14:paraId="11FA19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42A7E147" w14:textId="77777777" w:rsidR="001F7233" w:rsidRDefault="00000000">
      <w:pPr>
        <w:spacing w:after="140"/>
      </w:pPr>
      <w:r>
        <w:t xml:space="preserve">Der Weg zurück in die gesetzliche oder private Kasse steht in </w:t>
      </w:r>
      <w:hyperlink w:anchor="t0004">
        <w:r w:rsidR="001F7233">
          <w:rPr>
            <w:color w:val="0563C1"/>
            <w:u w:val="single"/>
          </w:rPr>
          <w:t>Die Rückkehr nach Deutschland</w:t>
        </w:r>
      </w:hyperlink>
      <w:r>
        <w:t>. Dort stehen Auffangversicherung, die Jahresarbeitsentgeltgrenze und die 55-Jahre-Regel. Den Beitrag nennt deine Kasse. Dieses Kapitel druckt ihn nicht.</w:t>
      </w:r>
    </w:p>
    <w:p w14:paraId="3D7A34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beim Verlassen: die letzte Erklärung</w:t>
      </w:r>
    </w:p>
    <w:p w14:paraId="144234DF" w14:textId="77777777" w:rsidR="001F7233" w:rsidRDefault="00000000">
      <w:pPr>
        <w:spacing w:after="140"/>
      </w:pPr>
      <w:r>
        <w:rPr>
          <w:i/>
          <w:iCs/>
        </w:rPr>
        <w:t>Für das Jahr des Wegzugs stellst du meist eine geteilte Erklärung (Dual-Status Return): steuerpflichtig als Resident für den Teil des Jahres, in dem du noch in den USA gemeldet warst, danach als Nichtresident. In diesem Jahr entfällt die Standard Deduction und FBAR sowie Form 8938 gelten für die Zeit als Resident weiter. Die reguläre Frist ist der 15. April des Folgejahres, mit automatischer Fristverlängerung bis 15. Juni bei Wohnsitz außer der USA und auf Antrag (Form 4868) bis 15. Oktober.</w:t>
      </w:r>
    </w:p>
    <w:p w14:paraId="4AF318D1" w14:textId="77777777" w:rsidR="001F7233" w:rsidRDefault="00000000">
      <w:pPr>
        <w:spacing w:after="140"/>
      </w:pPr>
      <w:r>
        <w:rPr>
          <w:i/>
          <w:iCs/>
        </w:rPr>
        <w:t>Für die meisten H-1B- oder L-1-Rückkehrer und für Green-Card-Inhaber mit wenigen Jahren Aufenthalt endet die Steuerpflicht damit. Anders bei einem Long-term Resident (Green Card in mindestens acht der letzten fünfzehn Steuerjahre): Wer das erfüllt, muss prüfen, ob die Exit Tax greift. Die Schwellen und der Freibetrag stehen auf der IRS-Seite zur Expatriation Tax. Dieses Kapitel druckt sie nicht.</w:t>
      </w:r>
    </w:p>
    <w:p w14:paraId="6B0BE08A" w14:textId="77777777" w:rsidR="001F7233" w:rsidRDefault="00000000">
      <w:pPr>
        <w:spacing w:after="140"/>
      </w:pPr>
      <w:r>
        <w:t xml:space="preserve">Auf deutscher Seite entfällt eine bereits ausgelöste Wegzugsteuer für Unternehmensanteile (§ 6 AStG; relevant für Gründer und Gesellschafter mit mindestens 1 % Beteiligung) rückwirkend, wenn du innerhalb von sieben Jahren nach dem Wegzug wieder unbeschränkt steuerpflichtig in Deutschland wirst. Voraussetzung ist, dass du die Anteile in der Zwischenzeit weder verkauft noch übertragen hast. Bei glaubhafter Rückkehrabsicht kann die Frist um bis zu fünf weitere Jahre verlängert werden. Einzelheiten dazu stehen in Kapitel </w:t>
      </w:r>
      <w:hyperlink w:anchor="k17">
        <w:r w:rsidR="001F7233">
          <w:t>17</w:t>
        </w:r>
      </w:hyperlink>
      <w:r/>
      <w:r>
        <w:t>.</w:t>
      </w:r>
    </w:p>
    <w:p w14:paraId="41B20D70" w14:textId="77777777" w:rsidR="001F7233" w:rsidRDefault="00000000">
      <w:r>
        <w:t>• Das ist keine Rechts- oder Steuerberatung. Ob die Exit Tax greift, wie die letzte US-Erklärung aussieht und wie 401(k) oder Immobilienverkauf zu behandeln sind, hängt vom Einzelfall ab. Kläre das vor der Ausreise mit einer auf grenzüberschreitende Fälle spezialisierten Steuerfachperson (Certified Public Accountant oder Enrolled Agent) und, bei der Green-Card-Frage, mit einem Einwanderungsanwalt.</w:t>
      </w:r>
    </w:p>
    <w:p w14:paraId="66BA4C8A" w14:textId="77777777" w:rsidR="001F7233" w:rsidRDefault="001F7233">
      <w:pPr>
        <w:spacing w:line="220" w:lineRule="exact"/>
      </w:pPr>
    </w:p>
    <w:p w14:paraId="141735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aufgeben oder Wiedereinreisegenehmigung</w:t>
      </w:r>
    </w:p>
    <w:p w14:paraId="596F5ABC" w14:textId="77777777" w:rsidR="001F7233" w:rsidRDefault="00000000">
      <w:pPr>
        <w:spacing w:after="140"/>
      </w:pPr>
      <w:r>
        <w:rPr>
          <w:b/>
          <w:bCs/>
        </w:rPr>
        <w:t xml:space="preserve">Du musst dich vor der Ausreise entscheiden, wie du mit der Green Card umgehst. Endgültig aufgeben kannst du sie über Form I-407, kostenlos und freiwillig. Damit endet die Aufenthaltsberechtigung und, steuerlich, die Behandlung als US-Resident. Offenhalten kannst du die Option über eine Wiedereinreisegenehmigung (Form I-131). Die Gebühr steht auf dem USCIS-Gebührenverzeichnis. Du beantragst sie in den USA, bevor du abreist. Der Haken: Solange du die Green Card behältst, bleibst du weltweit US-steuerpflichtig und </w:t>
      </w:r>
      <w:r>
        <w:rPr>
          <w:b/>
          <w:bCs/>
        </w:rPr>
        <w:lastRenderedPageBreak/>
        <w:t>meldepflichtig (FBAR, Form 8938), auch wenn du in Deutschland lebst und arbeitest. Die Wiedereinreisegenehmigung schützt nur vor dem Vorwurf, den Wohnsitz endgültig verlegt zu haben, nicht vor der Steuerpflicht.</w:t>
      </w:r>
    </w:p>
    <w:p w14:paraId="1FF8D4B0" w14:textId="77777777" w:rsidR="001F7233" w:rsidRDefault="00000000">
      <w:r>
        <w:rPr>
          <w:b/>
        </w:rPr>
        <w:t xml:space="preserve">ACHTUNG: </w:t>
      </w:r>
    </w:p>
    <w:p w14:paraId="2804171E" w14:textId="77777777" w:rsidR="001F7233" w:rsidRDefault="00000000">
      <w:r>
        <w:t xml:space="preserve">• Unterschreibe ein I-407 nie unter Druck, etwa bei der Einreise nach einer langen Abwesenheit am Flughafenschalter. Du kannst stattdessen auf einem Verfahren vor einem Einwanderungsrichter bestehen; nur der kann die Aufgabe der Green Card förmlich feststellen. Die Rechte und Pflichten als Green-Card-Inhaber und der Vergleich zur Einbürgerung stehen in </w:t>
      </w:r>
      <w:hyperlink w:anchor="k41">
        <w:r w:rsidR="001F7233">
          <w:rPr>
            <w:color w:val="0563C1"/>
            <w:u w:val="single"/>
          </w:rPr>
          <w:t>Kapitel 41</w:t>
        </w:r>
      </w:hyperlink>
      <w:r>
        <w:t>.</w:t>
      </w:r>
    </w:p>
    <w:p w14:paraId="3FF78FB3" w14:textId="77777777" w:rsidR="001F7233" w:rsidRDefault="001F7233">
      <w:pPr>
        <w:spacing w:line="220" w:lineRule="exact"/>
      </w:pPr>
    </w:p>
    <w:p w14:paraId="175089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401(k), IRA und Depots: mitnehmen oder auflösen</w:t>
      </w:r>
    </w:p>
    <w:p w14:paraId="07B93FDD" w14:textId="77777777" w:rsidR="001F7233" w:rsidRDefault="00000000">
      <w:pPr>
        <w:spacing w:after="140"/>
      </w:pPr>
      <w:r>
        <w:t xml:space="preserve">Bist du steuerlich nicht mehr in den USA ansässig, weist das Doppelbesteuerungsabkommen private Renten und Auszahlungen aus Altersvorsorgeplänen grundsätzlich dem Wohnsitzstaat zu (Art. 18 Abs. 1–2) – in diesem Beispiel Deutschland. Die US-Vorabsteuer fällt dadurch nicht automatisch weg. Die depotführende Bank braucht die richtigen Formulare (Kapitel </w:t>
      </w:r>
      <w:hyperlink w:anchor="k39">
        <w:r w:rsidR="001F7233">
          <w:t>39</w:t>
        </w:r>
      </w:hyperlink>
      <w:r>
        <w:t>).</w:t>
      </w:r>
    </w:p>
    <w:p w14:paraId="68D3B4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 Auto und der Umzug zurück</w:t>
      </w:r>
    </w:p>
    <w:p w14:paraId="1CCA6E84" w14:textId="77777777" w:rsidR="001F7233" w:rsidRDefault="00000000">
      <w:pPr>
        <w:spacing w:after="140"/>
      </w:pPr>
      <w:r>
        <w:t>Ein Eigenheim oder Auto in den USA verkaufst du am einfachsten, solange du noch als Resident giltst (Kapitel </w:t>
      </w:r>
      <w:hyperlink w:anchor="k14">
        <w:r w:rsidR="001F7233">
          <w:t>14</w:t>
        </w:r>
      </w:hyperlink>
      <w:r>
        <w:t>). Verkaufst du erst nach der Ausreise als Nichtresident, kann FIRPTA einen Einbehalt vom Kaufpreis verlangen. Satz und Ausnahmen stehen auf der IRS-Seite zu FIRPTA. Dieses Kapitel druckt sie nicht. Ein Auto lässt sich ohne US-Adresse kaum versichern oder ummelden; der Verkauf vor dem Abflug ist fast immer die praktikablere Lösung als der teure und wegen abweichender Normen aufwendige Transport nach Deutschland.</w:t>
      </w:r>
    </w:p>
    <w:p w14:paraId="1CFE70FB" w14:textId="77777777" w:rsidR="001F7233" w:rsidRDefault="00000000">
      <w:pPr>
        <w:spacing w:after="140"/>
      </w:pPr>
      <w:r>
        <w:t xml:space="preserve">Die Logistik des Transports aus den USA steht in Kapitel </w:t>
      </w:r>
      <w:hyperlink w:anchor="k20">
        <w:r w:rsidR="001F7233">
          <w:t>20</w:t>
        </w:r>
      </w:hyperlink>
    </w:p>
    <w:p w14:paraId="68411B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Rente, Konto, zwei Wohnsitze</w:t>
      </w:r>
    </w:p>
    <w:p w14:paraId="24C556E6" w14:textId="77777777" w:rsidR="001F7233" w:rsidRDefault="00000000">
      <w:pPr>
        <w:spacing w:after="140"/>
      </w:pPr>
      <w:r>
        <w:t>US-spezifisch bleibt: Ein High-School-Diplom ist oft keine direkte deutsche Hochschulzugangsberechtigung; die Bewertung übernimmt die Zentralstelle für ausländisches Bildungswesen. Das deutsch-amerikanische Sozialversicherungsabkommen kann Versicherungszeiten für Mindestversicherungszeiten zusammenrechnen. Prüfe die Voraussetzungen bei der Deutschen Rentenversicherung und der Social Security Administration.</w:t>
      </w:r>
    </w:p>
    <w:p w14:paraId="41A38188" w14:textId="77777777" w:rsidR="001F7233" w:rsidRDefault="001F7233">
      <w:pPr>
        <w:spacing w:line="220" w:lineRule="exact"/>
      </w:pPr>
    </w:p>
    <w:p w14:paraId="38AD1F4A" w14:textId="77777777" w:rsidR="001F7233" w:rsidRDefault="001F7233">
      <w:pPr>
        <w:spacing w:line="180" w:lineRule="exact"/>
      </w:pPr>
    </w:p>
    <w:p w14:paraId="64962E6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07EFB0F" w14:textId="77777777" w:rsidR="001F7233" w:rsidRDefault="00000000">
      <w:pPr>
        <w:spacing w:after="140"/>
      </w:pPr>
      <w:r>
        <w:t>Beginne mit den zwei Entscheidungen, die alles andere prägen: Wie gehst du mit der Green Card um und willst du die Tür in die USA offenhalten oder schließen? Danach folgt der Rest fast von selbst – Krankenversicherung, letzte Steuererklärung, Schule, Wohnung. Wer sechs Monate Vorlauf hat, kommt mit deutlich weniger Reibung zurück als wer erst nach der Kündigung anfängt zu planen.</w:t>
      </w:r>
    </w:p>
    <w:p w14:paraId="52725FE4" w14:textId="77777777" w:rsidR="001F7233" w:rsidRDefault="00000000">
      <w:r>
        <w:lastRenderedPageBreak/>
        <w:t>• Entscheidung mit der Familie treffen, Zeitpunkt am deutschen Schuljahr ausrichten.</w:t>
      </w:r>
    </w:p>
    <w:p w14:paraId="08D587F8" w14:textId="77777777" w:rsidR="001F7233" w:rsidRDefault="00000000">
      <w:r>
        <w:t>• Entscheidung Green Card treffen: Form I-407 (endgültig) oder Reentry Permit (Option offenhalten).</w:t>
      </w:r>
    </w:p>
    <w:p w14:paraId="02CDFC48" w14:textId="77777777" w:rsidR="001F7233" w:rsidRDefault="00000000">
      <w:r>
        <w:t>• Letzte US-Steuererklärung mit einer grenzüberschreitend erfahrenen Steuerfachperson planen. Bei Green Card ab acht Jahren die Exit Tax prüfen lassen.</w:t>
      </w:r>
    </w:p>
    <w:p w14:paraId="3353F8B3" w14:textId="77777777" w:rsidR="001F7233" w:rsidRDefault="00000000">
      <w:r>
        <w:t>• Strategie für 401(k)/IRA festlegen: liegen lassen, übertragen oder auszahlen.</w:t>
      </w:r>
    </w:p>
    <w:p w14:paraId="3778BAC1" w14:textId="77777777" w:rsidR="001F7233" w:rsidRDefault="00000000">
      <w:r>
        <w:t>• Haus/Wohnung und Auto in den USA rechtzeitig verkaufen oder Vermietung klären.</w:t>
      </w:r>
    </w:p>
    <w:p w14:paraId="2DA152C9" w14:textId="77777777" w:rsidR="001F7233" w:rsidRDefault="001F7233">
      <w:pPr>
        <w:spacing w:line="220" w:lineRule="exact"/>
      </w:pPr>
    </w:p>
    <w:p w14:paraId="20F1A6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18334FE" w14:textId="77777777" w:rsidR="001F7233" w:rsidRDefault="00000000">
      <w:pPr>
        <w:pStyle w:val="ListParagraph"/>
        <w:numPr>
          <w:ilvl w:val="0"/>
          <w:numId w:val="1"/>
        </w:numPr>
        <w:spacing w:after="60"/>
      </w:pPr>
      <w:r>
        <w:t>USCIS – Green Card aufgeben, Form I-407 (</w:t>
      </w:r>
      <w:hyperlink r:id="rId571">
        <w:r w:rsidR="001F7233">
          <w:rPr>
            <w:color w:val="0563C1"/>
            <w:u w:val="single"/>
          </w:rPr>
          <w:t>uscis.gov/green-card</w:t>
        </w:r>
      </w:hyperlink>
      <w:r>
        <w:t>)</w:t>
      </w:r>
    </w:p>
    <w:p w14:paraId="5194F560" w14:textId="77777777" w:rsidR="001F7233" w:rsidRDefault="00000000">
      <w:pPr>
        <w:pStyle w:val="ListParagraph"/>
        <w:numPr>
          <w:ilvl w:val="0"/>
          <w:numId w:val="1"/>
        </w:numPr>
        <w:spacing w:after="60"/>
      </w:pPr>
      <w:r>
        <w:t>USCIS – Wiedereinreisegenehmigung, Form I-131 (</w:t>
      </w:r>
      <w:hyperlink r:id="rId572">
        <w:r w:rsidR="001F7233">
          <w:rPr>
            <w:color w:val="0563C1"/>
            <w:u w:val="single"/>
          </w:rPr>
          <w:t>uscis.gov/i-131</w:t>
        </w:r>
      </w:hyperlink>
      <w:r>
        <w:t>)</w:t>
      </w:r>
    </w:p>
    <w:p w14:paraId="5A963C84" w14:textId="77777777" w:rsidR="001F7233" w:rsidRDefault="00000000">
      <w:pPr>
        <w:pStyle w:val="ListParagraph"/>
        <w:numPr>
          <w:ilvl w:val="0"/>
          <w:numId w:val="1"/>
        </w:numPr>
        <w:spacing w:after="60"/>
      </w:pPr>
      <w:r>
        <w:t>IRS – Expatriation Tax (</w:t>
      </w:r>
      <w:hyperlink r:id="rId573">
        <w:r w:rsidR="001F7233">
          <w:rPr>
            <w:color w:val="0563C1"/>
            <w:u w:val="single"/>
          </w:rPr>
          <w:t>irs.gov/individuals/international-taxpayers/expatriation-tax</w:t>
        </w:r>
      </w:hyperlink>
      <w:r>
        <w:t>)</w:t>
      </w:r>
    </w:p>
    <w:p w14:paraId="509C6939" w14:textId="77777777" w:rsidR="001F7233" w:rsidRDefault="00000000">
      <w:pPr>
        <w:pStyle w:val="ListParagraph"/>
        <w:numPr>
          <w:ilvl w:val="0"/>
          <w:numId w:val="1"/>
        </w:numPr>
        <w:spacing w:after="60"/>
      </w:pPr>
      <w:r>
        <w:t>IRS – FIRPTA Withholding (</w:t>
      </w:r>
      <w:hyperlink r:id="rId574">
        <w:r w:rsidR="001F7233">
          <w:rPr>
            <w:color w:val="0563C1"/>
            <w:u w:val="single"/>
          </w:rPr>
          <w:t>irs.gov/individuals/international-taxpayers/firpta-withholding</w:t>
        </w:r>
      </w:hyperlink>
      <w:r>
        <w:t>)</w:t>
      </w:r>
    </w:p>
    <w:p w14:paraId="1B7D7E4F" w14:textId="77777777" w:rsidR="001F7233" w:rsidRDefault="00000000">
      <w:pPr>
        <w:pStyle w:val="ListParagraph"/>
        <w:numPr>
          <w:ilvl w:val="0"/>
          <w:numId w:val="1"/>
        </w:numPr>
        <w:spacing w:after="60"/>
      </w:pPr>
      <w:r>
        <w:t>Gesetze im Internet – SGB V, §§ 5, 6, 9 (</w:t>
      </w:r>
      <w:hyperlink r:id="rId575">
        <w:r w:rsidR="001F7233">
          <w:rPr>
            <w:color w:val="0563C1"/>
            <w:u w:val="single"/>
          </w:rPr>
          <w:t>gesetze-im-internet.de/sgb_5</w:t>
        </w:r>
      </w:hyperlink>
      <w:r>
        <w:t>)</w:t>
      </w:r>
    </w:p>
    <w:p w14:paraId="386364EE" w14:textId="77777777" w:rsidR="001F7233" w:rsidRDefault="00000000">
      <w:pPr>
        <w:pStyle w:val="ListParagraph"/>
        <w:numPr>
          <w:ilvl w:val="0"/>
          <w:numId w:val="1"/>
        </w:numPr>
        <w:spacing w:after="60"/>
      </w:pPr>
      <w:r>
        <w:t>Deutsche Rentenversicherung – Arbeit und Rente in Deutschland und den USA (</w:t>
      </w:r>
      <w:hyperlink r:id="rId576">
        <w:r w:rsidR="001F7233">
          <w:rPr>
            <w:color w:val="0563C1"/>
            <w:u w:val="single"/>
          </w:rPr>
          <w:t>deutsche-rentenversicherung.de</w:t>
        </w:r>
      </w:hyperlink>
      <w:r>
        <w:t>)</w:t>
      </w:r>
    </w:p>
    <w:p w14:paraId="5823DC32" w14:textId="77777777" w:rsidR="001F7233" w:rsidRDefault="00000000">
      <w:pPr>
        <w:pStyle w:val="ListParagraph"/>
        <w:numPr>
          <w:ilvl w:val="0"/>
          <w:numId w:val="1"/>
        </w:numPr>
        <w:spacing w:after="60"/>
      </w:pPr>
      <w:r>
        <w:t>Zoll online – Übersiedlungsgut (</w:t>
      </w:r>
      <w:hyperlink r:id="rId577">
        <w:r w:rsidR="001F7233">
          <w:rPr>
            <w:color w:val="0563C1"/>
            <w:u w:val="single"/>
          </w:rPr>
          <w:t>zoll.de</w:t>
        </w:r>
      </w:hyperlink>
      <w:r>
        <w:t>)</w:t>
      </w:r>
    </w:p>
    <w:p w14:paraId="72C34CEB" w14:textId="77777777" w:rsidR="001F7233" w:rsidRDefault="00000000">
      <w:pPr>
        <w:pStyle w:val="ListParagraph"/>
        <w:numPr>
          <w:ilvl w:val="0"/>
          <w:numId w:val="1"/>
        </w:numPr>
        <w:spacing w:after="60"/>
      </w:pPr>
      <w:r>
        <w:t>DAAD New York – Anerkennung US-amerikanischer Abschlüsse (</w:t>
      </w:r>
      <w:hyperlink r:id="rId578">
        <w:r w:rsidR="001F7233">
          <w:rPr>
            <w:color w:val="0563C1"/>
            <w:u w:val="single"/>
          </w:rPr>
          <w:t>daad.org</w:t>
        </w:r>
      </w:hyperlink>
      <w:r>
        <w:t>)</w:t>
      </w:r>
    </w:p>
    <w:p w14:paraId="496ABCA5" w14:textId="77777777" w:rsidR="001F7233" w:rsidRDefault="001F7233">
      <w:pPr>
        <w:spacing w:line="120" w:lineRule="exact"/>
      </w:pPr>
    </w:p>
    <w:p w14:paraId="1ED3E7BA" w14:textId="77777777" w:rsidR="001F7233" w:rsidRDefault="00000000">
      <w:r>
        <w:t>• Quellen- und Datenstand: September 2026; Redaktionsschluss: Oktober 2026. Schnell ändern sich die Versicherungspflichtgrenze und die GKV-Beitragssätze (jährlich neu), die Exit-Tax-</w:t>
      </w:r>
      <w:r>
        <w:lastRenderedPageBreak/>
        <w:t>Schwellenwerte (211.000 $ und 910.000 $ für 2026, jährlich angepasst), die FIRPTA-Sätze und die Gebühren für I-407 und I-131. Prüfe vor jedem Schritt die offiziellen Seiten und sprich frühzeitig mit einer Steuerfachperson in beiden Ländern.</w:t>
      </w:r>
    </w:p>
    <w:p w14:paraId="426D7F9F" w14:textId="77777777" w:rsidR="001F7233" w:rsidRDefault="001F7233">
      <w:pPr>
        <w:spacing w:line="220" w:lineRule="exact"/>
      </w:pPr>
    </w:p>
    <w:p w14:paraId="7DC5C150" w14:textId="77777777" w:rsidR="001F7233" w:rsidRDefault="00000000">
      <w:r>
        <w:br w:type="page"/>
      </w:r>
    </w:p>
    <w:p w14:paraId="26961000" w14:textId="77777777" w:rsidR="001F7233" w:rsidRDefault="00000000">
      <w:pPr>
        <w:pStyle w:val="Heading1"/>
        <w:keepNext/>
        <w:spacing w:line="341" w:lineRule="auto"/>
        <w:jc w:val="center"/>
      </w:pPr>
      <w:bookmarkStart w:id="83" w:name="PathAustralien"/>
      <w:r>
        <w:rPr>
          <w:rFonts w:ascii="Amazon Ember" w:eastAsia="Amazon Ember" w:hAnsi="Amazon Ember" w:cs="Amazon Ember"/>
          <w:color w:val="0000FF"/>
        </w:rPr>
        <w:lastRenderedPageBreak/>
        <w:t>TEIL AUSTRALIEN — Fern, aber gut geregelt</w:t>
      </w:r>
      <w:bookmarkEnd w:id="83"/>
    </w:p>
    <w:p w14:paraId="65F0A63E" w14:textId="77777777" w:rsidR="001F7233" w:rsidRDefault="00000000">
      <w:pPr>
        <w:pStyle w:val="Heading3"/>
      </w:pPr>
      <w:r>
        <w:t>Australien gewählt? Dein direkter Lesepfad</w:t>
      </w:r>
    </w:p>
    <w:p w14:paraId="5C2674FC" w14:textId="77777777" w:rsidR="001F7233" w:rsidRDefault="00000000">
      <w:pPr>
        <w:spacing w:after="45"/>
        <w:ind w:left="300"/>
      </w:pPr>
      <w:r>
        <w:t xml:space="preserve">Wenn Australien feststeht, starte mit </w:t>
      </w:r>
      <w:hyperlink w:anchor="tau02">
        <w:r w:rsidR="001F7233">
          <w:rPr>
            <w:color w:val="0563C1"/>
            <w:u w:val="single"/>
          </w:rPr>
          <w:t>den Einwanderungswegen</w:t>
        </w:r>
      </w:hyperlink>
      <w:r>
        <w:t>. Bei einem Jobangebot lies den</w:t>
      </w:r>
      <w:hyperlink w:anchor="tau03">
        <w:r w:rsidR="001F7233">
          <w:rPr>
            <w:color w:val="0563C1"/>
            <w:u w:val="single"/>
          </w:rPr>
          <w:t xml:space="preserve"> Arbeitsweg</w:t>
        </w:r>
      </w:hyperlink>
      <w:r>
        <w:t>; bei einem reglementierten Beruf zuerst</w:t>
      </w:r>
      <w:hyperlink w:anchor="tau03a">
        <w:r w:rsidR="001F7233">
          <w:rPr>
            <w:color w:val="0563C1"/>
            <w:u w:val="single"/>
          </w:rPr>
          <w:t xml:space="preserve"> die Anerkennung</w:t>
        </w:r>
      </w:hyperlink>
      <w:r>
        <w:t>. Öffne</w:t>
      </w:r>
      <w:hyperlink w:anchor="tau04">
        <w:r w:rsidR="001F7233">
          <w:rPr>
            <w:color w:val="0563C1"/>
            <w:u w:val="single"/>
          </w:rPr>
          <w:t xml:space="preserve"> Familie und Ruhestand</w:t>
        </w:r>
      </w:hyperlink>
      <w:r>
        <w:t xml:space="preserve"> nur, wenn das auf dich zutrifft. Dann folgt </w:t>
      </w:r>
      <w:hyperlink w:anchor="tau05">
        <w:r w:rsidR="001F7233">
          <w:rPr>
            <w:color w:val="0563C1"/>
            <w:u w:val="single"/>
          </w:rPr>
          <w:t>Antrag und Kosten</w:t>
        </w:r>
      </w:hyperlink>
      <w:r>
        <w:t>.</w:t>
      </w:r>
    </w:p>
    <w:p w14:paraId="4A62C6EE"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au03a">
        <w:r w:rsidR="001F7233">
          <w:rPr>
            <w:color w:val="0563C1"/>
            <w:u w:val="single"/>
          </w:rPr>
          <w:t>Anerkennung deutscher Berufsabschlüsse</w:t>
        </w:r>
      </w:hyperlink>
      <w:r>
        <w:t xml:space="preserve">. </w:t>
      </w:r>
      <w:hyperlink w:anchor="tau06">
        <w:r w:rsidR="001F7233">
          <w:rPr>
            <w:color w:val="0563C1"/>
            <w:u w:val="single"/>
          </w:rPr>
          <w:t>Ankunft</w:t>
        </w:r>
      </w:hyperlink>
      <w:r>
        <w:t xml:space="preserve"> erklärt die Regeln für Hund, Katze und Container. Prüfe beim Working-Holiday-Weg die Altersgrenze für die Subclass 417. Nach der Landung: </w:t>
      </w:r>
      <w:hyperlink w:anchor="tau07">
        <w:r w:rsidR="001F7233">
          <w:rPr>
            <w:color w:val="0563C1"/>
            <w:u w:val="single"/>
          </w:rPr>
          <w:t>Steuer-ID und Bank</w:t>
        </w:r>
      </w:hyperlink>
      <w:r>
        <w:t xml:space="preserve"> → </w:t>
      </w:r>
      <w:hyperlink w:anchor="tau08">
        <w:r w:rsidR="001F7233">
          <w:rPr>
            <w:color w:val="0563C1"/>
            <w:u w:val="single"/>
          </w:rPr>
          <w:t>Gesundheit</w:t>
        </w:r>
      </w:hyperlink>
      <w:r>
        <w:t xml:space="preserve"> → </w:t>
      </w:r>
      <w:hyperlink w:anchor="tau09">
        <w:r w:rsidR="001F7233">
          <w:rPr>
            <w:color w:val="0563C1"/>
            <w:u w:val="single"/>
          </w:rPr>
          <w:t>Wohnen</w:t>
        </w:r>
      </w:hyperlink>
      <w:r>
        <w:t xml:space="preserve"> → </w:t>
      </w:r>
      <w:hyperlink w:anchor="tau10">
        <w:r w:rsidR="001F7233">
          <w:rPr>
            <w:color w:val="0563C1"/>
            <w:u w:val="single"/>
          </w:rPr>
          <w:t>Führerschein und Mobilität</w:t>
        </w:r>
      </w:hyperlink>
      <w:r>
        <w:t xml:space="preserve">. Für den Berufsalltag: </w:t>
      </w:r>
      <w:hyperlink w:anchor="tau14">
        <w:r w:rsidR="001F7233">
          <w:rPr>
            <w:color w:val="0563C1"/>
            <w:u w:val="single"/>
          </w:rPr>
          <w:t>Arbeitswelt</w:t>
        </w:r>
      </w:hyperlink>
      <w:r>
        <w:t>.</w:t>
      </w:r>
    </w:p>
    <w:p w14:paraId="4A767B11" w14:textId="77777777" w:rsidR="001F7233" w:rsidRDefault="00000000">
      <w:r>
        <w:br w:type="page"/>
      </w:r>
    </w:p>
    <w:p w14:paraId="3E5C1684" w14:textId="77777777" w:rsidR="001F7233" w:rsidRDefault="00000000">
      <w:pPr>
        <w:pStyle w:val="Heading2"/>
        <w:keepNext/>
        <w:spacing w:line="341" w:lineRule="auto"/>
        <w:jc w:val="center"/>
      </w:pPr>
      <w:bookmarkStart w:id="84" w:name="tau01"/>
      <w:r>
        <w:rPr>
          <w:rFonts w:ascii="Amazon Ember" w:eastAsia="Amazon Ember" w:hAnsi="Amazon Ember" w:cs="Amazon Ember"/>
          <w:color w:val="0000FF"/>
          <w:sz w:val="36"/>
          <w:szCs w:val="36"/>
        </w:rPr>
        <w:lastRenderedPageBreak/>
        <w:t>Australien: Die ehrliche Bilanz</w:t>
      </w:r>
      <w:bookmarkEnd w:id="84"/>
    </w:p>
    <w:p w14:paraId="6DD88989" w14:textId="77777777" w:rsidR="001F7233" w:rsidRDefault="00000000">
      <w:r>
        <w:rPr>
          <w:b/>
        </w:rPr>
        <w:t xml:space="preserve">KURZ GESAGT: </w:t>
      </w:r>
    </w:p>
    <w:p w14:paraId="272146D4" w14:textId="77777777" w:rsidR="001F7233" w:rsidRDefault="00000000">
      <w:r>
        <w:t>• Der OECD-Steuerkeil zeigt: Auf einen Durchschnittsverdiener entfallen in Australien rund 29,6 % der Arbeitskosten an Steuern und Abgaben, in Deutschland rund 49,3 %. Ein struktureller Vorteil, der aber geringere Sozialleistungen mit einpreist.</w:t>
      </w:r>
    </w:p>
    <w:p w14:paraId="42A708CF" w14:textId="77777777" w:rsidR="001F7233" w:rsidRDefault="00000000">
      <w:r>
        <w:t>• Medicare deckt die öffentliche Grundversorgung, aber Deutschland gehört nicht zu den elf Ländern mit einem Gegenseitigkeitsabkommen für Gesundheitsversorgung: Bis zum Daueraufenthaltstitel brauchst du private Zusatzversicherung.</w:t>
      </w:r>
    </w:p>
    <w:p w14:paraId="1D09C637" w14:textId="77777777" w:rsidR="001F7233" w:rsidRDefault="00000000">
      <w:r>
        <w:t>• Melbourne und Sydney liegen bei den Lebenshaltungskosten in ähnlichen Regionen wie München, mit spürbaren Unterschieden bei Miete und Gesundheitskosten.</w:t>
      </w:r>
    </w:p>
    <w:p w14:paraId="1B05FDBB" w14:textId="77777777" w:rsidR="001F7233" w:rsidRDefault="00000000">
      <w:r>
        <w:t>• Superannuation ersetzt die gesetzliche Rente nur teilweise: 12 % vom Arbeitgeber, aber wer als befristeter Visuminhaber wieder auswandert, zahlt beim Auszahlen bis zu 65 % Steuern auf das Ersparte.</w:t>
      </w:r>
    </w:p>
    <w:p w14:paraId="4FE3A8ED" w14:textId="77777777" w:rsidR="001F7233" w:rsidRDefault="00000000">
      <w:r>
        <w:t>• Schon der Antrag kostet: Ein Skilled-Visum schlägt allein an Behördengebühren mit rund 6.135 AUD pro Hauptantragsteller zu Buche, dazu kommen Tests, Gutachten und oft ein Migrationsberater.</w:t>
      </w:r>
    </w:p>
    <w:p w14:paraId="6BD47C90" w14:textId="77777777" w:rsidR="001F7233" w:rsidRDefault="00000000">
      <w:r>
        <w:t>• Am stärksten vermissen Auswanderer die Nähe zur Familie: Zwischen Deutschland und Australien gibt es keinen Direktflug und fast 20 Stunden Reisezeit.</w:t>
      </w:r>
    </w:p>
    <w:p w14:paraId="51BB92CD" w14:textId="77777777" w:rsidR="001F7233" w:rsidRDefault="001F7233">
      <w:pPr>
        <w:spacing w:line="220" w:lineRule="exact"/>
      </w:pPr>
    </w:p>
    <w:p w14:paraId="23FBB1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was am Ende übrig bleibt</w:t>
      </w:r>
    </w:p>
    <w:p w14:paraId="09CD5687" w14:textId="77777777" w:rsidR="001F7233" w:rsidRDefault="00000000">
      <w:pPr>
        <w:spacing w:after="140"/>
      </w:pPr>
      <w:r>
        <w:rPr>
          <w:i/>
          <w:iCs/>
        </w:rPr>
        <w:t xml:space="preserve">Die erste Zahl, die die meisten vergleichen, ist das Bruttogehalt. Sie ist fast immer beeindruckend höher als in Deutschland. Die zweite Zahl, die eigentlich zählt, ist das, was nach Steuern und Abgaben übrig bleibt. Hier lohnt der Blick auf den OECD-Steuerkeil (Tax Wedge, das </w:t>
      </w:r>
      <w:r>
        <w:rPr>
          <w:i/>
          <w:iCs/>
        </w:rPr>
        <w:lastRenderedPageBreak/>
        <w:t>Verhältnis aus Einkommensteuer plus Arbeitnehmer- und Arbeitgeberabgaben abzüglich Familienleistungen zu den gesamten Arbeitskosten). Für einen kinderlosen Durchschnittsverdiener lag er 2024 in Australien bei 29,6 %, in Deutschland bei 49,3 % (2025). Das ist nach Belgien der zweithöchste Wert unter 38 OECD-Ländern. Der Unterschied ist real, hat aber einen Preis: Deutschland zahlt dafür eine Krankenversicherung ohne Selbstbehalt, eine Pflegeversicherung und eine umlagefinanzierte Rente, die es in Australien so nicht gibt (mehr dazu weiter unten bei der Superannuation).</w:t>
      </w:r>
    </w:p>
    <w:p w14:paraId="257D2913" w14:textId="77777777" w:rsidR="001F7233" w:rsidRDefault="00000000">
      <w:pPr>
        <w:spacing w:after="140"/>
      </w:pPr>
      <w:r>
        <w:t>Konkret gilt für Steueransässige (</w:t>
      </w:r>
      <w:r>
        <w:rPr>
          <w:i/>
          <w:iCs/>
        </w:rPr>
        <w:t>Residents</w:t>
      </w:r>
      <w:r>
        <w:t xml:space="preserve">) im australischen Finanzjahr 2026–27 (1. Juli 2026 bis 30. Juni 2027) ein Stufentarif: 0 % bis 18.200 AUD, 15 % von 18.201 bis 45.000 AUD, 30 % von 45.001 bis 135.000 AUD, 37 % von 135.001 bis 190.000 AUD und 45 % darüber. Der </w:t>
      </w:r>
      <w:r>
        <w:rPr>
          <w:i/>
          <w:iCs/>
        </w:rPr>
        <w:t>Low Income Tax Offset</w:t>
      </w:r>
      <w:r>
        <w:t xml:space="preserve"> (LITO, eine Steuergutschrift für niedrige Einkommen von bis zu 700 AUD) hebt die faktische Steuerfreigrenze für die meisten auf rund 22.867 AUD. Dazu kommt die </w:t>
      </w:r>
      <w:r>
        <w:rPr>
          <w:i/>
          <w:iCs/>
        </w:rPr>
        <w:t>Medicare Levy</w:t>
      </w:r>
      <w:r>
        <w:t>: pauschal 2,0 % des zu versteuernden Einkommens. Sie finanziert den öffentlichen Gesundheitsdienst mit.</w:t>
      </w:r>
    </w:p>
    <w:p w14:paraId="4D9D81F0" w14:textId="77777777" w:rsidR="001F7233" w:rsidRDefault="00000000">
      <w:r>
        <w:rPr>
          <w:b/>
        </w:rPr>
        <w:t xml:space="preserve">ACHTUNG: </w:t>
      </w:r>
    </w:p>
    <w:p w14:paraId="2E8EAB55" w14:textId="77777777" w:rsidR="001F7233" w:rsidRDefault="00000000">
      <w:r>
        <w:t>• Diese Sätze gelten nur, sobald du steuerlich als „Resident“ giltst. Wer diesen Status noch nicht hat – etwa in den ersten Monaten nach der Einreise oder mit einem befristeten Visum ohne gefestigten Wohnsitz –, zahlt als „Foreign Resident“ ohne jeden Steuerfreibetrag. Das sind 30 % ab dem ersten Dollar bis 135.000 AUD, danach dieselben oberen Stufen. Wer auch ohne vorgelegte Steuernummer (Tax File Number, TFN) arbeitet, riskiert eine Vorsteuer von 47 % auf den gesamten Lohn. Zu viel gezahlte Beträge kommen erst mit der nächsten Steuererklärung zurück.</w:t>
      </w:r>
    </w:p>
    <w:p w14:paraId="324F98DF" w14:textId="77777777" w:rsidR="001F7233" w:rsidRDefault="001F7233">
      <w:pPr>
        <w:spacing w:line="220" w:lineRule="exact"/>
      </w:pPr>
    </w:p>
    <w:p w14:paraId="32A8774F" w14:textId="77777777" w:rsidR="001F7233" w:rsidRDefault="00000000">
      <w:pPr>
        <w:spacing w:after="140"/>
      </w:pPr>
      <w:r>
        <w:rPr>
          <w:i/>
          <w:iCs/>
        </w:rPr>
        <w:t xml:space="preserve">Besserverdiener sollten außerdem die Medicare Levy Surcharge (MLS, ein Zuschlag für Besserverdiener ohne private Krankenhausversicherung) im Blick behalten. Wer ohne private Absicherung mehr als 105.000 AUD (Singles) oder 210.000 AUD </w:t>
      </w:r>
      <w:r>
        <w:rPr>
          <w:i/>
          <w:iCs/>
        </w:rPr>
        <w:lastRenderedPageBreak/>
        <w:t>(Familien) verdient, zahlt obendrauf 1,0 bis 1,5 % Aufschlag. Da die meisten befristeten Visa ohnehin eine private Zusatzversicherung verlangen (siehe unten), betrifft das vor allem Personen mit unbefristetem Aufenthaltstitel, die bewusst auf eine private Versicherung verzichten.</w:t>
      </w:r>
    </w:p>
    <w:p w14:paraId="03F5D271" w14:textId="77777777" w:rsidR="001F7233" w:rsidRDefault="00000000">
      <w:r>
        <w:rPr>
          <w:b/>
        </w:rPr>
        <w:t xml:space="preserve">SPARTIPP: </w:t>
      </w:r>
    </w:p>
    <w:p w14:paraId="0896EA22" w14:textId="77777777" w:rsidR="001F7233" w:rsidRDefault="00000000">
      <w:r>
        <w:t>• Beantrage die Steuernummer (TFN), sobald du in Australien angekommen bist. Sie ist kostenlos, aber ohne sie behält jeder Arbeitgeber pauschal 47 % vom Lohn ein. Gerade in den ersten, schon teuren Wochen macht das einen spürbaren Unterschied für die Liquidität.</w:t>
      </w:r>
    </w:p>
    <w:p w14:paraId="20A0CCDB" w14:textId="77777777" w:rsidR="001F7233" w:rsidRDefault="001F7233">
      <w:pPr>
        <w:spacing w:line="220" w:lineRule="exact"/>
      </w:pPr>
    </w:p>
    <w:p w14:paraId="53DFB1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Sydney und Melbourne im Vergleich</w:t>
      </w:r>
    </w:p>
    <w:p w14:paraId="47A44BC0" w14:textId="77777777" w:rsidR="001F7233" w:rsidRDefault="00000000">
      <w:pPr>
        <w:spacing w:after="140"/>
      </w:pPr>
      <w:r>
        <w:t>Diese Zahlen sagen nichts über die Verteilung in der Stadt. Ein Vorort mit gutem Schulbezirk in Melbourne kann ebenso über dem Durchschnitt liegen wie ein Szeneviertel in Sydney. Wer beim Gehaltsvergleich nur die Bruttolohnzahl neben die deutsche Zahl aus der Gehaltsabrechnung legt, unterschätzt regelmäßig, wie viel von der besseren Steuerquote die Miete in begehrten Stadtteilen wieder auffrisst.</w:t>
      </w:r>
    </w:p>
    <w:p w14:paraId="04FACE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Medicare, die Lücke und private Vorsorge</w:t>
      </w:r>
    </w:p>
    <w:p w14:paraId="24C1B4FB" w14:textId="77777777" w:rsidR="001F7233" w:rsidRDefault="00000000">
      <w:pPr>
        <w:spacing w:after="140"/>
      </w:pPr>
      <w:r>
        <w:rPr>
          <w:i/>
          <w:iCs/>
        </w:rPr>
        <w:t xml:space="preserve">Verbreiteter Irrtum: Wer aus einem EU-Land kommt, hat automatisch Zugang zum australischen Gesundheitssystem, ähnlich wie in der EU über die Europäische Krankenversicherungskarte. Tatsächlich unterhält Australien Reciprocal Health Care Agreements (Gegenseitigkeitsabkommen für Gesundheitsversorgung) mit nur elf </w:t>
      </w:r>
      <w:r>
        <w:rPr>
          <w:i/>
          <w:iCs/>
        </w:rPr>
        <w:lastRenderedPageBreak/>
        <w:t>Ländern, darunter Großbritannien, Irland, die Niederlande, Belgien und Italien. Deutschland gehört nicht dazu. Wer mit einem befristeten Visum einreist. Working Holiday, Studium, arbeitgebergesponsertes Arbeitsvisum –, hat deshalb keinen Zugang zu Medicare. Er muss sich privat absichern, bis ein Daueraufenthaltstitel vorliegt.</w:t>
      </w:r>
    </w:p>
    <w:p w14:paraId="3648CC7D" w14:textId="77777777" w:rsidR="001F7233" w:rsidRDefault="00000000">
      <w:pPr>
        <w:spacing w:after="140"/>
      </w:pPr>
      <w:r>
        <w:t xml:space="preserve">Für die meisten befristeten Visa ist eine private Zusatzversicherung ohnehin Pflicht. </w:t>
      </w:r>
      <w:r>
        <w:rPr>
          <w:i/>
          <w:iCs/>
        </w:rPr>
        <w:t>Overseas Visitor Health Cover</w:t>
      </w:r>
      <w:r>
        <w:t xml:space="preserve"> (OVHC) für Arbeits- und andere befristete Visa kostet je nach Anbieter und Deckungsumfang etwa 80 bis 150 AUD im Monat für eine Einzelperson, </w:t>
      </w:r>
      <w:r>
        <w:rPr>
          <w:i/>
          <w:iCs/>
        </w:rPr>
        <w:t>Overseas Student Health Cover</w:t>
      </w:r>
      <w:r>
        <w:t xml:space="preserve"> (OSHC) für das Studienvisum etwa 500 bis 700 AUD im Jahr. Wer dagegen direkt mit einem permanenten Visum wie dem Skilled Independent (189) einreist, ist von Ankunft an </w:t>
      </w:r>
      <w:r>
        <w:rPr>
          <w:i/>
          <w:iCs/>
        </w:rPr>
        <w:t>Permanent Resident</w:t>
      </w:r>
      <w:r>
        <w:t xml:space="preserve"> und damit sofort Medicare-berechtigt. Das ist ein Unterschied, der bei der Wahl des Einwanderungswegs mitentscheiden sollte (mehr dazu im </w:t>
      </w:r>
      <w:hyperlink w:anchor="tau02">
        <w:r w:rsidR="001F7233">
          <w:rPr>
            <w:color w:val="0563C1"/>
            <w:u w:val="single"/>
          </w:rPr>
          <w:t>Kapitel zu den Einwanderungswegen in diesem Teil</w:t>
        </w:r>
      </w:hyperlink>
      <w:r>
        <w:t>).</w:t>
      </w:r>
    </w:p>
    <w:p w14:paraId="21D99FF1" w14:textId="77777777" w:rsidR="001F7233" w:rsidRDefault="00000000">
      <w:r>
        <w:rPr>
          <w:b/>
        </w:rPr>
        <w:t xml:space="preserve">MERKE: </w:t>
      </w:r>
    </w:p>
    <w:p w14:paraId="34D9B3CC" w14:textId="77777777" w:rsidR="001F7233" w:rsidRDefault="00000000">
      <w:r>
        <w:t>• Australiens Gesundheitssystem liegt dem deutschen näher als das der USA: Medicare deckt die Grundversorgung, eine private Zusatzversicherung ist für viele Bereiche üblich. Der entscheidende Unterschied für Deutsche ist nicht das System selbst, sondern die Lücke, bis der eigene Aufenthaltstitel überhaupt Zugang dazu gewährt.</w:t>
      </w:r>
    </w:p>
    <w:p w14:paraId="1ED36B62" w14:textId="77777777" w:rsidR="001F7233" w:rsidRDefault="001F7233">
      <w:pPr>
        <w:spacing w:line="220" w:lineRule="exact"/>
      </w:pPr>
    </w:p>
    <w:p w14:paraId="2FCB53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statt gesetzlicher Rente</w:t>
      </w:r>
    </w:p>
    <w:p w14:paraId="263C6DB6" w14:textId="77777777" w:rsidR="001F7233" w:rsidRDefault="00000000">
      <w:pPr>
        <w:spacing w:after="140"/>
      </w:pPr>
      <w:r>
        <w:rPr>
          <w:i/>
          <w:iCs/>
        </w:rPr>
        <w:t xml:space="preserve">Australien kennt keine umlagefinanzierte gesetzliche Rentenversicherung nach deutschem Vorbild. Stattdessen zahlt der Arbeitgeber verpflichtend in einen individuellen Altersvorsorgefonds ein, die Superannuation. Seit dem 1. Juli 2025 sind das 12,0 % des regulären Arbeitsentgelts, die letzte gesetzlich vorgesehene </w:t>
      </w:r>
      <w:r>
        <w:rPr>
          <w:i/>
          <w:iCs/>
        </w:rPr>
        <w:lastRenderedPageBreak/>
        <w:t>Erhöhungsstufe. Ab dem 1. Juli 2026 gilt auch „Payday Super“: Der Arbeitgeber muss den Beitrag zeitgleich mit dem Gehalt überweisen, nicht mehr wie bisher üblich gesammelt pro Quartal. Regulären Zugriff auf das Guthaben gibt es erst ab 60 Jahren.</w:t>
      </w:r>
    </w:p>
    <w:p w14:paraId="7749ADDD" w14:textId="77777777" w:rsidR="001F7233" w:rsidRDefault="00000000">
      <w:pPr>
        <w:spacing w:line="220" w:lineRule="exact"/>
      </w:pPr>
      <w:r>
        <w:t xml:space="preserve"> Die DASP-Steuer bei Ausreise folgt im späteren Abschnitt zur Auszahlung.</w:t>
      </w:r>
    </w:p>
    <w:p w14:paraId="609FF3D0" w14:textId="77777777" w:rsidR="001F7233" w:rsidRDefault="00000000">
      <w:pPr>
        <w:spacing w:after="140"/>
      </w:pPr>
      <w:r>
        <w:t>Für alle, die dauerhaft bleiben, ist die Rechnung freundlicher. Das Guthaben wächst weiter, ist bei Berufs- und Arbeitgeberwechseln portabel und lässt sich mit freiwilligen Zuzahlungen aufstocken. Verglichen mit der deutschen Rente ist Superannuation stärker kapitalgedeckt und individueller. Wer sich für Australien entscheidet, tauscht ein Stück kollektiver Absicherung gegen ein eigenes, aber auch stärker marktabhängiges Polster.</w:t>
      </w:r>
    </w:p>
    <w:p w14:paraId="73596E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48F3A21E" w14:textId="77777777" w:rsidR="001F7233" w:rsidRDefault="00000000">
      <w:pPr>
        <w:spacing w:after="140"/>
      </w:pPr>
      <w:r>
        <w:t>Schon vor dem ersten Gehaltseingang verlangt Australien Vorleistungen. Ein Skilled-Visum (Subclass 189, 190 oder 491) kostet an reiner Antragsgebühr rund 6.135 AUD für den Hauptantragsteller, ein arbeitgebergesponsertes Skills-in-Demand-Visum (482) rund 4.015 AUD. Dazu kommen für jedes Visum eine Gesundheitsuntersuchung (rund 150 bis 400 AUD pro Person), Führungszeugnisse aus jedem Land mit mehr als zwölf Monaten Aufenthalt seit dem 16. Geburtstag und oft ein kostenpflichtiger Sprachtest. Je nach Beruf kommt eine Kompetenzbewertung durch eine anerkannte Fachstelle hinzu (</w:t>
      </w:r>
      <w:r>
        <w:rPr>
          <w:i/>
          <w:iCs/>
        </w:rPr>
        <w:t>Skills Assessment</w:t>
      </w:r>
      <w:r>
        <w:t xml:space="preserve">, etwa Engineers Australia oder den Australian Computer Society); deren Gebühren und Fristen schwanken von Berufsverband zu Berufsverband stark. Für eine vierköpfige Familie kommen so leicht mehrere Zehntausend AUD zusammen, bevor überhaupt ein Flug gebucht ist. Details zu den einzelnen Wegen, ihren Fristen und Kosten stehen im </w:t>
      </w:r>
      <w:hyperlink w:anchor="tau02">
        <w:r w:rsidR="001F7233">
          <w:rPr>
            <w:color w:val="0563C1"/>
            <w:u w:val="single"/>
          </w:rPr>
          <w:t>nächsten Kapitel dieses Teils</w:t>
        </w:r>
      </w:hyperlink>
      <w:r>
        <w:t>.</w:t>
      </w:r>
    </w:p>
    <w:p w14:paraId="459F330A" w14:textId="77777777" w:rsidR="001F7233" w:rsidRDefault="00000000">
      <w:pPr>
        <w:spacing w:after="140"/>
      </w:pPr>
      <w:r>
        <w:t xml:space="preserve">Was in dieser Rechnung fast immer fehlt, ist der Kalender, nicht die nächste Gebühr. Ein Container mit gebrauchtem Hausrat ist nach </w:t>
      </w:r>
      <w:r>
        <w:lastRenderedPageBreak/>
        <w:t>Australien kein normaler Überseeumzug. Lebensmittel, Samen, Erde an Schuhen und Campingzeug sowie unbehandeltes Holz lösen bei der Biosicherheitskontrolle Rückfragen aus. Eine Beanstandung kann dann Reinigung auf deine Kosten bedeuten, während die Kiste im Hafen steht. Ob gebrauchtes Umzugsgut zollfrei hereinkommt, entscheidet die Australian Border Force nach ihren aktuellen Regeln für unbegleitetes persönliches Umzugsgut. Schwellen ändern sich, deshalb steht hier kein Betrag.</w:t>
      </w:r>
    </w:p>
    <w:p w14:paraId="0775CDD2" w14:textId="77777777" w:rsidR="001F7233" w:rsidRDefault="00000000">
      <w:pPr>
        <w:spacing w:after="140"/>
      </w:pPr>
      <w:r>
        <w:t xml:space="preserve">Noch enger wird der Kalender mit Hund oder Katze. Deutschland ist für die Einfuhr nach Australien ein zugelassenes Herkunftsland der Gruppe 3. Das </w:t>
      </w:r>
      <w:r>
        <w:rPr>
          <w:i/>
          <w:iCs/>
        </w:rPr>
        <w:t>Department of Agriculture, Fisheries and Forestry</w:t>
      </w:r>
      <w:r>
        <w:t xml:space="preserve"> (DAFF) selbst sagt: Plane mindestens sechs Monate ein. Das Tier muss vor der Ausfuhr mindestens 180 Tage am Stück in einem zugelassenen Land gelebt haben – das ist keine Quarantäne, der Hund wohnt in dieser Zeit bei dir. Danach wartet in Mickleham bei Melbourne eine echte Quarantäne von mindestens 30 Tagen, verkürzbar auf mindestens 10, wenn die Identität vor dem Tollwut-Bluttest amtlich geprüft wurde. Gebühren für Genehmigung und Quarantäneplatz nennt nur die DAFF-Seite. Wer den Flug bucht und das Tier „irgendwie nachschickt“, verliert nicht ein Wochenende, sondern ein halbes Jahr. Der Ablauf steht im </w:t>
      </w:r>
      <w:hyperlink w:anchor="tau06">
        <w:r w:rsidR="001F7233">
          <w:rPr>
            <w:color w:val="0563C1"/>
            <w:u w:val="single"/>
          </w:rPr>
          <w:t>Kapitel zur Ankunft in diesem Teil</w:t>
        </w:r>
      </w:hyperlink>
      <w:r>
        <w:t>.</w:t>
      </w:r>
    </w:p>
    <w:p w14:paraId="4D6593D5" w14:textId="77777777" w:rsidR="001F7233" w:rsidRDefault="001F7233">
      <w:pPr>
        <w:spacing w:line="220" w:lineRule="exact"/>
      </w:pPr>
    </w:p>
    <w:p w14:paraId="4CE522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AUD messen lässt</w:t>
      </w:r>
    </w:p>
    <w:p w14:paraId="0D5A237A" w14:textId="77777777" w:rsidR="001F7233" w:rsidRDefault="00000000">
      <w:pPr>
        <w:spacing w:after="140"/>
      </w:pPr>
      <w:r>
        <w:t xml:space="preserve">Die reine Zahlenbilanz übersieht den größten Posten: die Entfernung. Zwischen Frankfurt und Sydney gibt es keinen Direktflug. Mit mindestens einem Zwischenstopp dauert die Reise knapp 20 Stunden über gut 16.000 Kilometer Luftlinie. Dazu kommt eine Zeitverschiebung von 8 bis 9 Stunden – Sydney und Melbourne liegen zeitlich vor Deutschland, nicht dahinter. Ein spontaner Sonntagsanruf bei den Eltern wird dadurch schnell zur Kalenderfrage. In Australien lebten 2021 rund 107.940 in </w:t>
      </w:r>
      <w:r>
        <w:lastRenderedPageBreak/>
        <w:t>Deutschland geborene Personen, eine überschaubare, über den Kontinent verteilte Community. Wer stark auf schnelle, spontane Familienbesuche angewiesen ist, sollte diesen Punkt genauso ernst nehmen wie die Steuertabelle.</w:t>
      </w:r>
    </w:p>
    <w:p w14:paraId="560FC5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361C8D52" w14:textId="77777777" w:rsidR="001F7233" w:rsidRDefault="00000000">
      <w:pPr>
        <w:spacing w:after="140"/>
      </w:pPr>
      <w:r>
        <w:t>Am stärksten profitiert von der australischen Rechnung, wer ohnehin in einem Mangelberuf mit gutem Punktestand arbeitet und ein permanentes, planbares Ergebnis einer Zwischenstation vorzieht. Auch alleinstehende jüngere Fachkräfte, die erst einmal reinschnuppern wollen, kommen gut weg. Das liegt nicht trotz, sondern gerade an der Working-Holiday-Option: Sie erlaubt einen risikoarmen ersten Schritt, bevor die große Entscheidung ansteht.</w:t>
      </w:r>
    </w:p>
    <w:p w14:paraId="00665D9B" w14:textId="77777777" w:rsidR="001F7233" w:rsidRDefault="001F7233">
      <w:pPr>
        <w:spacing w:line="220" w:lineRule="exact"/>
      </w:pPr>
    </w:p>
    <w:p w14:paraId="7221BC7A" w14:textId="77777777" w:rsidR="001F7233" w:rsidRDefault="00000000">
      <w:pPr>
        <w:spacing w:after="140"/>
      </w:pPr>
      <w:r>
        <w:t>Kritischer wird die Bilanz für alle, die pflegebedürftige Eltern in Deutschland haben, planbare medizinische Betreuung für eine chronische Erkrankung brauchen oder finanziell wenig Puffer für die Vorlaufkosten mitbringen. Auch wer über 45 ist, sollte genau hinschauen: Der punktebasierte Weg (189/190/491) ist ab diesem Alter meist verschlossen. Es bleibt dann nur noch der Arbeitgeberweg (mehr dazu im nächsten Kapitel).</w:t>
      </w:r>
    </w:p>
    <w:p w14:paraId="134884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Die ehrliche Bilanz</w:t>
      </w:r>
    </w:p>
    <w:p w14:paraId="601DF3C4" w14:textId="77777777" w:rsidR="001F7233" w:rsidRDefault="00000000">
      <w:r>
        <w:rPr>
          <w:b/>
        </w:rPr>
        <w:t>Plus: Niedrigerer Steuerkeil als in Deutschland (rund 29,6 % vs. 49,3 %)</w:t>
      </w:r>
    </w:p>
    <w:p w14:paraId="781D8C1A" w14:textId="77777777" w:rsidR="001F7233" w:rsidRDefault="00000000">
      <w:r>
        <w:rPr>
          <w:b/>
        </w:rPr>
        <w:t xml:space="preserve">Minus: </w:t>
      </w:r>
      <w:r>
        <w:t>Vorabkosten von mehreren Tausend AUD schon vor dem ersten Gehalt</w:t>
      </w:r>
    </w:p>
    <w:p w14:paraId="2094C2D9" w14:textId="77777777" w:rsidR="001F7233" w:rsidRDefault="00000000">
      <w:r>
        <w:rPr>
          <w:b/>
        </w:rPr>
        <w:t>Plus: Melbourne und Sydney bei Lebenshaltungskosten nahe an München</w:t>
      </w:r>
    </w:p>
    <w:p w14:paraId="0603CCFC" w14:textId="77777777" w:rsidR="001F7233" w:rsidRDefault="00000000">
      <w:r>
        <w:rPr>
          <w:b/>
        </w:rPr>
        <w:t xml:space="preserve">Minus: </w:t>
      </w:r>
      <w:r>
        <w:t>Miete und Gesundheitskosten regional sehr unterschiedlich</w:t>
      </w:r>
    </w:p>
    <w:p w14:paraId="5ADBA454" w14:textId="77777777" w:rsidR="001F7233" w:rsidRDefault="00000000">
      <w:r>
        <w:rPr>
          <w:b/>
        </w:rPr>
        <w:lastRenderedPageBreak/>
        <w:t>Plus: Medicare sofort bei permanentem Visum, gute Grundversorgung</w:t>
      </w:r>
    </w:p>
    <w:p w14:paraId="373C20FA" w14:textId="77777777" w:rsidR="001F7233" w:rsidRDefault="00000000">
      <w:r>
        <w:rPr>
          <w:b/>
        </w:rPr>
        <w:t xml:space="preserve">Minus: </w:t>
      </w:r>
      <w:r>
        <w:t>Ohne Gegenseitigkeitsabkommen: private Zusatzversicherung bis zur PR nötig</w:t>
      </w:r>
    </w:p>
    <w:p w14:paraId="18C9F755" w14:textId="77777777" w:rsidR="001F7233" w:rsidRDefault="00000000">
      <w:r>
        <w:rPr>
          <w:b/>
        </w:rPr>
        <w:t>Plus: Superannuation wächst arbeitgeberfinanziert und portabel mit</w:t>
      </w:r>
    </w:p>
    <w:p w14:paraId="1722298F" w14:textId="77777777" w:rsidR="001F7233" w:rsidRDefault="00000000">
      <w:r>
        <w:rPr>
          <w:b/>
        </w:rPr>
        <w:t xml:space="preserve">Minus: </w:t>
      </w:r>
      <w:r>
        <w:t>Bei vorzeitiger Ausreise bis zu 65 % Steuer auf das Ersparte</w:t>
      </w:r>
    </w:p>
    <w:p w14:paraId="14A116D6" w14:textId="77777777" w:rsidR="001F7233" w:rsidRDefault="00000000">
      <w:r>
        <w:rPr>
          <w:b/>
        </w:rPr>
        <w:t>Plus: Planbares Punktesystem statt Losverfahren</w:t>
      </w:r>
    </w:p>
    <w:p w14:paraId="02F5D8F4" w14:textId="77777777" w:rsidR="001F7233" w:rsidRDefault="00000000">
      <w:r>
        <w:rPr>
          <w:b/>
        </w:rPr>
        <w:t xml:space="preserve">Minus: </w:t>
      </w:r>
      <w:r>
        <w:t>Ab 45 Jahren kein punktebasierter Weg mehr möglich</w:t>
      </w:r>
    </w:p>
    <w:p w14:paraId="2C90A783" w14:textId="77777777" w:rsidR="001F7233" w:rsidRDefault="00000000">
      <w:r>
        <w:rPr>
          <w:b/>
        </w:rPr>
        <w:t>Plus: Keine Einbahnstraße: Working Holiday als risikoarmer erster Schritt</w:t>
      </w:r>
    </w:p>
    <w:p w14:paraId="44772023" w14:textId="77777777" w:rsidR="001F7233" w:rsidRDefault="00000000">
      <w:r>
        <w:rPr>
          <w:b/>
        </w:rPr>
        <w:t xml:space="preserve">Minus: </w:t>
      </w:r>
      <w:r>
        <w:t>20 Stunden Reisezeit und keine Direktflüge nach Deutschland</w:t>
      </w:r>
    </w:p>
    <w:p w14:paraId="2918BD80" w14:textId="77777777" w:rsidR="001F7233" w:rsidRDefault="001F7233">
      <w:pPr>
        <w:spacing w:line="180" w:lineRule="exact"/>
      </w:pPr>
    </w:p>
    <w:p w14:paraId="352AA8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0979726" w14:textId="77777777" w:rsidR="001F7233" w:rsidRDefault="00000000">
      <w:pPr>
        <w:spacing w:after="140"/>
      </w:pPr>
      <w:r>
        <w:t>Rechne, bevor du dich entscheidest, mit deinen eigenen Zahlen. Trage dein voraussichtliches Bruttogehalt in die Steuerstaffel oben ein, ziehe Medicare Levy und, falls nötig, private Krankenversicherung ab. Vergleiche das Ergebnis dann mit deiner heutigen deutschen Gehaltsabrechnung, nicht mit dem Bruttogehalt. Kläre parallel, ob dein Beruf überhaupt für den Punktetest infrage kommt und wie viele Punkte realistisch erreichbar sind; das nächste Kapitel dieses Teils zeigt die einzelnen Wege im Detail und plane die Vorlaufkosten – Antrag, Gesundheitscheck, Skills Assessment, Führungszeugnisse – als eigenen Posten ein, getrennt vom eigentlichen Umzugsbudget.</w:t>
      </w:r>
    </w:p>
    <w:p w14:paraId="128E73C2" w14:textId="77777777" w:rsidR="001F7233" w:rsidRDefault="00000000">
      <w:r>
        <w:t>• Eigenes Bruttogehalt in die australische Steuerstaffel eingetragen und mit der deutschen Nettoabrechnung verglichen</w:t>
      </w:r>
    </w:p>
    <w:p w14:paraId="7DFBA2FA" w14:textId="77777777" w:rsidR="001F7233" w:rsidRDefault="00000000">
      <w:r>
        <w:t>• Geprüft, ob der Beruf für einen Punktetest-Weg (189/190/491) infrage kommt oder ob nur der Arbeitgeberweg bleibt</w:t>
      </w:r>
    </w:p>
    <w:p w14:paraId="39A8584B" w14:textId="77777777" w:rsidR="001F7233" w:rsidRDefault="00000000">
      <w:r>
        <w:t>• Kosten für Antrag, Gesundheitsuntersuchung, Skills Assessment und Führungszeugnisse überschlägig zusammengerechnet</w:t>
      </w:r>
    </w:p>
    <w:p w14:paraId="0A4FF84F" w14:textId="77777777" w:rsidR="001F7233" w:rsidRDefault="00000000">
      <w:r>
        <w:lastRenderedPageBreak/>
        <w:t>• Geklärt, ob und wie lange eine private Zusatzversicherung bis zum Medicare-Zugang nötig ist</w:t>
      </w:r>
    </w:p>
    <w:p w14:paraId="38F5B7FB" w14:textId="77777777" w:rsidR="001F7233" w:rsidRDefault="00000000">
      <w:r>
        <w:t>• Lebenshaltungskosten am konkreten Zielort, nicht nur den Landesdurchschnitt, recherchiert</w:t>
      </w:r>
    </w:p>
    <w:p w14:paraId="459FE463" w14:textId="77777777" w:rsidR="001F7233" w:rsidRDefault="00000000">
      <w:r>
        <w:t>• Überlegt, wie die Superannuation im Fall einer späteren Rückkehr nach Deutschland zu bewerten ist</w:t>
      </w:r>
    </w:p>
    <w:p w14:paraId="22097964" w14:textId="77777777" w:rsidR="001F7233" w:rsidRDefault="00000000">
      <w:r>
        <w:t>• Bei Hund oder Katze den halben Jahr Vorlauf und die Quarantäne in Mickleham als eigenen Posten eingeplant, nicht als Nachgedanke zum Flug.</w:t>
      </w:r>
    </w:p>
    <w:p w14:paraId="6082B97B" w14:textId="77777777" w:rsidR="001F7233" w:rsidRDefault="001F7233">
      <w:pPr>
        <w:spacing w:line="220" w:lineRule="exact"/>
      </w:pPr>
    </w:p>
    <w:p w14:paraId="1212A0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FB03270" w14:textId="77777777" w:rsidR="001F7233" w:rsidRDefault="00000000">
      <w:pPr>
        <w:pStyle w:val="ListParagraph"/>
        <w:numPr>
          <w:ilvl w:val="0"/>
          <w:numId w:val="1"/>
        </w:numPr>
        <w:spacing w:after="60"/>
      </w:pPr>
      <w:r>
        <w:t>Department of Home Affairs — Visa-Gebühren und Bearbeitungszeiten (</w:t>
      </w:r>
      <w:hyperlink r:id="rId579">
        <w:r w:rsidR="001F7233">
          <w:rPr>
            <w:color w:val="0563C1"/>
            <w:u w:val="single"/>
          </w:rPr>
          <w:t>immi.homeaffairs.gov.au</w:t>
        </w:r>
      </w:hyperlink>
      <w:r>
        <w:t>)</w:t>
      </w:r>
    </w:p>
    <w:p w14:paraId="558BDB96" w14:textId="77777777" w:rsidR="001F7233" w:rsidRDefault="00000000">
      <w:pPr>
        <w:pStyle w:val="ListParagraph"/>
        <w:numPr>
          <w:ilvl w:val="0"/>
          <w:numId w:val="1"/>
        </w:numPr>
        <w:spacing w:after="60"/>
      </w:pPr>
      <w:r>
        <w:t>Australian Taxation Office — Einkommensteuersätze und Medicare Levy (</w:t>
      </w:r>
      <w:hyperlink r:id="rId580">
        <w:r w:rsidR="001F7233">
          <w:rPr>
            <w:color w:val="0563C1"/>
            <w:u w:val="single"/>
          </w:rPr>
          <w:t>ato.gov.au</w:t>
        </w:r>
      </w:hyperlink>
      <w:r>
        <w:t>)</w:t>
      </w:r>
    </w:p>
    <w:p w14:paraId="7173EEB8" w14:textId="77777777" w:rsidR="001F7233" w:rsidRDefault="00000000">
      <w:pPr>
        <w:pStyle w:val="ListParagraph"/>
        <w:numPr>
          <w:ilvl w:val="0"/>
          <w:numId w:val="1"/>
        </w:numPr>
        <w:spacing w:after="60"/>
      </w:pPr>
      <w:r>
        <w:t>Services Australia — Medicare und Reciprocal Health Care Agreements (</w:t>
      </w:r>
      <w:hyperlink r:id="rId581">
        <w:r w:rsidR="001F7233">
          <w:rPr>
            <w:color w:val="0563C1"/>
            <w:u w:val="single"/>
          </w:rPr>
          <w:t>servicesaustralia.gov.au</w:t>
        </w:r>
      </w:hyperlink>
      <w:r>
        <w:t>)</w:t>
      </w:r>
    </w:p>
    <w:p w14:paraId="0799F1E6" w14:textId="77777777" w:rsidR="001F7233" w:rsidRDefault="00000000">
      <w:pPr>
        <w:pStyle w:val="ListParagraph"/>
        <w:numPr>
          <w:ilvl w:val="0"/>
          <w:numId w:val="1"/>
        </w:numPr>
        <w:spacing w:after="60"/>
      </w:pPr>
      <w:r>
        <w:t>Australian Taxation Office — Superannuation und Departing Australia Superannuation Payment (</w:t>
      </w:r>
      <w:hyperlink r:id="rId582">
        <w:r w:rsidR="001F7233">
          <w:rPr>
            <w:color w:val="0563C1"/>
            <w:u w:val="single"/>
          </w:rPr>
          <w:t>ato.gov.au</w:t>
        </w:r>
      </w:hyperlink>
      <w:r>
        <w:t>)</w:t>
      </w:r>
    </w:p>
    <w:p w14:paraId="37E1AB25" w14:textId="77777777" w:rsidR="001F7233" w:rsidRDefault="00000000">
      <w:pPr>
        <w:pStyle w:val="ListParagraph"/>
        <w:numPr>
          <w:ilvl w:val="0"/>
          <w:numId w:val="1"/>
        </w:numPr>
        <w:spacing w:after="60"/>
      </w:pPr>
      <w:r>
        <w:t>OECD — Taxing Wages, Steuerkeil-Vergleich (</w:t>
      </w:r>
      <w:hyperlink r:id="rId583">
        <w:r w:rsidR="001F7233">
          <w:rPr>
            <w:color w:val="0563C1"/>
            <w:u w:val="single"/>
          </w:rPr>
          <w:t>oecd.org</w:t>
        </w:r>
      </w:hyperlink>
      <w:r>
        <w:t>)</w:t>
      </w:r>
    </w:p>
    <w:p w14:paraId="676F72D2" w14:textId="77777777" w:rsidR="001F7233" w:rsidRDefault="00000000">
      <w:pPr>
        <w:pStyle w:val="ListParagraph"/>
        <w:numPr>
          <w:ilvl w:val="0"/>
          <w:numId w:val="1"/>
        </w:numPr>
        <w:spacing w:after="60"/>
      </w:pPr>
      <w:r>
        <w:t>Numbeo — Lebenshaltungskosten im Städtevergleich (</w:t>
      </w:r>
      <w:hyperlink r:id="rId584">
        <w:r w:rsidR="001F7233">
          <w:rPr>
            <w:color w:val="0563C1"/>
            <w:u w:val="single"/>
          </w:rPr>
          <w:t>numbeo.com</w:t>
        </w:r>
      </w:hyperlink>
      <w:r>
        <w:t>)</w:t>
      </w:r>
    </w:p>
    <w:p w14:paraId="3994CDF6" w14:textId="77777777" w:rsidR="001F7233" w:rsidRDefault="00000000">
      <w:pPr>
        <w:pStyle w:val="ListParagraph"/>
        <w:numPr>
          <w:ilvl w:val="0"/>
          <w:numId w:val="1"/>
        </w:numPr>
        <w:spacing w:after="60"/>
      </w:pPr>
      <w:r>
        <w:t>Department of Agriculture, Fisheries and Forestry — Einfuhr von Hunden und Katzen (</w:t>
      </w:r>
      <w:hyperlink r:id="rId585">
        <w:r w:rsidR="001F7233">
          <w:rPr>
            <w:color w:val="0563C1"/>
            <w:u w:val="single"/>
          </w:rPr>
          <w:t>agriculture.gov.au/cats-dogs</w:t>
        </w:r>
      </w:hyperlink>
      <w:r>
        <w:t>)</w:t>
      </w:r>
    </w:p>
    <w:p w14:paraId="1CAE30E2" w14:textId="77777777" w:rsidR="001F7233" w:rsidRDefault="001F7233">
      <w:pPr>
        <w:spacing w:line="120" w:lineRule="exact"/>
      </w:pPr>
    </w:p>
    <w:p w14:paraId="619611C3" w14:textId="77777777" w:rsidR="001F7233" w:rsidRDefault="00000000">
      <w:r>
        <w:t xml:space="preserve">• 23.09.2026. Visagebühren wurden zum 1. Juli 2026 um rund 25 % angehoben, Steuerstufen und Freibeträge werden jährlich angepasst, und die Working-Holiday-Regeln ändern sich 2026 mehrfach (Altersgrenze, Losverfahren für das zweite Jahr). Prüfe vor jeder Entscheidung die aktuellen Werte auf </w:t>
      </w:r>
      <w:hyperlink r:id="rId586">
        <w:r w:rsidR="001F7233">
          <w:rPr>
            <w:color w:val="0563C1"/>
            <w:u w:val="single"/>
          </w:rPr>
          <w:t>immi.homeaffairs.gov.au</w:t>
        </w:r>
      </w:hyperlink>
      <w:r>
        <w:t xml:space="preserve"> und </w:t>
      </w:r>
      <w:hyperlink r:id="rId587">
        <w:r w:rsidR="001F7233">
          <w:rPr>
            <w:color w:val="0563C1"/>
            <w:u w:val="single"/>
          </w:rPr>
          <w:t>ato.gov.au</w:t>
        </w:r>
      </w:hyperlink>
      <w:r>
        <w:t>.</w:t>
      </w:r>
    </w:p>
    <w:p w14:paraId="55344081" w14:textId="77777777" w:rsidR="001F7233" w:rsidRDefault="00000000">
      <w:pPr>
        <w:spacing w:line="220" w:lineRule="exact"/>
      </w:pPr>
      <w:r>
        <w:br w:type="page"/>
      </w:r>
    </w:p>
    <w:p w14:paraId="509B6676" w14:textId="77777777" w:rsidR="001F7233" w:rsidRDefault="00000000">
      <w:pPr>
        <w:pStyle w:val="Heading2"/>
        <w:keepNext/>
        <w:spacing w:line="341" w:lineRule="auto"/>
        <w:jc w:val="center"/>
      </w:pPr>
      <w:bookmarkStart w:id="85" w:name="tau02"/>
      <w:r>
        <w:rPr>
          <w:rFonts w:ascii="Amazon Ember" w:eastAsia="Amazon Ember" w:hAnsi="Amazon Ember" w:cs="Amazon Ember"/>
          <w:color w:val="0000FF"/>
          <w:sz w:val="36"/>
          <w:szCs w:val="36"/>
        </w:rPr>
        <w:lastRenderedPageBreak/>
        <w:t>Australien: Wege der Einwanderung</w:t>
      </w:r>
      <w:bookmarkEnd w:id="85"/>
    </w:p>
    <w:p w14:paraId="74B68F49" w14:textId="77777777" w:rsidR="001F7233" w:rsidRDefault="00000000">
      <w:r>
        <w:rPr>
          <w:b/>
        </w:rPr>
        <w:t xml:space="preserve">KURZ GESAGT: </w:t>
      </w:r>
    </w:p>
    <w:p w14:paraId="1AA3DC3B" w14:textId="77777777" w:rsidR="001F7233" w:rsidRDefault="00000000">
      <w:r>
        <w:t>• Australien öffnet sich für Deutsche vor allem über zwei Prinzipien: das Punktesystem (unabhängig oder mit Nominierung) und das Arbeitgeber-Sponsoring. Familien-, Investoren- und Ruhestandswege spielen zahlenmäßig eine kleinere Rolle und stehen im nächsten Kapitel dieses Teils.</w:t>
      </w:r>
    </w:p>
    <w:p w14:paraId="1B448EE4" w14:textId="77777777" w:rsidR="001F7233" w:rsidRDefault="00000000">
      <w:r>
        <w:t>• Drei punktebasierte Visa greifen auf dieselbe Logik zurück: Subclass 189 (unabhängig, dauerhaft), 190 (mit Bundesstaat-Nominierung, dauerhaft) und 491 (mit Regional-Bindung, zunächst befristet).</w:t>
      </w:r>
    </w:p>
    <w:p w14:paraId="302A70EF" w14:textId="77777777" w:rsidR="001F7233" w:rsidRDefault="00000000">
      <w:r>
        <w:t>• Arbeitgeber-Sponsoring (Subclass 482, mit Weiterweg über 186) braucht keinen einzigen Punkt. Dafür einen Job und ein Unternehmen, das dich sponsert.</w:t>
      </w:r>
    </w:p>
    <w:p w14:paraId="673B4BD3" w14:textId="77777777" w:rsidR="001F7233" w:rsidRDefault="00000000">
      <w:r>
        <w:t>• Working Holiday (417) und Studienvisum (500) sind selbst keine Daueraufenthaltswege, aber für viele der Seiteneingang, über den sich die anderen Türen erst öffnen.</w:t>
      </w:r>
    </w:p>
    <w:p w14:paraId="68D8D709" w14:textId="77777777" w:rsidR="001F7233" w:rsidRDefault="00000000">
      <w:r>
        <w:t>• Ab 45 Jahren ist der Punktetest komplett verschlossen; für diese Altersgruppe bleibt praktisch nur das Arbeitgeber-Sponsoring.</w:t>
      </w:r>
    </w:p>
    <w:p w14:paraId="61BE57FF" w14:textId="77777777" w:rsidR="001F7233" w:rsidRDefault="00000000">
      <w:r>
        <w:t>• Welcher Weg passt, hängt weniger vom Wunschort ab als von Alter, Beruf, Englischniveau und der Frage, ob bereits ein Jobangebot vorliegt.</w:t>
      </w:r>
    </w:p>
    <w:p w14:paraId="5E42C8C5" w14:textId="77777777" w:rsidR="001F7233" w:rsidRDefault="001F7233">
      <w:pPr>
        <w:spacing w:line="220" w:lineRule="exact"/>
      </w:pPr>
    </w:p>
    <w:p w14:paraId="431D266D" w14:textId="77777777" w:rsidR="001F7233" w:rsidRDefault="001F7233">
      <w:pPr>
        <w:keepLines/>
        <w:spacing w:before="160" w:after="40"/>
        <w:jc w:val="center"/>
      </w:pPr>
    </w:p>
    <w:p w14:paraId="5057FCE9" w14:textId="77777777" w:rsidR="001F7233" w:rsidRDefault="00000000">
      <w:pPr>
        <w:keepLines/>
        <w:spacing w:after="200"/>
        <w:jc w:val="center"/>
      </w:pPr>
      <w:r>
        <w:t>Schaubild 6. Australien: Punkteweg und Arbeitgeber-Sponsoring.</w:t>
      </w:r>
    </w:p>
    <w:p w14:paraId="5A8E6443" w14:textId="77777777" w:rsidR="001F7233" w:rsidRDefault="00000000">
      <w:r>
        <w:rPr>
          <w:noProof/>
        </w:rPr>
        <w:lastRenderedPageBreak/>
        <w:drawing>
          <wp:inline distT="0" distB="0" distL="0" distR="0" wp14:anchorId="152E5B07" wp14:editId="2E66C8A7">
            <wp:extent cx="4114800" cy="2880360"/>
            <wp:effectExtent l="0" t="0" r="0" b="0"/>
            <wp:docPr id="6" name="Schaubild 7" descr="Australien: Punkteweg und Arbeitgeber-Spons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haubild 7" descr="Australien: Punkteweg und Arbeitgeber-Sponsoring"/>
                    <pic:cNvPicPr>
                      <a:picLocks noChangeAspect="1" noChangeArrowheads="1"/>
                    </pic:cNvPicPr>
                  </pic:nvPicPr>
                  <pic:blipFill>
                    <a:blip r:embed="rId588"/>
                    <a:stretch>
                      <a:fillRect/>
                    </a:stretch>
                  </pic:blipFill>
                  <pic:spPr bwMode="auto">
                    <a:xfrm>
                      <a:off x="0" y="0"/>
                      <a:ext cx="4114800" cy="2880360"/>
                    </a:xfrm>
                    <a:prstGeom prst="rect">
                      <a:avLst/>
                    </a:prstGeom>
                    <a:noFill/>
                  </pic:spPr>
                </pic:pic>
              </a:graphicData>
            </a:graphic>
          </wp:inline>
        </w:drawing>
      </w:r>
    </w:p>
    <w:p w14:paraId="23A95494"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der Beruf entscheidet</w:t>
      </w:r>
    </w:p>
    <w:p w14:paraId="321E7D5F" w14:textId="77777777" w:rsidR="001F7233" w:rsidRDefault="00000000">
      <w:pPr>
        <w:spacing w:after="140"/>
      </w:pPr>
      <w:r>
        <w:t xml:space="preserve">Australiens Einwanderungsprogramm für 2026–27 sieht 185.000 permanente Plätze vor. Der weitaus größte Teil, 132.240 Plätze, entfällt auf den </w:t>
      </w:r>
      <w:r>
        <w:rPr>
          <w:i/>
          <w:iCs/>
        </w:rPr>
        <w:t>Skill Stream</w:t>
      </w:r>
      <w:r>
        <w:t xml:space="preserve"> (den Fachkräfte-Strom). Nur 52.460 Plätze entfallen auf den </w:t>
      </w:r>
      <w:r>
        <w:rPr>
          <w:i/>
          <w:iCs/>
        </w:rPr>
        <w:t>Family Stream</w:t>
      </w:r>
      <w:r>
        <w:t xml:space="preserve"> (den Familiennachzug), 300 auf Sonderfälle. Wer diese Zahlen zum ersten Mal sieht, versteht auf einen Blick, wie das System tickt: Australien sucht in erster Linie Arbeitskräfte, keine Rentner und keine Erbschaften. Wer arbeiten kann und will, hat mehr Türen zur Auswahl als jede andere Gruppe.</w:t>
      </w:r>
    </w:p>
    <w:p w14:paraId="56BC638D" w14:textId="77777777" w:rsidR="001F7233" w:rsidRDefault="00000000">
      <w:pPr>
        <w:spacing w:after="140"/>
      </w:pPr>
      <w:r>
        <w:rPr>
          <w:b/>
          <w:bCs/>
        </w:rPr>
        <w:t xml:space="preserve">In des Skill Stream führen zwei Prinzipien zum Ziel. Beim Punktesystem (General Skilled Migration, GSM, die allgemeine Facharbeitereinwanderung) bewirbst du dich selbst, ohne dass vorher ein Arbeitgeber zusagen muss. Du brauchst nur einen Beruf auf der passenden Liste, eine bestandene fachliche Qualifikationsprüfung (Skills Assessment) und genug Punkte. </w:t>
      </w:r>
      <w:r>
        <w:rPr>
          <w:b/>
          <w:bCs/>
        </w:rPr>
        <w:lastRenderedPageBreak/>
        <w:t>Beim Arbeitgeber-Sponsoring übernimmt ein zugelassenes australisches Unternehmen die Verantwortung für dich, ähnlich wie ein Betrieb in Deutschland eine Blaue Karte EU beantragt. Für Deutsche ohne bereits vorhandenes Jobangebot ist der Punktetest meist den ersten Blick wert. Wer schon ein Angebot in der Tasche hat, kann direkt zum Arbeitgeberweg springen.</w:t>
      </w:r>
    </w:p>
    <w:p w14:paraId="144401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drei punktebasierten Wege: 189, 190, 491</w:t>
      </w:r>
    </w:p>
    <w:p w14:paraId="0FF4871B" w14:textId="77777777" w:rsidR="001F7233" w:rsidRDefault="00000000">
      <w:pPr>
        <w:spacing w:after="140"/>
      </w:pPr>
      <w:r>
        <w:rPr>
          <w:i/>
          <w:iCs/>
        </w:rPr>
        <w:t>Alle drei laufen über dieselbe Plattform, SkillSelect, und dieselbe Punktetabelle. Unterscheiden sich aber erheblich in Bindung und Freiheit:</w:t>
      </w:r>
    </w:p>
    <w:p w14:paraId="32EFCD22" w14:textId="77777777" w:rsidR="001F7233" w:rsidRDefault="00000000">
      <w:pPr>
        <w:pStyle w:val="ListParagraph"/>
        <w:numPr>
          <w:ilvl w:val="0"/>
          <w:numId w:val="1"/>
        </w:numPr>
        <w:spacing w:after="60"/>
      </w:pPr>
      <w:r>
        <w:rPr>
          <w:b/>
          <w:bCs/>
        </w:rPr>
        <w:t>Subclass 189 (Skilled Independent)</w:t>
      </w:r>
      <w:r>
        <w:t xml:space="preserve"> ist der Weg ganz ohne Sponsor: kein Arbeitgeber, kein Bundesstaat, freie Wohnortwahl in ganz Australien, dauerhafter Aufenthaltstitel von Anfang an. Genau deshalb ist er auch der am härtesten umkämpfte. Die Cut-off-Werte liegen bei gefragten Berufen oft bei 80 bis 95 Punkten oder mehr.</w:t>
      </w:r>
    </w:p>
    <w:p w14:paraId="349D5F47" w14:textId="77777777" w:rsidR="001F7233" w:rsidRDefault="00000000">
      <w:pPr>
        <w:pStyle w:val="ListParagraph"/>
        <w:numPr>
          <w:ilvl w:val="0"/>
          <w:numId w:val="1"/>
        </w:numPr>
        <w:spacing w:after="60"/>
      </w:pPr>
      <w:r>
        <w:rPr>
          <w:b/>
          <w:bCs/>
        </w:rPr>
        <w:t>Subclass 190 (Skilled Nominated) entspricht 189, verlangt aber auch eine Nominierung durch einen Bundesstaat oder ein Territorium. Die bringt 5 Bonuspunkte und senkt oft den nötigen Cut-off. Dafür verpflichtest du dich meist, mindestens zwei Jahre im nominierenden Bundesstaat zu leben.</w:t>
      </w:r>
    </w:p>
    <w:p w14:paraId="145CFD0A" w14:textId="77777777" w:rsidR="001F7233" w:rsidRDefault="00000000">
      <w:pPr>
        <w:pStyle w:val="ListParagraph"/>
        <w:numPr>
          <w:ilvl w:val="0"/>
          <w:numId w:val="1"/>
        </w:numPr>
        <w:spacing w:after="60"/>
      </w:pPr>
      <w:r>
        <w:rPr>
          <w:b/>
          <w:bCs/>
        </w:rPr>
        <w:t xml:space="preserve">Subclass 491 (Skilled Work Regional) ist zunächst kein Daueraufenthaltsvisum, sondern ein fünf Jahre gültiges Übergangsvisum mit dem höchsten Punktebonus im ganzen System: 15 Punkte. Voraussetzung ist eine Nominierung durch einen Bundesstaat oder ein Territorium oder ein Sponsoring durch Verwandte in einer Regional-Area (ländlichere Gebiete außer der großen Metropolregionen). Nach drei Jahren Aufenthalt und Arbeit dort öffnet sich der </w:t>
      </w:r>
      <w:r>
        <w:rPr>
          <w:b/>
          <w:bCs/>
        </w:rPr>
        <w:lastRenderedPageBreak/>
        <w:t>Weg zur Daueraufenthaltserlaubnis über Subclass 191. Die Nominierungsplätze sind allerdings knapp: 2025–26 standen bundesweit nur 7.500 bereit, merklich weniger als im Vorjahr.</w:t>
      </w:r>
    </w:p>
    <w:p w14:paraId="4E641EBB" w14:textId="77777777" w:rsidR="001F7233" w:rsidRDefault="001F7233">
      <w:pPr>
        <w:spacing w:line="120" w:lineRule="exact"/>
      </w:pPr>
    </w:p>
    <w:p w14:paraId="71FBCB51" w14:textId="77777777" w:rsidR="001F7233" w:rsidRDefault="00000000">
      <w:pPr>
        <w:spacing w:after="140"/>
      </w:pPr>
      <w:r>
        <w:t xml:space="preserve">Wie sich die Punktzahl für jeden dieser drei Wege im Einzelnen berechnet und wie das Bewerbungsverfahren über SkillSelect abläuft, zeigt das </w:t>
      </w:r>
      <w:hyperlink w:anchor="tau03">
        <w:r w:rsidR="001F7233">
          <w:rPr>
            <w:color w:val="0563C1"/>
            <w:u w:val="single"/>
          </w:rPr>
          <w:t>nächste Kapitel dieses Teils</w:t>
        </w:r>
      </w:hyperlink>
      <w:r>
        <w:t>.</w:t>
      </w:r>
    </w:p>
    <w:p w14:paraId="63B3C508" w14:textId="77777777" w:rsidR="001F7233" w:rsidRDefault="001F7233">
      <w:pPr>
        <w:spacing w:line="220" w:lineRule="exact"/>
      </w:pPr>
    </w:p>
    <w:p w14:paraId="029A9F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Punktetest-Grundprinzip in Kürze</w:t>
      </w:r>
    </w:p>
    <w:p w14:paraId="00DBF77A" w14:textId="77777777" w:rsidR="001F7233" w:rsidRDefault="00000000">
      <w:pPr>
        <w:spacing w:after="140"/>
      </w:pPr>
      <w:r>
        <w:t>Der Punktetest bewertet nicht deinen Charakter, sondern vier zählbare Größen: Alter, Englischniveau, Bildungsabschluss und Berufserfahrung, dazu Zusatzpunkte etwa für eine Nominierung oder einen australischen Studienabschluss. Die gesetzliche Mindestpunktzahl liegt bei 65. Wer weniger erreicht, kann sich gar nicht erst bewerben. Praktisch reicht das Minimum aber selten: Bei gefragten Berufen wie Softwareentwicklung oder Buchhaltung lagen die Cut-offs in den SkillSelect-Runden 2026 meist zwischen 80 und 100 Punkten.</w:t>
      </w:r>
    </w:p>
    <w:p w14:paraId="11B1B0A8" w14:textId="77777777" w:rsidR="001F7233" w:rsidRDefault="00000000">
      <w:pPr>
        <w:spacing w:after="140"/>
      </w:pPr>
      <w:r>
        <w:t>Zwei Faktoren wiegen besonders schwer. Das Alter bringt in der Spanne von 25 bis 32 Jahren die volle Punktzahl. Ab 45 Jahren ist der Punktetest-Weg komplett verschlossen, unabhängig von Abschluss oder Erfahrung. Dazu kommt das Englischniveau: Ein sehr gutes Testergebnis (</w:t>
      </w:r>
      <w:r>
        <w:rPr>
          <w:i/>
          <w:iCs/>
        </w:rPr>
        <w:t>Superior</w:t>
      </w:r>
      <w:r>
        <w:t>, vergleichbar IELTS 8 in jeder Kategorie) bringt doppelt so viele Punkte wie ein gutes (</w:t>
      </w:r>
      <w:r>
        <w:rPr>
          <w:i/>
          <w:iCs/>
        </w:rPr>
        <w:t>Proficient</w:t>
      </w:r>
      <w:r>
        <w:t>, IELTS 7), oft mehr, als ein weiteres Berufsjahr einbringt. Wer seine Punktzahl grob überschlagen will, sollte deshalb zuerst hier ansetzen, nicht beim Studienabschluss.</w:t>
      </w:r>
    </w:p>
    <w:p w14:paraId="68D2E362" w14:textId="77777777" w:rsidR="001F7233" w:rsidRDefault="00000000">
      <w:r>
        <w:rPr>
          <w:b/>
        </w:rPr>
        <w:t xml:space="preserve">MERKE: </w:t>
      </w:r>
    </w:p>
    <w:p w14:paraId="7D6A02D1" w14:textId="77777777" w:rsidR="001F7233" w:rsidRDefault="00000000">
      <w:r>
        <w:t xml:space="preserve">• Der Punktetest ist kein Ja-Nein-Filter, sondern eine laufende Rangliste. 65 Punkte öffnen die Tür zum Wartesaal, nicht zur </w:t>
      </w:r>
      <w:r>
        <w:lastRenderedPageBreak/>
        <w:t>Einladung. Die genaue Tabelle und eine realistische Selbsteinschätzung zeigt das nächste Kapitel dieses Teils.</w:t>
      </w:r>
    </w:p>
    <w:p w14:paraId="66FB04A2" w14:textId="77777777" w:rsidR="001F7233" w:rsidRDefault="001F7233">
      <w:pPr>
        <w:spacing w:line="220" w:lineRule="exact"/>
      </w:pPr>
    </w:p>
    <w:p w14:paraId="46EDAC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Arbeitgeber-Sponsoring: 482 und 186</w:t>
      </w:r>
    </w:p>
    <w:p w14:paraId="2705F297" w14:textId="77777777" w:rsidR="001F7233" w:rsidRDefault="00000000">
      <w:pPr>
        <w:spacing w:after="140"/>
      </w:pPr>
      <w:r>
        <w:t>Wer einen australischen Arbeitgeber findet, der zum Sponsor wird, umgeht den Punktetest vollständig. Subclass 482 (Skills in Demand, kurz SID) ist das befristete Arbeitsvisum dafür, gültig bis zu vier Jahre, mit einer Mindestlohnschwelle. Für Nominierungen ab 1. Juli 2026 beträgt die Schwelle im Core-Skills-Strom 79.423 AUD und im Specialist-Skills-Strom 146.576 AUD im Jahr. In beiden Fällen muss außerdem mindestens der marktübliche Lohn für die Position gezahlt werden. Der Specialist-Skills-Strom hat eigene Berufs- und Einkommensvoraussetzungen. Die Schwellen werden angepasst; prüfe sie unmittelbar vor der Nominierung bei Home Affairs und in der geltenden Regelung (legislation.gov.au, F2026L00874). Die Antragsgebühr liegt bei 4.015 AUD für die Hauptperson. Dazu kommt eine jährliche Abgabe des Arbeitgebers (die Skilling Australians Fund-Levy, eine Ausbildungsabgabe für australische Arbeitskräfte), die dieser nicht auf dich abwälzen darf.</w:t>
      </w:r>
    </w:p>
    <w:p w14:paraId="2A3855DC" w14:textId="77777777" w:rsidR="001F7233" w:rsidRDefault="00000000">
      <w:pPr>
        <w:spacing w:after="140"/>
      </w:pPr>
      <w:r>
        <w:rPr>
          <w:i/>
          <w:iCs/>
        </w:rPr>
        <w:t>Nach zwei Jahren beim selben Arbeitgeber im Subclass 482 öffnet sich der Weg zur Daueraufenthaltserlaubnis über Subclass 186 (Employer Nomination Scheme, ENS). Dieser Übergang heißt Temporary Residence Transition. Daneben gibt es einen Direktweg ohne vorherigen 482 sowie einen dritten Strom für branchenspezifische Arbeitsmarktabkommen. Der große Vorteil des gesamten Arbeitgeberwegs: kein Punktetest, keine Altersgrenze wie beim Punktesystem. Der Preis dafür ist die Bindung. Du arbeitest für den Betrieb, der dich sponsert, nicht für einen frei gewählten Arbeitgeber. Wer über 45 ist oder aus anderen Gründen für den Punktetest nicht infrage kommt, hat mit dem Arbeitgeberweg trotzdem eine ernstzunehmende Option, sofern der eigene Beruf gefragt genug ist.</w:t>
      </w:r>
    </w:p>
    <w:p w14:paraId="4E42ABF1" w14:textId="77777777" w:rsidR="001F7233" w:rsidRDefault="00000000">
      <w:r>
        <w:lastRenderedPageBreak/>
        <w:t>• Dieses Kapitel erklärt Regeln und Praxis, ersetzt aber keine Beratung durch eine registrierte Migrationsagentin, einen Migrationsagenten oder eine Anwältin oder einen Anwalt für australisches Einwanderungsrecht.</w:t>
      </w:r>
    </w:p>
    <w:p w14:paraId="6ECB2047" w14:textId="77777777" w:rsidR="001F7233" w:rsidRDefault="001F7233">
      <w:pPr>
        <w:spacing w:line="220" w:lineRule="exact"/>
      </w:pPr>
    </w:p>
    <w:p w14:paraId="01A23A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und Skills Assessment: der eigentliche Flaschenhals</w:t>
      </w:r>
    </w:p>
    <w:p w14:paraId="47BB8F1B" w14:textId="77777777" w:rsidR="001F7233" w:rsidRDefault="00000000">
      <w:pPr>
        <w:spacing w:after="140"/>
      </w:pPr>
      <w:r>
        <w:rPr>
          <w:i/>
          <w:iCs/>
        </w:rPr>
        <w:t>Fast jeder Weg in diesem Kapitel – ob Punktetest oder Arbeitgeber-Sponsoring. Steht und fällt mit derselben Frage: Steht dein Beruf auf der richtigen Liste und erkennt eine passende Fachstelle deine Qualifikation an? Seit dem 1. Juli 2025 gilt für Subclass 482 (Core-Skills-Strom) und den Direktweg von Subclass 186 die Core Skills Occupation List (CSOL, eine neue, 456 Berufe umfassende Liste). Für die punktebasierten Visa 189, 190 und 491 berufen sich mehrere Migrationskanzleien übereinstimmend auf die älteren Listen (MLTSSL und Varianten). Eine unabhängige Bestätigung direkt bei Home Affairs war zum Verfassungszeitpunkt dieses Kapitels nicht zu bekommen. Bürokratie liebt offenbar neue Abkürzungen, auch dort, wo niemand ganz genau sagen kann, wo die alten noch gelten.</w:t>
      </w:r>
    </w:p>
    <w:p w14:paraId="016DE611" w14:textId="77777777" w:rsidR="001F7233" w:rsidRDefault="00000000">
      <w:pPr>
        <w:spacing w:after="140"/>
      </w:pPr>
      <w:r>
        <w:rPr>
          <w:i/>
          <w:iCs/>
        </w:rPr>
        <w:t>Wichtiger als jede Listen-Feinheit ist die praktische Konsequenz: Die fachliche Qualifikationsprüfung (Skills Assessment) durch die passende Berufsorganisation. Etwa Engineers Australia für Ingenieurberufe, den Australian Computer Society für IT, VETASSESS für viele weitere Berufe oder ANMAC für Pflegeberufe – dauert oft Monate. Sie ist damit für die meisten Bewerber der eigentliche Engpass, nicht das anschließende Visumverfahren. Wer sie erst beginnt, wenn Punktzahl oder Jobangebot schon feststehen, verliert wertvolle Zeit.</w:t>
      </w:r>
    </w:p>
    <w:p w14:paraId="701FBE4A" w14:textId="77777777" w:rsidR="001F7233" w:rsidRDefault="00000000">
      <w:r>
        <w:rPr>
          <w:b/>
        </w:rPr>
        <w:t xml:space="preserve">SPARTIPP: </w:t>
      </w:r>
    </w:p>
    <w:p w14:paraId="0CD40BDB" w14:textId="77777777" w:rsidR="001F7233" w:rsidRDefault="00000000">
      <w:r>
        <w:t xml:space="preserve">• Beantrage das Skills Assessment parallel zum Sprachtest, sobald du dich ernsthaft mit Australien befasst. Unabhängig davon, für welchen der Wege in diesem Kapitel du dich am Ende entscheidest. Die </w:t>
      </w:r>
      <w:r>
        <w:lastRenderedPageBreak/>
        <w:t>Gebühr ist überschaubar gegen der Zeit, die eine verspätete Antragstellung kostet.</w:t>
      </w:r>
    </w:p>
    <w:p w14:paraId="3DD79006" w14:textId="77777777" w:rsidR="001F7233" w:rsidRDefault="001F7233">
      <w:pPr>
        <w:spacing w:line="220" w:lineRule="exact"/>
      </w:pPr>
    </w:p>
    <w:p w14:paraId="11BD0A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Working Holiday: der Seiteneingang</w:t>
      </w:r>
    </w:p>
    <w:p w14:paraId="1C3F0B73" w14:textId="77777777" w:rsidR="001F7233" w:rsidRDefault="00000000">
      <w:pPr>
        <w:spacing w:after="140"/>
      </w:pPr>
      <w:r>
        <w:rPr>
          <w:i/>
          <w:iCs/>
        </w:rPr>
        <w:t>Das Working-Holiday-Visum (die befristete Arbeits- und Reiseerlaubnis für junge Erwachsene) ist für sich genommen kein Weg zum Daueraufenthalt. Für viele Deutsche ist es aber der günstigste Einstieg, um das Land, den Arbeitsmarkt und den eigenen Berufswert überhaupt erst kennenzulernen. Für deutsche Staatsangehörige ist nur Subclass 417 einschlägig, nicht die oft genannte 462, die für andere Nationalitäten mit eigenen Auflagen gilt. Seit 1. Juli 2026 reicht die Altersgrenze von 18 bis 35 Jahre (vorher bis 30), das Erstvisum gilt 12 Monate. Eine Verlängerung um ein weiteres Jahr setzt 88 Tage bestimmte Tätigkeiten voraus (specified work, etwa in Landwirtschaft oder Bergbau in festgelegten Gebieten). Seit einer Ankündigung vom September 2026 berechtigt das allerdings nur noch zur Teilnahme an einem Losverfahren, garantiert das zweite Jahr also nicht mehr automatisch. Die Gebühr liegt bei 840 AUD für den Erstantrag, 1.000 AUD für jeden weiteren.</w:t>
      </w:r>
    </w:p>
    <w:p w14:paraId="39A6F838" w14:textId="77777777" w:rsidR="001F7233" w:rsidRDefault="00000000">
      <w:pPr>
        <w:spacing w:after="140"/>
      </w:pPr>
      <w:r>
        <w:t>Der eigentliche Wert dieses Visums liegt selten im Visum selbst, sondern in dem, was währenddessen passiert: ein Netzwerk, ein Probejob, im besten Fall ein Arbeitgeber, der bereit ist, danach zu sponsern. Wer das Working-Holiday-Jahr nur als verlängerten Urlaub versteht, verschenkt genau diese Chance.</w:t>
      </w:r>
    </w:p>
    <w:p w14:paraId="558D5415" w14:textId="77777777" w:rsidR="001F7233" w:rsidRDefault="001F7233">
      <w:pPr>
        <w:spacing w:line="220" w:lineRule="exact"/>
      </w:pPr>
    </w:p>
    <w:p w14:paraId="29DF9E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der langsame, aber planbare Weg</w:t>
      </w:r>
    </w:p>
    <w:p w14:paraId="02CB55D7" w14:textId="77777777" w:rsidR="001F7233" w:rsidRDefault="00000000">
      <w:pPr>
        <w:spacing w:after="140"/>
      </w:pPr>
      <w:r>
        <w:rPr>
          <w:i/>
          <w:iCs/>
        </w:rPr>
        <w:t xml:space="preserve">Das Studienvisum (Subclass 500) führt nicht direkt zum Daueraufenthalt. Es öffnet aber zwei Türen zugleich: einen </w:t>
      </w:r>
      <w:r>
        <w:rPr>
          <w:i/>
          <w:iCs/>
        </w:rPr>
        <w:lastRenderedPageBreak/>
        <w:t>anerkannten australischen Abschluss, der im Punktetest zusätzliche Punkte bringt und oft den ersten Kontakt zu einem künftigen Arbeitgeber während eines Praktikums oder Werkstudentenjobs. Voraussetzung ist unter anderem der Genuine-Student-Nachweis (die Erklärung, dass ein echtes Studieninteresse und keine verdeckte Einwanderungsabsicht vorliegt), eine gültige Studienplatzbestätigung, ein Sprachnachweis und der Nachweis ausreichender finanzieller Mittel: mindestens 29.710 AUD im Jahr für die Hauptperson, dazu 10.394 AUD für mitreisende Partner und 4.449 AUD je Kind. Die Antragsgebühr liegt seit 1. Juli 2026 bei 2.500 AUD, ein Viertel mehr als zuvor.</w:t>
      </w:r>
    </w:p>
    <w:p w14:paraId="4DA8DCD7" w14:textId="77777777" w:rsidR="001F7233" w:rsidRDefault="00000000">
      <w:pPr>
        <w:spacing w:after="140"/>
      </w:pPr>
      <w:r>
        <w:t>Für wen lohnt sich dieser Umweg? Vor allem für jüngere Deutsche, die entweder noch keinen ausreichenden Punktestand erreichen oder einen international weniger bekannten Abschluss mit einer australischen Zusatzqualifikation aufwerten wollen. Wer bereits über ausreichend Berufserfahrung und einen anerkannten Abschluss verfügt, macht mit diesem Weg meist einen unnötigen Umweg.</w:t>
      </w:r>
    </w:p>
    <w:p w14:paraId="622D05BD" w14:textId="77777777" w:rsidR="001F7233" w:rsidRDefault="00000000">
      <w:pPr>
        <w:spacing w:after="140"/>
      </w:pPr>
      <w:r>
        <w:t>Nach dem Abschluss steht für viele ein weiterer Zwischenschritt an: das Temporary Graduate Visa (Subclass 485). Es erlaubt befristetes Arbeiten in Australien und verschafft Zeit, entweder eine Skills Assessment und den Punktetest anzugehen oder einen sponsernden Arbeitgeber zu finden. Die genauen Voraussetzungen dieses Zwischenschritts sind hier nicht vertieft. Wer über ein Studium einwandern will, sollte ihn aber von Anfang an in die eigene Zeitplanung einrechnen, nicht erst kurz vor Studienabschluss.</w:t>
      </w:r>
    </w:p>
    <w:p w14:paraId="744208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243F16CF" w14:textId="77777777" w:rsidR="001F7233" w:rsidRDefault="00000000">
      <w:pPr>
        <w:spacing w:after="140"/>
      </w:pPr>
      <w:r>
        <w:t>Wer die Wege in diesem Kapitel zum ersten Mal vergleicht, tappt erfahrungsgemäß in immer dieselben Fallen:</w:t>
      </w:r>
    </w:p>
    <w:p w14:paraId="235AD2DA" w14:textId="77777777" w:rsidR="001F7233" w:rsidRDefault="00000000">
      <w:pPr>
        <w:pStyle w:val="ListParagraph"/>
        <w:numPr>
          <w:ilvl w:val="0"/>
          <w:numId w:val="1"/>
        </w:numPr>
        <w:spacing w:after="60"/>
      </w:pPr>
      <w:r>
        <w:t xml:space="preserve">Verbreiteter Irrtum: Ein deutscher Hochschulabschluss werde automatisch anerkannt, ähnlich wie in der EU. Tatsächlich verlangt fast jeder berufliche Weg eine eigene, oft </w:t>
      </w:r>
      <w:r>
        <w:lastRenderedPageBreak/>
        <w:t>kostenpflichtige Skills Assessment durch eine australische Fachstelle. Ein deutsches Diplom ist dafür der Ausgangspunkt, nicht der Nachweis selbst.</w:t>
      </w:r>
    </w:p>
    <w:p w14:paraId="6E57ABE4" w14:textId="77777777" w:rsidR="001F7233" w:rsidRDefault="00000000">
      <w:pPr>
        <w:pStyle w:val="ListParagraph"/>
        <w:numPr>
          <w:ilvl w:val="0"/>
          <w:numId w:val="1"/>
        </w:numPr>
        <w:spacing w:after="60"/>
      </w:pPr>
      <w:r>
        <w:t>Die gesetzliche Mindestpunktzahl von 65 wird mit einer realistischen Erfolgschance verwechselt. In Wahrheit liegen die Cut-offs bei gefragten Berufen deutlich darüber.</w:t>
      </w:r>
    </w:p>
    <w:p w14:paraId="346A3A99" w14:textId="77777777" w:rsidR="001F7233" w:rsidRDefault="00000000">
      <w:pPr>
        <w:pStyle w:val="ListParagraph"/>
        <w:numPr>
          <w:ilvl w:val="0"/>
          <w:numId w:val="1"/>
        </w:numPr>
        <w:spacing w:after="60"/>
      </w:pPr>
      <w:r>
        <w:t>Die Altersgrenze von 45 Jahren für den Punktetest wird erst spät im Prozess entdeckt, oft nachdem schon Zeit und Geld in eine Skills Assessment geflossen sind.</w:t>
      </w:r>
    </w:p>
    <w:p w14:paraId="6A56C14B" w14:textId="77777777" w:rsidR="001F7233" w:rsidRDefault="00000000">
      <w:pPr>
        <w:pStyle w:val="ListParagraph"/>
        <w:numPr>
          <w:ilvl w:val="0"/>
          <w:numId w:val="1"/>
        </w:numPr>
        <w:spacing w:after="60"/>
      </w:pPr>
      <w:r>
        <w:t>Working Holiday und Studium werden als eigenständige Einwanderungswege missverstanden. Obwohl sie das Gesetz nur als befristete, nicht dauerhafte Aufenthaltstitel vorsieht.</w:t>
      </w:r>
    </w:p>
    <w:p w14:paraId="1D423F8D" w14:textId="77777777" w:rsidR="001F7233" w:rsidRDefault="00000000">
      <w:pPr>
        <w:pStyle w:val="ListParagraph"/>
        <w:numPr>
          <w:ilvl w:val="0"/>
          <w:numId w:val="1"/>
        </w:numPr>
        <w:spacing w:after="60"/>
      </w:pPr>
      <w:r>
        <w:t>Die Bearbeitungszeit wird unterschätzt, weil Online-Rechner nur die Behördenbearbeitung zeigen, nicht die Monate für Sprachtest, Skills Assessment und Dokumentenbeschaffung davor.</w:t>
      </w:r>
    </w:p>
    <w:p w14:paraId="118CCDE1" w14:textId="77777777" w:rsidR="001F7233" w:rsidRDefault="001F7233">
      <w:pPr>
        <w:spacing w:line="120" w:lineRule="exact"/>
      </w:pPr>
    </w:p>
    <w:p w14:paraId="61C2F9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0FE75F0E" w14:textId="77777777" w:rsidR="001F7233" w:rsidRDefault="00000000">
      <w:pPr>
        <w:spacing w:after="140"/>
      </w:pPr>
      <w:r>
        <w:t>Die eigentliche Entscheidung ist selten eine reine Kopfrechnung. Wer eine Familie mit Kindern mitnimmt, gewichtet Stabilität und Planbarkeit oft höher als Geschwindigkeit und wählt lieber den etwas langsameren, aber sichereren Punktetest-Weg. Wer alleinstehend ist und Flexibilität schätzt, kann sich einen risikoreicheren Umweg über Working Holiday oder Studium eher leisten und wer bereits Mitte 40 ist, hat schlicht weniger Wege zur Auswahl als jemand Ende 20. Das ist eine Realität, die sich nicht wegdiskutieren, aber immerhin klar benennen lässt. Die folgende Übersicht ersetzt keine individuelle Rechnung, zeigt aber, wo die meisten Deutschen typischerweise landen:</w:t>
      </w:r>
    </w:p>
    <w:p w14:paraId="3A36661E" w14:textId="77777777" w:rsidR="001F7233" w:rsidRDefault="00000000">
      <w:r>
        <w:rPr>
          <w:b/>
        </w:rPr>
        <w:t>25 bis 39 Jahre, Mangelberuf, guter Punktestand erwartbar</w:t>
      </w:r>
    </w:p>
    <w:p w14:paraId="53F8520E" w14:textId="77777777" w:rsidR="001F7233" w:rsidRDefault="00000000">
      <w:r>
        <w:rPr>
          <w:b/>
        </w:rPr>
        <w:t xml:space="preserve">Meist passender Weg: </w:t>
      </w:r>
      <w:r>
        <w:t>Subclass 189 (unabhängig)</w:t>
      </w:r>
    </w:p>
    <w:p w14:paraId="7870D606" w14:textId="77777777" w:rsidR="001F7233" w:rsidRDefault="00000000">
      <w:r>
        <w:rPr>
          <w:b/>
        </w:rPr>
        <w:lastRenderedPageBreak/>
        <w:t>Punktzahl knapp unter dem Cut-off, Bereitschaft zu zwei Jahren Bindung</w:t>
      </w:r>
    </w:p>
    <w:p w14:paraId="1BCF9673" w14:textId="77777777" w:rsidR="001F7233" w:rsidRDefault="00000000">
      <w:r>
        <w:rPr>
          <w:b/>
        </w:rPr>
        <w:t xml:space="preserve">Meist passender Weg: </w:t>
      </w:r>
      <w:r>
        <w:t>Subclass 190 (mit Bundesstaat)</w:t>
      </w:r>
    </w:p>
    <w:p w14:paraId="05CB6D68" w14:textId="77777777" w:rsidR="001F7233" w:rsidRDefault="00000000">
      <w:r>
        <w:rPr>
          <w:b/>
        </w:rPr>
        <w:t>Bereitschaft, außerhalb der Großstädte zu leben</w:t>
      </w:r>
    </w:p>
    <w:p w14:paraId="6830E806" w14:textId="77777777" w:rsidR="001F7233" w:rsidRDefault="00000000">
      <w:r>
        <w:rPr>
          <w:b/>
        </w:rPr>
        <w:t xml:space="preserve">Meist passender Weg: </w:t>
      </w:r>
      <w:r>
        <w:t>Subclass 491 (regional, Vorstufe zu 191)</w:t>
      </w:r>
    </w:p>
    <w:p w14:paraId="374225B1" w14:textId="77777777" w:rsidR="001F7233" w:rsidRDefault="00000000">
      <w:r>
        <w:rPr>
          <w:b/>
        </w:rPr>
        <w:t>Jobangebot eines australischen Arbeitgebers liegt vor</w:t>
      </w:r>
    </w:p>
    <w:p w14:paraId="7FACC646" w14:textId="77777777" w:rsidR="001F7233" w:rsidRDefault="00000000">
      <w:r>
        <w:rPr>
          <w:b/>
        </w:rPr>
        <w:t xml:space="preserve">Meist passender Weg: </w:t>
      </w:r>
      <w:r>
        <w:t>Subclass 482, später ggf. 186</w:t>
      </w:r>
    </w:p>
    <w:p w14:paraId="223F5681" w14:textId="77777777" w:rsidR="001F7233" w:rsidRDefault="00000000">
      <w:r>
        <w:rPr>
          <w:b/>
        </w:rPr>
        <w:t>Ab 45 Jahren oder punktebasiert nicht ausreichend</w:t>
      </w:r>
    </w:p>
    <w:p w14:paraId="72E65C11" w14:textId="77777777" w:rsidR="001F7233" w:rsidRDefault="00000000">
      <w:r>
        <w:rPr>
          <w:b/>
        </w:rPr>
        <w:t xml:space="preserve">Meist passender Weg: </w:t>
      </w:r>
      <w:r>
        <w:t>Nur noch Arbeitgeber-Sponsoring (482/186)</w:t>
      </w:r>
    </w:p>
    <w:p w14:paraId="0A66E3C7" w14:textId="77777777" w:rsidR="001F7233" w:rsidRDefault="00000000">
      <w:r>
        <w:rPr>
          <w:b/>
        </w:rPr>
        <w:t>18 bis 35 Jahre, noch unentschlossen, will erst reinschnuppern</w:t>
      </w:r>
    </w:p>
    <w:p w14:paraId="283CF67A" w14:textId="77777777" w:rsidR="001F7233" w:rsidRDefault="00000000">
      <w:r>
        <w:rPr>
          <w:b/>
        </w:rPr>
        <w:t xml:space="preserve">Meist passender Weg: </w:t>
      </w:r>
      <w:r>
        <w:t>Working Holiday (417)</w:t>
      </w:r>
    </w:p>
    <w:p w14:paraId="45C86E1A" w14:textId="77777777" w:rsidR="001F7233" w:rsidRDefault="00000000">
      <w:r>
        <w:rPr>
          <w:b/>
        </w:rPr>
        <w:t>Punktzahl oder Abschluss reichen noch nicht</w:t>
      </w:r>
    </w:p>
    <w:p w14:paraId="3534B5BC" w14:textId="77777777" w:rsidR="001F7233" w:rsidRDefault="00000000">
      <w:r>
        <w:rPr>
          <w:b/>
        </w:rPr>
        <w:t xml:space="preserve">Meist passender Weg: </w:t>
      </w:r>
      <w:r>
        <w:t>Studienvisum (500) als Zwischenschritt</w:t>
      </w:r>
    </w:p>
    <w:p w14:paraId="422CC26A" w14:textId="77777777" w:rsidR="001F7233" w:rsidRDefault="00000000">
      <w:r>
        <w:rPr>
          <w:b/>
        </w:rPr>
        <w:t>Kein eigener gefragter Beruf, aber Kind mit Aufenthaltstitel in Australien</w:t>
      </w:r>
    </w:p>
    <w:p w14:paraId="4A2B4389" w14:textId="77777777" w:rsidR="001F7233" w:rsidRDefault="00000000">
      <w:r>
        <w:rPr>
          <w:b/>
        </w:rPr>
        <w:t xml:space="preserve">Meist passender Weg: </w:t>
      </w:r>
      <w:r>
        <w:t>siehe Kapitel zu Familie, Investor und Ruhestand in diesem Teil</w:t>
      </w:r>
    </w:p>
    <w:p w14:paraId="78CAAF3D" w14:textId="77777777" w:rsidR="001F7233" w:rsidRDefault="001F7233">
      <w:pPr>
        <w:spacing w:line="180" w:lineRule="exact"/>
      </w:pPr>
    </w:p>
    <w:p w14:paraId="12B1BA83" w14:textId="77777777" w:rsidR="001F7233" w:rsidRDefault="00000000">
      <w:r>
        <w:rPr>
          <w:b/>
        </w:rPr>
        <w:t xml:space="preserve">ACHTUNG: </w:t>
      </w:r>
    </w:p>
    <w:p w14:paraId="474CF71A" w14:textId="77777777" w:rsidR="001F7233" w:rsidRDefault="00000000">
      <w:r>
        <w:t>• Diese Zuordnung ist eine grobe Orientierung, keine Garantie. Berufslisten, Cut-off-Werte und Lohnschwellen ändern sich mehrfach im Jahr und manche Kategorien sind Gegenstand widersprüchlicher Sekundärquellen – etwa die genaue Zuordnung der Berufslisten je Visum. Prüfe jede Zahl vor einer Kündigung in Deutschland direkt bei Home Affairs.</w:t>
      </w:r>
    </w:p>
    <w:p w14:paraId="6EB06D2B" w14:textId="77777777" w:rsidR="001F7233" w:rsidRDefault="001F7233">
      <w:pPr>
        <w:spacing w:line="220" w:lineRule="exact"/>
      </w:pPr>
    </w:p>
    <w:p w14:paraId="01590A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Wege der Einwanderung</w:t>
      </w:r>
    </w:p>
    <w:p w14:paraId="50011266" w14:textId="77777777" w:rsidR="001F7233" w:rsidRDefault="00000000">
      <w:r>
        <w:rPr>
          <w:b/>
        </w:rPr>
        <w:t>Plus: Mehrere parallele Wege erhöhen die Gesamtchance</w:t>
      </w:r>
    </w:p>
    <w:p w14:paraId="542BB36A" w14:textId="77777777" w:rsidR="001F7233" w:rsidRDefault="00000000">
      <w:r>
        <w:rPr>
          <w:b/>
        </w:rPr>
        <w:t xml:space="preserve">Minus: </w:t>
      </w:r>
      <w:r>
        <w:t>Für fast jeden Weg ist ein Beruf auf einer Liste Voraussetzung</w:t>
      </w:r>
    </w:p>
    <w:p w14:paraId="2B8EBF14" w14:textId="77777777" w:rsidR="001F7233" w:rsidRDefault="00000000">
      <w:r>
        <w:rPr>
          <w:b/>
        </w:rPr>
        <w:lastRenderedPageBreak/>
        <w:t>Plus: Punktetest ist transparent und selbst überschlagbar</w:t>
      </w:r>
    </w:p>
    <w:p w14:paraId="1E452661" w14:textId="77777777" w:rsidR="001F7233" w:rsidRDefault="00000000">
      <w:r>
        <w:rPr>
          <w:b/>
        </w:rPr>
        <w:t xml:space="preserve">Minus: </w:t>
      </w:r>
      <w:r>
        <w:t>Berufslisten und Cut-offs ändern sich mehrfach im Jahr</w:t>
      </w:r>
    </w:p>
    <w:p w14:paraId="5DDE0EFC" w14:textId="77777777" w:rsidR="001F7233" w:rsidRDefault="00000000">
      <w:r>
        <w:rPr>
          <w:b/>
        </w:rPr>
        <w:t>Plus: Arbeitgeber-Sponsoring umgeht den Punktetest komplett</w:t>
      </w:r>
    </w:p>
    <w:p w14:paraId="2AF1B8C8" w14:textId="77777777" w:rsidR="001F7233" w:rsidRDefault="00000000">
      <w:r>
        <w:rPr>
          <w:b/>
        </w:rPr>
        <w:t xml:space="preserve">Minus: </w:t>
      </w:r>
      <w:r>
        <w:t>Subclass 482 bindet dich für Jahre an einen einzelnen Betrieb</w:t>
      </w:r>
    </w:p>
    <w:p w14:paraId="164AA554" w14:textId="77777777" w:rsidR="001F7233" w:rsidRDefault="00000000">
      <w:r>
        <w:rPr>
          <w:b/>
        </w:rPr>
        <w:t>Plus: Working Holiday erlaubt einen risikoarmen ersten Schritt</w:t>
      </w:r>
    </w:p>
    <w:p w14:paraId="48B544BB" w14:textId="77777777" w:rsidR="001F7233" w:rsidRDefault="00000000">
      <w:r>
        <w:rPr>
          <w:b/>
        </w:rPr>
        <w:t xml:space="preserve">Minus: </w:t>
      </w:r>
      <w:r>
        <w:t>Working Holiday ist selbst kein Daueraufenthaltsweg</w:t>
      </w:r>
    </w:p>
    <w:p w14:paraId="6D1AA321" w14:textId="77777777" w:rsidR="001F7233" w:rsidRDefault="00000000">
      <w:r>
        <w:rPr>
          <w:b/>
        </w:rPr>
        <w:t>Plus: Studium eröffnet zusätzliche Punkte und Kontakte</w:t>
      </w:r>
    </w:p>
    <w:p w14:paraId="31F12A17" w14:textId="77777777" w:rsidR="001F7233" w:rsidRDefault="00000000">
      <w:r>
        <w:rPr>
          <w:b/>
        </w:rPr>
        <w:t xml:space="preserve">Minus: </w:t>
      </w:r>
      <w:r>
        <w:t>Studienvisum ist die teuerste Variante ohne Jobgarantie</w:t>
      </w:r>
    </w:p>
    <w:p w14:paraId="0BE88D00" w14:textId="77777777" w:rsidR="001F7233" w:rsidRDefault="00000000">
      <w:r>
        <w:rPr>
          <w:b/>
        </w:rPr>
        <w:t>Plus: Family Stream bietet einen Weg unabhängig vom eigenen Beruf</w:t>
      </w:r>
    </w:p>
    <w:p w14:paraId="7375E7E7" w14:textId="77777777" w:rsidR="001F7233" w:rsidRDefault="00000000">
      <w:r>
        <w:rPr>
          <w:b/>
        </w:rPr>
        <w:t xml:space="preserve">Minus: </w:t>
      </w:r>
      <w:r>
        <w:t>Für Familienwege gelten oft jahrzehntelange Wartezeiten</w:t>
      </w:r>
    </w:p>
    <w:p w14:paraId="0D4E7DE2" w14:textId="77777777" w:rsidR="001F7233" w:rsidRDefault="001F7233">
      <w:pPr>
        <w:spacing w:line="180" w:lineRule="exact"/>
      </w:pPr>
    </w:p>
    <w:p w14:paraId="17400F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F9BED7D" w14:textId="77777777" w:rsidR="001F7233" w:rsidRDefault="00000000">
      <w:pPr>
        <w:spacing w:after="140"/>
      </w:pPr>
      <w:r>
        <w:t>Beginne mit einer ehrlichen Bestandsaufnahme: Alter, Beruf, Englischniveau, vorhandenes oder fehlendes Jobangebot. Prüfe, ob dein Beruf überhaupt auf einer der einschlägigen Listen steht. Ohne das ist keiner der beruflichen Wege gangbar. Erst danach lohnt sich die Detailarbeit an Punktzahl oder Arbeitgebersuche, die die folgenden Kapitel dieses Teils zeigen. Wer sich nach dieser ersten Einordnung zwischen zwei Wegen nicht entscheiden kann, verliert selten Zeit, wenn er beide parallel vorbereitet: Ein begonnenes Skills Assessment verfällt nicht, nur weil am Ende doch der Arbeitgeberweg den Ausschlag gibt.</w:t>
      </w:r>
    </w:p>
    <w:p w14:paraId="6BF28CAE" w14:textId="77777777" w:rsidR="001F7233" w:rsidRDefault="00000000">
      <w:r>
        <w:t>• Beruf mit den aktuell gültigen Berufslisten abgeglichen (je nach Visum unterschiedlich)</w:t>
      </w:r>
    </w:p>
    <w:p w14:paraId="530BD8DC" w14:textId="77777777" w:rsidR="001F7233" w:rsidRDefault="00000000">
      <w:r>
        <w:t>• Eigenes Alter in die Punktetabelle eingeordnet und geprüft, ob der Punktetest-Weg überhaupt offensteht</w:t>
      </w:r>
    </w:p>
    <w:p w14:paraId="088B4E43" w14:textId="77777777" w:rsidR="001F7233" w:rsidRDefault="00000000">
      <w:r>
        <w:t>• Englischniveau realistisch eingeschätzt, ggf. Testtermin für IELTS oder einen gleichwertigen Test gebucht</w:t>
      </w:r>
    </w:p>
    <w:p w14:paraId="634607C0" w14:textId="77777777" w:rsidR="001F7233" w:rsidRDefault="00000000">
      <w:r>
        <w:t>• Geprüft, ob ein Jobangebot eines australischen Arbeitgebers realistisch erreichbar ist</w:t>
      </w:r>
    </w:p>
    <w:p w14:paraId="10A43F6C" w14:textId="77777777" w:rsidR="001F7233" w:rsidRDefault="00000000">
      <w:r>
        <w:lastRenderedPageBreak/>
        <w:t xml:space="preserve">• Working Holiday als möglichen ersten Schritt erwogen, nur für Subclass 417 und nur im Rahmen, den dieses Kapitel nennt (18 bis 35 Jahre seit 1. Juli 2026). Die Grenze auf </w:t>
      </w:r>
      <w:hyperlink r:id="rId589">
        <w:r w:rsidR="001F7233">
          <w:rPr>
            <w:color w:val="0563C1"/>
            <w:u w:val="single"/>
          </w:rPr>
          <w:t>immi.homeaffairs.gov.au</w:t>
        </w:r>
      </w:hyperlink>
      <w:r>
        <w:t xml:space="preserve"> prüfen. Nicht das neuseeländische Working Holiday (18 bis 30 im dortigen Kapitelstand) übernehmen</w:t>
      </w:r>
    </w:p>
    <w:p w14:paraId="0821D094" w14:textId="77777777" w:rsidR="001F7233" w:rsidRDefault="00000000">
      <w:r>
        <w:t>• Studienvisum als Zwischenschritt geprüft, falls Punktzahl oder Abschluss noch nicht reichen</w:t>
      </w:r>
    </w:p>
    <w:p w14:paraId="144B760A" w14:textId="77777777" w:rsidR="001F7233" w:rsidRDefault="00000000">
      <w:r>
        <w:t>• Kapitel zu Familie, Investor und Ruhestand in diesem Teil gelesen, falls kein eigener gefragter Beruf vorliegt</w:t>
      </w:r>
    </w:p>
    <w:p w14:paraId="2DFC20EB" w14:textId="77777777" w:rsidR="001F7233" w:rsidRDefault="00000000">
      <w:r>
        <w:t>• Aktuelle Gebühren, Cut-offs und Bearbeitungszeiten direkt bei Home Affairs geprüft</w:t>
      </w:r>
    </w:p>
    <w:p w14:paraId="3C87B58E" w14:textId="77777777" w:rsidR="001F7233" w:rsidRDefault="001F7233">
      <w:pPr>
        <w:spacing w:line="220" w:lineRule="exact"/>
      </w:pPr>
    </w:p>
    <w:p w14:paraId="3D4CEE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B718BEE" w14:textId="77777777" w:rsidR="001F7233" w:rsidRDefault="00000000">
      <w:pPr>
        <w:pStyle w:val="ListParagraph"/>
        <w:numPr>
          <w:ilvl w:val="0"/>
          <w:numId w:val="1"/>
        </w:numPr>
        <w:spacing w:after="60"/>
      </w:pPr>
      <w:r>
        <w:t>Department of Home Affairs — Übersicht aller Visa-Optionen (</w:t>
      </w:r>
      <w:hyperlink r:id="rId590">
        <w:r w:rsidR="001F7233">
          <w:rPr>
            <w:color w:val="0563C1"/>
            <w:u w:val="single"/>
          </w:rPr>
          <w:t>immi.homeaffairs.gov.au</w:t>
        </w:r>
      </w:hyperlink>
      <w:r>
        <w:t>)</w:t>
      </w:r>
    </w:p>
    <w:p w14:paraId="5E120D6A" w14:textId="77777777" w:rsidR="001F7233" w:rsidRDefault="00000000">
      <w:pPr>
        <w:pStyle w:val="ListParagraph"/>
        <w:numPr>
          <w:ilvl w:val="0"/>
          <w:numId w:val="1"/>
        </w:numPr>
        <w:spacing w:after="60"/>
      </w:pPr>
      <w:r>
        <w:t>Department of Home Affairs — SkillSelect und Einladungsrunden (</w:t>
      </w:r>
      <w:hyperlink r:id="rId591">
        <w:r w:rsidR="001F7233">
          <w:rPr>
            <w:color w:val="0563C1"/>
            <w:u w:val="single"/>
          </w:rPr>
          <w:t>immi.homeaffairs.gov.au/visas/working-in-australia/skillselect</w:t>
        </w:r>
      </w:hyperlink>
      <w:r>
        <w:t>)</w:t>
      </w:r>
    </w:p>
    <w:p w14:paraId="7599812F" w14:textId="77777777" w:rsidR="001F7233" w:rsidRDefault="00000000">
      <w:pPr>
        <w:pStyle w:val="ListParagraph"/>
        <w:numPr>
          <w:ilvl w:val="0"/>
          <w:numId w:val="1"/>
        </w:numPr>
        <w:spacing w:after="60"/>
      </w:pPr>
      <w:r>
        <w:t>Department of Home Affairs — Working Holiday Visa, Subclass 417 (</w:t>
      </w:r>
      <w:hyperlink r:id="rId592">
        <w:r w:rsidR="001F7233">
          <w:rPr>
            <w:color w:val="0563C1"/>
            <w:u w:val="single"/>
          </w:rPr>
          <w:t>immi.homeaffairs.gov.au</w:t>
        </w:r>
      </w:hyperlink>
      <w:r>
        <w:t>, Suche: work-holiday-417)</w:t>
      </w:r>
    </w:p>
    <w:p w14:paraId="1CFDD493" w14:textId="77777777" w:rsidR="001F7233" w:rsidRDefault="00000000">
      <w:pPr>
        <w:pStyle w:val="ListParagraph"/>
        <w:numPr>
          <w:ilvl w:val="0"/>
          <w:numId w:val="1"/>
        </w:numPr>
        <w:spacing w:after="60"/>
      </w:pPr>
      <w:r>
        <w:t>Department of Home Affairs — Student Visa, Subclass 500 (</w:t>
      </w:r>
      <w:hyperlink r:id="rId593">
        <w:r w:rsidR="001F7233">
          <w:rPr>
            <w:color w:val="0563C1"/>
            <w:u w:val="single"/>
          </w:rPr>
          <w:t>immi.homeaffairs.gov.au</w:t>
        </w:r>
      </w:hyperlink>
      <w:r>
        <w:t>, Suche: student-visa-500)</w:t>
      </w:r>
    </w:p>
    <w:p w14:paraId="50D0BF7A" w14:textId="77777777" w:rsidR="001F7233" w:rsidRDefault="00000000">
      <w:pPr>
        <w:pStyle w:val="ListParagraph"/>
        <w:numPr>
          <w:ilvl w:val="0"/>
          <w:numId w:val="1"/>
        </w:numPr>
        <w:spacing w:after="60"/>
      </w:pPr>
      <w:r>
        <w:t>Department of Home Affairs — Gebühren und Bearbeitungszeiten (</w:t>
      </w:r>
      <w:hyperlink r:id="rId594">
        <w:r w:rsidR="001F7233">
          <w:rPr>
            <w:color w:val="0563C1"/>
            <w:u w:val="single"/>
          </w:rPr>
          <w:t>immi.homeaffairs.gov.au/visas/getting-a-visa/fees-and-charges</w:t>
        </w:r>
      </w:hyperlink>
      <w:r>
        <w:t>)</w:t>
      </w:r>
    </w:p>
    <w:p w14:paraId="734E8E5F" w14:textId="77777777" w:rsidR="001F7233" w:rsidRDefault="00000000">
      <w:pPr>
        <w:pStyle w:val="ListParagraph"/>
        <w:numPr>
          <w:ilvl w:val="0"/>
          <w:numId w:val="1"/>
        </w:numPr>
        <w:spacing w:after="60"/>
      </w:pPr>
      <w:r>
        <w:t>Department of Home Affairs — Migration Program, Planungsniveau 2026–27 (</w:t>
      </w:r>
      <w:hyperlink r:id="rId595">
        <w:r w:rsidR="001F7233">
          <w:rPr>
            <w:color w:val="0563C1"/>
            <w:u w:val="single"/>
          </w:rPr>
          <w:t>immi.homeaffairs.gov.au</w:t>
        </w:r>
      </w:hyperlink>
      <w:r>
        <w:t>)</w:t>
      </w:r>
    </w:p>
    <w:p w14:paraId="27B8D7A9" w14:textId="77777777" w:rsidR="001F7233" w:rsidRDefault="001F7233">
      <w:pPr>
        <w:spacing w:line="120" w:lineRule="exact"/>
      </w:pPr>
    </w:p>
    <w:p w14:paraId="79363FB0" w14:textId="77777777" w:rsidR="001F7233" w:rsidRDefault="00000000">
      <w:r>
        <w:t xml:space="preserve">• 23.09.2026. Diese Angaben ändern sich schnell: die Cut-off-Werte jeder SkillSelect-Runde, die Berufslisten, die Lohnschwellen für Subclass 482, die Working-Holiday-Regeln (Altersgrenze, Losverfahren für das zweite Jahr seit September 2026) und alle </w:t>
      </w:r>
      <w:r>
        <w:lastRenderedPageBreak/>
        <w:t xml:space="preserve">genannten Gebühren. Prüfe vor jeder Entscheidung die aktuellen Werte direkt auf </w:t>
      </w:r>
      <w:hyperlink r:id="rId596">
        <w:r w:rsidR="001F7233">
          <w:rPr>
            <w:color w:val="0563C1"/>
            <w:u w:val="single"/>
          </w:rPr>
          <w:t>immi.homeaffairs.gov.au</w:t>
        </w:r>
      </w:hyperlink>
      <w:r>
        <w:t>.</w:t>
      </w:r>
    </w:p>
    <w:p w14:paraId="31364637" w14:textId="77777777" w:rsidR="001F7233" w:rsidRDefault="00000000">
      <w:pPr>
        <w:spacing w:line="220" w:lineRule="exact"/>
      </w:pPr>
      <w:r>
        <w:br w:type="page"/>
      </w:r>
    </w:p>
    <w:p w14:paraId="0A306874" w14:textId="77777777" w:rsidR="001F7233" w:rsidRDefault="00000000">
      <w:pPr>
        <w:pStyle w:val="Heading2"/>
        <w:keepNext/>
        <w:spacing w:line="341" w:lineRule="auto"/>
        <w:jc w:val="center"/>
      </w:pPr>
      <w:bookmarkStart w:id="86" w:name="tau03"/>
      <w:r>
        <w:rPr>
          <w:rFonts w:ascii="Amazon Ember" w:eastAsia="Amazon Ember" w:hAnsi="Amazon Ember" w:cs="Amazon Ember"/>
          <w:color w:val="0000FF"/>
          <w:sz w:val="36"/>
          <w:szCs w:val="36"/>
        </w:rPr>
        <w:lastRenderedPageBreak/>
        <w:t>Australien: Der Arbeitsweg im Detail</w:t>
      </w:r>
      <w:bookmarkEnd w:id="86"/>
    </w:p>
    <w:p w14:paraId="7E23CDA7" w14:textId="77777777" w:rsidR="001F7233" w:rsidRDefault="00000000">
      <w:r>
        <w:rPr>
          <w:b/>
        </w:rPr>
        <w:t xml:space="preserve">KURZ GESAGT: </w:t>
      </w:r>
    </w:p>
    <w:p w14:paraId="3E95839E" w14:textId="77777777" w:rsidR="001F7233" w:rsidRDefault="00000000">
      <w:r>
        <w:t>• Drei Wege führen über den Beruf nach Australien: der unabhängige Punktetest (Subclass 189), der Punktetest mit Nominierung durch einen Bundesstaat (Subclass 190) und das Arbeitgeber-Sponsoring (Subclass 482, mit Weiterweg zur Daueraufenthaltserlaubnis über Subclass 186).</w:t>
      </w:r>
    </w:p>
    <w:p w14:paraId="08E7194C" w14:textId="77777777" w:rsidR="001F7233" w:rsidRDefault="00000000">
      <w:r>
        <w:t>• Die gesetzliche Mindestpunktzahl liegt bei 65. Eingeladen werden bei gefragten Berufen praktisch aber meist erst Bewerber mit 80 bis 95 oder mehr Punkten.</w:t>
      </w:r>
    </w:p>
    <w:p w14:paraId="24C2245F" w14:textId="77777777" w:rsidR="001F7233" w:rsidRDefault="00000000">
      <w:r>
        <w:t>• Alter, Englischniveau, Berufserfahrung und Bildungsabschluss bestimmen die Punktzahl. Ab 45 Jahren ist der Punktetest-Weg komplett verschlossen.</w:t>
      </w:r>
    </w:p>
    <w:p w14:paraId="46FA06FC" w14:textId="77777777" w:rsidR="001F7233" w:rsidRDefault="00000000">
      <w:r>
        <w:t>• Das Verfahren läuft über die Plattform SkillSelect: erst eine Interessenbekundung einreichen, dann warten, dann – vielleicht – eingeladen werden. Erst danach folgt der eigentliche Antrag.</w:t>
      </w:r>
    </w:p>
    <w:p w14:paraId="00EACD6A" w14:textId="77777777" w:rsidR="001F7233" w:rsidRDefault="00000000">
      <w:r>
        <w:t>• Ohne Arbeitgeber bleibt Subclass 482 verschlossen; mit Arbeitgeber entfällt der Punktetest komplett, dafür bindet dich der Job für mehrere Jahre.</w:t>
      </w:r>
    </w:p>
    <w:p w14:paraId="4AD70325" w14:textId="77777777" w:rsidR="001F7233" w:rsidRDefault="00000000">
      <w:r>
        <w:t>• Welche Berufsliste für welches Visum gilt, ist nicht in jeder Quelle eindeutig. Prüfe das vor jeder Kündigung in Deutschland direkt bei Home Affairs oder deiner Bewertungsstelle.</w:t>
      </w:r>
    </w:p>
    <w:p w14:paraId="35A07FA8" w14:textId="77777777" w:rsidR="001F7233" w:rsidRDefault="001F7233">
      <w:pPr>
        <w:spacing w:line="220" w:lineRule="exact"/>
      </w:pPr>
    </w:p>
    <w:p w14:paraId="694E0D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Wege, ein Ziel</w:t>
      </w:r>
    </w:p>
    <w:p w14:paraId="7267B2B2" w14:textId="77777777" w:rsidR="001F7233" w:rsidRDefault="00000000">
      <w:pPr>
        <w:spacing w:after="140"/>
      </w:pPr>
      <w:r>
        <w:rPr>
          <w:i/>
          <w:iCs/>
        </w:rPr>
        <w:t>Das australische Einwanderungsprogramm für 2026–27 sieht insgesamt 185.000 permanente Plätze vor, gut 132.000 davon im Skill Stream (dem Fachkräfte-Strom). Also weit mehr als für den Familiennachzug. In dieses Stroms führen für deutsche Fachkräfte im Kern zwei Prinzipien zum Ziel: das Punktesystem und das Arbeitgeber-Sponsoring.</w:t>
      </w:r>
    </w:p>
    <w:p w14:paraId="0F3F4B68" w14:textId="77777777" w:rsidR="001F7233" w:rsidRDefault="00000000">
      <w:pPr>
        <w:spacing w:after="140"/>
      </w:pPr>
      <w:r>
        <w:rPr>
          <w:b/>
          <w:bCs/>
        </w:rPr>
        <w:lastRenderedPageBreak/>
        <w:t>Beim General Skilled Migration (GSM, allgemeine Facharbeitereinwanderung) bewirbst du dich selbst, ohne dass ein Arbeitgeber dich vorher einstellen muss. Dazu gehören die Subclasses 189 (unabhängig), 190 (mit Bundesstaat-Nominierung) und 491 (mit Nominierung für eine Region, hier nur am Rand erwähnt, da sie kein Daueraufenthaltsvisum, sondern nur eine Vorstufe ist). Voraussetzung ist immer ein Beruf auf der jeweils einschlägigen Liste, eine bestandene Skills Assessment (die fachliche Qualifikationsprüfung durch eine passende Berufsorganisation) sowie die Mindestpunktzahl.</w:t>
      </w:r>
    </w:p>
    <w:p w14:paraId="0A3C8843" w14:textId="77777777" w:rsidR="001F7233" w:rsidRDefault="00000000">
      <w:pPr>
        <w:spacing w:after="140"/>
      </w:pPr>
      <w:r>
        <w:rPr>
          <w:b/>
          <w:bCs/>
        </w:rPr>
        <w:t>Beim Arbeitgeber-Sponsoring übernimmt ein zugelassenes australisches Unternehmen die Rolle des Sponsors, ähnlich wie ein Arbeitgeber in Deutschland eine Blaue Karte EU beantragt. Subclass 482 (Skills in Demand, kurz SID) ist das befristete Arbeitsvisum, Subclass 186 der direkte oder daraus folgende Weg zur Daueraufenthaltserlaubnis. Ohne Job kein Antrag – dafür kein Punktetest.</w:t>
      </w:r>
    </w:p>
    <w:p w14:paraId="4F441DA6" w14:textId="77777777" w:rsidR="001F7233" w:rsidRDefault="00000000">
      <w:r>
        <w:rPr>
          <w:b/>
        </w:rPr>
        <w:t xml:space="preserve">MERKE: </w:t>
      </w:r>
    </w:p>
    <w:p w14:paraId="033242B3" w14:textId="77777777" w:rsidR="001F7233" w:rsidRDefault="00000000">
      <w:r>
        <w:t>• Der Punktetest bewertet dich als Person; das Arbeitgeber-Sponsoring bewertet die Stelle. Beide Wege prüfen am Ende denselben Kern: Steht dein Beruf auf einer Liste und ist deine Qualifikation dafür anerkannt?</w:t>
      </w:r>
    </w:p>
    <w:p w14:paraId="3A3574E4" w14:textId="77777777" w:rsidR="001F7233" w:rsidRDefault="001F7233">
      <w:pPr>
        <w:spacing w:line="220" w:lineRule="exact"/>
      </w:pPr>
    </w:p>
    <w:p w14:paraId="2FD21A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Punktetest im Detail</w:t>
      </w:r>
    </w:p>
    <w:p w14:paraId="2A52A91C" w14:textId="77777777" w:rsidR="001F7233" w:rsidRDefault="00000000">
      <w:pPr>
        <w:spacing w:after="140"/>
      </w:pPr>
      <w:r>
        <w:t>Der Punktetest gilt für die Subclasses 189, 190 und 491 gleichermaßen. Die gesetzliche Mindestpunktzahl ist 65. Wer weniger erreicht, kann keine Interessenbekundung abgeben. Die wichtigsten Kategorien:</w:t>
      </w:r>
    </w:p>
    <w:p w14:paraId="402E6EFD" w14:textId="77777777" w:rsidR="001F7233" w:rsidRDefault="00000000">
      <w:r>
        <w:rPr>
          <w:b/>
        </w:rPr>
        <w:t>Alter</w:t>
      </w:r>
    </w:p>
    <w:p w14:paraId="5064B541" w14:textId="77777777" w:rsidR="001F7233" w:rsidRDefault="00000000">
      <w:r>
        <w:rPr>
          <w:b/>
        </w:rPr>
        <w:t xml:space="preserve">Ausprägung: </w:t>
      </w:r>
      <w:r>
        <w:t>25–32 Jahre</w:t>
      </w:r>
    </w:p>
    <w:p w14:paraId="428A542E" w14:textId="77777777" w:rsidR="001F7233" w:rsidRDefault="00000000">
      <w:r>
        <w:rPr>
          <w:b/>
        </w:rPr>
        <w:t xml:space="preserve">Punkte: </w:t>
      </w:r>
      <w:r>
        <w:t>30</w:t>
      </w:r>
    </w:p>
    <w:p w14:paraId="4FCC532F" w14:textId="77777777" w:rsidR="001F7233" w:rsidRDefault="00000000">
      <w:r>
        <w:rPr>
          <w:b/>
        </w:rPr>
        <w:lastRenderedPageBreak/>
        <w:t>Alter</w:t>
      </w:r>
    </w:p>
    <w:p w14:paraId="6CA0102F" w14:textId="77777777" w:rsidR="001F7233" w:rsidRDefault="00000000">
      <w:r>
        <w:rPr>
          <w:b/>
        </w:rPr>
        <w:t xml:space="preserve">Ausprägung: </w:t>
      </w:r>
      <w:r>
        <w:t>18–24 oder 33–39 Jahre</w:t>
      </w:r>
    </w:p>
    <w:p w14:paraId="5399BA4F" w14:textId="77777777" w:rsidR="001F7233" w:rsidRDefault="00000000">
      <w:r>
        <w:rPr>
          <w:b/>
        </w:rPr>
        <w:t xml:space="preserve">Punkte: </w:t>
      </w:r>
      <w:r>
        <w:t>25</w:t>
      </w:r>
    </w:p>
    <w:p w14:paraId="4B8D3D71" w14:textId="77777777" w:rsidR="001F7233" w:rsidRDefault="00000000">
      <w:r>
        <w:rPr>
          <w:b/>
        </w:rPr>
        <w:t>Alter</w:t>
      </w:r>
    </w:p>
    <w:p w14:paraId="047B029A" w14:textId="77777777" w:rsidR="001F7233" w:rsidRDefault="00000000">
      <w:r>
        <w:rPr>
          <w:b/>
        </w:rPr>
        <w:t xml:space="preserve">Ausprägung: </w:t>
      </w:r>
      <w:r>
        <w:t>40–44 Jahre</w:t>
      </w:r>
    </w:p>
    <w:p w14:paraId="7E1F8CA8" w14:textId="77777777" w:rsidR="001F7233" w:rsidRDefault="00000000">
      <w:r>
        <w:rPr>
          <w:b/>
        </w:rPr>
        <w:t xml:space="preserve">Punkte: </w:t>
      </w:r>
      <w:r>
        <w:t>15</w:t>
      </w:r>
    </w:p>
    <w:p w14:paraId="1B640A83" w14:textId="77777777" w:rsidR="001F7233" w:rsidRDefault="00000000">
      <w:r>
        <w:rPr>
          <w:b/>
        </w:rPr>
        <w:t>Alter</w:t>
      </w:r>
    </w:p>
    <w:p w14:paraId="67F3F245" w14:textId="77777777" w:rsidR="001F7233" w:rsidRDefault="00000000">
      <w:r>
        <w:rPr>
          <w:b/>
        </w:rPr>
        <w:t xml:space="preserve">Ausprägung: </w:t>
      </w:r>
      <w:r>
        <w:t>ab 45 Jahre</w:t>
      </w:r>
    </w:p>
    <w:p w14:paraId="14A22121" w14:textId="77777777" w:rsidR="001F7233" w:rsidRDefault="00000000">
      <w:r>
        <w:rPr>
          <w:b/>
        </w:rPr>
        <w:t xml:space="preserve">Punkte: </w:t>
      </w:r>
      <w:r>
        <w:t>0 (nicht mehr zulässig)</w:t>
      </w:r>
    </w:p>
    <w:p w14:paraId="2ADD9D38" w14:textId="77777777" w:rsidR="001F7233" w:rsidRDefault="00000000">
      <w:r>
        <w:rPr>
          <w:b/>
        </w:rPr>
        <w:t>Englisch</w:t>
      </w:r>
    </w:p>
    <w:p w14:paraId="12E549F5" w14:textId="77777777" w:rsidR="001F7233" w:rsidRDefault="00000000">
      <w:r>
        <w:rPr>
          <w:b/>
        </w:rPr>
        <w:t xml:space="preserve">Ausprägung: </w:t>
      </w:r>
      <w:r>
        <w:t>„Superior“ (IELTS ≥ 8 je Band oder gleichwertig)</w:t>
      </w:r>
    </w:p>
    <w:p w14:paraId="015302F7" w14:textId="77777777" w:rsidR="001F7233" w:rsidRDefault="00000000">
      <w:r>
        <w:rPr>
          <w:b/>
        </w:rPr>
        <w:t xml:space="preserve">Punkte: </w:t>
      </w:r>
      <w:r>
        <w:t>20</w:t>
      </w:r>
    </w:p>
    <w:p w14:paraId="68A571BB" w14:textId="77777777" w:rsidR="001F7233" w:rsidRDefault="00000000">
      <w:r>
        <w:rPr>
          <w:b/>
        </w:rPr>
        <w:t>Englisch</w:t>
      </w:r>
    </w:p>
    <w:p w14:paraId="2E08EF06" w14:textId="77777777" w:rsidR="001F7233" w:rsidRDefault="00000000">
      <w:r>
        <w:rPr>
          <w:b/>
        </w:rPr>
        <w:t xml:space="preserve">Ausprägung: </w:t>
      </w:r>
      <w:r>
        <w:t>„Proficient“ (IELTS ≥ 7 je Band)</w:t>
      </w:r>
    </w:p>
    <w:p w14:paraId="27C68130" w14:textId="77777777" w:rsidR="001F7233" w:rsidRDefault="00000000">
      <w:r>
        <w:rPr>
          <w:b/>
        </w:rPr>
        <w:t xml:space="preserve">Punkte: </w:t>
      </w:r>
      <w:r>
        <w:t>10</w:t>
      </w:r>
    </w:p>
    <w:p w14:paraId="0556D746" w14:textId="77777777" w:rsidR="001F7233" w:rsidRDefault="00000000">
      <w:r>
        <w:rPr>
          <w:b/>
        </w:rPr>
        <w:t>Englisch</w:t>
      </w:r>
    </w:p>
    <w:p w14:paraId="6F8D3AD2" w14:textId="77777777" w:rsidR="001F7233" w:rsidRDefault="00000000">
      <w:r>
        <w:rPr>
          <w:b/>
        </w:rPr>
        <w:t xml:space="preserve">Ausprägung: </w:t>
      </w:r>
      <w:r>
        <w:t>„Competent“ (IELTS ≥ 6 je Band, Mindestvoraussetzung)</w:t>
      </w:r>
    </w:p>
    <w:p w14:paraId="18167271" w14:textId="77777777" w:rsidR="001F7233" w:rsidRDefault="00000000">
      <w:r>
        <w:rPr>
          <w:b/>
        </w:rPr>
        <w:t xml:space="preserve">Punkte: </w:t>
      </w:r>
      <w:r>
        <w:t>0</w:t>
      </w:r>
    </w:p>
    <w:p w14:paraId="30311F1C" w14:textId="77777777" w:rsidR="001F7233" w:rsidRDefault="00000000">
      <w:r>
        <w:rPr>
          <w:b/>
        </w:rPr>
        <w:t>Berufserfahrung</w:t>
      </w:r>
    </w:p>
    <w:p w14:paraId="678348A4" w14:textId="77777777" w:rsidR="001F7233" w:rsidRDefault="00000000">
      <w:r>
        <w:rPr>
          <w:b/>
        </w:rPr>
        <w:t xml:space="preserve">Ausprägung: </w:t>
      </w:r>
      <w:r>
        <w:t>im In- und Ausland zusammengerechnet, gedeckelt</w:t>
      </w:r>
    </w:p>
    <w:p w14:paraId="3286A2C1" w14:textId="77777777" w:rsidR="001F7233" w:rsidRDefault="00000000">
      <w:r>
        <w:rPr>
          <w:b/>
        </w:rPr>
        <w:t xml:space="preserve">Punkte: </w:t>
      </w:r>
      <w:r>
        <w:t>bis 20</w:t>
      </w:r>
    </w:p>
    <w:p w14:paraId="721EA485" w14:textId="77777777" w:rsidR="001F7233" w:rsidRDefault="00000000">
      <w:r>
        <w:rPr>
          <w:b/>
        </w:rPr>
        <w:t>Bildung</w:t>
      </w:r>
    </w:p>
    <w:p w14:paraId="1C9A7D6D" w14:textId="77777777" w:rsidR="001F7233" w:rsidRDefault="00000000">
      <w:r>
        <w:rPr>
          <w:b/>
        </w:rPr>
        <w:t xml:space="preserve">Ausprägung: </w:t>
      </w:r>
      <w:r>
        <w:t>Bachelor oder Master (gleichrangig)</w:t>
      </w:r>
    </w:p>
    <w:p w14:paraId="6DCA82DB" w14:textId="77777777" w:rsidR="001F7233" w:rsidRDefault="00000000">
      <w:r>
        <w:rPr>
          <w:b/>
        </w:rPr>
        <w:t xml:space="preserve">Punkte: </w:t>
      </w:r>
      <w:r>
        <w:t>15</w:t>
      </w:r>
    </w:p>
    <w:p w14:paraId="0D0AF79C" w14:textId="77777777" w:rsidR="001F7233" w:rsidRDefault="00000000">
      <w:r>
        <w:rPr>
          <w:b/>
        </w:rPr>
        <w:t>Bildung</w:t>
      </w:r>
    </w:p>
    <w:p w14:paraId="78C9CC72" w14:textId="77777777" w:rsidR="001F7233" w:rsidRDefault="00000000">
      <w:r>
        <w:rPr>
          <w:b/>
        </w:rPr>
        <w:t xml:space="preserve">Ausprägung: </w:t>
      </w:r>
      <w:r>
        <w:t>Promotion</w:t>
      </w:r>
    </w:p>
    <w:p w14:paraId="70B53B21" w14:textId="77777777" w:rsidR="001F7233" w:rsidRDefault="00000000">
      <w:r>
        <w:rPr>
          <w:b/>
        </w:rPr>
        <w:t xml:space="preserve">Punkte: </w:t>
      </w:r>
      <w:r>
        <w:t>20</w:t>
      </w:r>
    </w:p>
    <w:p w14:paraId="73AA5BCB" w14:textId="77777777" w:rsidR="001F7233" w:rsidRDefault="001F7233">
      <w:pPr>
        <w:spacing w:line="180" w:lineRule="exact"/>
      </w:pPr>
    </w:p>
    <w:p w14:paraId="69906FDB" w14:textId="77777777" w:rsidR="001F7233" w:rsidRDefault="00000000">
      <w:pPr>
        <w:spacing w:after="140"/>
      </w:pPr>
      <w:r>
        <w:t>Hinzu kommen Zusatzpunkte, etwa für eine Nominierung durch einen Bundesstaat (bei Subclass 190: 5 Punkte), einen australischen Studienabschluss oder eine qualifizierte Partnerin oder einen qualifizierten Partner. Die genaue Höhe hängt vom Einzelfall ab und ändert sich gelegentlich; prüfe sie vor der eigenen Rechnung.</w:t>
      </w:r>
    </w:p>
    <w:p w14:paraId="6520212A" w14:textId="77777777" w:rsidR="001F7233" w:rsidRDefault="00000000">
      <w:pPr>
        <w:spacing w:after="140"/>
      </w:pPr>
      <w:r>
        <w:lastRenderedPageBreak/>
        <w:t>Ab 45 Jahren ist der Punktetest-Weg endgültig verschlossen, unabhängig von Abschluss oder Erfahrung. Wer diese Altersgrenze schon im Blick hat, sollte frühzeitig auf das Arbeitgeber-Sponsoring ausweichen. Es kennt keine feste Altersobergrenze im gleichen Sinn.</w:t>
      </w:r>
    </w:p>
    <w:p w14:paraId="1CA524B9" w14:textId="77777777" w:rsidR="001F7233" w:rsidRDefault="00000000">
      <w:r>
        <w:rPr>
          <w:b/>
        </w:rPr>
        <w:t xml:space="preserve">ACHTUNG: </w:t>
      </w:r>
    </w:p>
    <w:p w14:paraId="067E863B" w14:textId="77777777" w:rsidR="001F7233" w:rsidRDefault="00000000">
      <w:r>
        <w:t>• 65 Punkte reichen selten. In der SkillSelect-Runde vom 4. Juni 2026 wurden für Subclass 189 rund 10.000 Einladungen verschickt, mit Mindestpunktzahlen zwischen 65 (bei einzelnen Handwerksberufen) und teils 100 (bei IT und Buchhaltung). Wer nur das gesetzliche Minimum erreicht, sollte sich nicht auf eine baldige Einladung verlassen. Die beiden wirksamsten Hebel sind das Alter (25 bis 32 Jahre bringt die volle Punktzahl) und ein sehr gutes Englischergebnis. Der Sprung von „Proficient“ auf „Superior“ bringt allein zehn Punkte extra. Oft mehr, als ein weiteres Berufsjahr einbringt.</w:t>
      </w:r>
    </w:p>
    <w:p w14:paraId="3EF041AD" w14:textId="77777777" w:rsidR="001F7233" w:rsidRDefault="001F7233">
      <w:pPr>
        <w:spacing w:line="220" w:lineRule="exact"/>
      </w:pPr>
    </w:p>
    <w:p w14:paraId="22146530" w14:textId="77777777" w:rsidR="001F7233" w:rsidRDefault="00000000">
      <w:r>
        <w:rPr>
          <w:b/>
        </w:rPr>
        <w:t xml:space="preserve">SPARTIPP: </w:t>
      </w:r>
    </w:p>
    <w:p w14:paraId="037AA607" w14:textId="77777777" w:rsidR="001F7233" w:rsidRDefault="00000000">
      <w:r>
        <w:t>• Bevor du einen teuren Migrationsberater beauftragst, lohnt sich ein zweiter Anlauf beim Englischtest (IELTS, PTE oder gleichwertig). Die Gebühr liegt bei einigen Hundert Dollar, der Punktegewinn kann über Einladung oder Nicht-Einladung entscheiden.</w:t>
      </w:r>
    </w:p>
    <w:p w14:paraId="134007E1" w14:textId="77777777" w:rsidR="001F7233" w:rsidRDefault="001F7233">
      <w:pPr>
        <w:spacing w:line="220" w:lineRule="exact"/>
      </w:pPr>
    </w:p>
    <w:p w14:paraId="1A7AF2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SkillSelect: von der Interessenbekundung zur Einladung</w:t>
      </w:r>
    </w:p>
    <w:p w14:paraId="79A654C3" w14:textId="77777777" w:rsidR="001F7233" w:rsidRDefault="00000000">
      <w:pPr>
        <w:spacing w:after="140"/>
      </w:pPr>
      <w:r>
        <w:rPr>
          <w:i/>
          <w:iCs/>
        </w:rPr>
        <w:t>Das gesamte GSM-Verfahren läuft über eine Online-Plattform namens SkillSelect. Der erste Schritt ist die Expression of Interest (EOI, die Interessenbekundung): ein Online-Profil mit Beruf, Punkten, Sprachtest und Skills-Assessment-Ergebnis. Eine EOI ist noch kein Antrag. Sie kostet nichts, bindet dich zu nichts und garantiert nichts. Sie reiht dich nur in einen Pool ein, aus dem Home Affairs in regelmäßigen Runden Kandidaten einlädt, beginnend bei den höchsten Punktzahlen und, in gleicher Punktzahl, nach Eintragungsdatum.</w:t>
      </w:r>
    </w:p>
    <w:p w14:paraId="7D0EB911" w14:textId="77777777" w:rsidR="001F7233" w:rsidRDefault="00000000">
      <w:pPr>
        <w:spacing w:after="140"/>
      </w:pPr>
      <w:r>
        <w:lastRenderedPageBreak/>
        <w:t>Für Subclass 190 kommt ein zusätzlicher Schritt hinzu: die Nominierung durch einen Bundesstaat oder ein Territorium. Jeder Bundesstaat führt eigene Berufslisten und eigene Bewerbungsportale, oft mit eigenen Fristen und Prioritäten, die sich von der Bundesliste unterscheiden können. Wer etwa gezielt nach Melbourne will, bewirbt sich parallel oder alternativ um eine Nominierung durch Victoria. Die Auflage dabei: danach mindestens zwei Jahre dort zu leben.</w:t>
      </w:r>
    </w:p>
    <w:p w14:paraId="38DEC7AC" w14:textId="77777777" w:rsidR="001F7233" w:rsidRDefault="00000000">
      <w:pPr>
        <w:spacing w:after="140"/>
      </w:pPr>
      <w:r>
        <w:t>Erst nach einer Einladung darfst du den eigentlichen Visumantrag stellen, samt Gesundheitsuntersuchung, Führungszeugnissen und der vollständigen Antragsgebühr. Die Bearbeitung dauert danach unterschiedlich lang. Bei Subclass 189 liegen die Hälfte der Entscheidungen laut Home-Affairs-Statistik (Datenstand September 2026, geprüft im Oktober 2026) bei etwa sieben Monaten, 90 % bei acht Monaten. Bei Subclass 190 ist die Spanne größer: fünf Monate für die Hälfte, bis zu 17 Monate für 90 % der Fälle.</w:t>
      </w:r>
    </w:p>
    <w:p w14:paraId="559EED1F" w14:textId="77777777" w:rsidR="001F7233" w:rsidRDefault="00000000">
      <w:r>
        <w:rPr>
          <w:b/>
        </w:rPr>
        <w:t xml:space="preserve">ACHTUNG: </w:t>
      </w:r>
    </w:p>
    <w:p w14:paraId="4CFB9DB8" w14:textId="77777777" w:rsidR="001F7233" w:rsidRDefault="00000000">
      <w:r>
        <w:t>• Eine hohe Punktzahl in der eigenen Rechnung ist keine Garantie für eine Einladung in absehbarer Zeit. SkillSelect ist kein Wartezimmer mit festem Ticket-System, sondern eine laufende Rangliste. Wer knapp über dem aktuellen Schwellenwert liegt, kann Monate oder Runden warten, während andere mit höherer Punktzahl vorgezogen werden. Plane finanziell und beruflich so, dass eine Wartezeit von einem Jahr oder mehr keine Krise auslöst.</w:t>
      </w:r>
    </w:p>
    <w:p w14:paraId="6BDE856A" w14:textId="77777777" w:rsidR="001F7233" w:rsidRDefault="001F7233">
      <w:pPr>
        <w:spacing w:line="220" w:lineRule="exact"/>
      </w:pPr>
    </w:p>
    <w:p w14:paraId="52B13116" w14:textId="77777777" w:rsidR="001F7233" w:rsidRDefault="00000000">
      <w:pPr>
        <w:pStyle w:val="Heading3"/>
        <w:keepNext/>
        <w:spacing w:line="341" w:lineRule="auto"/>
        <w:jc w:val="center"/>
      </w:pPr>
      <w:bookmarkStart w:id="87" w:name="idx_Subclass_189"/>
      <w:r>
        <w:rPr>
          <w:rFonts w:ascii="Amazon Ember" w:eastAsia="Amazon Ember" w:hAnsi="Amazon Ember" w:cs="Amazon Ember"/>
          <w:color w:val="0000FF"/>
          <w:sz w:val="36"/>
          <w:szCs w:val="36"/>
        </w:rPr>
        <w:t>Subclass 189 – unabhängig, aber nicht leicht</w:t>
      </w:r>
      <w:bookmarkEnd w:id="87"/>
    </w:p>
    <w:p w14:paraId="72B50350" w14:textId="77777777" w:rsidR="001F7233" w:rsidRDefault="00000000">
      <w:pPr>
        <w:spacing w:after="140"/>
      </w:pPr>
      <w:r>
        <w:rPr>
          <w:i/>
          <w:iCs/>
        </w:rPr>
        <w:t xml:space="preserve">Subclass 189 (Skilled Independent) ist der Weg ganz ohne Sponsor: kein Arbeitgeber, kein Bundesstaat, freie Wohnortwahl in ganz Australien. Genau deshalb ist er der begehrteste und zugleich der am härtesten umkämpfte GSM-Weg. Die Antragsgebühr liegt bei rund </w:t>
      </w:r>
      <w:r>
        <w:rPr>
          <w:i/>
          <w:iCs/>
        </w:rPr>
        <w:lastRenderedPageBreak/>
        <w:t>6.135 AUD für die Hauptantragstellerin oder den Hauptantragsteller (Stand nach der Gebührenrunde vom 1. Juli 2026). Dazu kommen anteilige Gebühren für mitreisende Partner und Kinder sowie die Kosten für Skills Assessment, Sprachtest, Gesundheitsuntersuchung und Führungszeugnisse.</w:t>
      </w:r>
    </w:p>
    <w:p w14:paraId="254D0A9A" w14:textId="77777777" w:rsidR="001F7233" w:rsidRDefault="001F7233">
      <w:pPr>
        <w:spacing w:line="220" w:lineRule="exact"/>
      </w:pPr>
    </w:p>
    <w:p w14:paraId="179C7736" w14:textId="77777777" w:rsidR="001F7233" w:rsidRDefault="00000000">
      <w:pPr>
        <w:pStyle w:val="Heading3"/>
        <w:keepNext/>
        <w:spacing w:line="341" w:lineRule="auto"/>
        <w:jc w:val="center"/>
      </w:pPr>
      <w:bookmarkStart w:id="88" w:name="idx_Subclass_190"/>
      <w:r>
        <w:rPr>
          <w:rFonts w:ascii="Amazon Ember" w:eastAsia="Amazon Ember" w:hAnsi="Amazon Ember" w:cs="Amazon Ember"/>
          <w:color w:val="0000FF"/>
          <w:sz w:val="36"/>
          <w:szCs w:val="36"/>
        </w:rPr>
        <w:t>Subclass 190 – mit Bundesstaat und Wohnsitzpflicht</w:t>
      </w:r>
      <w:bookmarkEnd w:id="88"/>
    </w:p>
    <w:p w14:paraId="68960E1C" w14:textId="77777777" w:rsidR="001F7233" w:rsidRDefault="00000000">
      <w:pPr>
        <w:spacing w:after="140"/>
      </w:pPr>
      <w:r>
        <w:t>Wer die Cut-off-Werte für Subclass 189 nicht erreicht, findet bei Subclass 190 oft einen niedrigeren Zugang. Die Bedingungen entsprechen weitgehend Subclass 189, plus die Nominierung durch einen Bundesstaat oder ein Territorium, die auch 5 Punkte bringt. Die Antragsgebühr liegt in derselben Größenordnung wie bei 189 (rund 6.135 bis 6.140 AUD). Dazu kommen je nach Bundesstaat eigene Nominierungsgebühren.</w:t>
      </w:r>
    </w:p>
    <w:p w14:paraId="5FA82A8D" w14:textId="77777777" w:rsidR="001F7233" w:rsidRDefault="00000000">
      <w:pPr>
        <w:spacing w:after="140"/>
      </w:pPr>
      <w:r>
        <w:t>Der Haken ist die Wohnsitzpflicht: In aller Regel verpflichtest du dich, mindestens zwei Jahre im nominierenden Bundesstaat zu leben. Wer diese Bindung eingeht, um überhaupt eine realistische Chance auf Einladung zu haben, sollte den Zielort vorher genau prüfen. Ein Umzug nach der Landung ist zwar möglich, widerspricht aber der eingegangenen Verpflichtung und kann Folgen für spätere Anträge haben.</w:t>
      </w:r>
    </w:p>
    <w:p w14:paraId="51755005" w14:textId="77777777" w:rsidR="001F7233" w:rsidRDefault="00000000">
      <w:r>
        <w:rPr>
          <w:b/>
        </w:rPr>
        <w:t xml:space="preserve">MERKE: </w:t>
      </w:r>
    </w:p>
    <w:p w14:paraId="1C8B9FC4" w14:textId="77777777" w:rsidR="001F7233" w:rsidRDefault="00000000">
      <w:r>
        <w:t>• 190 ist kein Ersatzweg zweiter Klasse, sondern für viele deutsche Fachkräfte der realistischere. Fünf Zusatzpunkte plus ein niedrigerer landesweiter Cut-off wiegen die zwei Jahre Wohnsitzpflicht für die meisten Bewerber auf.</w:t>
      </w:r>
    </w:p>
    <w:p w14:paraId="337CF4C6" w14:textId="77777777" w:rsidR="001F7233" w:rsidRDefault="001F7233">
      <w:pPr>
        <w:spacing w:line="220" w:lineRule="exact"/>
      </w:pPr>
    </w:p>
    <w:p w14:paraId="5BC73036" w14:textId="77777777" w:rsidR="001F7233" w:rsidRDefault="00000000">
      <w:pPr>
        <w:pStyle w:val="Heading3"/>
        <w:keepNext/>
        <w:spacing w:line="341" w:lineRule="auto"/>
        <w:jc w:val="center"/>
      </w:pPr>
      <w:bookmarkStart w:id="89" w:name="idx_Subclass_482___186"/>
      <w:r>
        <w:rPr>
          <w:rFonts w:ascii="Amazon Ember" w:eastAsia="Amazon Ember" w:hAnsi="Amazon Ember" w:cs="Amazon Ember"/>
          <w:color w:val="0000FF"/>
          <w:sz w:val="36"/>
          <w:szCs w:val="36"/>
        </w:rPr>
        <w:lastRenderedPageBreak/>
        <w:t>Der Arbeitgeber als Abkürzung: Subclass 482 und 186</w:t>
      </w:r>
      <w:bookmarkEnd w:id="89"/>
    </w:p>
    <w:p w14:paraId="0391711F" w14:textId="77777777" w:rsidR="001F7233" w:rsidRDefault="00000000">
      <w:pPr>
        <w:spacing w:after="140"/>
      </w:pPr>
      <w:r>
        <w:rPr>
          <w:i/>
          <w:iCs/>
        </w:rPr>
        <w:t>Wer einen australischen Arbeitgeber findet, der zur Sponsorin oder zum Sponsor wird, umgeht den Punktetest vollständig. Subclass 482 (Skills in Demand, SID) löste im Dezember 2024 das ältere Temporary Skill Shortage-Visum ab. Es läuft in drei Strömen: Core Skills, Specialist Skills und Labour Agreement (branchenspezifische Sonderabkommen). Die Gültigkeit reicht bis zu vier Jahre. Die Einkommensgrenzen und Gebühren werden jährlich oder durch gesonderte Regeländerung angepasst. Prüfe sie am Tag der Nominierung und Antragstellung direkt beim Department of Home Affairs.</w:t>
      </w:r>
    </w:p>
    <w:p w14:paraId="7DAD5C25" w14:textId="77777777" w:rsidR="001F7233" w:rsidRDefault="00000000">
      <w:pPr>
        <w:spacing w:after="140"/>
      </w:pPr>
      <w:r>
        <w:rPr>
          <w:i/>
          <w:iCs/>
        </w:rPr>
        <w:t>Wichtig ist die Lohnschwelle. Im Core-Skills-Strom muss das Gehalt mindestens die Core Skills Income Threshold (CSIT) erreichen – für Nominierungen vom 1. Juli 2026 bis 30. Juni 2027 sind das 79.423 AUD im Jahr – oder den marktüblichen Lohn für die Position (Annual Market Salary Rate, AMSR), je nachdem, welcher Wert höher ist. Im Specialist-Skills-Strom liegt die Schwelle für denselben Zeitraum bei 146.576 AUD. Die Antragsgebühr beträgt ab 1. Juli 2026 4.015 AUD für die Hauptperson; zusätzliche Anträge, Abgaben und sonstige Kosten kommen hinzu. Prüfe die Gebühr und Schwelle am Tag der Nominierung oder Antragstellung direkt beim Department of Home Affairs.</w:t>
      </w:r>
    </w:p>
    <w:p w14:paraId="7EB4E5E2" w14:textId="77777777" w:rsidR="001F7233" w:rsidRDefault="00000000">
      <w:pPr>
        <w:spacing w:after="140"/>
      </w:pPr>
      <w:r>
        <w:rPr>
          <w:i/>
          <w:iCs/>
        </w:rPr>
        <w:t>Auch zahlt der Arbeitgeber die Skilling Australians Fund-Levy (SAF-Levy), eine Abgabe für die Ausbildung australischer Arbeitskräfte: 1.200 AUD je Antragsjahr bei einem Jahresumsatz unter 10 Millionen AUD, 1.800 AUD bei größeren Unternehmen. Bei einem Vierjahresvisum kommen so schnell 4.800 bis 7.200 AUD zusammen. Diese trägt der Arbeitgeber, nicht du.</w:t>
      </w:r>
    </w:p>
    <w:p w14:paraId="7CE40569" w14:textId="77777777" w:rsidR="001F7233" w:rsidRDefault="00000000">
      <w:pPr>
        <w:spacing w:after="140"/>
      </w:pPr>
      <w:r>
        <w:t>Nach zwei Jahren beim selben Arbeitgeber im Subclass 482 öffnet sich der Weg zur Daueraufenthaltserlaubnis über Subclass 186 (</w:t>
      </w:r>
      <w:r>
        <w:rPr>
          <w:i/>
          <w:iCs/>
        </w:rPr>
        <w:t>Employer Nomination Scheme</w:t>
      </w:r>
      <w:r>
        <w:t xml:space="preserve">, ENS) im Übergangs-Strom </w:t>
      </w:r>
      <w:r>
        <w:rPr>
          <w:i/>
          <w:iCs/>
        </w:rPr>
        <w:t xml:space="preserve">Temporary </w:t>
      </w:r>
      <w:r>
        <w:rPr>
          <w:i/>
          <w:iCs/>
        </w:rPr>
        <w:lastRenderedPageBreak/>
        <w:t>Residence Transition</w:t>
      </w:r>
      <w:r>
        <w:t>. Daneben gibt es einen Direktweg ohne vorherigen 482. Für 186 zahlt der Arbeitgeber die SAF-Levy als Einmalbetrag: 3.000 AUD bei kleinen, 5.000 AUD bei größeren Unternehmen.</w:t>
      </w:r>
    </w:p>
    <w:p w14:paraId="52B08627" w14:textId="77777777" w:rsidR="001F7233" w:rsidRDefault="00000000">
      <w:r>
        <w:rPr>
          <w:b/>
        </w:rPr>
        <w:t xml:space="preserve">ACHTUNG: </w:t>
      </w:r>
    </w:p>
    <w:p w14:paraId="59176D7E" w14:textId="77777777" w:rsidR="001F7233" w:rsidRDefault="00000000">
      <w:r>
        <w:t>• Die SAF-Levy darf der Arbeitgeber nicht auf dich abwälzen. Ähnlich wie bestimmte Antragskosten beim amerikanischen H-1B-Visum nicht auf die angestellte Person umgelegt werden dürfen. Steht eine solche Klausel im Angebotsschreiben, ist das ein Warnsignal, keine Verhandlungsbasis.</w:t>
      </w:r>
    </w:p>
    <w:p w14:paraId="72D0671E" w14:textId="77777777" w:rsidR="001F7233" w:rsidRDefault="001F7233">
      <w:pPr>
        <w:spacing w:line="220" w:lineRule="exact"/>
      </w:pPr>
    </w:p>
    <w:p w14:paraId="4010DCC4" w14:textId="77777777" w:rsidR="001F7233" w:rsidRDefault="001F7233">
      <w:pPr>
        <w:spacing w:line="220" w:lineRule="exact"/>
      </w:pPr>
    </w:p>
    <w:p w14:paraId="61F210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CSOL, MLTSSL und der Listen-Wirrwarr</w:t>
      </w:r>
    </w:p>
    <w:p w14:paraId="1E64CC9F" w14:textId="77777777" w:rsidR="001F7233" w:rsidRDefault="00000000">
      <w:pPr>
        <w:spacing w:after="140"/>
      </w:pPr>
      <w:r>
        <w:t xml:space="preserve">Seit dem 1. Juli 2025 gilt für Subclass 482 (Core-Skills-Strom) und für den Direktweg von Subclass 186 die </w:t>
      </w:r>
      <w:r>
        <w:rPr>
          <w:i/>
          <w:iCs/>
        </w:rPr>
        <w:t>Core Skills Occupation List</w:t>
      </w:r>
      <w:r>
        <w:t xml:space="preserve"> (CSOL), eine von der Behörde Jobs and Skills Australia erarbeitete Liste mit 456 Berufen. Sie ersetzt die älteren Listen MLTSSL, STSOL und ROL, zumindest für diese beiden Visa.</w:t>
      </w:r>
    </w:p>
    <w:p w14:paraId="1C0AC3E9" w14:textId="77777777" w:rsidR="001F7233" w:rsidRDefault="00000000">
      <w:pPr>
        <w:spacing w:after="140"/>
      </w:pPr>
      <w:r>
        <w:t>Was für den Punktetest gilt, ist weniger eindeutig. Mehrere Migrationskanzleien berichten übereinstimmend, dass für die Subclasses 189, 190 und 491 weiterhin die älteren Listen (MLTSSL und Varianten) maßgeblich seien, nicht die CSOL. Eine unabhängige Bestätigung auf der Behördenseite selbst war zum Redaktionsschluss dieses Kapitels nicht zu bekommen. Bürokratie liebt neue Abkürzungen, offenbar auch dann, wenn niemand ganz sicher sagen kann, wo die alten noch gelten.</w:t>
      </w:r>
    </w:p>
    <w:p w14:paraId="640A7472" w14:textId="77777777" w:rsidR="001F7233" w:rsidRDefault="00000000">
      <w:pPr>
        <w:spacing w:after="140"/>
      </w:pPr>
      <w:r>
        <w:t xml:space="preserve">Für deutsche Fachkräfte praktisch relevant sind vor allem folgende Berufsfelder, glaubt man den übereinstimmenden Sekundärquellen: Ingenieurwesen (Bau, Maschinenbau, Elektrotechnik), IT (Softwareentwicklung, Cybersicherheit), Gesundheitsberufe (Pflege, </w:t>
      </w:r>
      <w:r>
        <w:lastRenderedPageBreak/>
        <w:t>Ärztinnen und Ärzte mit Registrierung bei der passenden Fachbehörde AHPRA), Handwerksberufe (Elektriker, Klempner, Kfz-Mechatronik, meist mit Anerkennungsverfahren) und Lehrkräfte (mit zusätzlicher Registrierung im jeweiligen Bundesstaat). Welche Bewertungsstelle zuständig ist, hängt vom Beruf ab. Engineers Australia ist für Ingenieurberufe zuständig, ACS für IT, VETASSESS für viele weitere Berufe, ANMAC für Pflege, TRA für Handwerk.</w:t>
      </w:r>
    </w:p>
    <w:p w14:paraId="0022191A" w14:textId="77777777" w:rsidR="001F7233" w:rsidRDefault="00000000">
      <w:r>
        <w:rPr>
          <w:b/>
        </w:rPr>
        <w:t xml:space="preserve">ACHTUNG: </w:t>
      </w:r>
    </w:p>
    <w:p w14:paraId="3729AC33" w14:textId="77777777" w:rsidR="001F7233" w:rsidRDefault="00000000">
      <w:r>
        <w:t>• Prüfe die aktuell gültige Liste für dein konkretes Visum und deinen konkreten Beruf direkt bei Home Affairs oder deiner Bewertungsstelle, bevor du in Deutschland kündigst oder Geld für ein Skills Assessment ausgibst. Listen ändern sich, und die Zuordnung zwischen CSOL und den älteren Listen ist. Stand dieses Kapitels – nicht in jeder Quelle deckungsgleich beschrieben.</w:t>
      </w:r>
    </w:p>
    <w:p w14:paraId="54BFEB62" w14:textId="77777777" w:rsidR="001F7233" w:rsidRDefault="001F7233">
      <w:pPr>
        <w:spacing w:line="220" w:lineRule="exact"/>
      </w:pPr>
    </w:p>
    <w:p w14:paraId="61B5E212" w14:textId="77777777" w:rsidR="001F7233" w:rsidRDefault="00000000">
      <w:r>
        <w:t>• Dieses Kapitel erklärt Regeln und Praxis, ersetzt aber keine Beratung durch eine registrierte Migrationsagentin, einen Migrationsagenten (Registered Migration Agent) oder eine Anwältin oder einen Anwalt für australisches Einwanderungsrecht.</w:t>
      </w:r>
    </w:p>
    <w:p w14:paraId="19AEB3B8" w14:textId="77777777" w:rsidR="001F7233" w:rsidRDefault="001F7233">
      <w:pPr>
        <w:spacing w:line="220" w:lineRule="exact"/>
      </w:pPr>
    </w:p>
    <w:p w14:paraId="5E3151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251F6C93" w14:textId="77777777" w:rsidR="001F7233" w:rsidRDefault="00000000">
      <w:pPr>
        <w:spacing w:after="140"/>
      </w:pPr>
      <w:r>
        <w:t>Wer zwischen 25 und 39 Jahre alt ist, einen anerkannten Hochschulabschluss hat, in einem gefragten Beruf arbeitet und Englisch auf hohem Niveau spricht, hat mit dem Punktetest realistische Chancen, wenn auch mit Wartezeit und ohne Erfolgsgarantie. Ab Mitte 40 verengt sich der Weg spürbar: Der Punktetest fällt ab 45 ganz weg und schon in den Jahren davor kostet jedes Lebensjahr Punkte, die andere Faktoren ausgleichen müssen. Für diese Altersgruppe ist das Arbeitgeber-Sponsoring meist der tragfähigere Plan, sofern der eigene Beruf gefragt genug ist, dass sich ein Unternehmen den Aufwand einer Sponsorenschaft macht.</w:t>
      </w:r>
    </w:p>
    <w:p w14:paraId="41950796" w14:textId="77777777" w:rsidR="001F7233" w:rsidRDefault="00000000">
      <w:pPr>
        <w:spacing w:after="140"/>
      </w:pPr>
      <w:r>
        <w:lastRenderedPageBreak/>
        <w:t>Handwerksberufe mit anerkannter Ausbildung stehen oft besser da, als viele Bewerber annehmen. Die Cut-off-Werte liegen dort häufig näher an der gesetzlichen Mindestpunktzahl als in IT oder Buchhaltung, wo die Konkurrenz weltweit am größten ist. Wer dagegen auf einen sehr gefragten Beruf mit vielen Mitbewerbern trifft, sollte von vornherein mit mehreren SkillSelect-Runden und einem Jahr oder mehr Wartezeit rechnen. Er sollte das Arbeitgeber-Sponsoring dabei als gleichwertige, nicht als zweitrangige Option behandeln.</w:t>
      </w:r>
    </w:p>
    <w:p w14:paraId="0D50EA93" w14:textId="77777777" w:rsidR="001F7233" w:rsidRDefault="00000000">
      <w:pPr>
        <w:spacing w:after="140"/>
      </w:pPr>
      <w:r>
        <w:t>In jedem Fall gilt: Das Skills Assessment ist oft der eigentliche Flaschenhals, nicht das Visumverfahren selbst. Wer die fachliche Bewertung erst beginnt, wenn die Punkte schon feststehen, verliert unnötig Monate. Beantrage sie früh, parallel zum Sprachtest, unabhängig davon, für welchen der drei Wege du dich am Ende entscheidest.</w:t>
      </w:r>
    </w:p>
    <w:p w14:paraId="7443BE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Der Arbeitsweg im Detail</w:t>
      </w:r>
    </w:p>
    <w:p w14:paraId="65E2B336" w14:textId="77777777" w:rsidR="001F7233" w:rsidRDefault="00000000">
      <w:r>
        <w:rPr>
          <w:b/>
        </w:rPr>
        <w:t>Plus: Drei parallele Wege (189, 190, 482/186) erhöhen die Chancen</w:t>
      </w:r>
    </w:p>
    <w:p w14:paraId="4501FEC0" w14:textId="77777777" w:rsidR="001F7233" w:rsidRDefault="00000000">
      <w:r>
        <w:rPr>
          <w:b/>
        </w:rPr>
        <w:t xml:space="preserve">Minus: </w:t>
      </w:r>
      <w:r>
        <w:t>Ab 45 Jahren ist der Punktetest komplett verschlossen</w:t>
      </w:r>
    </w:p>
    <w:p w14:paraId="7896E74F" w14:textId="77777777" w:rsidR="001F7233" w:rsidRDefault="00000000">
      <w:r>
        <w:rPr>
          <w:b/>
        </w:rPr>
        <w:t>Plus: Subclass 189 erlaubt freie Wohnortwahl ohne Sponsor</w:t>
      </w:r>
    </w:p>
    <w:p w14:paraId="5034C08D" w14:textId="77777777" w:rsidR="001F7233" w:rsidRDefault="00000000">
      <w:r>
        <w:rPr>
          <w:b/>
        </w:rPr>
        <w:t xml:space="preserve">Minus: </w:t>
      </w:r>
      <w:r>
        <w:t>Cut-offs bei gefragten Berufen liegen oft bei 80 bis 95 Punkten</w:t>
      </w:r>
    </w:p>
    <w:p w14:paraId="12CBCEFF" w14:textId="77777777" w:rsidR="001F7233" w:rsidRDefault="00000000">
      <w:r>
        <w:rPr>
          <w:b/>
        </w:rPr>
        <w:t>Plus: Arbeitgeber-Sponsoring umgeht den Punktetest ganz</w:t>
      </w:r>
    </w:p>
    <w:p w14:paraId="2FD0C416" w14:textId="77777777" w:rsidR="001F7233" w:rsidRDefault="00000000">
      <w:r>
        <w:rPr>
          <w:b/>
        </w:rPr>
        <w:t xml:space="preserve">Minus: </w:t>
      </w:r>
      <w:r>
        <w:t>482 bindet dich mehrere Jahre an einen Arbeitgeber</w:t>
      </w:r>
    </w:p>
    <w:p w14:paraId="76FF435A" w14:textId="77777777" w:rsidR="001F7233" w:rsidRDefault="00000000">
      <w:r>
        <w:rPr>
          <w:b/>
        </w:rPr>
        <w:t>Plus: SAF-Levy trägt allein der Arbeitgeber</w:t>
      </w:r>
    </w:p>
    <w:p w14:paraId="39C7B8D9" w14:textId="77777777" w:rsidR="001F7233" w:rsidRDefault="00000000">
      <w:r>
        <w:rPr>
          <w:b/>
        </w:rPr>
        <w:t xml:space="preserve">Minus: </w:t>
      </w:r>
      <w:r>
        <w:t>Berufslisten (CSOL/MLTSSL) sind nicht immer eindeutig zugeordnet</w:t>
      </w:r>
    </w:p>
    <w:p w14:paraId="3E0B3F10" w14:textId="77777777" w:rsidR="001F7233" w:rsidRDefault="00000000">
      <w:r>
        <w:rPr>
          <w:b/>
        </w:rPr>
        <w:t>Plus: Subclass 190 senkt den nötigen Cut-off deutlich</w:t>
      </w:r>
    </w:p>
    <w:p w14:paraId="507F27AC" w14:textId="77777777" w:rsidR="001F7233" w:rsidRDefault="00000000">
      <w:r>
        <w:rPr>
          <w:b/>
        </w:rPr>
        <w:t xml:space="preserve">Minus: </w:t>
      </w:r>
      <w:r>
        <w:t>190 verpflichtet meist zu zwei Jahren im nominierenden Bundesstaat</w:t>
      </w:r>
    </w:p>
    <w:p w14:paraId="3921C9AD" w14:textId="77777777" w:rsidR="001F7233" w:rsidRDefault="00000000">
      <w:r>
        <w:rPr>
          <w:b/>
        </w:rPr>
        <w:lastRenderedPageBreak/>
        <w:t>Plus: Übergang 482 zu 186 führt direkt zur Daueraufenthaltserlaubnis</w:t>
      </w:r>
    </w:p>
    <w:p w14:paraId="6042C3AB" w14:textId="77777777" w:rsidR="001F7233" w:rsidRDefault="00000000">
      <w:r>
        <w:rPr>
          <w:b/>
        </w:rPr>
        <w:t xml:space="preserve">Minus: </w:t>
      </w:r>
      <w:r>
        <w:t>Skills Assessment kann Monate dauern und ist oft der Flaschenhals</w:t>
      </w:r>
    </w:p>
    <w:p w14:paraId="7C595E72" w14:textId="77777777" w:rsidR="001F7233" w:rsidRDefault="001F7233">
      <w:pPr>
        <w:spacing w:line="180" w:lineRule="exact"/>
      </w:pPr>
    </w:p>
    <w:p w14:paraId="0B8927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7C7307E" w14:textId="77777777" w:rsidR="001F7233" w:rsidRDefault="00000000">
      <w:pPr>
        <w:spacing w:after="140"/>
      </w:pPr>
      <w:r>
        <w:t xml:space="preserve">Rechne deine Punktzahl ehrlich durch, bevor du dich auf einen Weg festlegst, und beantrage das Skills Assessment früh. Prüfe parallel, ob ein Arbeitgeber-Sponsoring realistisch ist – gerade jenseits der 40 ist das oft der schnellere und verlässlichere Plan. Wie der Antrag konkret abläuft, was Konsulat und Botschaft dabei tun und welche Kosten insgesamt anfallen, zeigt das </w:t>
      </w:r>
      <w:hyperlink w:anchor="tau05">
        <w:r w:rsidR="001F7233">
          <w:rPr>
            <w:color w:val="0563C1"/>
            <w:u w:val="single"/>
          </w:rPr>
          <w:t>Kapitel zu Antrag, Kosten und Bearbeitungszeit in diesem Teil</w:t>
        </w:r>
      </w:hyperlink>
      <w:r>
        <w:t>.</w:t>
      </w:r>
    </w:p>
    <w:p w14:paraId="1F9C24A5" w14:textId="77777777" w:rsidR="001F7233" w:rsidRDefault="00000000">
      <w:r>
        <w:t>• Eigene Punktzahl nach der aktuellen Tabelle durchrechnen (Alter, Englisch, Bildung, Berufserfahrung).</w:t>
      </w:r>
    </w:p>
    <w:p w14:paraId="4436A3BC" w14:textId="77777777" w:rsidR="001F7233" w:rsidRDefault="00000000">
      <w:r>
        <w:t>• Prüfen, ob der eigene Beruf auf der für das jeweilige Visum gültigen Liste steht (CSOL oder ältere Listen je nach Subclass).</w:t>
      </w:r>
    </w:p>
    <w:p w14:paraId="7F343C4F" w14:textId="77777777" w:rsidR="001F7233" w:rsidRDefault="00000000">
      <w:r>
        <w:t>• Zuständige Bewertungsstelle für die Skills Assessment ermitteln und Verfahren früh starten.</w:t>
      </w:r>
    </w:p>
    <w:p w14:paraId="11FA9AD0" w14:textId="77777777" w:rsidR="001F7233" w:rsidRDefault="00000000">
      <w:r>
        <w:t>• Englischtest (IELTS, PTE oder gleichwertig) planen; bei knapper Punktzahl einen zweiten Anlauf für „Superior“ einkalkulieren.</w:t>
      </w:r>
    </w:p>
    <w:p w14:paraId="5611D7A2" w14:textId="77777777" w:rsidR="001F7233" w:rsidRDefault="00000000">
      <w:r>
        <w:t>• Entscheiden, ob 189 (unabhängig), 190 (mit Bundesstaat) oder Arbeitgeber-Sponsoring realistischer ist – auch mehrgleisig möglich.</w:t>
      </w:r>
    </w:p>
    <w:p w14:paraId="058A32EE" w14:textId="77777777" w:rsidR="001F7233" w:rsidRDefault="00000000">
      <w:r>
        <w:t>• Bei 190: Berufslisten und Fristen des gewünschten Bundesstaats prüfen, Wohnsitzpflicht einkalkulieren.</w:t>
      </w:r>
    </w:p>
    <w:p w14:paraId="21D0761B" w14:textId="77777777" w:rsidR="001F7233" w:rsidRDefault="00000000">
      <w:r>
        <w:t>• Bei Arbeitgeber-Sponsoring: Gehaltsschwelle (CSIT/AMSR) mit dem Jobangebot vergleichen, SAF-Levy-Regelung schriftlich festhalten.</w:t>
      </w:r>
    </w:p>
    <w:p w14:paraId="554FB2A3" w14:textId="77777777" w:rsidR="001F7233" w:rsidRDefault="00000000">
      <w:r>
        <w:t>• Finanzpuffer für eine Wartezeit von einem Jahr oder mehr einplanen.</w:t>
      </w:r>
    </w:p>
    <w:p w14:paraId="6D850655" w14:textId="77777777" w:rsidR="001F7233" w:rsidRDefault="00000000">
      <w:r>
        <w:t>• Führungszeugnisse für alle Länder mit mehr als 12 Monaten Aufenthalt seit dem 16. Geburtstag rechtzeitig beantragen.</w:t>
      </w:r>
    </w:p>
    <w:p w14:paraId="2350D308" w14:textId="77777777" w:rsidR="001F7233" w:rsidRDefault="00000000">
      <w:r>
        <w:lastRenderedPageBreak/>
        <w:t>• Vor jeder Kündigung in Deutschland aktuelle Gebühren, Fristen und Berufslisten direkt bei Home Affairs gegenprüfen.</w:t>
      </w:r>
    </w:p>
    <w:p w14:paraId="6EBC9FF6" w14:textId="77777777" w:rsidR="001F7233" w:rsidRDefault="00000000">
      <w:r>
        <w:t>• Anerkennung und Visum-Assessment als zwei Vorgänge gelesen: Anerkennung deutscher Berufsabschlüsse</w:t>
      </w:r>
    </w:p>
    <w:p w14:paraId="55519A33" w14:textId="77777777" w:rsidR="001F7233" w:rsidRDefault="00000000">
      <w:r>
        <w:t>• Abmeldung, Rente und Krankenkasse über Deutschland vor dem Abflug geplant, nicht über die USA-Kapitel</w:t>
      </w:r>
    </w:p>
    <w:p w14:paraId="36957DDB" w14:textId="77777777" w:rsidR="001F7233" w:rsidRDefault="001F7233">
      <w:pPr>
        <w:spacing w:line="220" w:lineRule="exact"/>
      </w:pPr>
    </w:p>
    <w:p w14:paraId="200A00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AC3A100" w14:textId="77777777" w:rsidR="001F7233" w:rsidRDefault="00000000">
      <w:pPr>
        <w:pStyle w:val="ListParagraph"/>
        <w:numPr>
          <w:ilvl w:val="0"/>
          <w:numId w:val="1"/>
        </w:numPr>
        <w:spacing w:after="60"/>
      </w:pPr>
      <w:r>
        <w:t>Department of Home Affairs — Skilled Independent visa, Subclass 189 (</w:t>
      </w:r>
      <w:hyperlink r:id="rId597">
        <w:r w:rsidR="001F7233">
          <w:rPr>
            <w:color w:val="0563C1"/>
            <w:u w:val="single"/>
          </w:rPr>
          <w:t>immi.homeaffairs.gov.au</w:t>
        </w:r>
      </w:hyperlink>
      <w:r>
        <w:t>, Suche: skilled-independent-189)</w:t>
      </w:r>
    </w:p>
    <w:p w14:paraId="7E0441EE" w14:textId="77777777" w:rsidR="001F7233" w:rsidRDefault="00000000">
      <w:pPr>
        <w:pStyle w:val="ListParagraph"/>
        <w:numPr>
          <w:ilvl w:val="0"/>
          <w:numId w:val="1"/>
        </w:numPr>
        <w:spacing w:after="60"/>
      </w:pPr>
      <w:r>
        <w:t>Department of Home Affairs — Skilled Nominated visa, Subclass 190 (</w:t>
      </w:r>
      <w:hyperlink r:id="rId598">
        <w:r w:rsidR="001F7233">
          <w:rPr>
            <w:color w:val="0563C1"/>
            <w:u w:val="single"/>
          </w:rPr>
          <w:t>immi.homeaffairs.gov.au</w:t>
        </w:r>
      </w:hyperlink>
      <w:r>
        <w:t>, Suche: skilled-nominated-190)</w:t>
      </w:r>
    </w:p>
    <w:p w14:paraId="04624BDD" w14:textId="77777777" w:rsidR="001F7233" w:rsidRDefault="00000000">
      <w:pPr>
        <w:pStyle w:val="ListParagraph"/>
        <w:numPr>
          <w:ilvl w:val="0"/>
          <w:numId w:val="1"/>
        </w:numPr>
        <w:spacing w:after="60"/>
      </w:pPr>
      <w:r>
        <w:t>Department of Home Affairs — Skills in Demand visa, Subclass 482 (</w:t>
      </w:r>
      <w:hyperlink r:id="rId599">
        <w:r w:rsidR="001F7233">
          <w:rPr>
            <w:color w:val="0563C1"/>
            <w:u w:val="single"/>
          </w:rPr>
          <w:t>immi.homeaffairs.gov.au</w:t>
        </w:r>
      </w:hyperlink>
      <w:r>
        <w:t>, Suche: skills-in-demand-visa-subclass-482)</w:t>
      </w:r>
    </w:p>
    <w:p w14:paraId="4A050F43" w14:textId="77777777" w:rsidR="001F7233" w:rsidRDefault="00000000">
      <w:pPr>
        <w:pStyle w:val="ListParagraph"/>
        <w:numPr>
          <w:ilvl w:val="0"/>
          <w:numId w:val="1"/>
        </w:numPr>
        <w:spacing w:after="60"/>
      </w:pPr>
      <w:r>
        <w:t>Department of Home Affairs — Employer Nomination Scheme, Subclass 186 (</w:t>
      </w:r>
      <w:hyperlink r:id="rId600">
        <w:r w:rsidR="001F7233">
          <w:rPr>
            <w:color w:val="0563C1"/>
            <w:u w:val="single"/>
          </w:rPr>
          <w:t>immi.homeaffairs.gov.au</w:t>
        </w:r>
      </w:hyperlink>
      <w:r>
        <w:t>, Suche: employer-nomination-scheme-186)</w:t>
      </w:r>
    </w:p>
    <w:p w14:paraId="3F275D19" w14:textId="77777777" w:rsidR="001F7233" w:rsidRDefault="00000000">
      <w:pPr>
        <w:pStyle w:val="ListParagraph"/>
        <w:numPr>
          <w:ilvl w:val="0"/>
          <w:numId w:val="1"/>
        </w:numPr>
        <w:spacing w:after="60"/>
      </w:pPr>
      <w:r>
        <w:t>Department of Home Affairs — SkillSelect, Einladungsrunden (</w:t>
      </w:r>
      <w:hyperlink r:id="rId601">
        <w:r w:rsidR="001F7233">
          <w:rPr>
            <w:color w:val="0563C1"/>
            <w:u w:val="single"/>
          </w:rPr>
          <w:t>immi.homeaffairs.gov.au/visas/working-in-australia/skillselect</w:t>
        </w:r>
      </w:hyperlink>
      <w:r>
        <w:t>)</w:t>
      </w:r>
    </w:p>
    <w:p w14:paraId="642B672A" w14:textId="77777777" w:rsidR="001F7233" w:rsidRDefault="00000000">
      <w:pPr>
        <w:pStyle w:val="ListParagraph"/>
        <w:numPr>
          <w:ilvl w:val="0"/>
          <w:numId w:val="1"/>
        </w:numPr>
        <w:spacing w:after="60"/>
      </w:pPr>
      <w:r>
        <w:t>Department of Home Affairs — Gebühren und Bearbeitungszeiten (</w:t>
      </w:r>
      <w:hyperlink r:id="rId602">
        <w:r w:rsidR="001F7233">
          <w:rPr>
            <w:color w:val="0563C1"/>
            <w:u w:val="single"/>
          </w:rPr>
          <w:t>immi.homeaffairs.gov.au/visas/getting-a-visa/fees-and-charges</w:t>
        </w:r>
      </w:hyperlink>
      <w:r>
        <w:t>)</w:t>
      </w:r>
    </w:p>
    <w:p w14:paraId="7021A35A" w14:textId="77777777" w:rsidR="001F7233" w:rsidRDefault="00000000">
      <w:pPr>
        <w:pStyle w:val="ListParagraph"/>
        <w:numPr>
          <w:ilvl w:val="0"/>
          <w:numId w:val="1"/>
        </w:numPr>
        <w:spacing w:after="60"/>
      </w:pPr>
      <w:r>
        <w:t>Department of Employment and Workplace Relations — Skilling Australians Fund Levy (</w:t>
      </w:r>
      <w:hyperlink r:id="rId603">
        <w:r w:rsidR="001F7233">
          <w:rPr>
            <w:color w:val="0563C1"/>
            <w:u w:val="single"/>
          </w:rPr>
          <w:t>dewr.gov.au</w:t>
        </w:r>
      </w:hyperlink>
      <w:r>
        <w:t>)</w:t>
      </w:r>
    </w:p>
    <w:p w14:paraId="55849F84" w14:textId="77777777" w:rsidR="001F7233" w:rsidRDefault="001F7233">
      <w:pPr>
        <w:spacing w:line="120" w:lineRule="exact"/>
      </w:pPr>
    </w:p>
    <w:p w14:paraId="5BE8737A" w14:textId="77777777" w:rsidR="001F7233" w:rsidRDefault="00000000">
      <w:r>
        <w:t xml:space="preserve">• Quellen- und Datenstand: September 2026; Redaktionsschluss: Oktober 2026. Diese Angaben ändern sich schnell: die Cut-off-Werte jeder SkillSelect-Runde, die Zuordnung der Berufslisten (CSOL gegen den älteren Listen für den Punktetest), die Lohnschwellen für </w:t>
      </w:r>
      <w:r>
        <w:lastRenderedPageBreak/>
        <w:t>Subclass 482 (CSIT/AMSR), die Nominierungsplätze und Berufslisten der Bundesstaaten sowie alle genannten Gebühren. Prüfe vor jeder Entscheidung die aktuellen Angaben direkt bei Home Affairs.</w:t>
      </w:r>
    </w:p>
    <w:p w14:paraId="7FA2F811" w14:textId="77777777" w:rsidR="001F7233" w:rsidRDefault="00000000">
      <w:pPr>
        <w:spacing w:line="220" w:lineRule="exact"/>
      </w:pPr>
      <w:r>
        <w:br w:type="page"/>
      </w:r>
    </w:p>
    <w:p w14:paraId="2A13A1D5" w14:textId="77777777" w:rsidR="001F7233" w:rsidRDefault="00000000">
      <w:pPr>
        <w:pStyle w:val="Heading2"/>
        <w:keepNext/>
        <w:spacing w:line="341" w:lineRule="auto"/>
        <w:jc w:val="center"/>
      </w:pPr>
      <w:bookmarkStart w:id="90" w:name="tau03a"/>
      <w:r>
        <w:rPr>
          <w:rFonts w:ascii="Amazon Ember" w:eastAsia="Amazon Ember" w:hAnsi="Amazon Ember" w:cs="Amazon Ember"/>
          <w:color w:val="0000FF"/>
          <w:sz w:val="36"/>
          <w:szCs w:val="36"/>
        </w:rPr>
        <w:lastRenderedPageBreak/>
        <w:t>Australien: Anerkennung deutscher Berufsabschlüsse</w:t>
      </w:r>
      <w:bookmarkEnd w:id="90"/>
    </w:p>
    <w:p w14:paraId="4E343362" w14:textId="77777777" w:rsidR="001F7233" w:rsidRDefault="00000000">
      <w:r>
        <w:rPr>
          <w:b/>
        </w:rPr>
        <w:t xml:space="preserve">KURZ GESAGT: </w:t>
      </w:r>
    </w:p>
    <w:p w14:paraId="43A4099F" w14:textId="77777777" w:rsidR="001F7233" w:rsidRDefault="00000000">
      <w:r>
        <w:t>• Ein Skills Assessment für Subclass 189, 190, 491 oder ein Arbeitgebervisum ist keine Registrierung.</w:t>
      </w:r>
    </w:p>
    <w:p w14:paraId="0711FC7F" w14:textId="77777777" w:rsidR="001F7233" w:rsidRDefault="00000000">
      <w:r>
        <w:t>• Ärztinnen und Pflege laufen über Ahpra. Lehrkräfte über das Bundesland. Ingenieurinnen oft über Engineers Australia, plus manchmal eine staatliche Registrierung, wenn sie abzeichnen.</w:t>
      </w:r>
    </w:p>
    <w:p w14:paraId="58103E8C" w14:textId="77777777" w:rsidR="001F7233" w:rsidRDefault="00000000">
      <w:r>
        <w:t>• Handwerk: Trades Recognition Australia für viele Visabewertungen, die Lizenz danach beim Bundesstaat.</w:t>
      </w:r>
    </w:p>
    <w:p w14:paraId="023C535C" w14:textId="77777777" w:rsidR="001F7233" w:rsidRDefault="00000000">
      <w:r>
        <w:t>• Die deutsche Zulassung reist nicht mit.</w:t>
      </w:r>
    </w:p>
    <w:p w14:paraId="5F56A35F" w14:textId="77777777" w:rsidR="001F7233" w:rsidRDefault="00000000">
      <w:r>
        <w:t>• Wenn du den Titel in den ersten Monaten brauchst, ist der Weg oft der falsche Zeitpunkt, nicht das falsche Land an sich.</w:t>
      </w:r>
    </w:p>
    <w:p w14:paraId="19C66123" w14:textId="77777777" w:rsidR="001F7233" w:rsidRDefault="001F7233">
      <w:pPr>
        <w:spacing w:line="220" w:lineRule="exact"/>
      </w:pPr>
    </w:p>
    <w:p w14:paraId="6A893C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Berufserlaubnis</w:t>
      </w:r>
    </w:p>
    <w:p w14:paraId="2DD865F9" w14:textId="77777777" w:rsidR="001F7233" w:rsidRDefault="00000000">
      <w:pPr>
        <w:spacing w:after="140"/>
      </w:pPr>
      <w:r>
        <w:t>Home Affairs will für viele Fachkräftevisa ein Skills Assessment einer benannten Stelle. Diese Stelle sagt: Dieser Mensch entspricht ungefähr diesem australischen Beruf. Ahpra, die Lehrerbehörde oder die Gewerbelizenz sagen etwas anderes: Dieser Mensch darf hier Patienten behandeln, unterrichten oder eine Anlage in Betrieb nehmen.</w:t>
      </w:r>
    </w:p>
    <w:p w14:paraId="61CCC052" w14:textId="77777777" w:rsidR="001F7233" w:rsidRDefault="00000000">
      <w:pPr>
        <w:spacing w:after="140"/>
      </w:pPr>
      <w:r>
        <w:t>Die Gebühr der Bewertungsstelle und die der Registrierung stehen auf deren Seiten. Sie sind nicht die Visumgebühr. Beide können sich ändern. Übernimm keine Zahl aus einem Forum und keine aus einem älteren Kapitel, ohne die Seite zu öffnen.</w:t>
      </w:r>
    </w:p>
    <w:p w14:paraId="06FAF2D8" w14:textId="77777777" w:rsidR="001F7233" w:rsidRDefault="00000000">
      <w:r>
        <w:rPr>
          <w:b/>
        </w:rPr>
        <w:t xml:space="preserve">ACHTUNG: </w:t>
      </w:r>
    </w:p>
    <w:p w14:paraId="6442EEE8" w14:textId="77777777" w:rsidR="001F7233" w:rsidRDefault="00000000">
      <w:r>
        <w:t xml:space="preserve">• Ein positives Skills Assessment hebst du nicht in der Klinik oder im Klassenzimmer vor. Dort zählt die Registrierung. Umgekehrt ersetzt eine Registrierung nicht automatisch das Assessment, das das Visum </w:t>
      </w:r>
      <w:r>
        <w:lastRenderedPageBreak/>
        <w:t>verlangt. Manche Berufe brauchen beides, bei zwei verschiedenen Stellen.</w:t>
      </w:r>
    </w:p>
    <w:p w14:paraId="76D41B16" w14:textId="77777777" w:rsidR="001F7233" w:rsidRDefault="001F7233">
      <w:pPr>
        <w:spacing w:line="220" w:lineRule="exact"/>
      </w:pPr>
    </w:p>
    <w:p w14:paraId="42200E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w14:paraId="62E8B41E" w14:textId="77777777" w:rsidR="001F7233" w:rsidRDefault="00000000">
      <w:r>
        <w:rPr>
          <w:b/>
        </w:rPr>
        <w:t>Ärztin, Arzt</w:t>
      </w:r>
    </w:p>
    <w:p w14:paraId="1452DAF0" w14:textId="77777777" w:rsidR="001F7233" w:rsidRDefault="00000000">
      <w:r>
        <w:rPr>
          <w:b/>
        </w:rPr>
        <w:t xml:space="preserve">Stelle fürs Visum, typisch: </w:t>
      </w:r>
      <w:r>
        <w:t>Oft ein medizinisches Skills Assessment im Visumverfahren. Die aktuelle Liste der Behörden steht bei Home Affairs</w:t>
      </w:r>
    </w:p>
    <w:p w14:paraId="49A5DC37" w14:textId="77777777" w:rsidR="001F7233" w:rsidRDefault="00000000">
      <w:r>
        <w:rPr>
          <w:b/>
        </w:rPr>
        <w:t xml:space="preserve">Stelle fürs Arbeiten: </w:t>
      </w:r>
      <w:r>
        <w:t>Australian Medical Council und danach das Medical Board of Australia über Ahpra</w:t>
      </w:r>
    </w:p>
    <w:p w14:paraId="7AFDF834" w14:textId="77777777" w:rsidR="001F7233" w:rsidRDefault="00000000">
      <w:r>
        <w:rPr>
          <w:b/>
        </w:rPr>
        <w:t xml:space="preserve">Falle: </w:t>
      </w:r>
      <w:r>
        <w:t>Die Approbation ist keine australische Registrierung. Der Weg über Prüfungen und überwachte Praxis ist lang</w:t>
      </w:r>
    </w:p>
    <w:p w14:paraId="7C27D501" w14:textId="77777777" w:rsidR="001F7233" w:rsidRDefault="00000000">
      <w:r>
        <w:rPr>
          <w:b/>
        </w:rPr>
        <w:t>Pflege</w:t>
      </w:r>
    </w:p>
    <w:p w14:paraId="1F2379C8" w14:textId="77777777" w:rsidR="001F7233" w:rsidRDefault="00000000">
      <w:r>
        <w:rPr>
          <w:b/>
        </w:rPr>
        <w:t xml:space="preserve">Stelle fürs Visum, typisch: </w:t>
      </w:r>
      <w:r>
        <w:t>Für viele Fachkräftevisa Australian Nursing and Midwifery Accreditation Council (ANMAC) als Assessment</w:t>
      </w:r>
    </w:p>
    <w:p w14:paraId="2F03AF38" w14:textId="77777777" w:rsidR="001F7233" w:rsidRDefault="00000000">
      <w:r>
        <w:rPr>
          <w:b/>
        </w:rPr>
        <w:t xml:space="preserve">Stelle fürs Arbeiten: </w:t>
      </w:r>
      <w:r>
        <w:t>Nursing and Midwifery Board of Australia über Ahpra</w:t>
      </w:r>
    </w:p>
    <w:p w14:paraId="3B65CEB6" w14:textId="77777777" w:rsidR="001F7233" w:rsidRDefault="00000000">
      <w:r>
        <w:rPr>
          <w:b/>
        </w:rPr>
        <w:t xml:space="preserve">Falle: </w:t>
      </w:r>
      <w:r>
        <w:t>ANMAC und die Board werden ständig verwechselt. Assessment ist nicht die Erlaubnis, eine Schicht zu übernehmen</w:t>
      </w:r>
    </w:p>
    <w:p w14:paraId="4BB7EE03" w14:textId="77777777" w:rsidR="001F7233" w:rsidRDefault="00000000">
      <w:r>
        <w:rPr>
          <w:b/>
        </w:rPr>
        <w:t>Lehramt</w:t>
      </w:r>
    </w:p>
    <w:p w14:paraId="6A32D762" w14:textId="77777777" w:rsidR="001F7233" w:rsidRDefault="00000000">
      <w:r>
        <w:rPr>
          <w:b/>
        </w:rPr>
        <w:t xml:space="preserve">Stelle fürs Visum, typisch: </w:t>
      </w:r>
      <w:r>
        <w:t>Für viele Skilled-Visa Australian Institute for Teaching and School Leadership (AITSL)</w:t>
      </w:r>
    </w:p>
    <w:p w14:paraId="3B7DB2D4" w14:textId="77777777" w:rsidR="001F7233" w:rsidRDefault="00000000">
      <w:r>
        <w:rPr>
          <w:b/>
        </w:rPr>
        <w:t>Stelle fürs Arbeiten: Die Registrierung des Bundeslands oder Territoriums, etwa NESA in New South Wales oder VIT in Victoria.</w:t>
      </w:r>
    </w:p>
    <w:p w14:paraId="60423BE4" w14:textId="77777777" w:rsidR="001F7233" w:rsidRDefault="00000000">
      <w:r>
        <w:rPr>
          <w:b/>
        </w:rPr>
        <w:t xml:space="preserve">Falle: </w:t>
      </w:r>
      <w:r>
        <w:t>AITSL setzt dich nicht vor eine Klasse. Ein Wechsel des Bundeslands kann eine neue Registrierung bedeuten</w:t>
      </w:r>
    </w:p>
    <w:p w14:paraId="6800819A" w14:textId="77777777" w:rsidR="001F7233" w:rsidRDefault="00000000">
      <w:r>
        <w:rPr>
          <w:b/>
        </w:rPr>
        <w:t>Ingenieurin, Ingenieur</w:t>
      </w:r>
    </w:p>
    <w:p w14:paraId="7678E0BC" w14:textId="77777777" w:rsidR="001F7233" w:rsidRDefault="00000000">
      <w:r>
        <w:rPr>
          <w:b/>
        </w:rPr>
        <w:t xml:space="preserve">Stelle fürs Visum, typisch: </w:t>
      </w:r>
      <w:r>
        <w:t>Häufig Engineers Australia, auch für das Washington Accord</w:t>
      </w:r>
    </w:p>
    <w:p w14:paraId="16528CCD" w14:textId="77777777" w:rsidR="001F7233" w:rsidRDefault="00000000">
      <w:r>
        <w:rPr>
          <w:b/>
        </w:rPr>
        <w:t xml:space="preserve">Stelle fürs Arbeiten: Dieselbe Organisation für die berufliche Anerkennung. Auch kann der Bundesstaat eine Registrierung </w:t>
      </w:r>
      <w:r>
        <w:rPr>
          <w:b/>
        </w:rPr>
        <w:lastRenderedPageBreak/>
        <w:t>verlangen, wenn du als building practitioner oder ähnlich abzeichnest</w:t>
      </w:r>
    </w:p>
    <w:p w14:paraId="77F05BBA" w14:textId="77777777" w:rsidR="001F7233" w:rsidRDefault="00000000">
      <w:r>
        <w:rPr>
          <w:b/>
        </w:rPr>
        <w:t xml:space="preserve">Falle: </w:t>
      </w:r>
      <w:r>
        <w:t>Ein Job in einem Planungsteam ist nicht dasselbe wie die Befugnis, ein Tragwerk zu unterschreiben</w:t>
      </w:r>
    </w:p>
    <w:p w14:paraId="5AFBE4CE" w14:textId="77777777" w:rsidR="001F7233" w:rsidRDefault="00000000">
      <w:r>
        <w:rPr>
          <w:b/>
        </w:rPr>
        <w:t>Handwerk</w:t>
      </w:r>
    </w:p>
    <w:p w14:paraId="0C85A4F5" w14:textId="77777777" w:rsidR="001F7233" w:rsidRDefault="00000000">
      <w:r>
        <w:rPr>
          <w:b/>
        </w:rPr>
        <w:t xml:space="preserve">Stelle fürs Visum, typisch: </w:t>
      </w:r>
      <w:r>
        <w:t>Trades Recognition Australia für viele Bewertungen im Visum</w:t>
      </w:r>
    </w:p>
    <w:p w14:paraId="7E15F09D" w14:textId="77777777" w:rsidR="001F7233" w:rsidRDefault="00000000">
      <w:r>
        <w:rPr>
          <w:b/>
        </w:rPr>
        <w:t xml:space="preserve">Stelle fürs Arbeiten: </w:t>
      </w:r>
      <w:r>
        <w:t>Lizenz des Bundeslands für Elektro, Sanitär, Gas und ähnliche Gewerke</w:t>
      </w:r>
    </w:p>
    <w:p w14:paraId="2ABCBE48" w14:textId="77777777" w:rsidR="001F7233" w:rsidRDefault="00000000">
      <w:r>
        <w:rPr>
          <w:b/>
        </w:rPr>
        <w:t xml:space="preserve">Falle: </w:t>
      </w:r>
      <w:r>
        <w:t>Der Gesellenbrief ist ein Nachweis für TRA, nicht schon die Lizenz, den Schaltschrank freizugeben</w:t>
      </w:r>
    </w:p>
    <w:p w14:paraId="25DCA4C1" w14:textId="77777777" w:rsidR="001F7233" w:rsidRDefault="001F7233">
      <w:pPr>
        <w:spacing w:line="180" w:lineRule="exact"/>
      </w:pPr>
    </w:p>
    <w:p w14:paraId="1CA9365D" w14:textId="77777777" w:rsidR="001F7233" w:rsidRDefault="00000000">
      <w:pPr>
        <w:spacing w:after="140"/>
      </w:pPr>
      <w:r>
        <w:t>Ein Visum macht dich nicht zur Inhaberin eines geschützten Berufs. Die Tabelle trennt die Stelle fürs Visum von der Stelle, die dich arbeiten lässt.</w:t>
      </w:r>
    </w:p>
    <w:p w14:paraId="229754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w14:paraId="229AD764" w14:textId="77777777" w:rsidR="001F7233" w:rsidRDefault="00000000">
      <w:pPr>
        <w:spacing w:after="140"/>
      </w:pPr>
      <w:r>
        <w:t>Schlecht passt der Plan, im ersten australischen Winter schon die deutsche Stelle eins zu eins weiterzuführen, wenn der Beruf registrierungspflichtig ist. Die Board arbeitet nicht im Takt deines Flugs. Schlecht passt auch, das Assessment zu starten, nachdem die Punkte „eigentlich reichen“. Das Assessment ist oft der langsamere Teil. Das steht auch im Arbeitsweg-Kapitel. Hier ist der Grund: Zwei Behörden, nicht eine Warteschlange.</w:t>
      </w:r>
    </w:p>
    <w:p w14:paraId="2945CD0E" w14:textId="77777777" w:rsidR="001F7233" w:rsidRDefault="00000000">
      <w:pPr>
        <w:spacing w:after="140"/>
      </w:pPr>
      <w:r>
        <w:t>Besser passt der Plan, wenn du den nicht registrierten Teil der Arbeit suchen kannst, während die Registrierung läuft oder wenn du erst kündigst, nachdem beide Stellen einen schriftlichen Fahrplan geschickt haben. Für viele Ingenieurjobs im Angestelltenverhältnis ist das realistisch. Für eine eigene Praxis nicht.</w:t>
      </w:r>
    </w:p>
    <w:p w14:paraId="75D84EA0" w14:textId="77777777" w:rsidR="001F7233" w:rsidRDefault="001F7233">
      <w:pPr>
        <w:spacing w:line="220" w:lineRule="exact"/>
      </w:pPr>
    </w:p>
    <w:p w14:paraId="064D47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Anerkennung deutscher Berufsabschlüsse</w:t>
      </w:r>
    </w:p>
    <w:p w14:paraId="5DB687C8" w14:textId="77777777" w:rsidR="001F7233" w:rsidRDefault="00000000">
      <w:r>
        <w:rPr>
          <w:b/>
        </w:rPr>
        <w:t>Plus: Die zuständigen Stellen sind öffentlich benannt</w:t>
      </w:r>
    </w:p>
    <w:p w14:paraId="3E83DFD2" w14:textId="77777777" w:rsidR="001F7233" w:rsidRDefault="00000000">
      <w:r>
        <w:rPr>
          <w:b/>
        </w:rPr>
        <w:t xml:space="preserve">Minus: </w:t>
      </w:r>
      <w:r>
        <w:t>Es sind fast immer zwei, nicht eine</w:t>
      </w:r>
    </w:p>
    <w:p w14:paraId="642E3ECC" w14:textId="77777777" w:rsidR="001F7233" w:rsidRDefault="00000000">
      <w:r>
        <w:rPr>
          <w:b/>
        </w:rPr>
        <w:t>Plus: Engineers Australia und Ahpra veröffentlichen den Ablauf</w:t>
      </w:r>
    </w:p>
    <w:p w14:paraId="5D2C0B33" w14:textId="77777777" w:rsidR="001F7233" w:rsidRDefault="00000000">
      <w:r>
        <w:rPr>
          <w:b/>
        </w:rPr>
        <w:t xml:space="preserve">Minus: </w:t>
      </w:r>
      <w:r>
        <w:t>Die deutsche Zulassung verkürzt ihn nicht von allein</w:t>
      </w:r>
    </w:p>
    <w:p w14:paraId="7DB67D5D" w14:textId="77777777" w:rsidR="001F7233" w:rsidRDefault="00000000">
      <w:r>
        <w:rPr>
          <w:b/>
        </w:rPr>
        <w:t>Plus: Nicht jeder Ingenieurjob braucht eine Unterschrift nach außen</w:t>
      </w:r>
    </w:p>
    <w:p w14:paraId="5CF450D2" w14:textId="77777777" w:rsidR="001F7233" w:rsidRDefault="00000000">
      <w:r>
        <w:rPr>
          <w:b/>
        </w:rPr>
        <w:t xml:space="preserve">Minus: </w:t>
      </w:r>
      <w:r>
        <w:t>Pflege, Medizin und viele Gewerke brauchen sie vor der ersten Schicht</w:t>
      </w:r>
    </w:p>
    <w:p w14:paraId="23CD61D5" w14:textId="77777777" w:rsidR="001F7233" w:rsidRDefault="00000000">
      <w:r>
        <w:rPr>
          <w:b/>
        </w:rPr>
        <w:t>Plus: Das Skills Assessment lässt sich aus Deutschland anstoßen</w:t>
      </w:r>
    </w:p>
    <w:p w14:paraId="192EDE2E" w14:textId="77777777" w:rsidR="001F7233" w:rsidRDefault="00000000">
      <w:r>
        <w:rPr>
          <w:b/>
        </w:rPr>
        <w:t xml:space="preserve">Minus: </w:t>
      </w:r>
      <w:r>
        <w:t>Die Registrierung verlangt oft Nachweise, die du erst vor Ort oder nach einer Prüfung hast</w:t>
      </w:r>
    </w:p>
    <w:p w14:paraId="360E4E39" w14:textId="77777777" w:rsidR="001F7233" w:rsidRDefault="001F7233">
      <w:pPr>
        <w:spacing w:line="180" w:lineRule="exact"/>
      </w:pPr>
    </w:p>
    <w:p w14:paraId="5DDBAD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F99552A" w14:textId="77777777" w:rsidR="001F7233" w:rsidRDefault="00000000">
      <w:pPr>
        <w:spacing w:after="140"/>
      </w:pPr>
      <w:r>
        <w:t xml:space="preserve">Nimm die Berufsbezeichnung, die im Vertrag stehen soll, und such sie auf der Home-Affairs-Liste der Assessment-Behörden. Öffne parallel die Registrierungsstelle aus der Tabelle. Schreib beide Fristen unter den Kündigungstermin. Die Abmeldung in Deutschland, die Rente und die Apostille fürs Führungszeugnis stehen in </w:t>
      </w:r>
      <w:hyperlink w:anchor="t0003">
        <w:r w:rsidR="001F7233">
          <w:rPr>
            <w:color w:val="0563C1"/>
            <w:u w:val="single"/>
          </w:rPr>
          <w:t>Deutschland vor dem Abflug</w:t>
        </w:r>
      </w:hyperlink>
      <w:r>
        <w:t>. Die Apostille ersetzt keine Ahpra-Registrierung.</w:t>
      </w:r>
    </w:p>
    <w:p w14:paraId="4864FDEE" w14:textId="77777777" w:rsidR="001F7233" w:rsidRDefault="00000000">
      <w:r>
        <w:t>• Skills-Assessment-Behörde für genau diese Visum-Subclass auf der Home-Affairs-Seite identifiziert</w:t>
      </w:r>
    </w:p>
    <w:p w14:paraId="656E6CD9" w14:textId="77777777" w:rsidR="001F7233" w:rsidRDefault="00000000">
      <w:r>
        <w:t>• Registrierungsstelle getrennt davon identifiziert: Ahpra für Medizin und Pflege, AITSL plus Bundesland für Lehramt, Engineers Australia und falls nötig das Bundesland für Ingenieurwesen, TRA plus Bundesland fürs Handwerk.</w:t>
      </w:r>
    </w:p>
    <w:p w14:paraId="5852B56B" w14:textId="77777777" w:rsidR="001F7233" w:rsidRDefault="00000000">
      <w:r>
        <w:lastRenderedPageBreak/>
        <w:t>• Beide Verfahren beantragt oder der Fahrplan schriftlich notiert, bevor in Deutschland gekündigt wird</w:t>
      </w:r>
    </w:p>
    <w:p w14:paraId="7806BBFC" w14:textId="77777777" w:rsidR="001F7233" w:rsidRDefault="00000000">
      <w:r>
        <w:t>• Arbeitgeber gefragt, welche Aufgaben ohne Registrierung erlaubt sind</w:t>
      </w:r>
    </w:p>
    <w:p w14:paraId="3566A4E3" w14:textId="77777777" w:rsidR="001F7233" w:rsidRDefault="00000000">
      <w:r>
        <w:t>• Gebühren nur von der Behördenzeile übernommen</w:t>
      </w:r>
    </w:p>
    <w:p w14:paraId="3DD0797F" w14:textId="77777777" w:rsidR="001F7233" w:rsidRDefault="00000000">
      <w:r>
        <w:t>• Washington Accord nur für den konkreten Studiengang geprüft, nicht für „Ingenieurwesen“ allgemein</w:t>
      </w:r>
    </w:p>
    <w:p w14:paraId="01D1DF99" w14:textId="77777777" w:rsidR="001F7233" w:rsidRDefault="00000000">
      <w:r>
        <w:t>• Deutsches Führungszeugnis mit oder ohne Apostille nach dem Antragskapitel, nicht nach Hörensagen</w:t>
      </w:r>
    </w:p>
    <w:p w14:paraId="6B7B979E" w14:textId="77777777" w:rsidR="001F7233" w:rsidRDefault="001F7233">
      <w:pPr>
        <w:spacing w:line="220" w:lineRule="exact"/>
      </w:pPr>
    </w:p>
    <w:p w14:paraId="7F747A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28FDCE1" w14:textId="77777777" w:rsidR="001F7233" w:rsidRDefault="00000000">
      <w:pPr>
        <w:pStyle w:val="ListParagraph"/>
        <w:numPr>
          <w:ilvl w:val="0"/>
          <w:numId w:val="1"/>
        </w:numPr>
        <w:spacing w:after="60"/>
      </w:pPr>
      <w:r>
        <w:t xml:space="preserve">Department of Home Affairs, wer ein Skills Assessment ausstellt: </w:t>
      </w:r>
      <w:hyperlink r:id="rId604">
        <w:r w:rsidR="001F7233">
          <w:rPr>
            <w:color w:val="0563C1"/>
            <w:u w:val="single"/>
          </w:rPr>
          <w:t>immi.homeaffairs.gov.au</w:t>
        </w:r>
      </w:hyperlink>
    </w:p>
    <w:p w14:paraId="54197E7A" w14:textId="77777777" w:rsidR="001F7233" w:rsidRDefault="00000000">
      <w:pPr>
        <w:pStyle w:val="ListParagraph"/>
        <w:numPr>
          <w:ilvl w:val="0"/>
          <w:numId w:val="1"/>
        </w:numPr>
        <w:spacing w:after="60"/>
      </w:pPr>
      <w:r>
        <w:t xml:space="preserve">Australian Health Practitioner Regulation Agency: </w:t>
      </w:r>
      <w:hyperlink r:id="rId605">
        <w:r w:rsidR="001F7233">
          <w:rPr>
            <w:color w:val="0563C1"/>
            <w:u w:val="single"/>
          </w:rPr>
          <w:t>ahpra.gov.au</w:t>
        </w:r>
      </w:hyperlink>
    </w:p>
    <w:p w14:paraId="7115E6E2" w14:textId="77777777" w:rsidR="001F7233" w:rsidRDefault="00000000">
      <w:pPr>
        <w:pStyle w:val="ListParagraph"/>
        <w:numPr>
          <w:ilvl w:val="0"/>
          <w:numId w:val="1"/>
        </w:numPr>
        <w:spacing w:after="60"/>
      </w:pPr>
      <w:r>
        <w:t xml:space="preserve">Australian Medical Council: </w:t>
      </w:r>
      <w:hyperlink r:id="rId606">
        <w:r w:rsidR="001F7233">
          <w:rPr>
            <w:color w:val="0563C1"/>
            <w:u w:val="single"/>
          </w:rPr>
          <w:t>amc.org.au</w:t>
        </w:r>
      </w:hyperlink>
    </w:p>
    <w:p w14:paraId="704760C3" w14:textId="77777777" w:rsidR="001F7233" w:rsidRDefault="00000000">
      <w:pPr>
        <w:pStyle w:val="ListParagraph"/>
        <w:numPr>
          <w:ilvl w:val="0"/>
          <w:numId w:val="1"/>
        </w:numPr>
        <w:spacing w:after="60"/>
      </w:pPr>
      <w:r>
        <w:t xml:space="preserve">Australian Nursing and Midwifery Accreditation Council: </w:t>
      </w:r>
      <w:hyperlink r:id="rId607">
        <w:r w:rsidR="001F7233">
          <w:rPr>
            <w:color w:val="0563C1"/>
            <w:u w:val="single"/>
          </w:rPr>
          <w:t>anmac.org.au</w:t>
        </w:r>
      </w:hyperlink>
    </w:p>
    <w:p w14:paraId="7D5811FF" w14:textId="77777777" w:rsidR="001F7233" w:rsidRDefault="00000000">
      <w:pPr>
        <w:pStyle w:val="ListParagraph"/>
        <w:numPr>
          <w:ilvl w:val="0"/>
          <w:numId w:val="1"/>
        </w:numPr>
        <w:spacing w:after="60"/>
      </w:pPr>
      <w:r>
        <w:t xml:space="preserve">Australian Institute for Teaching and School Leadership: </w:t>
      </w:r>
      <w:hyperlink r:id="rId608">
        <w:r w:rsidR="001F7233">
          <w:rPr>
            <w:color w:val="0563C1"/>
            <w:u w:val="single"/>
          </w:rPr>
          <w:t>aitsl.edu.au</w:t>
        </w:r>
      </w:hyperlink>
    </w:p>
    <w:p w14:paraId="36B758E7" w14:textId="77777777" w:rsidR="001F7233" w:rsidRDefault="00000000">
      <w:pPr>
        <w:pStyle w:val="ListParagraph"/>
        <w:numPr>
          <w:ilvl w:val="0"/>
          <w:numId w:val="1"/>
        </w:numPr>
        <w:spacing w:after="60"/>
      </w:pPr>
      <w:r>
        <w:t xml:space="preserve">Engineers Australia: </w:t>
      </w:r>
      <w:hyperlink r:id="rId609">
        <w:r w:rsidR="001F7233">
          <w:rPr>
            <w:color w:val="0563C1"/>
            <w:u w:val="single"/>
          </w:rPr>
          <w:t>engineersaustralia.org.au</w:t>
        </w:r>
      </w:hyperlink>
    </w:p>
    <w:p w14:paraId="32DA53BC" w14:textId="77777777" w:rsidR="001F7233" w:rsidRDefault="00000000">
      <w:pPr>
        <w:pStyle w:val="ListParagraph"/>
        <w:numPr>
          <w:ilvl w:val="0"/>
          <w:numId w:val="1"/>
        </w:numPr>
        <w:spacing w:after="60"/>
      </w:pPr>
      <w:r>
        <w:t xml:space="preserve">Trades Recognition Australia: </w:t>
      </w:r>
      <w:hyperlink r:id="rId610">
        <w:r w:rsidR="001F7233">
          <w:rPr>
            <w:color w:val="0563C1"/>
            <w:u w:val="single"/>
          </w:rPr>
          <w:t>tradesrecognitionaustralia.gov.au</w:t>
        </w:r>
      </w:hyperlink>
    </w:p>
    <w:p w14:paraId="7CCB2783" w14:textId="77777777" w:rsidR="001F7233" w:rsidRDefault="001F7233">
      <w:pPr>
        <w:spacing w:line="120" w:lineRule="exact"/>
      </w:pPr>
    </w:p>
    <w:p w14:paraId="18B7D317" w14:textId="77777777" w:rsidR="001F7233" w:rsidRDefault="00000000">
      <w:r>
        <w:t>• 30.09.2026. Welche Behörde für welche Subclass benannt ist, ändert Home Affairs. Die Registrierung ändert die Board oder das Bundesland. Lies beide, bevor du kündigst.</w:t>
      </w:r>
    </w:p>
    <w:p w14:paraId="5F29CEA1" w14:textId="77777777" w:rsidR="001F7233" w:rsidRDefault="00000000">
      <w:pPr>
        <w:spacing w:line="220" w:lineRule="exact"/>
      </w:pPr>
      <w:r>
        <w:br w:type="page"/>
      </w:r>
    </w:p>
    <w:bookmarkStart w:id="1183" w:name="australien-familie-investor-ruhestand"/>
    <w:bookmarkStart w:id="1183" w:name="australien-familie-investor-ruhestand"/>
    <w:bookmarkStart w:id="1183" w:name="australien-familie-investor-ruhestand"/>
    <w:p>
      <w:pPr>
        <w:pStyle w:val="Heading2"/>
        <w:ind w:left="0" w:firstLine="0"/>
        <w:jc w:val="left"/>
        <w:keepNext/>
      </w:pPr>
      <w:bookmarkStart w:id="174" w:name="tau04"/>
      <w:r>
        <w:t xml:space="preserve">Australien: Familie, Investor, Ruhestand</w:t>
      </w:r>
      <w:bookmarkEnd w:id="174"/>
    </w:p>
    <w:p>
      <w:pPr>
        <w:pStyle w:val="FirstParagraph"/>
      </w:pPr>
      <w:r>
        <w:t xml:space="preserve">Ein erwachsenes Kind in Australien und ausreichende finanzielle Mittel machen den dauerhaften Zuzug im Ruhestand nicht automatisch planbar. Für ein Parent-Visum der günstigsten Kategorie schätzte das Department of Home Affairs die Wartezeit im August 2026 auf 42 Jahre. Australien setzt in der Einwanderungspolitik vor allem auf arbeitsbezogene Wege; Familiennachzug, Investorenwege und Ruhestand sind stärker begrenzt.</w:t>
      </w:r>
    </w:p>
    <w:p>
      <w:pPr>
        <w:pStyle w:val="BlockText"/>
      </w:pPr>
      <w:r>
        <w:rPr>
          <w:b/>
          <w:bCs/>
        </w:rPr>
        <w:t xml:space="preserve">Kurz gesagt:</w:t>
      </w:r>
    </w:p>
    <w:p>
      <w:pPr>
        <w:pStyle w:val="Compact"/>
        <w:numPr>
          <w:ilvl w:val="0"/>
          <w:numId w:val="72"/>
        </w:numPr>
      </w:pPr>
      <w:r>
        <w:t xml:space="preserve">Partnervisa (Subclass 820/801, bei Antragstellung außerhalb Australiens 309/100) sind der planbarste familienbasierte Weg, aber mit Wartezeiten von häufig zwei Jahren oder mehr bis zur Daueraufenthaltserlaubnis.</w:t>
      </w:r>
    </w:p>
    <w:p>
      <w:pPr>
        <w:pStyle w:val="Compact"/>
        <w:numPr>
          <w:ilvl w:val="0"/>
          <w:numId w:val="72"/>
        </w:numPr>
      </w:pPr>
      <w:r>
        <w:t xml:space="preserve">Abhängige Kinder können – je nach Hauptvisum – mit einbezogen werden. Kindervisa gibt es außerdem separat, etwa Subclass 101 für Kinder außerhalb und 802 für Kinder innerhalb Australiens; Subclass 445 kann während eines noch laufenden Partnerverfahrens gelten.</w:t>
      </w:r>
    </w:p>
    <w:p>
      <w:pPr>
        <w:pStyle w:val="Compact"/>
        <w:numPr>
          <w:ilvl w:val="0"/>
          <w:numId w:val="72"/>
        </w:numPr>
      </w:pPr>
      <w:r>
        <w:t xml:space="preserve">Klassische Investorenwege sind praktisch verschwunden: Das frühere Investorenvisum (Subclass 188) ist seit 31. Juli 2024 für Neuanträge geschlossen, ein echter Ersatz existiert 2026 nicht.</w:t>
      </w:r>
    </w:p>
    <w:p>
      <w:pPr>
        <w:pStyle w:val="Compact"/>
        <w:numPr>
          <w:ilvl w:val="0"/>
          <w:numId w:val="72"/>
        </w:numPr>
      </w:pPr>
      <w:r>
        <w:t xml:space="preserve">Ein „einfaches“ Ruhestandsvisum wie früher (Subclass 405/410) gibt es für Neuanträge nicht mehr – nur Bestandsschutz für bereits vorhandene Inhaber.</w:t>
      </w:r>
    </w:p>
    <w:p>
      <w:pPr>
        <w:pStyle w:val="Compact"/>
        <w:numPr>
          <w:ilvl w:val="0"/>
          <w:numId w:val="72"/>
        </w:numPr>
      </w:pPr>
      <w:r>
        <w:t xml:space="preserve">Für einen dauerhaften Familiennachzug zu erwachsenen Kindern ist das Eltern-Visum (Parent Visa) der zentrale Weg: Ein Kind mit australischer Staatsbürgerschaft oder Daueraufenthaltstitel muss vor Ort leben; zusätzlich gilt der Balance-of-Family-Test.</w:t>
      </w:r>
    </w:p>
    <w:p>
      <w:pPr>
        <w:pStyle w:val="Compact"/>
        <w:numPr>
          <w:ilvl w:val="0"/>
          <w:numId w:val="72"/>
        </w:numPr>
      </w:pPr>
      <w:r>
        <w:t xml:space="preserve">Zwei Schienen stehen zur Wahl: günstiger, aber mit einer geschätzten Wartezeit von 42 Jahren (Non-Contributory), oder teuer, mit rund 47.600 AUD Visagebühr pro Person plus separater, rückzahlbarer Kaution. Für Contributory-Parent-Visa schätzte Home Affairs die Wartezeit im August 2026 auf 18 Jahre.</w:t>
      </w:r>
    </w:p>
    <w:p>
      <w:pPr>
        <w:pStyle w:val="Compact"/>
        <w:numPr>
          <w:ilvl w:val="0"/>
          <w:numId w:val="72"/>
        </w:numPr>
      </w:pPr>
      <w:r>
        <w:t xml:space="preserve">Eine befristete Zwischenlösung (Subclass 870) erlaubt bis zu zehn Jahre Aufenthalt ohne Daueraufenthaltsperspektive, ohne Medicare-Zugang und ohne Arbeitserlaubnis.</w:t>
      </w:r>
    </w:p>
    <w:p>
      <w:pPr>
        <w:pStyle w:val="FirstParagraph"/>
      </w:pPr>
      <w:r>
        <w:rPr>
          <w:b/>
          <w:bCs/>
        </w:rPr>
        <w:t xml:space="preserve">Kinder und weitere Familienangehörige:</w:t>
      </w:r>
      <w:r>
        <w:t xml:space="preserve"> </w:t>
      </w:r>
      <w:r>
        <w:t xml:space="preserve">Abhängige Kinder können je nach Hauptvisum mitbeantragt werden. Daneben gibt es eigene Kinderwege (Subclass 101/802), ein Visum für bestimmte Adoptionen (102) und ein vorläufiges Visum für abhängige Kinder eines Partnervisum-Antragstellers (445). Die</w:t>
      </w:r>
      <w:r>
        <w:t xml:space="preserve"> </w:t>
      </w:r>
      <w:r>
        <w:rPr>
          <w:i/>
          <w:iCs/>
        </w:rPr>
        <w:t xml:space="preserve">Other Family</w:t>
      </w:r>
      <w:r>
        <w:t xml:space="preserve">-Visa sind eng begrenzte Sonderwege. Das Carer-Visum (116/836) verlangt, dass du einer verwandten Person mit langfristiger Erkrankung erhebliche, fortlaufende Hilfe leistest, zu der sie in Australien keinen angemessenen Zugang hat. Beim Remaining-Relative-Visum (115/835) müssen die einzigen nahen Angehörigen in Australien leben. Das Aged-Dependent-Relative-Visum (114/838) setzt unter anderem voraus, dass eine alleinstehende Person im australischen Rentenalter finanziell von ihrem dort lebenden Angehörigen abhängt. Für diese Kategorien gibt es nur begrenzte Plätze und lange Warteschlangen. Sie sind keine allgemeinen Alternativen zum Eltern- oder Partnervisum; prüfe die genaue Definition von „nahem Angehörigen“, Alter, Abhängigkeit und Sponsoring direkt bei Home Affairs.</w:t>
      </w:r>
    </w:p>
    <w:bookmarkStart w:id="1160" w:name="Xe934ece2a33fed09251dc227ba57b71c4e7516c"/>
    <w:p>
      <w:pPr>
        <w:pStyle w:val="Heading3"/>
        <w:ind w:left="0" w:firstLine="0"/>
        <w:jc w:val="left"/>
        <w:keepNext/>
      </w:pPr>
      <w:r>
        <w:t xml:space="preserve">Partnervisum: der planbarste familienbasierte Weg</w:t>
      </w:r>
    </w:p>
    <w:p>
      <w:pPr>
        <w:pStyle w:val="FirstParagraph"/>
      </w:pPr>
      <w:r>
        <w:t xml:space="preserve">Das Partnervisum steht gleichgeschlechtlichen und verschiedengeschlechtlichen Ehe- und de-facto-Paaren offen. Wer sich bereits in Australien aufhält, beantragt Subclass 820 (befristet) und später, aus demselben Antrag heraus, Subclass 801 (dauerhaft); wer von außerhalb Australiens startet, durchläuft stattdessen die Subclasses 309 und 100. Voraussetzung ist in jedem Fall der Nachweis einer echten und andauernden Beziehung – als Ehe oder als faktische Partnerschaft (</w:t>
      </w:r>
      <w:r>
        <w:rPr>
          <w:i/>
          <w:iCs/>
        </w:rPr>
        <w:t xml:space="preserve">de facto relationship</w:t>
      </w:r>
      <w:r>
        <w:t xml:space="preserve">, eine dem Eheleben gleichgestellte Partnerschaft ohne Trauschein; meist muss sie seit mindestens zwölf Monaten bestehen).</w:t>
      </w:r>
    </w:p>
    <w:p>
      <w:pPr>
        <w:pStyle w:val="BodyText"/>
      </w:pPr>
      <w:r>
        <w:t xml:space="preserve">Die Antragsgebühr für die Hauptperson liegt seit der Gebührenrunde vom 1. Juli 2026 bei rund 11.710 AUD (zuvor rund 9.365 AUD; mehrere Kanzleiquellen 2026 übereinstimmend, u. a. zur Zeit vor und nach dem Stichtag). Dazu kommen Gesundheitsuntersuchungen (300 bis 500 AUD pro Person) und Führungszeugnisse aus jedem Land mit längerem Voraufenthalt (50 bis 200 AUD je Land).</w:t>
      </w:r>
    </w:p>
    <w:p>
      <w:pPr>
        <w:pStyle w:val="BodyText"/>
      </w:pPr>
      <w:r>
        <w:t xml:space="preserve">Die veröffentlichten Bearbeitungszeiten setzen der Planung enge Grenzen: Im August 2026 lag der behördliche Median für Partner-Provisional-/Temporary-Visa bei 23 Monaten. Die permanente Stufe (801/100) wird in der Regel frühestens zwei Jahre nach dem ursprünglichen Antrag geprüft; die tatsächliche Dauer hängt vom Einzelfall ab. Wer heute eine Beziehung beginnt und in zwölf Monaten nach Australien ziehen will, sollte diese Zeitachse einplanen.</w:t>
      </w:r>
    </w:p>
    <w:p>
      <w:pPr>
        <w:pStyle w:val="BlockText"/>
      </w:pPr>
      <w:r>
        <w:rPr>
          <w:b/>
          <w:bCs/>
        </w:rPr>
        <w:t xml:space="preserve">Achtung:</w:t>
      </w:r>
      <w:r>
        <w:t xml:space="preserve"> </w:t>
      </w:r>
      <w:r>
        <w:t xml:space="preserve">Während der befristeten Stufe (820) gilt in aller Regel ein Bridging-Visum, das den Aufenthalt legal überbrückt, aber eigene Bedingungen mitbringt – etwa bei Reisen außerhalb Australiens. Kläre vor jeder Auslandsreise während eines laufenden Partnerverfahrens die genauen Bedingungen deines Bridging-Status, bevor du buchst.</w:t>
      </w:r>
    </w:p>
    <w:p>
      <w:pPr>
        <w:pStyle w:val="BlockText"/>
      </w:pPr>
      <w:r>
        <w:rPr>
          <w:b/>
          <w:bCs/>
        </w:rPr>
        <w:t xml:space="preserve">Spartipp:</w:t>
      </w:r>
      <w:r>
        <w:t xml:space="preserve"> </w:t>
      </w:r>
      <w:r>
        <w:t xml:space="preserve">Eine faktische Partnerschaft muss belegt werden – gemeinsames Konto, gemeinsamer Mietvertrag, Fotos, Aussagen von Zeugen. Fang mit dieser Dokumentation an, sobald ihr zusammenzieht, nicht erst kurz vor der Antragstellung. Nachträglich rekonstruierte Beweise wirken selten so überzeugend wie laufend gesammelte.</w:t>
      </w:r>
    </w:p>
    <w:p>
      <w:pPr>
        <w:pStyle w:val="FirstParagraph"/>
      </w:pPr>
      <w:r>
        <w:t xml:space="preserve">Verbreiteter Irrtum: Die Heirat mit einer australischen Staatsbürgerin oder einem australischen Staatsbürger verleihe automatisch ein Aufenthaltsrecht. Tatsächlich prüft Home Affairs jede Partnerschaft einzeln: Eine Heirat allein ersetzt nicht den Nachweis einer echten, andauernden Beziehung, und verheiratete Paare durchlaufen dieselbe zweistufige Prüfung wie unverheiratete. Wer die Beweisführung vernachlässigt, riskiert Rückfragen, die das Verfahren um Monate verlängern.</w:t>
      </w:r>
    </w:p>
    <w:p>
      <w:pPr>
        <w:pStyle w:val="BlockText"/>
      </w:pPr>
      <w:r>
        <w:rPr>
          <w:b/>
          <w:bCs/>
        </w:rPr>
        <w:t xml:space="preserve">Wenn die Beziehung endet:</w:t>
      </w:r>
      <w:r>
        <w:t xml:space="preserve"> </w:t>
      </w:r>
      <w:r>
        <w:t xml:space="preserve">Informiere Home Affairs über die Änderung und prüfe umgehend die Folgen für dein Visum. Eine noch offene Partnerantragstellung kann nur in bestimmten Fällen trotz Trennung weitergeführt werden, etwa wenn der Sponsor gestorben ist, häusliche Gewalt vorlag oder ihr ein gemeinsames Kind habt und beide Elternteile Zugang und elterliche Verantwortung teilen. Lass deinen Einzelfall beraten, bevor du einen Antrag zurückziehst oder eine Frist verstreichen lässt. Bei unmittelbarer Gefahr ruf 000; 1800RESPECT erreichst du rund um die Uhr unter 1800 737 732.</w:t>
      </w:r>
    </w:p>
    <w:bookmarkEnd w:id="1160"/>
    <w:bookmarkStart w:id="1161" w:name="X9829438a55d0bf37a59988123a83fb95c517ef9"/>
    <w:p>
      <w:pPr>
        <w:pStyle w:val="Heading3"/>
        <w:ind w:left="0" w:firstLine="0"/>
        <w:jc w:val="left"/>
        <w:keepNext/>
      </w:pPr>
      <w:r>
        <w:t xml:space="preserve">Investoren und Unternehmer: Welche Wege bleiben?</w:t>
      </w:r>
    </w:p>
    <w:p>
      <w:pPr>
        <w:pStyle w:val="FirstParagraph"/>
      </w:pPr>
      <w:r>
        <w:t xml:space="preserve">Das Significant Investor Visa (Subclass 188; Investor Stream 188C) verlangte eine Mindestinvestition von 5 Millionen AUD. Seit dem 31. Juli 2024 ist es für Neuanträge geschlossen. Bestehende Inhaber behalten Übergangsrechte, etwa auf dem Weg zu Subclass 888C.</w:t>
      </w:r>
    </w:p>
    <w:p>
      <w:pPr>
        <w:pStyle w:val="BodyText"/>
      </w:pPr>
      <w:r>
        <w:t xml:space="preserve">Am 7. Dezember 2024 trat das National Innovation Visa (Subclass 858) an seine Stelle. Es ist kein Investorenvisum: Es richtet sich an Personen mit außergewöhnlichen Fähigkeiten und Innovationspotenzial, nicht an passive Anleger. Wer eine prüffähige Geschäftsidee mit belegbarem Innovationsgehalt hat, kann den Weg mit spezialisierter Beratung prüfen. Für den Wunsch, Kapital gegen ein Visum einzutauschen, bietet Australien 2026 keine passende Kategorie.</w:t>
      </w:r>
    </w:p>
    <w:p>
      <w:pPr>
        <w:pStyle w:val="BodyText"/>
      </w:pPr>
      <w:r>
        <w:t xml:space="preserve">Eine Firmengründung allein schafft keinen Aufenthaltstitel. Wer eine eigene Firma als Sponsor für ein Arbeitgebervisum nutzen will, muss die Anforderungen an zugelassene Sponsoren und an die Stelle erfüllen. Weil Eigentümerschaft, tatsächliche Geschäftstätigkeit und Sponsoringbedingungen im Einzelfall zusammenspielen, sollte die Konstruktion vor der Gründung mit einer registrierten Migrationsberatung geprüft werden.</w:t>
      </w:r>
    </w:p>
    <w:bookmarkEnd w:id="1161"/>
    <w:bookmarkStart w:id="1169" w:name="Xec1d2c8311a135255d1051a3bdbd78d3b0432fe"/>
    <w:p>
      <w:pPr>
        <w:pStyle w:val="Heading3"/>
        <w:ind w:left="0" w:firstLine="0"/>
        <w:jc w:val="left"/>
        <w:keepNext/>
      </w:pPr>
      <w:r>
        <w:t xml:space="preserve">Ruhestand ohne Job: die ausführliche Bilanz</w:t>
      </w:r>
    </w:p>
    <w:p>
      <w:pPr>
        <w:pStyle w:val="FirstParagraph"/>
      </w:pPr>
      <w:r>
        <w:t xml:space="preserve">Wer im Rentenalter zu seinen Kindern oder Enkeln nach Australien ziehen möchte, sollte die Visakategorien genau prüfen. Ältere Ratgeber nennen oft noch Ruhestandsvisa, die für Neuanträge geschlossen sind. Dieser Abschnitt erklärt, was davon noch gilt und welche Übergangsrechte bestehen.</w:t>
      </w:r>
    </w:p>
    <w:bookmarkStart w:id="1162" w:name="Xf0ac506c3915ee767587bfe21bb037ece46e3d4"/>
    <w:p>
      <w:pPr>
        <w:pStyle w:val="Heading4"/>
        <w:ind w:left="0" w:firstLine="0"/>
        <w:jc w:val="left"/>
        <w:keepNext/>
      </w:pPr>
      <w:r>
        <w:t xml:space="preserve">Das ehemalige Ruhestandsvisum: geschlossen für Neuanträge</w:t>
      </w:r>
    </w:p>
    <w:p>
      <w:pPr>
        <w:pStyle w:val="FirstParagraph"/>
      </w:pPr>
      <w:r>
        <w:t xml:space="preserve">Die früheren Subclasses 405 (Investor Retirement) und 410 (Retirement) sind für Neuanträge geschlossen. Inhaber eines Subclass-410-Visums dürfen es in bestimmten Bestandsfällen verlängern oder unter erleichterten Voraussetzungen in eine Parent-Visa-Kategorie wechseln. Wer 2026 neu plant, kann diese Übergangsrechte nicht nutzen.</w:t>
      </w:r>
    </w:p>
    <w:bookmarkEnd w:id="1162"/>
    <w:bookmarkStart w:id="1163" w:name="der-verbleibende-weg-das-eltern-visum"/>
    <w:p>
      <w:pPr>
        <w:pStyle w:val="Heading4"/>
        <w:ind w:left="0" w:firstLine="0"/>
        <w:jc w:val="left"/>
        <w:keepNext/>
      </w:pPr>
      <w:r>
        <w:t xml:space="preserve">Der verbleibende Weg: das Eltern-Visum</w:t>
      </w:r>
    </w:p>
    <w:p>
      <w:pPr>
        <w:pStyle w:val="FirstParagraph"/>
      </w:pPr>
      <w:r>
        <w:t xml:space="preserve">Für den dauerhaften Nachzug zu erwachsenen Kindern ist das Eltern-Visum der zentrale Weg. Ein erwachsenes Kind muss die australische Staatsbürgerschaft oder einen Daueraufenthaltstitel besitzen und in Australien leben. Die sechs Kategorien teilen sich in zwei Schienen, die sich bei Kosten und Wartezeit stark unterscheiden.</w:t>
      </w:r>
    </w:p>
    <w:p>
      <w:pPr>
        <w:pStyle w:val="BodyText"/>
      </w:pPr>
      <w:r>
        <w:rPr>
          <w:b/>
          <w:bCs/>
        </w:rPr>
        <w:t xml:space="preserve">Non-Contributory (günstig, extrem lange Wartezeit):</w:t>
      </w:r>
      <w:r>
        <w:t xml:space="preserve"> </w:t>
      </w:r>
      <w:r>
        <w:t xml:space="preserve">Subclass 103 (Parent, Antragstellung von außerhalb Australiens) und Subclass 804 (Aged Parent, Antragstellung oder Verbleib in Australien). Die Visumsgebühr liegt bei rund 5.000 bis 6.000 AUD. Die Wartezeit ist die entscheidende Einschränkung: Home Affairs schätzte sie im August 2026 auf rund 42 Jahre bis zur Entscheidung.</w:t>
      </w:r>
    </w:p>
    <w:p>
      <w:pPr>
        <w:pStyle w:val="BodyText"/>
      </w:pPr>
      <w:r>
        <w:rPr>
          <w:b/>
          <w:bCs/>
        </w:rPr>
        <w:t xml:space="preserve">Contributory (deutlich teurer, spürbar schneller):</w:t>
      </w:r>
      <w:r>
        <w:t xml:space="preserve"> </w:t>
      </w:r>
      <w:r>
        <w:t xml:space="preserve">Dazu gehören Subclass 143 (Contributory Parent), 173 (ein zweijähriges Übergangsvisum zu 143), 864 (Contributory Aged Parent) und 884 (befristete Vorstufe zu 864). Die Visumsgebühr wird in zwei Raten fällig: rund 4.040 AUD bei Antragstellung (Stand: 1. Juli 2026) und rund 43.600 AUD kurz vor der Erteilung. Zusammen sind das etwa 47.600 AUD pro Hauptantragsteller.</w:t>
      </w:r>
    </w:p>
    <w:p>
      <w:pPr>
        <w:pStyle w:val="BodyText"/>
      </w:pPr>
      <w:r>
        <w:t xml:space="preserve">Hinzu kommt die</w:t>
      </w:r>
      <w:r>
        <w:t xml:space="preserve"> </w:t>
      </w:r>
      <w:r>
        <w:rPr>
          <w:i/>
          <w:iCs/>
        </w:rPr>
        <w:t xml:space="preserve">Assurance of Support</w:t>
      </w:r>
      <w:r>
        <w:t xml:space="preserve">: eine rückzahlbare Kaution, die Services Australia zehn Jahre lang hinterlegt. Meist stellt sie das sponsernde Kind in Australien. Sie soll verhindern, dass der Staat für die einwandernden Eltern aufkommen muss. Für die Hauptperson beträgt sie rund 10.000 AUD, für jede weitere erwachsene Person 4.000 AUD. Bei einem Elternpaar summieren sich Visagebühren und Kaution auf mehr als 100.000 AUD.</w:t>
      </w:r>
    </w:p>
    <w:p>
      <w:pPr>
        <w:pStyle w:val="BodyText"/>
      </w:pPr>
      <w:r>
        <w:t xml:space="preserve">Auch der schnellere Weg verlangt Geduld. Im August 2026 bearbeitete Home Affairs Anträge der Subclasses 143 und 173 mit einem Warteschlangendatum bis November 2018. Für neue Anträge schätzte die Behörde die Wartezeit auf rund 18 Jahre. Die tatsächliche Dauer hängt vom Visumtyp und der Warteschlange ab.</w:t>
      </w:r>
    </w:p>
    <w:p>
      <w:pPr>
        <w:pStyle w:val="Compact"/>
        <w:numPr>
          <w:ilvl w:val="0"/>
          <w:numId w:val="73"/>
        </w:numPr>
      </w:pPr>
      <w:r>
        <w:rPr>
          <w:b/>
          <w:bCs/>
        </w:rPr>
        <w:t xml:space="preserve">Erstgebühr (1. Rate der Visumsgebühr):</w:t>
      </w:r>
      <w:r>
        <w:t xml:space="preserve"> </w:t>
      </w:r>
      <w:r>
        <w:t xml:space="preserve">Non-Contributory (103/804): rund 5.000–6.000 AUD; Contributory (143/173/864/884): rund 4.040 AUD</w:t>
      </w:r>
    </w:p>
    <w:p>
      <w:pPr>
        <w:pStyle w:val="Compact"/>
        <w:numPr>
          <w:ilvl w:val="0"/>
          <w:numId w:val="73"/>
        </w:numPr>
      </w:pPr>
      <w:r>
        <w:rPr>
          <w:b/>
          <w:bCs/>
        </w:rPr>
        <w:t xml:space="preserve">Zweite Rate der Visumsgebühr (vor Erteilung):</w:t>
      </w:r>
      <w:r>
        <w:t xml:space="preserve"> </w:t>
      </w:r>
      <w:r>
        <w:t xml:space="preserve">Non-Contributory (103/804): keine; Contributory (143/173/864/884): rund 43.600 AUD</w:t>
      </w:r>
    </w:p>
    <w:p>
      <w:pPr>
        <w:pStyle w:val="Compact"/>
        <w:numPr>
          <w:ilvl w:val="0"/>
          <w:numId w:val="73"/>
        </w:numPr>
      </w:pPr>
      <w:r>
        <w:rPr>
          <w:b/>
          <w:bCs/>
        </w:rPr>
        <w:t xml:space="preserve">Assurance of Support (separate, rückzahlbare Kaution):</w:t>
      </w:r>
      <w:r>
        <w:t xml:space="preserve"> </w:t>
      </w:r>
      <w:r>
        <w:t xml:space="preserve">Non-Contributory (103/804): keine; Contributory (143/173/864/884): rund 10.000 AUD (+ 4.000 AUD je weiterer Erwachsener)</w:t>
      </w:r>
    </w:p>
    <w:p>
      <w:pPr>
        <w:pStyle w:val="Compact"/>
        <w:numPr>
          <w:ilvl w:val="0"/>
          <w:numId w:val="73"/>
        </w:numPr>
      </w:pPr>
      <w:r>
        <w:rPr>
          <w:b/>
          <w:bCs/>
        </w:rPr>
        <w:t xml:space="preserve">Gesamtkosten je Person, überschlägig:</w:t>
      </w:r>
      <w:r>
        <w:t xml:space="preserve"> </w:t>
      </w:r>
      <w:r>
        <w:t xml:space="preserve">Non-Contributory (103/804): rund 5.000–6.000 AUD; Contributory (143/173/864/884): rund 47.600 AUD Visagebühr zzgl. Kaution</w:t>
      </w:r>
    </w:p>
    <w:p>
      <w:pPr>
        <w:pStyle w:val="Compact"/>
        <w:numPr>
          <w:ilvl w:val="0"/>
          <w:numId w:val="73"/>
        </w:numPr>
      </w:pPr>
      <w:r>
        <w:rPr>
          <w:b/>
          <w:bCs/>
        </w:rPr>
        <w:t xml:space="preserve">Geschätzte Wartezeit für neue Anträge (Home-Affairs-Schätzung, August 2026):</w:t>
      </w:r>
      <w:r>
        <w:t xml:space="preserve"> </w:t>
      </w:r>
      <w:r>
        <w:t xml:space="preserve">Non-Contributory (103/804): rund 42 Jahre; Contributory (143/173/864/884): rund 18 Jahre</w:t>
      </w:r>
    </w:p>
    <w:p>
      <w:pPr>
        <w:pStyle w:val="BlockText"/>
      </w:pPr>
      <w:r>
        <w:rPr>
          <w:b/>
          <w:bCs/>
        </w:rPr>
        <w:t xml:space="preserve">Achtung:</w:t>
      </w:r>
      <w:r>
        <w:t xml:space="preserve"> </w:t>
      </w:r>
      <w:r>
        <w:t xml:space="preserve">Beide Schienen setzen den Balance-of-Family-Test voraus – eine rein geografische Prüfung, keine Härtefallregelung: bestanden ist er nur, wenn mindestens die Hälfte der volljährigen Kinder in Australien lebt oder dort mehr leben als in jedem anderen einzelnen Land. Eltern mit mehreren, über verschiedene Länder verstreuten Kindern fallen hier real durch, ganz unabhängig von Pflegebedürftigkeit oder anderen persönlichen Umständen.</w:t>
      </w:r>
    </w:p>
    <w:p>
      <w:pPr>
        <w:pStyle w:val="BlockText"/>
      </w:pPr>
      <w:r>
        <w:rPr>
          <w:b/>
          <w:bCs/>
        </w:rPr>
        <w:t xml:space="preserve">Praxisbeispiel:</w:t>
      </w:r>
      <w:r>
        <w:t xml:space="preserve"> </w:t>
      </w:r>
      <w:r>
        <w:t xml:space="preserve">Familie Reinhardt (fiktiv) lebt seit ihrer Einwanderung über den Punktetest in Melbourne. Als Thomas’ Eltern in Köln über einen eigenen Umzug nachdenken, vergleichen sie die beiden Parent-Visa-Schienen mit dem befristeten Sponsored-Parent-Visum. Die langen Wartezeiten und die hohe Kaution sprechen gegen einen dauerhaften Umzug. Vorerst planen sie mehrere längere Besuche im Jahr und wollen ihre Entscheidung neu bewerten, falls der Pflegebedarf steigt.</w:t>
      </w:r>
    </w:p>
    <w:bookmarkEnd w:id="1163"/>
    <w:bookmarkStart w:id="1164" w:name="reicht-die-deutsche-rente-als-nachweis"/>
    <w:p>
      <w:pPr>
        <w:pStyle w:val="Heading4"/>
        <w:ind w:left="0" w:firstLine="0"/>
        <w:jc w:val="left"/>
        <w:keepNext/>
      </w:pPr>
      <w:r>
        <w:t xml:space="preserve">Reicht die deutsche Rente als Nachweis?</w:t>
      </w:r>
    </w:p>
    <w:p>
      <w:pPr>
        <w:pStyle w:val="FirstParagraph"/>
      </w:pPr>
      <w:r>
        <w:t xml:space="preserve">Anders als bei manchen Studien- oder Ruhestandsvisa anderer Länder nennen die australischen Elternvisa kein festes Mindestrenteneinkommen der Antragstellenden. Entscheidend sind stattdessen die Visagebühren und, beim Contributory-Weg, die rückzahlbare Sicherheitsleistung (</w:t>
      </w:r>
      <w:r>
        <w:rPr>
          <w:i/>
          <w:iCs/>
        </w:rPr>
        <w:t xml:space="preserve">Assurance of Support</w:t>
      </w:r>
      <w:r>
        <w:t xml:space="preserve">). Sie wird in aller Regel nicht von den einwandernden Eltern selbst gestellt, sondern von einer zugelassenen Person – meist dem sponsernden Kind vor Ort –, die ein ausreichendes eigenes Einkommen nachweist. Die deutsche gesetzliche Rente spielt für die Visumserteilung daher eine untergeordnete Rolle. Für die spätere Lebenshaltung bleibt sie wichtig, insbesondere wenn eine reguläre Beschäftigung nicht mehr infrage kommt. Die Einkommensvoraussetzungen für die</w:t>
      </w:r>
      <w:r>
        <w:t xml:space="preserve"> </w:t>
      </w:r>
      <w:r>
        <w:rPr>
          <w:i/>
          <w:iCs/>
        </w:rPr>
        <w:t xml:space="preserve">Assurance of Support</w:t>
      </w:r>
      <w:r>
        <w:t xml:space="preserve"> </w:t>
      </w:r>
      <w:r>
        <w:t xml:space="preserve">ändern sich gelegentlich; prüfe sie vor der Planung direkt bei Home Affairs oder Services Australia.</w:t>
      </w:r>
    </w:p>
    <w:bookmarkEnd w:id="1164"/>
    <w:bookmarkStart w:id="1165" w:name="X49fbafb5a10c4d2e8d372198c5760b589cde034"/>
    <w:p>
      <w:pPr>
        <w:pStyle w:val="Heading4"/>
        <w:ind w:left="0" w:firstLine="0"/>
        <w:jc w:val="left"/>
        <w:keepNext/>
      </w:pPr>
      <w:r>
        <w:t xml:space="preserve">Die Zwischenlösung ohne Daueraufenthalt: Subclass 870</w:t>
      </w:r>
    </w:p>
    <w:p>
      <w:pPr>
        <w:pStyle w:val="FirstParagraph"/>
      </w:pPr>
      <w:r>
        <w:t xml:space="preserve">Wer weder 42 noch 18 Jahre warten will oder kann, findet im Sponsored Parent (Temporary) Visa, Subclass 870, eine befristete Alternative – allerdings ausdrücklich ohne Weg zum Daueraufenthalt. Die Gültigkeit ist wählbar: drei Jahre für 6.370 AUD oder fünf Jahre für 12.440 AUD (Stand ab 1. Juli 2026), kumulativ über das gesamte Leben der Antragstellerin oder des Antragstellers höchstens zehn Jahre. Ein Balance-of-Family-Test ist hier nicht nötig – dafür fehlt eben jede Aussicht auf einen dauerhaften Status. Medicare-Zugang gibt es nicht, eine durchgehende private Krankenversicherung ist Pflicht (Bedingung 8501), und arbeiten darfst du mit diesem Visum nicht.</w:t>
      </w:r>
    </w:p>
    <w:bookmarkEnd w:id="1165"/>
    <w:bookmarkStart w:id="1166" w:name="X1e0ea201198b45e3acea6106101dfbb9cac3d18"/>
    <w:p>
      <w:pPr>
        <w:pStyle w:val="Heading4"/>
        <w:ind w:left="0" w:firstLine="0"/>
        <w:jc w:val="left"/>
        <w:keepNext/>
      </w:pPr>
      <w:r>
        <w:t xml:space="preserve">Krankenversicherung: der Posten, den viele unterschätzen</w:t>
      </w:r>
    </w:p>
    <w:p>
      <w:pPr>
        <w:pStyle w:val="FirstParagraph"/>
      </w:pPr>
      <w:r>
        <w:t xml:space="preserve">Inhaber des Subclass 870 müssen eine private</w:t>
      </w:r>
      <w:r>
        <w:t xml:space="preserve"> </w:t>
      </w:r>
      <w:r>
        <w:rPr>
          <w:i/>
          <w:iCs/>
        </w:rPr>
        <w:t xml:space="preserve">Overseas Visitor Health Cover</w:t>
      </w:r>
      <w:r>
        <w:t xml:space="preserve"> </w:t>
      </w:r>
      <w:r>
        <w:t xml:space="preserve">(OVHC, Krankenversicherung für Besucher) unterhalten. Wer auf ein Parent-Visum wartet, hat vor der Erteilung ebenfalls meist keinen Medicare-Zugang und sollte eine passende private Absicherung einplanen; ob sie als Visumbedingung vorgeschrieben ist, hängt vom jeweiligen Status ab. Für Einzelpersonen liegen die Kosten allgemein bei 82 bis 155 AUD im Monat, für Familienpolicen bei 230 bis 390 AUD. Wer über 60 ist, sollte realistisch mit einem Aufschlag von 30 bis 50 % gegenüber jüngeren Altersgruppen rechnen – ein realistisches Budget liegt eher bei 200 bis 300 AUD im Monat pro Person. Erst mit einem dauerhaften Eltern-Visum (103, 143 und die verwandten Kategorien) besteht regulärer Medicare-Zugang wie für jeden anderen Daueraufenthaltsberechtigten.</w:t>
      </w:r>
    </w:p>
    <w:bookmarkEnd w:id="1166"/>
    <w:bookmarkStart w:id="1167" w:name="Xece058bea2734443f9a3d717aea7695f4acf45f"/>
    <w:p>
      <w:pPr>
        <w:pStyle w:val="Heading4"/>
        <w:ind w:left="0" w:firstLine="0"/>
        <w:jc w:val="left"/>
        <w:keepNext/>
      </w:pPr>
      <w:r>
        <w:t xml:space="preserve">Steuern auf die deutsche Rente in Australien</w:t>
      </w:r>
    </w:p>
    <w:p>
      <w:pPr>
        <w:pStyle w:val="FirstParagraph"/>
      </w:pPr>
      <w:r>
        <w:t xml:space="preserve">Wer in Australien steuerlich ansässig ist, muss die deutsche gesetzliche Rente dort als Teil des Welteinkommens angeben. Das 2015 unterzeichnete Doppelbesteuerungsabkommen zwischen Deutschland und Australien regelt die Anrechnung bereits in Deutschland gezahlter Steuern auf die australische Steuerschuld. Welche Regeln für gesetzliche, private und betriebliche Renten gelten, hängt von der Rentenart und der persönlichen Situation ab. Kläre das frühzeitig mit einer auf internationales Steuerrecht spezialisierten Beratung.</w:t>
      </w:r>
    </w:p>
    <w:p>
      <w:pPr>
        <w:pStyle w:val="BlockText"/>
      </w:pPr>
      <w:r>
        <w:rPr>
          <w:b/>
          <w:bCs/>
        </w:rPr>
        <w:t xml:space="preserve">Kein Rechtsrat:</w:t>
      </w:r>
      <w:r>
        <w:t xml:space="preserve"> </w:t>
      </w:r>
      <w:r>
        <w:t xml:space="preserve">Dieses Kapitel erklärt Regeln und Praxis zu Familiennachzug, Investoren- und Ruhestandswegen, ersetzt aber keine Beratung durch eine registrierte Migrationsagentin, einen Migrationsagenten oder eine auf australisches Einwanderungs- und Steuerrecht spezialisierte Fachperson.</w:t>
      </w:r>
    </w:p>
    <w:bookmarkEnd w:id="1167"/>
    <w:bookmarkStart w:id="1168" w:name="Xed0992c61946514b27647f440079932f9e94f7c"/>
    <w:p>
      <w:pPr>
        <w:pStyle w:val="Heading4"/>
        <w:ind w:left="0" w:firstLine="0"/>
        <w:jc w:val="left"/>
        <w:keepNext/>
      </w:pPr>
      <w:r>
        <w:t xml:space="preserve">Wer sollte diesen Weg überhaupt in Betracht ziehen?</w:t>
      </w:r>
    </w:p>
    <w:p>
      <w:pPr>
        <w:pStyle w:val="FirstParagraph"/>
      </w:pPr>
      <w:r>
        <w:t xml:space="preserve">Bei 42 Jahren Wartezeit im Non-Contributory-Weg und rund 47.600 AUD Visagebühr pro Person im Contributory-Weg lohnt zuerst eine Alternativrechnung: Reichen längere Besuche mit einem regulären Besuchervisum oder Subclass 870, Videotelefonie und ein bis zwei größere Reisen im Jahr? Wenn es vor allem um Nähe und regelmäßigen Kontakt geht, ist das oft realistischer und deutlich günstiger als ein Verfahren, dessen Wartezeit die eigene Lebenserwartung übersteigen kann. Geht es um einen dauerhaften gemeinsamen Wohnsitz – etwa weil Pflegebedarf absehbar wird –, bleibt eine der beiden Parent-Visa-Schienen der Weg.</w:t>
      </w:r>
    </w:p>
    <w:p>
      <w:pPr>
        <w:pStyle w:val="BlockText"/>
      </w:pPr>
      <w:r>
        <w:rPr>
          <w:b/>
          <w:bCs/>
        </w:rPr>
        <w:t xml:space="preserve">Merke:</w:t>
      </w:r>
      <w:r>
        <w:t xml:space="preserve"> </w:t>
      </w:r>
      <w:r>
        <w:t xml:space="preserve">Ruhestand ohne Job ist in Australien kein Weg, den man „nebenbei“ mitplant. Wer ihn ernsthaft verfolgt, sollte spätestens fünf bis zehn Jahre vor dem geplanten Umzug mit der Finanzplanung, der Kontaktaufnahme zu einer Migrationsberatung und der Klärung der Assurance of Support beginnen – nicht erst, wenn der Ruhestand schon begonnen hat.</w:t>
      </w:r>
    </w:p>
    <w:bookmarkEnd w:id="1168"/>
    <w:bookmarkEnd w:id="1169"/>
    <w:bookmarkStart w:id="1170" w:name="typische-fehler"/>
    <w:p>
      <w:pPr>
        <w:pStyle w:val="Heading3"/>
        <w:ind w:left="0" w:firstLine="0"/>
        <w:jc w:val="left"/>
        <w:keepNext/>
      </w:pPr>
      <w:r>
        <w:t xml:space="preserve">Typische Fehler</w:t>
      </w:r>
    </w:p>
    <w:p>
      <w:pPr>
        <w:pStyle w:val="FirstParagraph"/>
      </w:pPr>
      <w:r>
        <w:t xml:space="preserve">Bei Familien-, Investoren- und Ruhestandswegen wiederholen sich erfahrungsgemäß dieselben Fehleinschätzungen:</w:t>
      </w:r>
    </w:p>
    <w:p>
      <w:pPr>
        <w:pStyle w:val="Compact"/>
        <w:numPr>
          <w:ilvl w:val="0"/>
          <w:numId w:val="74"/>
        </w:numPr>
      </w:pPr>
      <w:r>
        <w:t xml:space="preserve">Verbreiteter Irrtum: Ein erwachsenes Kind mit Aufenthaltstitel in Australien bedeute automatisch, dass die Eltern nachziehen dürfen. Tatsächlich entscheidet allein der Balance-of-Family-Test, unabhängig davon, wie eng die Beziehung ist oder wie sehr ein Pflegebedarf besteht.</w:t>
      </w:r>
    </w:p>
    <w:p>
      <w:pPr>
        <w:pStyle w:val="Compact"/>
        <w:numPr>
          <w:ilvl w:val="0"/>
          <w:numId w:val="74"/>
        </w:numPr>
      </w:pPr>
      <w:r>
        <w:t xml:space="preserve">Die lange Wartezeit beim Non-Contributory-Weg wird als Verhandlungsspielraum missverstanden. Es handelt sich um eine behördliche Schätzung auf Basis der bisherigen Bearbeitung, nicht um eine Verhandlungsposition oder ein verbindliches Enddatum.</w:t>
      </w:r>
    </w:p>
    <w:p>
      <w:pPr>
        <w:pStyle w:val="Compact"/>
        <w:numPr>
          <w:ilvl w:val="0"/>
          <w:numId w:val="74"/>
        </w:numPr>
      </w:pPr>
      <w:r>
        <w:t xml:space="preserve">Investorenwege werden anhand veralteter Ratgeber oder Foren-Beiträge geplant, die noch das seit 2024 geschlossene Subclass-188-Visum beschreiben.</w:t>
      </w:r>
    </w:p>
    <w:p>
      <w:pPr>
        <w:pStyle w:val="Compact"/>
        <w:numPr>
          <w:ilvl w:val="0"/>
          <w:numId w:val="74"/>
        </w:numPr>
      </w:pPr>
      <w:r>
        <w:t xml:space="preserve">Die Kosten eines Contributory-Eltern-Visums werden nur als einmalige Gebühr wahrgenommen, ohne die separate Assurance of Support einzurechnen – am Ende steht dann eine böse Überraschung von mehreren Zehntausend AUD.</w:t>
      </w:r>
    </w:p>
    <w:p>
      <w:pPr>
        <w:pStyle w:val="Compact"/>
        <w:numPr>
          <w:ilvl w:val="0"/>
          <w:numId w:val="74"/>
        </w:numPr>
      </w:pPr>
      <w:r>
        <w:t xml:space="preserve">Subclass 870 wird mit einem Daueraufenthaltsvisum verwechselt, obwohl es ausdrücklich keinen solchen Übergang vorsieht.</w:t>
      </w:r>
    </w:p>
    <w:p>
      <w:pPr>
        <w:pStyle w:val="Compact"/>
        <w:numPr>
          <w:ilvl w:val="0"/>
          <w:numId w:val="74"/>
        </w:numPr>
      </w:pPr>
      <w:r>
        <w:t xml:space="preserve">Die Kosten einer privaten Krankenversicherung während der langen Wartezeit werden bei der Budgetplanung oft unterschätzt und können sich über Jahre oder Jahrzehnte zu einem erheblichen Posten summieren.</w:t>
      </w:r>
    </w:p>
    <w:bookmarkEnd w:id="1170"/>
    <w:bookmarkStart w:id="1171"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75"/>
        </w:numPr>
      </w:pPr>
      <w:r>
        <w:t xml:space="preserve">Partnervisum ist ein klarer, gut dokumentierter Weg zur Daueraufenthaltserlaubnis</w:t>
      </w:r>
    </w:p>
    <w:p>
      <w:pPr>
        <w:pStyle w:val="Compact"/>
        <w:numPr>
          <w:ilvl w:val="0"/>
          <w:numId w:val="75"/>
        </w:numPr>
      </w:pPr>
      <w:r>
        <w:t xml:space="preserve">Contributory-Eltern-Visum verkürzt die Wartezeit erheblich</w:t>
      </w:r>
    </w:p>
    <w:p>
      <w:pPr>
        <w:pStyle w:val="Compact"/>
        <w:numPr>
          <w:ilvl w:val="0"/>
          <w:numId w:val="75"/>
        </w:numPr>
      </w:pPr>
      <w:r>
        <w:t xml:space="preserve">Subclass 870 ermöglicht lange Besuche ohne Jahrzehnte Wartezeit</w:t>
      </w:r>
    </w:p>
    <w:p>
      <w:pPr>
        <w:pStyle w:val="Compact"/>
        <w:numPr>
          <w:ilvl w:val="0"/>
          <w:numId w:val="75"/>
        </w:numPr>
      </w:pPr>
      <w:r>
        <w:t xml:space="preserve">Balance-of-Family-Test ist klar definiert, keine willkürliche Einzelfallprüfung</w:t>
      </w:r>
    </w:p>
    <w:p>
      <w:pPr>
        <w:pStyle w:val="Compact"/>
        <w:numPr>
          <w:ilvl w:val="0"/>
          <w:numId w:val="75"/>
        </w:numPr>
      </w:pPr>
      <w:r>
        <w:t xml:space="preserve">Nach Erhalt eines Daueraufenthaltstitels voller Medicare-Zugang</w:t>
      </w:r>
    </w:p>
    <w:p>
      <w:pPr>
        <w:pStyle w:val="Compact"/>
        <w:numPr>
          <w:ilvl w:val="0"/>
          <w:numId w:val="75"/>
        </w:numPr>
      </w:pPr>
      <w:r>
        <w:t xml:space="preserve">Sponsored-Parent-Visum erfordert keinen Balance-of-Family-Test</w:t>
      </w:r>
    </w:p>
    <w:p>
      <w:pPr>
        <w:pStyle w:val="FirstParagraph"/>
      </w:pPr>
      <w:r>
        <w:rPr>
          <w:b/>
          <w:bCs/>
        </w:rPr>
        <w:t xml:space="preserve">Minus:</w:t>
      </w:r>
    </w:p>
    <w:p>
      <w:pPr>
        <w:pStyle w:val="Compact"/>
        <w:numPr>
          <w:ilvl w:val="0"/>
          <w:numId w:val="76"/>
        </w:numPr>
      </w:pPr>
      <w:r>
        <w:t xml:space="preserve">Partnervisum dauert dennoch häufig zwei Jahre oder mehr bis zur permanenten Stufe</w:t>
      </w:r>
    </w:p>
    <w:p>
      <w:pPr>
        <w:pStyle w:val="Compact"/>
        <w:numPr>
          <w:ilvl w:val="0"/>
          <w:numId w:val="76"/>
        </w:numPr>
      </w:pPr>
      <w:r>
        <w:t xml:space="preserve">Rund 47.600 AUD Visagebühr pro Person plus Kaution sind für viele Familien schlicht nicht aufbringbar</w:t>
      </w:r>
    </w:p>
    <w:p>
      <w:pPr>
        <w:pStyle w:val="Compact"/>
        <w:numPr>
          <w:ilvl w:val="0"/>
          <w:numId w:val="76"/>
        </w:numPr>
      </w:pPr>
      <w:r>
        <w:t xml:space="preserve">Subclass 870 führt zu keinem Daueraufenthaltstitel</w:t>
      </w:r>
    </w:p>
    <w:p>
      <w:pPr>
        <w:pStyle w:val="Compact"/>
        <w:numPr>
          <w:ilvl w:val="0"/>
          <w:numId w:val="76"/>
        </w:numPr>
      </w:pPr>
      <w:r>
        <w:t xml:space="preserve">Balance-of-Family-Test kennt keine Ausnahme für Pflegebedürftigkeit oder Härtefälle</w:t>
      </w:r>
    </w:p>
    <w:p>
      <w:pPr>
        <w:pStyle w:val="Compact"/>
        <w:numPr>
          <w:ilvl w:val="0"/>
          <w:numId w:val="76"/>
        </w:numPr>
      </w:pPr>
      <w:r>
        <w:t xml:space="preserve">Bis dahin ist private Krankenversicherung über Jahre Pflicht</w:t>
      </w:r>
    </w:p>
    <w:p>
      <w:pPr>
        <w:pStyle w:val="Compact"/>
        <w:numPr>
          <w:ilvl w:val="0"/>
          <w:numId w:val="76"/>
        </w:numPr>
      </w:pPr>
      <w:r>
        <w:t xml:space="preserve">Kein Investorenweg mehr für passive Anleger ohne Kind vor Ort</w:t>
      </w:r>
    </w:p>
    <w:bookmarkEnd w:id="1171"/>
    <w:bookmarkStart w:id="1172" w:name="was-jetzt-zu-tun-ist"/>
    <w:p>
      <w:pPr>
        <w:pStyle w:val="Heading3"/>
        <w:ind w:left="0" w:firstLine="0"/>
        <w:jc w:val="left"/>
        <w:keepNext/>
      </w:pPr>
      <w:r>
        <w:t xml:space="preserve">Was jetzt zu tun ist</w:t>
      </w:r>
    </w:p>
    <w:p>
      <w:pPr>
        <w:pStyle w:val="FirstParagraph"/>
      </w:pPr>
      <w:r>
        <w:t xml:space="preserve">Wer über Familiennachzug, Investition oder Ruhestand nach Australien will, sollte zuerst den realistischen Aufenthaltsweg bestimmen: eine belastbare Partnerschaft, ein tatsächlich innovatives Geschäftsvorhaben oder ein erwachsenes Kind mit Aufenthaltstitel vor Ort, bei dem die Familie den Balance-of-Family-Test voraussichtlich erfüllt. Erst danach lohnt sich die Detailrechnung zu Kosten und Wartezeit – mit einer registrierten Migrationsberatung und bei Ruhestandsplänen zusätzlich mit einer auf deutsch-australisches Steuerrecht spezialisierten Beratung.</w:t>
      </w:r>
    </w:p>
    <w:p>
      <w:pPr>
        <w:pStyle w:val="BodyText"/>
      </w:pPr>
      <w:r>
        <w:t xml:space="preserve">Für Ruheständler ohne eigenen Berufsweg lohnt sich auch ein Blick auf das</w:t>
      </w:r>
      <w:r>
        <w:t xml:space="preserve"> </w:t>
      </w:r>
      <w:hyperlink w:anchor="tau03">
        <w:r>
          <w:rPr>
            <w:rStyle w:val="Hyperlink"/>
          </w:rPr>
          <w:t xml:space="preserve">vorherige Kapitel dieses Teils</w:t>
        </w:r>
      </w:hyperlink>
      <w:r>
        <w:t xml:space="preserve">. Wer noch unter 45 ist oder einen gefragten Beruf hat, kann über den Punktetest oder das Arbeitgeber-Sponsoring möglicherweise schneller und planbarer einwandern als über ein Eltern-Visum – selbst wenn der Ruhestand dadurch später beginnt.</w:t>
      </w:r>
    </w:p>
    <w:p>
      <w:pPr>
        <w:pStyle w:val="BodyText"/>
      </w:pPr>
      <w:r>
        <w:t xml:space="preserve">Und wenn keiner der Wege passt, sind regelmäßige längere Besuche bei einem festen Lebensmittelpunkt in Deutschland keine zweitbeste Lösung. Für manche Familien ist sie die tragfähigere.</w:t>
      </w:r>
    </w:p>
    <w:p>
      <w:pPr>
        <w:pStyle w:val="BlockText"/>
      </w:pPr>
      <w:r>
        <w:rPr>
          <w:b/>
          <w:bCs/>
        </w:rPr>
        <w:t xml:space="preserve">Checkliste:</w:t>
      </w:r>
    </w:p>
    <w:p>
      <w:pPr>
        <w:pStyle w:val="Compact"/>
        <w:numPr>
          <w:ilvl w:val="0"/>
          <w:numId w:val="77"/>
        </w:numPr>
      </w:pPr>
      <w:r>
        <w:t xml:space="preserve">Geprüft, ob eine bestehende Partnerschaft die Voraussetzungen für ein Partnervisum erfüllt, und Dokumentation der Beziehung frühzeitig begonnen</w:t>
      </w:r>
    </w:p>
    <w:p>
      <w:pPr>
        <w:pStyle w:val="Compact"/>
        <w:numPr>
          <w:ilvl w:val="0"/>
          <w:numId w:val="78"/>
        </w:numPr>
      </w:pPr>
      <w:r>
        <w:t xml:space="preserve">Geklärt, ob ein Kind mit australischer Staatsbürgerschaft oder Daueraufenthaltstitel vor Ort lebt und der Balance-of-Family-Test bestanden würde</w:t>
      </w:r>
    </w:p>
    <w:p>
      <w:pPr>
        <w:pStyle w:val="Compact"/>
        <w:numPr>
          <w:ilvl w:val="0"/>
          <w:numId w:val="79"/>
        </w:numPr>
      </w:pPr>
      <w:r>
        <w:t xml:space="preserve">Non-Contributory- und Contributory-Weg beim Eltern-Visum mit den eigenen Finanzen und der eigenen Lebenserwartung realistisch gegengerechnet</w:t>
      </w:r>
    </w:p>
    <w:p>
      <w:pPr>
        <w:pStyle w:val="Compact"/>
        <w:numPr>
          <w:ilvl w:val="0"/>
          <w:numId w:val="80"/>
        </w:numPr>
      </w:pPr>
      <w:r>
        <w:t xml:space="preserve">Subclass 870 als befristete Zwischenlösung geprüft, falls ein Daueraufenthalt nicht angestrebt wird</w:t>
      </w:r>
    </w:p>
    <w:p>
      <w:pPr>
        <w:pStyle w:val="Compact"/>
        <w:numPr>
          <w:ilvl w:val="0"/>
          <w:numId w:val="81"/>
        </w:numPr>
      </w:pPr>
      <w:r>
        <w:t xml:space="preserve">Kosten für private Krankenversicherung (OVHC) für die gesamte Wartezeit eingeplant, nicht nur für das erste Jahr</w:t>
      </w:r>
    </w:p>
    <w:p>
      <w:pPr>
        <w:pStyle w:val="Compact"/>
        <w:numPr>
          <w:ilvl w:val="0"/>
          <w:numId w:val="82"/>
        </w:numPr>
      </w:pPr>
      <w:r>
        <w:t xml:space="preserve">Steuerliche Behandlung der deutschen Rente in Australien mit einer spezialisierten Beratung geklärt</w:t>
      </w:r>
    </w:p>
    <w:p>
      <w:pPr>
        <w:pStyle w:val="Compact"/>
        <w:numPr>
          <w:ilvl w:val="0"/>
          <w:numId w:val="83"/>
        </w:numPr>
      </w:pPr>
      <w:r>
        <w:t xml:space="preserve">Investorenwege realistisch eingeordnet: Subclass 188 ist geschlossen, Subclass 858 nur für echte Innovationsvorhaben</w:t>
      </w:r>
    </w:p>
    <w:p>
      <w:pPr>
        <w:pStyle w:val="Compact"/>
        <w:numPr>
          <w:ilvl w:val="0"/>
          <w:numId w:val="84"/>
        </w:numPr>
      </w:pPr>
      <w:r>
        <w:t xml:space="preserve">Aktuelle Gebühren, Wartezeiten und Einkommensschwellen direkt bei Home Affairs gegengeprüft</w:t>
      </w:r>
    </w:p>
    <w:bookmarkEnd w:id="1172"/>
    <w:bookmarkStart w:id="1182" w:name="quellen-und-weiterführende-links"/>
    <w:p>
      <w:pPr>
        <w:pStyle w:val="Heading3"/>
        <w:ind w:left="0" w:firstLine="0"/>
        <w:jc w:val="left"/>
        <w:keepNext/>
      </w:pPr>
      <w:r>
        <w:t xml:space="preserve">Quellen und weiterführende Links</w:t>
      </w:r>
    </w:p>
    <w:p>
      <w:pPr>
        <w:pStyle w:val="Compact"/>
        <w:numPr>
          <w:ilvl w:val="0"/>
          <w:numId w:val="85"/>
        </w:numPr>
      </w:pPr>
      <w:r>
        <w:t xml:space="preserve">Department of Home Affairs — Partnervisa, Subclass 820/801 und 309/100 (</w:t>
      </w:r>
      <w:hyperlink r:id="rId1160">
        <w:r>
          <w:rPr>
            <w:rStyle w:val="Hyperlink"/>
          </w:rPr>
          <w:t xml:space="preserve">Subclass 820</w:t>
        </w:r>
      </w:hyperlink>
      <w:r>
        <w:t xml:space="preserve">;</w:t>
      </w:r>
      <w:r>
        <w:t xml:space="preserve"> </w:t>
      </w:r>
      <w:hyperlink r:id="rId1161">
        <w:r>
          <w:rPr>
            <w:rStyle w:val="Hyperlink"/>
          </w:rPr>
          <w:t xml:space="preserve">Form 1496i zu gleich- und verschiedengeschlechtlichen Partnern</w:t>
        </w:r>
      </w:hyperlink>
      <w:r>
        <w:t xml:space="preserve">)</w:t>
      </w:r>
    </w:p>
    <w:p>
      <w:pPr>
        <w:pStyle w:val="Compact"/>
        <w:numPr>
          <w:ilvl w:val="0"/>
          <w:numId w:val="85"/>
        </w:numPr>
      </w:pPr>
      <w:r>
        <w:t xml:space="preserve">Department of Home Affairs — wenn eine Partnerbeziehung endet (</w:t>
      </w:r>
      <w:hyperlink r:id="rId1162">
        <w:r>
          <w:rPr>
            <w:rStyle w:val="Hyperlink"/>
          </w:rPr>
          <w:t xml:space="preserve">immi.homeaffairs.gov.au</w:t>
        </w:r>
      </w:hyperlink>
      <w:r>
        <w:t xml:space="preserve">)</w:t>
      </w:r>
    </w:p>
    <w:p>
      <w:pPr>
        <w:pStyle w:val="Compact"/>
        <w:numPr>
          <w:ilvl w:val="0"/>
          <w:numId w:val="85"/>
        </w:numPr>
      </w:pPr>
      <w:r>
        <w:t xml:space="preserve">1800RESPECT — Unterstützung bei häuslicher und familiärer Gewalt (</w:t>
      </w:r>
      <w:hyperlink r:id="rId1163">
        <w:r>
          <w:rPr>
            <w:rStyle w:val="Hyperlink"/>
          </w:rPr>
          <w:t xml:space="preserve">1800respect.org.au</w:t>
        </w:r>
      </w:hyperlink>
      <w:r>
        <w:t xml:space="preserve">)</w:t>
      </w:r>
    </w:p>
    <w:p>
      <w:pPr>
        <w:pStyle w:val="Compact"/>
        <w:numPr>
          <w:ilvl w:val="0"/>
          <w:numId w:val="85"/>
        </w:numPr>
      </w:pPr>
      <w:r>
        <w:t xml:space="preserve">Department of Home Affairs — Kinder- und andere Familienvisa (</w:t>
      </w:r>
      <w:hyperlink r:id="rId1164">
        <w:r>
          <w:rPr>
            <w:rStyle w:val="Hyperlink"/>
          </w:rPr>
          <w:t xml:space="preserve">immi.homeaffairs.gov.au</w:t>
        </w:r>
      </w:hyperlink>
      <w:r>
        <w:t xml:space="preserve">)</w:t>
      </w:r>
    </w:p>
    <w:p>
      <w:pPr>
        <w:pStyle w:val="Compact"/>
        <w:numPr>
          <w:ilvl w:val="0"/>
          <w:numId w:val="85"/>
        </w:numPr>
      </w:pPr>
      <w:r>
        <w:t xml:space="preserve">Department of Home Affairs — Voraussetzungen und Warteschlangen der</w:t>
      </w:r>
      <w:r>
        <w:t xml:space="preserve"> </w:t>
      </w:r>
      <w:r>
        <w:rPr>
          <w:i/>
          <w:iCs/>
        </w:rPr>
        <w:t xml:space="preserve">Other Family</w:t>
      </w:r>
      <w:r>
        <w:t xml:space="preserve">-Visa (</w:t>
      </w:r>
      <w:hyperlink r:id="rId1165">
        <w:r>
          <w:rPr>
            <w:rStyle w:val="Hyperlink"/>
          </w:rPr>
          <w:t xml:space="preserve">immi.homeaffairs.gov.au</w:t>
        </w:r>
      </w:hyperlink>
      <w:r>
        <w:t xml:space="preserve">)</w:t>
      </w:r>
    </w:p>
    <w:p>
      <w:pPr>
        <w:pStyle w:val="Compact"/>
        <w:numPr>
          <w:ilvl w:val="0"/>
          <w:numId w:val="85"/>
        </w:numPr>
      </w:pPr>
      <w:r>
        <w:t xml:space="preserve">Department of Home Affairs — Parent-Visa-Kategorien und Balance-of-Family-Test (</w:t>
      </w:r>
      <w:hyperlink r:id="rId1166">
        <w:r>
          <w:rPr>
            <w:rStyle w:val="Hyperlink"/>
          </w:rPr>
          <w:t xml:space="preserve">immi.homeaffairs.gov.au</w:t>
        </w:r>
      </w:hyperlink>
      <w:r>
        <w:t xml:space="preserve">, Suche: parent-visa, balance-of-family-test)</w:t>
      </w:r>
    </w:p>
    <w:p>
      <w:pPr>
        <w:pStyle w:val="Compact"/>
        <w:numPr>
          <w:ilvl w:val="0"/>
          <w:numId w:val="85"/>
        </w:numPr>
      </w:pPr>
      <w:r>
        <w:t xml:space="preserve">Department of Home Affairs — Sponsored Parent (Temporary) Visa, Subclass 870 (</w:t>
      </w:r>
      <w:hyperlink r:id="rId1166">
        <w:r>
          <w:rPr>
            <w:rStyle w:val="Hyperlink"/>
          </w:rPr>
          <w:t xml:space="preserve">immi.homeaffairs.gov.au</w:t>
        </w:r>
      </w:hyperlink>
      <w:r>
        <w:t xml:space="preserve">, Suche: sponsored-parent-870)</w:t>
      </w:r>
    </w:p>
    <w:p>
      <w:pPr>
        <w:pStyle w:val="Compact"/>
        <w:numPr>
          <w:ilvl w:val="0"/>
          <w:numId w:val="85"/>
        </w:numPr>
      </w:pPr>
      <w:r>
        <w:t xml:space="preserve">Department of Home Affairs — National Innovation Visa, Subclass 858 (</w:t>
      </w:r>
      <w:hyperlink r:id="rId1166">
        <w:r>
          <w:rPr>
            <w:rStyle w:val="Hyperlink"/>
          </w:rPr>
          <w:t xml:space="preserve">immi.homeaffairs.gov.au</w:t>
        </w:r>
      </w:hyperlink>
      <w:r>
        <w:t xml:space="preserve">, Suche: national-innovation-visa-858)</w:t>
      </w:r>
    </w:p>
    <w:p>
      <w:pPr>
        <w:pStyle w:val="Compact"/>
        <w:numPr>
          <w:ilvl w:val="0"/>
          <w:numId w:val="85"/>
        </w:numPr>
      </w:pPr>
      <w:r>
        <w:t xml:space="preserve">Department of Home Affairs — Visa-Bearbeitungszeiten und -prioritäten (</w:t>
      </w:r>
      <w:hyperlink r:id="rId615">
        <w:r>
          <w:rPr>
            <w:rStyle w:val="Hyperlink"/>
          </w:rPr>
          <w:t xml:space="preserve">immi.homeaffairs.gov.au/visas/getting-a-visa/visa-processing-times</w:t>
        </w:r>
      </w:hyperlink>
      <w:r>
        <w:t xml:space="preserve">)</w:t>
      </w:r>
    </w:p>
    <w:p>
      <w:pPr>
        <w:pStyle w:val="Compact"/>
        <w:numPr>
          <w:ilvl w:val="0"/>
          <w:numId w:val="85"/>
        </w:numPr>
      </w:pPr>
      <w:r>
        <w:t xml:space="preserve">Australian Taxation Office — Doppelbesteuerungsabkommen Australien–Deutschland (</w:t>
      </w:r>
      <w:hyperlink r:id="rId1167">
        <w:r>
          <w:rPr>
            <w:rStyle w:val="Hyperlink"/>
          </w:rPr>
          <w:t xml:space="preserve">ato.gov.au</w:t>
        </w:r>
      </w:hyperlink>
      <w:r>
        <w:t xml:space="preserve">)</w:t>
      </w:r>
    </w:p>
    <w:p>
      <w:pPr>
        <w:pStyle w:val="BlockText"/>
      </w:pPr>
      <w:r>
        <w:rPr>
          <w:b/>
          <w:bCs/>
        </w:rPr>
        <w:t xml:space="preserve">Stand:</w:t>
      </w:r>
      <w:r>
        <w:t xml:space="preserve"> </w:t>
      </w:r>
      <w:r>
        <w:t xml:space="preserve">23.09.2026. Diese Angaben ändern sich schnell: Wartezeiten und Warteschlangendaten bei Eltern-Visa (zuletzt aktualisiert am 31. August 2026), die genaue Höhe der Assurance-of-Support-Beiträge, Gebühren nach der Runde vom 1. Juli 2026 und die Voraussetzungen für das National Innovation Visa. Die Gebühr für Partnervisa liegt seit 1. Juli 2026 bei rund 11.710 AUD (zuvor 9.365 AUD); prüfe den aktuellen Betrag vor jeder Entscheidung direkt auf immi.homeaffairs.gov.au.</w:t>
      </w:r>
    </w:p>
    <w:bookmarkEnd w:id="1182"/>
    <w:bookmarkEnd w:id="1183"/>
    <w:p w14:paraId="60BA28D2" w14:textId="77777777" w:rsidR="001F7233" w:rsidRDefault="00000000">
      <w:pPr>
        <w:pStyle w:val="Heading2"/>
        <w:keepNext/>
        <w:spacing w:line="341" w:lineRule="auto"/>
        <w:jc w:val="center"/>
      </w:pPr>
      <w:bookmarkStart w:id="92" w:name="tau05"/>
      <w:r>
        <w:rPr>
          <w:rFonts w:ascii="Amazon Ember" w:eastAsia="Amazon Ember" w:hAnsi="Amazon Ember" w:cs="Amazon Ember"/>
          <w:color w:val="0000FF"/>
          <w:sz w:val="36"/>
          <w:szCs w:val="36"/>
        </w:rPr>
        <w:lastRenderedPageBreak/>
        <w:t>Australien: Antrag, Konsulat und Kosten</w:t>
      </w:r>
      <w:bookmarkEnd w:id="92"/>
    </w:p>
    <w:p w14:paraId="60BCE2E5" w14:textId="77777777" w:rsidR="001F7233" w:rsidRDefault="00000000">
      <w:r>
        <w:rPr>
          <w:b/>
        </w:rPr>
        <w:t xml:space="preserve">KURZ GESAGT: </w:t>
      </w:r>
    </w:p>
    <w:p w14:paraId="49594687" w14:textId="77777777" w:rsidR="001F7233" w:rsidRDefault="00000000">
      <w:r>
        <w:t>• Der gesamte Antrag läuft online über ImmiAccount, das Antragsportal des Department of Home Affairs (der australischen Einwanderungs- und Grenzschutzbehörde). Einen Botschaftstermin wie bei anderen Zielländern gibt es für die meisten Visa nicht.</w:t>
      </w:r>
    </w:p>
    <w:p w14:paraId="00F392FF" w14:textId="77777777" w:rsidR="001F7233" w:rsidRDefault="00000000">
      <w:r>
        <w:t>• Punktebasierte Visa laufen über SkillSelect: erst die Expression of Interest (EOI, die Interessensbekundung), dann die Einladung, dann 60 Tage Zeit für den formellen Antrag.</w:t>
      </w:r>
    </w:p>
    <w:p w14:paraId="1B5AEDF9" w14:textId="77777777" w:rsidR="001F7233" w:rsidRDefault="00000000">
      <w:r>
        <w:t>• Die Kosten hängen vom Visumtyp ab. Antragsgebühr, Skills Assessment, Gesundheitscheck und Führungszeugnis stehen auf der Home-Affairs-Gebührenseite und bei der jeweiligen Stelle. Dieses Kapitel druckt sie nicht. Prüfe sie, bevor du zahlst oder kündigst.</w:t>
      </w:r>
    </w:p>
    <w:p w14:paraId="0A6818D1" w14:textId="77777777" w:rsidR="001F7233" w:rsidRDefault="00000000">
      <w:r>
        <w:t>• Gesundheitsuntersuchung und Charaktertest sind eigene Pflichtschritte mit eigenen Fristen – plane sie nicht als Fußnote ein.</w:t>
      </w:r>
    </w:p>
    <w:p w14:paraId="568CC11C" w14:textId="77777777" w:rsidR="001F7233" w:rsidRDefault="00000000">
      <w:r>
        <w:t>• Bearbeitungszeiten schwanken zwischen wenigen Wochen und über einem Jahr, je nach Subclass und aktueller Priorisierung.</w:t>
      </w:r>
    </w:p>
    <w:p w14:paraId="70D933AF" w14:textId="77777777" w:rsidR="001F7233" w:rsidRDefault="00000000">
      <w:r>
        <w:t>• Die deutsche Botschaft und die Konsulate in Australien helfen bei deutschen Dokumenten, aber nicht beim australischen Visumantrag selbst – das entscheidet nur Home Affairs.</w:t>
      </w:r>
    </w:p>
    <w:p w14:paraId="57A0C74B" w14:textId="77777777" w:rsidR="001F7233" w:rsidRDefault="001F7233">
      <w:pPr>
        <w:spacing w:line="220" w:lineRule="exact"/>
      </w:pPr>
    </w:p>
    <w:p w14:paraId="4E0A78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SkillSelect, EOI und ImmiAccount</w:t>
      </w:r>
    </w:p>
    <w:p w14:paraId="02CB905A" w14:textId="77777777" w:rsidR="001F7233" w:rsidRDefault="00000000">
      <w:pPr>
        <w:spacing w:after="140"/>
      </w:pPr>
      <w:r>
        <w:rPr>
          <w:i/>
          <w:iCs/>
        </w:rPr>
        <w:t xml:space="preserve">Wer einen punktebasierten Weg geht – Subclass 189 (Skilled Independent), 190 (Skilled Nominated) oder 491 (Skilled Work Regional) –, beginnt nicht mit einem Antrag, sondern mit einer Absichtserklärung. Die Expression of Interest reichst du über SkillSelect ein, das Online-System, in dem du Beruf, Abschluss, </w:t>
      </w:r>
      <w:r>
        <w:rPr>
          <w:i/>
          <w:iCs/>
        </w:rPr>
        <w:lastRenderedPageBreak/>
        <w:t>Berufserfahrung, Englischniveau und Alter einträgst. Die Behörde errechnet daraus deine Punktzahl. Voraussetzung ist vorher ein bestandenes Skills Assessment (die fachliche Kompetenzbewertung durch eine passende Berufsorganisation, etwa Engineers Australia oder VETASSESS); ohne das zählt keine EOI.</w:t>
      </w:r>
    </w:p>
    <w:p w14:paraId="566D8CE8" w14:textId="77777777" w:rsidR="001F7233" w:rsidRDefault="00000000">
      <w:pPr>
        <w:spacing w:after="140"/>
      </w:pPr>
      <w:r>
        <w:rPr>
          <w:i/>
          <w:iCs/>
        </w:rPr>
        <w:t>Die EOI selbst ist noch kein Antrag und kostet nichts. Erst wenn Home Affairs oder ein Bundesstaat dich einlädt (Invitation to Apply), beginnt die Uhr: Ab der Einladung hast du meist 60 Tage Zeit, den eigentlichen Antrag zu stellen. Verpasst du die Frist, verfällt die Einladung ersatzlos und du reichst eine neue EOI ein – ganz unten in der Warteschlange.</w:t>
      </w:r>
    </w:p>
    <w:p w14:paraId="43C393AC" w14:textId="77777777" w:rsidR="001F7233" w:rsidRDefault="00000000">
      <w:pPr>
        <w:spacing w:after="140"/>
      </w:pPr>
      <w:r>
        <w:rPr>
          <w:i/>
          <w:iCs/>
        </w:rPr>
        <w:t>Der Antrag läuft komplett über ImmiAccount, das zentrale Online-Portal von Home Affairs. Dort legst du ein Konto an, lädst Dokumente hoch, bezahlst die Gebühr per Kreditkarte, verfolgst den Status und erhältst alle Nachrichten der Behörde. Dieses Postfach solltest du in den folgenden Monaten regelmäßig prüfen: Nachforderungen kommen nur hier an, nicht per Brief. Arbeitgebergesponserte Visa (etwa Subclass 482) und die Working Holiday (Subclass 417) überspringen SkillSelect komplett und starten direkt in ImmiAccount, sobald Sponsor oder Altersvoraussetzung geklärt sind.</w:t>
      </w:r>
    </w:p>
    <w:p w14:paraId="410513D6" w14:textId="77777777" w:rsidR="001F7233" w:rsidRDefault="00000000">
      <w:r>
        <w:rPr>
          <w:b/>
        </w:rPr>
        <w:t xml:space="preserve">MERKE: </w:t>
      </w:r>
    </w:p>
    <w:p w14:paraId="7AD6D739" w14:textId="77777777" w:rsidR="001F7233" w:rsidRDefault="00000000">
      <w:r>
        <w:t>• Anders als in vielen anderen Zielländern gibt es für die meisten Visumkategorien keinen persönlichen Termin bei einer australischen Auslandsvertretung. Home Affairs entscheidet nach Aktenlage, die du vollständig online einreichst.</w:t>
      </w:r>
    </w:p>
    <w:p w14:paraId="1F0BA7C9" w14:textId="77777777" w:rsidR="001F7233" w:rsidRDefault="001F7233">
      <w:pPr>
        <w:spacing w:line="220" w:lineRule="exact"/>
      </w:pPr>
    </w:p>
    <w:p w14:paraId="1D308A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6A2E2D14" w14:textId="77777777" w:rsidR="001F7233" w:rsidRDefault="00000000">
      <w:pPr>
        <w:spacing w:after="140"/>
      </w:pPr>
      <w:r>
        <w:rPr>
          <w:i/>
          <w:iCs/>
        </w:rPr>
        <w:t>Die Gebühren unterscheiden sich drastisch je nach Visumtyp und die Antragsgebühr (Base Application Charge) ist nur ein Teil der Rechnung. Dazu kommen in fast jedem Fall Skills Assessment, Englischtest, Gesundheitsuntersuchung und Führungszeugnisse – Posten, die im Kopf oft untergehen.</w:t>
      </w:r>
    </w:p>
    <w:p w14:paraId="08845639" w14:textId="77777777" w:rsidR="001F7233" w:rsidRDefault="00000000">
      <w:r>
        <w:rPr>
          <w:b/>
        </w:rPr>
        <w:lastRenderedPageBreak/>
        <w:t>Working Holiday (417), erstes Jahr und Folgejahre</w:t>
      </w:r>
    </w:p>
    <w:p w14:paraId="57EC8925" w14:textId="77777777" w:rsidR="001F7233" w:rsidRDefault="00000000">
      <w:r>
        <w:rPr>
          <w:b/>
        </w:rPr>
        <w:t xml:space="preserve">Wo der Betrag steht: </w:t>
      </w:r>
      <w:r>
        <w:t>Home-Affairs-Gebührenseite</w:t>
      </w:r>
    </w:p>
    <w:p w14:paraId="28563260" w14:textId="77777777" w:rsidR="001F7233" w:rsidRDefault="00000000">
      <w:r>
        <w:rPr>
          <w:b/>
        </w:rPr>
        <w:t>Skilled Independent (189) und Skilled Nominated (190)</w:t>
      </w:r>
    </w:p>
    <w:p w14:paraId="0DD74FDD" w14:textId="77777777" w:rsidR="001F7233" w:rsidRDefault="00000000">
      <w:r>
        <w:rPr>
          <w:b/>
        </w:rPr>
        <w:t xml:space="preserve">Wo der Betrag steht: </w:t>
      </w:r>
      <w:r>
        <w:t>Home-Affairs-Gebührenseite, plus Nominierung des Bundesstaats</w:t>
      </w:r>
    </w:p>
    <w:p w14:paraId="181F9399" w14:textId="77777777" w:rsidR="001F7233" w:rsidRDefault="00000000">
      <w:r>
        <w:rPr>
          <w:b/>
        </w:rPr>
        <w:t>Skills in Demand (482)</w:t>
      </w:r>
    </w:p>
    <w:p w14:paraId="0E6E24E9" w14:textId="77777777" w:rsidR="001F7233" w:rsidRDefault="00000000">
      <w:r>
        <w:rPr>
          <w:b/>
        </w:rPr>
        <w:t xml:space="preserve">Wo der Betrag steht: </w:t>
      </w:r>
      <w:r>
        <w:t>Home-Affairs-Gebührenseite; die Nominierung trägt oft der Arbeitgeber</w:t>
      </w:r>
    </w:p>
    <w:p w14:paraId="328AA755" w14:textId="77777777" w:rsidR="001F7233" w:rsidRDefault="00000000">
      <w:r>
        <w:rPr>
          <w:b/>
        </w:rPr>
        <w:t>Student (500)</w:t>
      </w:r>
    </w:p>
    <w:p w14:paraId="0C42338F" w14:textId="77777777" w:rsidR="001F7233" w:rsidRDefault="00000000">
      <w:r>
        <w:rPr>
          <w:b/>
        </w:rPr>
        <w:t xml:space="preserve">Wo der Betrag steht: </w:t>
      </w:r>
      <w:r>
        <w:t>Home-Affairs-Gebührenseite; Overseas Student Health Cover ist zusätzlich Pflicht</w:t>
      </w:r>
    </w:p>
    <w:p w14:paraId="62C0B9F5" w14:textId="77777777" w:rsidR="001F7233" w:rsidRDefault="001F7233">
      <w:pPr>
        <w:spacing w:line="180" w:lineRule="exact"/>
      </w:pPr>
    </w:p>
    <w:p w14:paraId="16AAD103" w14:textId="77777777" w:rsidR="001F7233" w:rsidRDefault="00000000">
      <w:pPr>
        <w:spacing w:after="140"/>
      </w:pPr>
      <w:r>
        <w:t>Partner und Kinder haben oft eine eigene Zeile. Die Staffelung zeigt ImmiAccount beim Ausfüllen. Skills Assessment, Englischtest, Gesundheitsuntersuchung und Führungszeugnis kommen dazu. Die Beträge nennen die jeweilige Stelle, nicht dieses Kapitel.</w:t>
      </w:r>
    </w:p>
    <w:p w14:paraId="32210DDF" w14:textId="77777777" w:rsidR="001F7233" w:rsidRDefault="00000000">
      <w:pPr>
        <w:spacing w:after="140"/>
      </w:pPr>
      <w:r>
        <w:t>Für eine vierköpfige Familie kommen Antragsgebühren für Partner und Kinder dazu. Die Staffelung zeigt ImmiAccount, weil sie vom Alter abhängt. Skills Assessment, Englischtest, Gesundheitsuntersuchung und Führungszeugnis kommen extra. Die Beträge nennen die jeweilige Stelle. Wer eine Migrationsberatung beauftragt, addiert deren Honorar.</w:t>
      </w:r>
    </w:p>
    <w:p w14:paraId="391DFD2D" w14:textId="77777777" w:rsidR="001F7233" w:rsidRDefault="00000000">
      <w:r>
        <w:rPr>
          <w:b/>
        </w:rPr>
        <w:t xml:space="preserve">SPARTIPP: </w:t>
      </w:r>
    </w:p>
    <w:p w14:paraId="4E868708" w14:textId="77777777" w:rsidR="001F7233" w:rsidRDefault="00000000">
      <w:r>
        <w:t>• Bezahle die ImmiAccount-Gebühr erst, wenn wirklich alle Unterlagen bereitliegen. Ein unvollständig eingereichter Antrag lässt sich zwar nachbessern, die Gebühr ist bei Ablehnung aber ebenso futsch wie bei Genehmigung. Eine Kulanzrunde wie beim deutschen Bürgeramt gibt es hier nicht.</w:t>
      </w:r>
    </w:p>
    <w:p w14:paraId="19F71606" w14:textId="77777777" w:rsidR="001F7233" w:rsidRDefault="001F7233">
      <w:pPr>
        <w:spacing w:line="220" w:lineRule="exact"/>
      </w:pPr>
    </w:p>
    <w:p w14:paraId="3714AF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w14:paraId="2F8BB15B" w14:textId="77777777" w:rsidR="001F7233" w:rsidRDefault="00000000">
      <w:pPr>
        <w:spacing w:after="140"/>
      </w:pPr>
      <w:r>
        <w:rPr>
          <w:i/>
          <w:iCs/>
        </w:rPr>
        <w:t xml:space="preserve">Home Affairs veröffentlicht monatlich aktualisierte Bearbeitungszeiten, jeweils als 50- und 90-Perzentil. Die Hälfte der </w:t>
      </w:r>
      <w:r>
        <w:rPr>
          <w:i/>
          <w:iCs/>
        </w:rPr>
        <w:lastRenderedPageBreak/>
        <w:t>Fälle ist nach der ersten Zahl entschieden, neun von zehn nach der zweiten. Zum Datenstand September 2026 galt grob: Subclass 189 rund 7 bis 8 Monate, Subclass 190 zwischen 5 und 17 Monaten (die Spanne ist bei diesem Visum besonders groß), Subclass 482 oft nur 57 Tage bis 9 Monate. Seit dem 19. September 2026 gelten neue Ministerial Directions (121 und 122), die bestimmte Branchen. Bau, Gesundheit, Bildung, Landwirtschaft und Fischerei, Ressourcen, Recht und Verteidigung – bevorzugt bearbeiten lassen. Wer außer dieser Listen arbeitet, wartet tendenziell länger, ohne dass Home Affairs das offen so formuliert.</w:t>
      </w:r>
    </w:p>
    <w:p w14:paraId="1D1FB5AB" w14:textId="77777777" w:rsidR="001F7233" w:rsidRDefault="00000000">
      <w:pPr>
        <w:spacing w:after="140"/>
      </w:pPr>
      <w:r>
        <w:t>Die veröffentlichten Perzentile sind ein grober Kompass, kein Versprechen. Home Affairs weist auch aus, welche Einreichdaten gerade bearbeitet werden, was oft ein ehrlicheres Bild gibt als die reine Statistik. Praktisch bedeutet das: Kündige deinen Job in Deutschland nicht, bevor die Entscheidung vorliegt. Plane bei Partnervisa – die noch einmal deutlich länger laufen. Mit mehreren Jahren bis zur permanenten Stufe.</w:t>
      </w:r>
    </w:p>
    <w:p w14:paraId="64893125" w14:textId="77777777" w:rsidR="001F7233" w:rsidRDefault="00000000">
      <w:r>
        <w:rPr>
          <w:b/>
        </w:rPr>
        <w:t xml:space="preserve">ACHTUNG: </w:t>
      </w:r>
    </w:p>
    <w:p w14:paraId="7E2F31FA" w14:textId="77777777" w:rsidR="001F7233" w:rsidRDefault="00000000">
      <w:r>
        <w:t>• Eine Einladung zur Antragstellung ist noch keine Zusage. Zwischen EOI und tatsächlicher Ankunft in Australien vergehen bei den Skilled-Visa oft anderthalb bis zwei Jahre. Wer währenddessen Job, Wohnung und Schulplätze in Deutschland kündigt, handelt verfrüht.</w:t>
      </w:r>
    </w:p>
    <w:p w14:paraId="739D4658" w14:textId="77777777" w:rsidR="001F7233" w:rsidRDefault="001F7233">
      <w:pPr>
        <w:spacing w:line="220" w:lineRule="exact"/>
      </w:pPr>
    </w:p>
    <w:p w14:paraId="73A087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708DF602" w14:textId="77777777" w:rsidR="001F7233" w:rsidRDefault="00000000">
      <w:pPr>
        <w:spacing w:after="140"/>
      </w:pPr>
      <w:r>
        <w:rPr>
          <w:i/>
          <w:iCs/>
        </w:rPr>
        <w:t xml:space="preserve">Für die meisten permanenten und viele befristete Visa ist eine vollständige Health Examination Pflicht. Eine freie Arztwahl gibt es dabei nicht. Nach der Antragstellung schickt dir Home Affairs eine HAP-ID (Health Assessment Processing ID), mit der du einen Termin bei einem zugelassenen Panel Physician (einem von Home Affairs anerkannten Arzt) buchst. Eine Liste findet sich über ImmiAccount. Je nach Alter gehören eine allgemeine Untersuchung, ein Röntgenbild des Brustkorbs (ab 11 Jahren), ein HIV-Test und ein Nierenwert (ab </w:t>
      </w:r>
      <w:r>
        <w:rPr>
          <w:i/>
          <w:iCs/>
        </w:rPr>
        <w:lastRenderedPageBreak/>
        <w:t>15 Jahren) sowie bei Geburt in einem Risikoland ein Hepatitis-B-Test dazu.</w:t>
      </w:r>
    </w:p>
    <w:p w14:paraId="1123A9BC" w14:textId="77777777" w:rsidR="001F7233" w:rsidRDefault="00000000">
      <w:pPr>
        <w:spacing w:after="140"/>
      </w:pPr>
      <w:r>
        <w:t>Die Kosten hängen vom Testumfang ab und werden direkt beim Arzt fällig. Den Betrag nennt die Praxis, dieses Kapitel druckt ihn nicht. Die Ergebnisse gehen digital an Home Affairs, meist innerhalb von fünf bis zehn Werktagen. Bei Auffälligkeiten und nötiger fachärztlicher Nachprüfung dauert es zwei bis vier Wochen länger. Buche den Termin zügig, sobald die HAP-ID vorliegt. Panel Physicians sind nicht an jeder deutschen Ecke zu finden und ein voller Terminkalender verzögert sonst den ganzen Antrag.</w:t>
      </w:r>
    </w:p>
    <w:p w14:paraId="203340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Charaktertest und Führungszeugnis</w:t>
      </w:r>
    </w:p>
    <w:p w14:paraId="6935B95C" w14:textId="77777777" w:rsidR="001F7233" w:rsidRDefault="00000000">
      <w:pPr>
        <w:spacing w:after="140"/>
      </w:pPr>
      <w:r>
        <w:rPr>
          <w:i/>
          <w:iCs/>
        </w:rPr>
        <w:t>Section 501 des Migration Act 1958 verlangt, dass jeder Antragsteller den Character Test besteht. In der Praxis heißt das: ein Police Certificate (polizeiliches Führungszeugnis) aus jedem Land, in dem du seit deinem 16. Geburtstag in der letzten zehn Jahre kumulativ mehr als 12 Monate gelebt hast. Das Zeugnis muss den gesamten Zeitraum seit dem 16. Geburtstag abdecken, nicht nur die tatsächliche Aufenthaltszeit, und gilt ab Ausstellung 12 Monate. Wer auch schon einmal 12 Monate oder länger in Australien gelebt hat, braucht ein National Police Check der australischen Bundespolizei (AFP).</w:t>
      </w:r>
    </w:p>
    <w:p w14:paraId="4D14E8E5" w14:textId="77777777" w:rsidR="001F7233" w:rsidRDefault="00000000">
      <w:pPr>
        <w:spacing w:after="140"/>
      </w:pPr>
      <w:r>
        <w:t xml:space="preserve">Für die meisten deutschen Antragsteller reicht das deutsche Führungszeugnis vom Bundesamt für Justiz, ausgestellt zur Vorlage bei einer Behörde im Ausland. Es kostet eine Gebühr, die das Bundesamt für Justiz nennt. Die Beantragung läuft online oder beim Einwohnermeldeamt. Für Australien reicht das einfache Führungszeugnis allein nicht. Home Affairs verlangt eine Apostille, zuständig dafür ist das Bundesamt für Auswärtige Angelegenheiten (BfAA). Die Apostille musst du bereits bei der Beantragung mitbestellen. Die Gebühr der Apostille steht auf </w:t>
      </w:r>
      <w:hyperlink r:id="rId618">
        <w:r w:rsidR="001F7233">
          <w:rPr>
            <w:color w:val="0563C1"/>
            <w:u w:val="single"/>
          </w:rPr>
          <w:t>bfaa.diplo.de</w:t>
        </w:r>
      </w:hyperlink>
      <w:r>
        <w:t>, dieses Kapitel druckt sie nicht.</w:t>
      </w:r>
    </w:p>
    <w:p w14:paraId="3637774D" w14:textId="77777777" w:rsidR="001F7233" w:rsidRDefault="00000000">
      <w:r>
        <w:rPr>
          <w:b/>
        </w:rPr>
        <w:t xml:space="preserve">ACHTUNG: </w:t>
      </w:r>
    </w:p>
    <w:p w14:paraId="08E8A436" w14:textId="77777777" w:rsidR="001F7233" w:rsidRDefault="00000000">
      <w:r>
        <w:lastRenderedPageBreak/>
        <w:t>• Wer das Führungszeugnis zuerst beim Bundesamt für Justiz bestellt und erst danach an die Apostille denkt, muss den gesamten Vorgang wiederholen. Beantrage beides in einem Rutsch über das BfAA-Portal, bevor du beim Bundesamt für Justiz überhaupt auf „Absenden“ klickst.</w:t>
      </w:r>
    </w:p>
    <w:p w14:paraId="5FF059EC" w14:textId="77777777" w:rsidR="001F7233" w:rsidRDefault="001F7233">
      <w:pPr>
        <w:spacing w:line="220" w:lineRule="exact"/>
      </w:pPr>
    </w:p>
    <w:p w14:paraId="22B69651" w14:textId="77777777" w:rsidR="001F7233" w:rsidRDefault="00000000">
      <w:pPr>
        <w:spacing w:after="140"/>
      </w:pPr>
      <w:r>
        <w:t>Verbreiteter Irrtum: Viele glauben, ein einfaches polizeiliches Führungszeugnis genüge für jede ausländische Behörde. Tatsächlich verlangt Home Affairs bei fast allen Visa-Subclasses die apostillierte Fassung und ein fehlendes oder abgelaufenes Zeugnis kann den gesamten Antrag verzögern, selbst wenn alle anderen Unterlagen längst vollständig sind.</w:t>
      </w:r>
    </w:p>
    <w:p w14:paraId="51B164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Migration Agent oder alleine durch den Antrag?</w:t>
      </w:r>
    </w:p>
    <w:p w14:paraId="1D603915" w14:textId="77777777" w:rsidR="001F7233" w:rsidRDefault="00000000">
      <w:pPr>
        <w:spacing w:after="140"/>
      </w:pPr>
      <w:r>
        <w:t xml:space="preserve">Anders als in den USA gibt es in Australien keinen eigenen Berufsstand von Einwanderungsanwälten mit Kammerpflicht, sondern </w:t>
      </w:r>
      <w:r>
        <w:rPr>
          <w:i/>
          <w:iCs/>
        </w:rPr>
        <w:t>Registered Migration Agents</w:t>
      </w:r>
      <w:r>
        <w:t xml:space="preserve">, reguliert von der </w:t>
      </w:r>
      <w:r>
        <w:rPr>
          <w:i/>
          <w:iCs/>
        </w:rPr>
        <w:t>Office of the Migration Agents Registration Authority</w:t>
      </w:r>
      <w:r>
        <w:t xml:space="preserve"> (OMARA), die zu Home Affairs gehört. Wer gegen Bezahlung Migrationsberatung anbietet – Formulare ausfüllen, Anträge einreichen, Strategie empfehlen –, muss dort registriert sein. Auch Rechtsanwälte mit australischer Zulassung dürfen migrationsrechtlich beraten. Das öffentliche Register auf dem OMARA-Self-Service-Portal zeigt, ob eine Person aktuell registriert ist und ob ein Disziplinarverfahren läuft. Dieser Blick lohnt sich vor jeder Zahlung. Seit dem 1. April 2026 gelten zudem neue Migration Agents Regulations, die die Aufsicht über den Berufsstand verschärft haben.</w:t>
      </w:r>
    </w:p>
    <w:p w14:paraId="0F7A8CD6" w14:textId="77777777" w:rsidR="001F7233" w:rsidRDefault="00000000">
      <w:pPr>
        <w:spacing w:after="140"/>
      </w:pPr>
      <w:r>
        <w:t xml:space="preserve">Für eine unkomplizierte Working Holiday brauchst du meist keinen Agenten. Das Formular ist selbsterklärend, die Voraussetzungen sind klar. Bei punktebasierten Visa mit Skills Assessment, Nominierung und mehreren Familienmitgliedern kann ein registrierter Agent </w:t>
      </w:r>
      <w:r>
        <w:lastRenderedPageBreak/>
        <w:t>dagegen echte Fehler vermeiden, vor allem, wenn Berufslisten und Bundesstaaten-Programme ins Spiel kommen, die sich jährlich ändern. Ein Agent ersetzt aber keine Garantie. Niemand kann eine Einladung oder eine Genehmigung versprechen und wer das behauptet, verkauft dir vor allem eine hübsch formulierte Rechnung.</w:t>
      </w:r>
    </w:p>
    <w:p w14:paraId="6B7995AD" w14:textId="77777777" w:rsidR="001F7233" w:rsidRDefault="00000000">
      <w:pPr>
        <w:spacing w:after="140"/>
      </w:pPr>
      <w:r>
        <w:t>Warnsignale sind dieselben wie überall: Erfolgsgarantie, Drängen auf sofortige Vorkasse per Überweisung an ein Privatkonto, keine schriftliche Honorarvereinbarung, angebliche „Kontakte“ bei Home Affairs, die den Prozess beschleunigen sollen. Home Affairs entscheidet nur nach Aktenlage. Gute Beziehungen helfen dabei ungefähr so viel wie ein Regenschirm gegen Sonnenbrand.</w:t>
      </w:r>
    </w:p>
    <w:p w14:paraId="327006EF" w14:textId="77777777" w:rsidR="001F7233" w:rsidRDefault="00000000">
      <w:r>
        <w:t>• Dieses Kapitel beschreibt Verfahren und Praxis, keine Rechtsberatung. Bei komplexen Fällen – Vorstrafen, frühere Visumsablehnungen, ungewöhnliche Familienkonstellationen. Lohnt sich die Beratung durch einen registrierten Migration Agent oder eine australische Anwältin mit Migrationsrecht als Schwerpunkt.</w:t>
      </w:r>
    </w:p>
    <w:p w14:paraId="0EC6C6AF" w14:textId="77777777" w:rsidR="001F7233" w:rsidRDefault="001F7233">
      <w:pPr>
        <w:spacing w:line="220" w:lineRule="exact"/>
      </w:pPr>
    </w:p>
    <w:p w14:paraId="7AC0E2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in Australien</w:t>
      </w:r>
    </w:p>
    <w:p w14:paraId="54BCE697" w14:textId="77777777" w:rsidR="001F7233" w:rsidRDefault="00000000">
      <w:pPr>
        <w:spacing w:after="140"/>
      </w:pPr>
      <w:r>
        <w:t>Verbreiteter Irrtum: Viele Auswanderer erwarten, dass die deutsche Botschaft oder ein Konsulat beim australischen Visumantrag hilft oder zumindest vermittelt. Das ist nicht deren Aufgabe. Über die Erteilung eines australischen Visums entscheidet nur Home Affairs und keine deutsche Stelle hat darauf Einfluss. Die deutschen Vertretungen sind für deutsche Angelegenheiten zuständig. Pass, Personalausweis, Beglaubigungen, Notfallhilfe für deutsche Staatsangehörige –, nicht für australisches Verwaltungsrecht.</w:t>
      </w:r>
    </w:p>
    <w:p w14:paraId="6DE71654" w14:textId="77777777" w:rsidR="001F7233" w:rsidRDefault="00000000">
      <w:pPr>
        <w:spacing w:after="140"/>
      </w:pPr>
      <w:r>
        <w:t>In Australien gliedert sich das Netz so: Die Deutsche Botschaft in Canberra betreut nur die dort ansässigen Deutschen im Australian Capital Territory. Für den gesamten Rest des Landes – auch Papua-</w:t>
      </w:r>
      <w:r>
        <w:lastRenderedPageBreak/>
        <w:t>Neuguinea, Nauru, die Salomonen und Vanuatu – ist das Generalkonsulat in Sydney zuständig. Ergänzt wird das durch Honorarkonsuln in Melbourne, Adelaide, Brisbane, Cairns, Darwin, Hobart und Perth. Das sind meist ortsansässige Persönlichkeiten, die ehrenamtlich einen eingeschränkten Service anbieten, etwa Beglaubigungen oder die Weiterleitung von Passanträgen, aber keine vollständige Konsularabteilung ersetzen.</w:t>
      </w:r>
    </w:p>
    <w:p w14:paraId="55508ECC" w14:textId="77777777" w:rsidR="001F7233" w:rsidRDefault="00000000">
      <w:r>
        <w:rPr>
          <w:b/>
        </w:rPr>
        <w:t xml:space="preserve">MERKE: </w:t>
      </w:r>
    </w:p>
    <w:p w14:paraId="0E8312BC" w14:textId="77777777" w:rsidR="001F7233" w:rsidRDefault="00000000">
      <w:r>
        <w:t>• Die deutsche Auslandsvertretung ist deine Anlaufstelle für deutsche Dokumente und Notfälle, nicht für den australischen Visumantrag. Das erledigst du nur selbst über ImmiAccount, notfalls mit einem registrierten Migration Agent.</w:t>
      </w:r>
    </w:p>
    <w:p w14:paraId="55727BFB" w14:textId="77777777" w:rsidR="001F7233" w:rsidRDefault="001F7233">
      <w:pPr>
        <w:spacing w:line="220" w:lineRule="exact"/>
      </w:pPr>
    </w:p>
    <w:p w14:paraId="240B23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Antrag, Konsulat und Kosten</w:t>
      </w:r>
    </w:p>
    <w:p w14:paraId="5A514AC4" w14:textId="77777777" w:rsidR="001F7233" w:rsidRDefault="00000000">
      <w:r>
        <w:rPr>
          <w:b/>
        </w:rPr>
        <w:t xml:space="preserve">Plus: </w:t>
      </w:r>
      <w:r>
        <w:t>Ein Migration Agent neben dem Alleingang über ImmiAccount:</w:t>
      </w:r>
    </w:p>
    <w:p w14:paraId="7BAE1DBC" w14:textId="77777777" w:rsidR="001F7233" w:rsidRDefault="00000000">
      <w:r>
        <w:rPr>
          <w:b/>
        </w:rPr>
        <w:t>Plus: Kennt aktuelle Berufslisten und Fristen im Detail</w:t>
      </w:r>
    </w:p>
    <w:p w14:paraId="61B7C203" w14:textId="77777777" w:rsidR="001F7233" w:rsidRDefault="00000000">
      <w:r>
        <w:rPr>
          <w:b/>
        </w:rPr>
        <w:t xml:space="preserve">Minus: </w:t>
      </w:r>
      <w:r>
        <w:t>Zusätzliches Honorar, das die Kanzlei nennt</w:t>
      </w:r>
    </w:p>
    <w:p w14:paraId="619ACBB9" w14:textId="77777777" w:rsidR="001F7233" w:rsidRDefault="00000000">
      <w:r>
        <w:rPr>
          <w:b/>
        </w:rPr>
        <w:t>Plus: Prüft Unterlagen vor der Einreichung auf Lücken</w:t>
      </w:r>
    </w:p>
    <w:p w14:paraId="0A8661DC" w14:textId="77777777" w:rsidR="001F7233" w:rsidRDefault="00000000">
      <w:r>
        <w:rPr>
          <w:b/>
        </w:rPr>
        <w:t xml:space="preserve">Minus: </w:t>
      </w:r>
      <w:r>
        <w:t>Ersetzt keine Garantie für Einladung oder Genehmigung</w:t>
      </w:r>
    </w:p>
    <w:p w14:paraId="6064ECBE" w14:textId="77777777" w:rsidR="001F7233" w:rsidRDefault="00000000">
      <w:r>
        <w:rPr>
          <w:b/>
        </w:rPr>
        <w:t>Plus: Kommuniziert bei Nachforderungen mit Home Affairs</w:t>
      </w:r>
    </w:p>
    <w:p w14:paraId="1ADB1B3A" w14:textId="77777777" w:rsidR="001F7233" w:rsidRDefault="00000000">
      <w:r>
        <w:rPr>
          <w:b/>
        </w:rPr>
        <w:t xml:space="preserve">Minus: </w:t>
      </w:r>
      <w:r>
        <w:t>Verantwortung für wahrheitsgemäße Angaben bleibt bei dir</w:t>
      </w:r>
    </w:p>
    <w:p w14:paraId="62B0509E" w14:textId="77777777" w:rsidR="001F7233" w:rsidRDefault="00000000">
      <w:r>
        <w:rPr>
          <w:b/>
        </w:rPr>
        <w:t>Plus: Sinnvoll bei Vorstrafen, Ablehnungen, Sonderfällen</w:t>
      </w:r>
    </w:p>
    <w:p w14:paraId="2111A15B" w14:textId="77777777" w:rsidR="001F7233" w:rsidRDefault="00000000">
      <w:r>
        <w:rPr>
          <w:b/>
        </w:rPr>
        <w:t xml:space="preserve">Minus: </w:t>
      </w:r>
      <w:r>
        <w:t>Bei einer einfachen Working Holiday meist unnötig</w:t>
      </w:r>
    </w:p>
    <w:p w14:paraId="3C67DF60" w14:textId="77777777" w:rsidR="001F7233" w:rsidRDefault="001F7233">
      <w:pPr>
        <w:spacing w:line="180" w:lineRule="exact"/>
      </w:pPr>
    </w:p>
    <w:p w14:paraId="77F12C01" w14:textId="77777777" w:rsidR="001F7233" w:rsidRDefault="001F7233">
      <w:pPr>
        <w:spacing w:line="220" w:lineRule="exact"/>
      </w:pPr>
    </w:p>
    <w:p w14:paraId="7A322329" w14:textId="77777777" w:rsidR="001F7233" w:rsidRDefault="001F7233">
      <w:pPr>
        <w:spacing w:line="220" w:lineRule="exact"/>
      </w:pPr>
    </w:p>
    <w:p w14:paraId="707BE5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C1BECCA" w14:textId="77777777" w:rsidR="001F7233" w:rsidRDefault="00000000">
      <w:pPr>
        <w:spacing w:after="140"/>
      </w:pPr>
      <w:r>
        <w:t xml:space="preserve">Kläre zuerst, welcher Visumtyp überhaupt infrage kommt – das entscheidet, ob ein Skills Assessment und eine EOI nötig sind oder ob </w:t>
      </w:r>
      <w:r>
        <w:lastRenderedPageBreak/>
        <w:t>du direkt in ImmiAccount startest. Bestelle Führungszeugnis und Apostille frühzeitig und in einem Rutsch, buche den Termin für die Gesundheitsuntersuchung, sobald die HAP-ID da ist und entscheide bewusst, ob ein registrierter Migration Agent für deinen Fall einen Unterschied macht.</w:t>
      </w:r>
    </w:p>
    <w:p w14:paraId="3657FBE4" w14:textId="77777777" w:rsidR="001F7233" w:rsidRDefault="00000000">
      <w:r>
        <w:t>• Visumtyp und Weg geklärt (punktebasiert, arbeitgebergesponsert, Working Holiday)</w:t>
      </w:r>
    </w:p>
    <w:p w14:paraId="686732FE" w14:textId="77777777" w:rsidR="001F7233" w:rsidRDefault="00000000">
      <w:r>
        <w:t>• Bei punktebasiertem Weg: Skills Assessment beantragt, EOI in SkillSelect eingereicht</w:t>
      </w:r>
    </w:p>
    <w:p w14:paraId="5A1C19F5" w14:textId="77777777" w:rsidR="001F7233" w:rsidRDefault="00000000">
      <w:r>
        <w:t>• ImmiAccount angelegt, Benachrichtigungen aktiviert</w:t>
      </w:r>
    </w:p>
    <w:p w14:paraId="031CA420" w14:textId="77777777" w:rsidR="001F7233" w:rsidRDefault="00000000">
      <w:r>
        <w:t>• Alle Gebühren realistisch kalkuliert: Antrag, Skills Assessment, Englischtest, Gesundheitscheck, Führungszeugnisse</w:t>
      </w:r>
    </w:p>
    <w:p w14:paraId="7CD1041D" w14:textId="77777777" w:rsidR="001F7233" w:rsidRDefault="00000000">
      <w:r>
        <w:t>• Führungszeugnis mit Apostille in einem Schritt über das BfAA-Portal beantragt, für jedes Land mit über 12 Monaten Aufenthalt seit dem 16. Geburtstag</w:t>
      </w:r>
    </w:p>
    <w:p w14:paraId="7997B7FB" w14:textId="77777777" w:rsidR="001F7233" w:rsidRDefault="00000000">
      <w:r>
        <w:t>• Gesundheitsuntersuchung bei einem zugelassenen Panel Physician terminiert, sobald die HAP-ID vorliegt</w:t>
      </w:r>
    </w:p>
    <w:p w14:paraId="4C7A1B3C" w14:textId="77777777" w:rsidR="001F7233" w:rsidRDefault="00000000">
      <w:r>
        <w:t>• Entschieden, ob ein registrierter Migration Agent sinnvoll ist; Registrierung im OMARA-Portal geprüft</w:t>
      </w:r>
    </w:p>
    <w:p w14:paraId="03739ACD" w14:textId="77777777" w:rsidR="001F7233" w:rsidRDefault="00000000">
      <w:r>
        <w:t>• Aktuelle Bearbeitungszeiten auf der Home-Affairs-Seite geprüft, Job und Wohnung in Deutschland erst nach der Genehmigung gekündigt.</w:t>
      </w:r>
    </w:p>
    <w:p w14:paraId="05066153" w14:textId="77777777" w:rsidR="001F7233" w:rsidRDefault="001F7233">
      <w:pPr>
        <w:spacing w:line="220" w:lineRule="exact"/>
      </w:pPr>
    </w:p>
    <w:p w14:paraId="60D05F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4DE54BF" w14:textId="77777777" w:rsidR="001F7233" w:rsidRDefault="00000000">
      <w:pPr>
        <w:pStyle w:val="ListParagraph"/>
        <w:numPr>
          <w:ilvl w:val="0"/>
          <w:numId w:val="1"/>
        </w:numPr>
        <w:spacing w:after="60"/>
      </w:pPr>
      <w:r>
        <w:t xml:space="preserve">Department of Home Affairs — Visa, Gebühren, ImmiAccount: </w:t>
      </w:r>
      <w:hyperlink r:id="rId619">
        <w:r w:rsidR="001F7233">
          <w:rPr>
            <w:color w:val="0563C1"/>
            <w:u w:val="single"/>
          </w:rPr>
          <w:t>immi.homeaffairs.gov.au</w:t>
        </w:r>
      </w:hyperlink>
    </w:p>
    <w:p w14:paraId="50660278" w14:textId="77777777" w:rsidR="001F7233" w:rsidRDefault="00000000">
      <w:pPr>
        <w:pStyle w:val="ListParagraph"/>
        <w:numPr>
          <w:ilvl w:val="0"/>
          <w:numId w:val="1"/>
        </w:numPr>
        <w:spacing w:after="60"/>
      </w:pPr>
      <w:r>
        <w:t xml:space="preserve">Department of Home Affairs — SkillSelect: </w:t>
      </w:r>
      <w:hyperlink r:id="rId620">
        <w:r w:rsidR="001F7233">
          <w:rPr>
            <w:color w:val="0563C1"/>
            <w:u w:val="single"/>
          </w:rPr>
          <w:t>immi.homeaffairs.gov.au/visas/working-in-australia/skillselect</w:t>
        </w:r>
      </w:hyperlink>
    </w:p>
    <w:p w14:paraId="7479A2B0" w14:textId="77777777" w:rsidR="001F7233" w:rsidRDefault="00000000">
      <w:pPr>
        <w:pStyle w:val="ListParagraph"/>
        <w:numPr>
          <w:ilvl w:val="0"/>
          <w:numId w:val="1"/>
        </w:numPr>
        <w:spacing w:after="60"/>
      </w:pPr>
      <w:r>
        <w:t xml:space="preserve">Department of Home Affairs — Bearbeitungszeiten: </w:t>
      </w:r>
      <w:hyperlink r:id="rId621">
        <w:r w:rsidR="001F7233">
          <w:rPr>
            <w:color w:val="0563C1"/>
            <w:u w:val="single"/>
          </w:rPr>
          <w:t>immi.homeaffairs.gov.au/visas/getting-a-visa/visa-processing-times</w:t>
        </w:r>
      </w:hyperlink>
    </w:p>
    <w:p w14:paraId="796325C2" w14:textId="77777777" w:rsidR="001F7233" w:rsidRDefault="00000000">
      <w:pPr>
        <w:pStyle w:val="ListParagraph"/>
        <w:numPr>
          <w:ilvl w:val="0"/>
          <w:numId w:val="1"/>
        </w:numPr>
        <w:spacing w:after="60"/>
      </w:pPr>
      <w:r>
        <w:t xml:space="preserve">OMARA — Register der Migration Agents: </w:t>
      </w:r>
      <w:hyperlink r:id="rId622">
        <w:r w:rsidR="001F7233">
          <w:rPr>
            <w:color w:val="0563C1"/>
            <w:u w:val="single"/>
          </w:rPr>
          <w:t>portal.mara.gov.au</w:t>
        </w:r>
      </w:hyperlink>
    </w:p>
    <w:p w14:paraId="6BAC6C00" w14:textId="77777777" w:rsidR="001F7233" w:rsidRDefault="00000000">
      <w:pPr>
        <w:pStyle w:val="ListParagraph"/>
        <w:numPr>
          <w:ilvl w:val="0"/>
          <w:numId w:val="1"/>
        </w:numPr>
        <w:spacing w:after="60"/>
      </w:pPr>
      <w:r>
        <w:lastRenderedPageBreak/>
        <w:t xml:space="preserve">Bundesamt für Justiz — Führungszeugnis: </w:t>
      </w:r>
      <w:hyperlink r:id="rId623">
        <w:r w:rsidR="001F7233">
          <w:rPr>
            <w:color w:val="0563C1"/>
            <w:u w:val="single"/>
          </w:rPr>
          <w:t>bundesjustizamt.de</w:t>
        </w:r>
      </w:hyperlink>
    </w:p>
    <w:p w14:paraId="50B824D3" w14:textId="77777777" w:rsidR="001F7233" w:rsidRDefault="00000000">
      <w:pPr>
        <w:pStyle w:val="ListParagraph"/>
        <w:numPr>
          <w:ilvl w:val="0"/>
          <w:numId w:val="1"/>
        </w:numPr>
        <w:spacing w:after="60"/>
      </w:pPr>
      <w:r>
        <w:t xml:space="preserve">Bundesamt für Auswärtige Angelegenheiten — Apostille: </w:t>
      </w:r>
      <w:hyperlink r:id="rId624">
        <w:r w:rsidR="001F7233">
          <w:rPr>
            <w:color w:val="0563C1"/>
            <w:u w:val="single"/>
          </w:rPr>
          <w:t>bfaa.diplo.de</w:t>
        </w:r>
      </w:hyperlink>
    </w:p>
    <w:p w14:paraId="436990FD" w14:textId="77777777" w:rsidR="001F7233" w:rsidRDefault="00000000">
      <w:pPr>
        <w:pStyle w:val="ListParagraph"/>
        <w:numPr>
          <w:ilvl w:val="0"/>
          <w:numId w:val="1"/>
        </w:numPr>
        <w:spacing w:after="60"/>
      </w:pPr>
      <w:r>
        <w:t xml:space="preserve">Deutsche Vertretungen in Australien: </w:t>
      </w:r>
      <w:hyperlink r:id="rId625">
        <w:r w:rsidR="001F7233">
          <w:rPr>
            <w:color w:val="0563C1"/>
            <w:u w:val="single"/>
          </w:rPr>
          <w:t>australien.diplo.de</w:t>
        </w:r>
      </w:hyperlink>
    </w:p>
    <w:p w14:paraId="43EC07B0" w14:textId="77777777" w:rsidR="001F7233" w:rsidRDefault="001F7233">
      <w:pPr>
        <w:spacing w:line="120" w:lineRule="exact"/>
      </w:pPr>
    </w:p>
    <w:p w14:paraId="50EFB33E" w14:textId="77777777" w:rsidR="001F7233" w:rsidRDefault="00000000">
      <w:pPr>
        <w:spacing w:line="220" w:lineRule="exact"/>
      </w:pPr>
      <w:r>
        <w:br w:type="page"/>
      </w:r>
    </w:p>
    <w:p w14:paraId="16BC363B" w14:textId="77777777" w:rsidR="001F7233" w:rsidRDefault="00000000">
      <w:pPr>
        <w:pStyle w:val="Heading2"/>
        <w:keepNext/>
        <w:spacing w:line="341" w:lineRule="auto"/>
        <w:jc w:val="center"/>
      </w:pPr>
      <w:bookmarkStart w:id="93" w:name="tau06"/>
      <w:r>
        <w:rPr>
          <w:rFonts w:ascii="Amazon Ember" w:eastAsia="Amazon Ember" w:hAnsi="Amazon Ember" w:cs="Amazon Ember"/>
          <w:color w:val="0000FF"/>
          <w:sz w:val="36"/>
          <w:szCs w:val="36"/>
        </w:rPr>
        <w:lastRenderedPageBreak/>
        <w:t>Australien: Ankunft, erste Tage und Wochen</w:t>
      </w:r>
      <w:bookmarkEnd w:id="93"/>
    </w:p>
    <w:p w14:paraId="4D792DB4" w14:textId="77777777" w:rsidR="001F7233" w:rsidRDefault="00000000">
      <w:pPr>
        <w:spacing w:after="140"/>
      </w:pPr>
      <w:r>
        <w:t>Der Koffer ist noch nicht ausgepackt, der Jetlag noch nicht überstanden und schon liegt vor dir ein Stapel an ersten Terminen, den kein Reiseführer erwähnt: Steuer-ID, Bankkonto, Handynummer, vielleicht ein Arztbesuch, ganz sicher ein Dach über dem Kopf. Wer aus Deutschland kommt, unterschätzt gern, wie viel Verwaltung sich in den ersten Wochen australischen Lebens ballt. Das liegt nicht daran, dass das Land besonders bürokratisch wäre, sondern daran, dass fast alles gleichzeitig fällig wird. Dieses Kapitel bringt Reihenfolge in das Durcheinander zwischen Landung und dem Gefühl, tatsächlich angekommen zu sein.</w:t>
      </w:r>
    </w:p>
    <w:p w14:paraId="3CDB3C0A" w14:textId="77777777" w:rsidR="001F7233" w:rsidRDefault="00000000">
      <w:r>
        <w:rPr>
          <w:b/>
        </w:rPr>
        <w:t xml:space="preserve">KURZ GESAGT: </w:t>
      </w:r>
    </w:p>
    <w:p w14:paraId="419B29D1" w14:textId="77777777" w:rsidR="001F7233" w:rsidRDefault="00000000">
      <w:r>
        <w:t>• Die Einreisekontrolle ist meist zügig, die anschließende Biosecurity-Kontrolle (Zoll und Einfuhrschutz für Lebensmittel, Pflanzen, Holz) dagegen streng – ehrliches Deklarieren erspart Ärger.</w:t>
      </w:r>
    </w:p>
    <w:p w14:paraId="78A01D20" w14:textId="77777777" w:rsidR="001F7233" w:rsidRDefault="00000000">
      <w:r>
        <w:t>• Beantrage die Tax File Number (TFN, die australische Steuer-Identifikationsnummer) so früh wie möglich: kostenlos, aber ohne sie behält dein Arbeitgeber 47 % deines Lohns ein.</w:t>
      </w:r>
    </w:p>
    <w:p w14:paraId="318A4B8A" w14:textId="77777777" w:rsidR="001F7233" w:rsidRDefault="00000000">
      <w:r>
        <w:t>• Ein Bankkonto lässt sich bei manchen Instituten schon von Deutschland aus online vorbereiten.</w:t>
      </w:r>
    </w:p>
    <w:p w14:paraId="2180AACD" w14:textId="77777777" w:rsidR="001F7233" w:rsidRDefault="00000000">
      <w:r>
        <w:t>• Ob du sofort Zugang zum staatlichen Gesundheitssystem hast, hängt vom Visumtyp ab. Permanent Residents ja, die meisten befristeten Visa nein. Mehr dazu im Kapitel zum Gesundheitssystem in diesem Teil.</w:t>
      </w:r>
    </w:p>
    <w:p w14:paraId="602540C1" w14:textId="77777777" w:rsidR="001F7233" w:rsidRDefault="00000000">
      <w:r>
        <w:t>• Organisiere SIM-Karte und Internet früh, idealerweise schon vor dem Abflug.</w:t>
      </w:r>
    </w:p>
    <w:p w14:paraId="1032147E" w14:textId="77777777" w:rsidR="001F7233" w:rsidRDefault="00000000">
      <w:r>
        <w:t>• Buche die erste Unterkunft nur als flexible Übergangslösung. Die richtige Wohnungssuche läuft am besten vor Ort.</w:t>
      </w:r>
    </w:p>
    <w:p w14:paraId="6C48DA39" w14:textId="77777777" w:rsidR="001F7233" w:rsidRDefault="00000000">
      <w:r>
        <w:lastRenderedPageBreak/>
        <w:t>• Der Zeitunterschied zu Deutschland beträgt acht bis neun Stunden. Plane die ersten Tage ohne wichtige Termine und ohne Autofahrten ein, gerade wegen des Linksverkehrs.</w:t>
      </w:r>
    </w:p>
    <w:p w14:paraId="41E89C3E" w14:textId="77777777" w:rsidR="001F7233" w:rsidRDefault="00000000">
      <w:r>
        <w:t>• Hund oder Katze aus Deutschland: zugelassenes Land der Gruppe 3, mindestens sechs Monate Vorlauf, danach Quarantäne in Mickleham. Der Container hat eigene Biosicherheitsregeln, nicht nur der Koffer.</w:t>
      </w:r>
    </w:p>
    <w:p w14:paraId="13BEC0C8" w14:textId="77777777" w:rsidR="001F7233" w:rsidRDefault="001F7233">
      <w:pPr>
        <w:spacing w:line="220" w:lineRule="exact"/>
      </w:pPr>
    </w:p>
    <w:p w14:paraId="17F66C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Einreisekontrolle, Zoll und Biosecurity</w:t>
      </w:r>
    </w:p>
    <w:p w14:paraId="63A7C5A2" w14:textId="77777777" w:rsidR="001F7233" w:rsidRDefault="00000000">
      <w:pPr>
        <w:spacing w:after="140"/>
      </w:pPr>
      <w:r>
        <w:rPr>
          <w:i/>
          <w:iCs/>
        </w:rPr>
        <w:t>An der Passkontrolle geht es für deutsche Reisepassinhaber an den großen Flughäfen. Melbourne, Sydney, Brisbane und weitere – oft zügig. Elektronische Grenzkontrollen (SmartGates) sind für viele Nationalitäten freigeschaltet, bei denen der Reisepass selbst gescannt wird. Ein Grenzbeamter bleibt trotzdem in Sichtweite für Rückfragen. Führe unabhängig davon einen Ausdruck deiner Visumsbestätigung mit. Dein Visum steckt nicht im Pass, sondern ist rein elektronisch mit der Passnummer verknüpft, kein Aufkleber, kein Stempel. Eine Kopie in der Tasche erspart Diskussionen, falls das System einmal ausfällt.</w:t>
      </w:r>
    </w:p>
    <w:p w14:paraId="3655CB3E" w14:textId="77777777" w:rsidR="001F7233" w:rsidRDefault="00000000">
      <w:pPr>
        <w:spacing w:after="140"/>
      </w:pPr>
      <w:r>
        <w:t xml:space="preserve">Direkt danach folgt die Zoll- und Biosecurity-Kontrolle. Hier nimmt Australien es deutlich genauer als die meisten Länder Europas: Lebensmittel, frisches Obst, Pflanzen, Samen, Holzgegenstände und sogar getragene Wanderschuhe mit Erdresten müssen deklariert werden, ganz gleich, wie harmlos sie erscheinen. Speziell trainierte Beagle patrouillieren am Gepäckband und erschnüffeln zuverlässig, was du vielleicht längst vergessen hast, die vakuumierte Extrawurst im Handgepäck etwa. Ehrliches Deklarieren kostet höchstens ein paar Minuten Nachfrage. Verschweigen kann teuer werden und im schlimmsten Fall die Einreise erschweren. Bargeld, Reiseschecks und vergleichbare Zahlungsmittel über insgesamt 10.000 AUD meldest </w:t>
      </w:r>
      <w:r>
        <w:lastRenderedPageBreak/>
        <w:t>du ebenfalls aktiv. Die Anmeldung selbst ist unproblematisch, das Verschweigen nicht.</w:t>
      </w:r>
    </w:p>
    <w:p w14:paraId="1462D8E0" w14:textId="77777777" w:rsidR="001F7233" w:rsidRDefault="00000000">
      <w:r>
        <w:rPr>
          <w:b/>
        </w:rPr>
        <w:t xml:space="preserve">ACHTUNG: </w:t>
      </w:r>
    </w:p>
    <w:p w14:paraId="2F26CA90" w14:textId="77777777" w:rsidR="001F7233" w:rsidRDefault="00000000">
      <w:r>
        <w:t>• Biosecurity-Kontrollen gelten unabhängig vom Einreisegrund und für jedes Familienmitglied einzeln. Ein einzelner vergessener Apfel im Rucksack der Kinder reicht, um die ganze Familie in die längere Kontrollspur zu schicken. Deklariere lieber einmal zu viel als zu wenig.</w:t>
      </w:r>
    </w:p>
    <w:p w14:paraId="7E35D132" w14:textId="77777777" w:rsidR="001F7233" w:rsidRDefault="001F7233">
      <w:pPr>
        <w:spacing w:line="220" w:lineRule="exact"/>
      </w:pPr>
    </w:p>
    <w:p w14:paraId="71A77807" w14:textId="77777777" w:rsidR="001F7233" w:rsidRDefault="00000000">
      <w:pPr>
        <w:spacing w:after="140"/>
      </w:pPr>
      <w:r>
        <w:t>Vom Flughafen kommst du meist per Zug, Bus, Taxi oder Fahrdienst wie Uber in die Stadt. An den großen Flughäfen ist der Zug oft die günstigste und schnellste Wahl in die City. Wechsle nur so viel Bargeld wie nötig am Flughafenschalter, die Kurse dort sind selten die besten. Ein kleiner Betrag für Taxi oder Automat reicht, den Rest erledigst du bequemer über Karte oder das neue Konto.</w:t>
      </w:r>
    </w:p>
    <w:p w14:paraId="40B490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w14:paraId="6A2A2746" w14:textId="77777777" w:rsidR="001F7233" w:rsidRDefault="00000000">
      <w:pPr>
        <w:spacing w:after="140"/>
      </w:pPr>
      <w:r>
        <w:t>Der Zeitunterschied nach Melbourne oder Sydney beträgt gegen Deutschland acht bis neun Stunden, je nach Sommer- und Winterzeit auf beiden Seiten der Erde. Das ist ein Sprung, den der Körper selten in einer Nacht wegsteckt. Plane die ersten zwei, drei Tage bewusst ohne wichtige Termine ein: kein Bankgespräch am Ankunftstag, keine Wohnungsbesichtigung mit Kopfschmerzen vom Nachtflug. Tageslicht, ein kurzer Spaziergang und das bewusste Durchhalten bis zum lokalen Abend helfen dem Rhythmus schneller auf die Sprünge als noch eine Tasse Kaffee.</w:t>
      </w:r>
    </w:p>
    <w:p w14:paraId="6E319692" w14:textId="77777777" w:rsidR="001F7233" w:rsidRDefault="00000000">
      <w:pPr>
        <w:spacing w:after="140"/>
      </w:pPr>
      <w:r>
        <w:t>Fahre in den ersten Tagen möglichst nicht selbst Auto, auch wenn schon ein Mietwagen bereitsteht. Linksverkehr und Jetlag sind eine Kombination, die sich nicht von selbst gut anfühlt, egal wie sicher du dich am Steuer wähnst. Führerschein, Linksverkehr und die Besonderheiten des australischen Straßenverkehrs behandelt ein eigenes Kapitel in diesem Teil ausführlich.</w:t>
      </w:r>
    </w:p>
    <w:p w14:paraId="7F6A5FB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Tax File Number: dein erster Behördengang</w:t>
      </w:r>
    </w:p>
    <w:p w14:paraId="2EE5DE7F" w14:textId="77777777" w:rsidR="001F7233" w:rsidRDefault="00000000">
      <w:pPr>
        <w:spacing w:after="140"/>
      </w:pPr>
      <w:r>
        <w:rPr>
          <w:i/>
          <w:iCs/>
        </w:rPr>
        <w:t>Eine der ersten Amtshandlungen nach der Ankunft sollte die Beantragung der TFN sein. Ohne sie behält dein Arbeitgeber pauschal 47 % deines Lohns ein. Diesen Betrag holst du dir später über die Steuererklärung zurück, aber in den ersten, ohnehin teuren Wochen fehlt er dir schlicht. Die Beantragung ist kostenlos und läuft über die Australian Taxation Office (ATO, die australische Finanzbehörde), entweder online mit ausreichend belastbarer digitaler Identität oder im persönlichen Interview bei einer teilnehmenden Filiale der Australia Post. Für frisch eingereiste Migranten ist ein australischer Wohnsitznachweis meist Voraussetzung. Deshalb lässt sich die Beantragung in der Praxis erst nach den ersten Tagen vor Ort erledigen, nicht schon vom Hotelzimmer aus am Ankunftstag.</w:t>
      </w:r>
    </w:p>
    <w:p w14:paraId="439575D8" w14:textId="77777777" w:rsidR="001F7233" w:rsidRDefault="00000000">
      <w:pPr>
        <w:spacing w:after="140"/>
      </w:pPr>
      <w:r>
        <w:t xml:space="preserve">Trage dir die 28-Tage-Frist ab Arbeitsbeginn fest ein. Erst danach greift ohne vorgelegte TFN der volle Höchstsatz. Den kompletten Ablauf, das Steuersystem und was danach mit Medicare Levy und Superannuation passiert, erklärt das </w:t>
      </w:r>
      <w:hyperlink w:anchor="tau07">
        <w:r w:rsidR="001F7233">
          <w:rPr>
            <w:color w:val="0563C1"/>
            <w:u w:val="single"/>
          </w:rPr>
          <w:t>Kapitel zu Steuer-ID, Bank und Kredit in diesem Teil</w:t>
        </w:r>
      </w:hyperlink>
      <w:r>
        <w:t xml:space="preserve"> im Detail. Hier zählt vor allem: früh anmelden, nicht aufschieben.</w:t>
      </w:r>
    </w:p>
    <w:p w14:paraId="57D6B2CA" w14:textId="77777777" w:rsidR="001F7233" w:rsidRDefault="00000000">
      <w:r>
        <w:rPr>
          <w:b/>
        </w:rPr>
        <w:t xml:space="preserve">MERKE: </w:t>
      </w:r>
    </w:p>
    <w:p w14:paraId="6295C89F" w14:textId="77777777" w:rsidR="001F7233" w:rsidRDefault="00000000">
      <w:r>
        <w:t>• Die TFN ist reine Steuer- und Superannuation-Nummer. Für das Gesundheitssystem und für Sozialleistungen meldest du dich separat bei Services Australia (der Behörde für Sozial- und Gesundheitsleistungen) an – dazu gleich mehr.</w:t>
      </w:r>
    </w:p>
    <w:p w14:paraId="273E626A" w14:textId="77777777" w:rsidR="001F7233" w:rsidRDefault="001F7233">
      <w:pPr>
        <w:spacing w:line="220" w:lineRule="exact"/>
      </w:pPr>
    </w:p>
    <w:p w14:paraId="1F5250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w14:paraId="33E73018" w14:textId="77777777" w:rsidR="001F7233" w:rsidRDefault="00000000">
      <w:pPr>
        <w:spacing w:after="140"/>
      </w:pPr>
      <w:r>
        <w:t>Equifax und Experian übernehmen keine deutsche Kredithistorie.</w:t>
      </w:r>
    </w:p>
    <w:p w14:paraId="472CCA48" w14:textId="77777777" w:rsidR="001F7233" w:rsidRDefault="00000000">
      <w:pPr>
        <w:spacing w:after="140"/>
      </w:pPr>
      <w:r>
        <w:rPr>
          <w:b/>
        </w:rPr>
        <w:t>Fremde Kartenbuchung: Bank sofort informieren</w:t>
      </w:r>
    </w:p>
    <w:p w14:paraId="1C590386" w14:textId="77777777" w:rsidR="001F7233" w:rsidRDefault="00000000">
      <w:pPr>
        <w:spacing w:after="140"/>
      </w:pPr>
      <w:r>
        <w:lastRenderedPageBreak/>
        <w:t>Bei einer unbekannten oder nicht autorisierten Transaktion kontaktiere die Bank sofort, bitte sie um Sperre weiterer Zahlungen und notiere die Referenznummer. Ob eine Zahlung rückholbar ist, hängt unter anderem davon ab, ob es sich um Kartenmissbrauch oder eine von dir autorisierte Überweisung handelt. Melde den Fall schnell und bewahre Nachrichten, Belege und Bankantworten auf. Quelle: moneysmart.gov.au/banking/bank-transaction-problems.</w:t>
      </w:r>
    </w:p>
    <w:p w14:paraId="1DE8FD94" w14:textId="77777777" w:rsidR="001F7233" w:rsidRDefault="00000000">
      <w:pPr>
        <w:spacing w:after="140"/>
      </w:pPr>
      <w:r>
        <w:rPr>
          <w:b/>
        </w:rPr>
        <w:t>PayID und BPAY in Australien</w:t>
      </w:r>
    </w:p>
    <w:p w14:paraId="0E54DEB3" w14:textId="77777777" w:rsidR="001F7233" w:rsidRDefault="00000000">
      <w:pPr>
        <w:spacing w:after="140"/>
      </w:pPr>
      <w:r>
        <w:t>PayID verknüpft eine Mobilnummer, E-Mail-Adresse oder einen anderen zugelassenen Identifikator mit einem Bankkonto für schnelle Zahlungen. Vor dem Absenden zeigt die Banking-App den registrierten Namen: prüfe ihn genau, denn eine selbst autorisierte Zahlung an einen Betrüger kann schwer rückholbar sein. BPAY ist ein verbreitetes Verfahren, um Rechnungen mit Biller-Code und Kundenreferenz direkt über die Bank zu bezahlen. Kontrolliere Code, Referenz und Fälligkeit und speichere die Bestätigung. PayID und BPAY sind australische Bankfunktionen, keine Kreditkarten und kein PayPal-Ersatz. Quellen: auspayplus.com.au/solutions/payid; bpay.com.au/bpay-for-you/.</w:t>
      </w:r>
    </w:p>
    <w:p w14:paraId="68F03AE3" w14:textId="77777777" w:rsidR="001F7233" w:rsidRDefault="00000000">
      <w:pPr>
        <w:spacing w:after="140"/>
      </w:pPr>
      <w:r>
        <w:rPr>
          <w:b/>
        </w:rPr>
        <w:t>Kreditkartenpunkte für Heimatreisen</w:t>
      </w:r>
    </w:p>
    <w:p w14:paraId="631009B4" w14:textId="77777777" w:rsidR="001F7233" w:rsidRDefault="00000000">
      <w:pPr>
        <w:spacing w:after="140"/>
      </w:pPr>
      <w:r>
        <w:t>Eine australische Rewards-Karte kann bei ohnehin anfallenden Ausgaben Punkte für Flüge oder Reiseguthaben bringen. Rechne Jahresgebühr, Fremdwährungsentgelt, Bonusbedingungen und Versicherungsumfang gegen den realistischen Einlösewert. Prüfe vor einer Übertragung in ein Vielfliegerprogramm die konkrete Prämienverfügbarkeit und alle Steuern und Zuschläge. Vermeide zusätzliche Ausgaben für einen Bonus und bezahle den Kartensaldo monatlich vollständig. Zinsen loeschen den Wert der Punkte schnell aus.</w:t>
      </w:r>
    </w:p>
    <w:p w14:paraId="7951262A" w14:textId="77777777" w:rsidR="001F7233" w:rsidRDefault="00000000">
      <w:pPr>
        <w:spacing w:after="140"/>
      </w:pPr>
      <w:r>
        <w:rPr>
          <w:b/>
        </w:rPr>
        <w:t>PayPal im australischen Onlinehandel</w:t>
      </w:r>
    </w:p>
    <w:p w14:paraId="3932090D" w14:textId="77777777" w:rsidR="001F7233" w:rsidRDefault="00000000">
      <w:pPr>
        <w:spacing w:after="140"/>
      </w:pPr>
      <w:r>
        <w:t xml:space="preserve">PayPal wird bei teilnehmenden Händlern als Online-Wallet akzeptiert. Das PayPal-Konto bleibt an sein Eröffnungsland </w:t>
      </w:r>
      <w:r>
        <w:lastRenderedPageBreak/>
        <w:t>gebunden. Bei dauerhaftem Umzug musst du nach PayPals Vorgabe das alte Konto schließen und im neuen Wohnsitzland ein neues eröffnen. Prüfe vorher Guthaben, offene Zahlungen, Abos und Rückerstattungen sowie den Wechselkurs und mögliche Gebühren.</w:t>
      </w:r>
    </w:p>
    <w:p w14:paraId="4F9211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oder private Versicherung: der erste Unterschied, der zählt</w:t>
      </w:r>
    </w:p>
    <w:p w14:paraId="31C41278" w14:textId="77777777" w:rsidR="001F7233" w:rsidRDefault="00000000">
      <w:pPr>
        <w:spacing w:after="140"/>
      </w:pPr>
      <w:r>
        <w:rPr>
          <w:i/>
          <w:iCs/>
        </w:rPr>
        <w:t>Noch bevor der erste Arztbesuch ansteht, lohnt sich Klarheit über einen Punkt, den viele Neuankömmlinge falsch einschätzen. Nicht jeder, der in Australien lebt, hat automatisch Zugang zu Medicare, dem staatlichen Krankenversicherungssystem. Wer mit einem Permanent-Resident-Visum (PR-Visum, einer unbefristeten Aufenthaltserlaubnis) ankommt. Etwa nach dem punktebasierten Weg wie Subclass 189 –, kann sich ab dem ersten Tag bei Services Australia anmelden: persönlich, mit Pass, Visumsnachweis und einem Adressnachweis. Wer dagegen mit einem befristeten Visum einreist. Working Holiday, Studium, die meisten Arbeitsvisa –, hat in aller Regel keinen Medicare-Zugang und ist auf eine private Versicherung angewiesen, solange das befristete Visum läuft.</w:t>
      </w:r>
    </w:p>
    <w:p w14:paraId="4A054E80" w14:textId="77777777" w:rsidR="001F7233" w:rsidRDefault="00000000">
      <w:pPr>
        <w:spacing w:after="140"/>
      </w:pPr>
      <w:r>
        <w:t xml:space="preserve">Für deutsche Staatsangehörige kommt erschwerend hinzu, was viele erst hier erfahren. Australien hat mit elf Ländern ein Gegenseitigkeitsabkommen zur medizinischen Grundversorgung geschlossen, darunter mit Belgien, den Niederlanden und Italien, </w:t>
      </w:r>
      <w:r>
        <w:rPr>
          <w:b/>
          <w:bCs/>
        </w:rPr>
        <w:t>aber nicht mit Deutschland</w:t>
      </w:r>
      <w:r>
        <w:t xml:space="preserve">. Warum ausgerechnet dieser Unterschied zwischen EU-Nachbarn eine ganze Kostenfrage entscheidet, erklärt das </w:t>
      </w:r>
      <w:hyperlink w:anchor="tau08">
        <w:r w:rsidR="001F7233">
          <w:rPr>
            <w:color w:val="0563C1"/>
            <w:u w:val="single"/>
          </w:rPr>
          <w:t>Kapitel zum Gesundheitssystem in diesem Teil</w:t>
        </w:r>
      </w:hyperlink>
      <w:r>
        <w:t xml:space="preserve"> ausführlich. Für die ersten Wochen reicht die Kurzfassung: Ohne PR-Status brauchst du vom ersten Tag an eine private Auslands- oder Studierendenkrankenversicherung, nicht erst, wenn tatsächlich etwas passiert.</w:t>
      </w:r>
    </w:p>
    <w:p w14:paraId="48A15439" w14:textId="77777777" w:rsidR="001F7233" w:rsidRDefault="00000000">
      <w:r>
        <w:rPr>
          <w:b/>
        </w:rPr>
        <w:t xml:space="preserve">ACHTUNG: </w:t>
      </w:r>
    </w:p>
    <w:p w14:paraId="7028F2BC" w14:textId="77777777" w:rsidR="001F7233" w:rsidRDefault="00000000">
      <w:r>
        <w:lastRenderedPageBreak/>
        <w:t>• Verwechsle Australien nicht mit den europäischen Ländern, die ein solches Abkommen haben. Wer aus Gewohnheit annimmt, als EU-Bürger schon irgendwie abgesichert zu sein, steht im Ernstfall ohne Deckung da und private Behandlung in Australien ist kein Posten, den du nebenbei aus der Reisekasse bezahlst.</w:t>
      </w:r>
    </w:p>
    <w:p w14:paraId="6DF502F1" w14:textId="77777777" w:rsidR="001F7233" w:rsidRDefault="001F7233">
      <w:pPr>
        <w:spacing w:line="220" w:lineRule="exact"/>
      </w:pPr>
    </w:p>
    <w:p w14:paraId="6B7EC013" w14:textId="77777777" w:rsidR="001F7233" w:rsidRDefault="001F7233">
      <w:pPr>
        <w:spacing w:line="220" w:lineRule="exact"/>
      </w:pPr>
    </w:p>
    <w:p w14:paraId="789B81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00CC9AE9" w14:textId="77777777" w:rsidR="001F7233" w:rsidRDefault="00000000">
      <w:pPr>
        <w:spacing w:after="140"/>
      </w:pPr>
      <w:r>
        <w:t>Deutsche Mobilfunktarife haben in Australien kein EU-Roaming und wer das erst am Flughafen merkt, zahlt bei internationalen Gebühren schnell drauf. Praktischer ist eine eSIM (digitale SIM-Karte) mit Australien-Datenpaket, die du schon vor dem Abflug einrichtest oder eine physische Prepaid-SIM direkt nach der Landung, an Kiosken im Ankunftsbereich, in jedem Supermarkt oder online bei den drei großen Netzbetreibern Telstra, Optus und Vodafone. Telstra gilt als das Netz mit der größten Flächendeckung, auch abseits der Großstädte. Optus und Vodafone punkten meist beim Preis. Ein Laufzeitvertrag verlangt oft eine Kreditkarte oder Bonitätsprüfung, Prepaid kommt ohne beides aus, für den Anfang die unkompliziertere Wahl. Behalte deine deutsche Nummer als Zweit-SIM, solange dort noch SMS-Codes von Bank oder Behörden eintreffen.</w:t>
      </w:r>
    </w:p>
    <w:p w14:paraId="445F84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 Steckdosen und erste Einkäufe</w:t>
      </w:r>
    </w:p>
    <w:p w14:paraId="1F5CDBA1" w14:textId="77777777" w:rsidR="001F7233" w:rsidRDefault="00000000">
      <w:pPr>
        <w:spacing w:after="140"/>
      </w:pPr>
      <w:r>
        <w:t xml:space="preserve">Eine gute Nachricht vorweg: Anders als in den USA oder Kanada läuft das Stromnetz in Australien mit 230–240 Volt, genau wie in Deutschland. Mitgebrachte Elektrogeräte funktionieren also technisch weiter. Nur der Stecker ist anders. Australische Steckdosen folgen dem Typ I mit schräg stehenden Flachkontakten, ein Reiseadapter reicht für die meisten deutschen Geräte. Was in den Koffer gehört und was nicht in den Container, steht im Kapitel </w:t>
      </w:r>
      <w:hyperlink w:anchor="t0003">
        <w:r w:rsidR="001F7233">
          <w:rPr>
            <w:color w:val="0563C1"/>
            <w:u w:val="single"/>
          </w:rPr>
          <w:t>Deutschland vor dem Abflug</w:t>
        </w:r>
      </w:hyperlink>
      <w:r>
        <w:t>. Den Container selbst prüft die Biosicherheit; das steht weiter unten in diesem Kapitel.</w:t>
      </w:r>
    </w:p>
    <w:p w14:paraId="4862752C" w14:textId="77777777" w:rsidR="001F7233" w:rsidRDefault="00000000">
      <w:pPr>
        <w:spacing w:after="140"/>
      </w:pPr>
      <w:r>
        <w:rPr>
          <w:i/>
          <w:iCs/>
        </w:rPr>
        <w:t>Für die ersten Tage reicht ein kurzer Einkauf im Supermarkt: Wasser, Frühstück, ein paar Snacks, Toilettenartikel. Die beiden großen Ketten Woolworths und Coles decken so gut wie jeden Ort ab. Preise an den Regalen zeigen bereits den Endpreis inklusive der Waren- und Dienstleistungssteuer (Goods and Services Tax, GST). Anders als du es aus den USA kennst, kommt an der Kasse in Australien also nichts mehr dazu.</w:t>
      </w:r>
    </w:p>
    <w:p w14:paraId="0435EF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Unterkunft: Übergang und Wohnungssuche</w:t>
      </w:r>
    </w:p>
    <w:p w14:paraId="24441F3E" w14:textId="77777777" w:rsidR="001F7233" w:rsidRDefault="00000000">
      <w:pPr>
        <w:spacing w:after="140"/>
      </w:pPr>
      <w:r>
        <w:t>Die erste Adresse in Australien ist selten die endgültige und so solltest du sie auch buchen: mit kostenloser Stornierung und ohne Langzeitvertrag. Ein möbliertes Apartment auf Zeit, ein Airbnb oder, gerade für Working-Holiday-Reisende, ein Hostel mit Wochenpreisen überbrücken die ersten Tage bis Wochen, in denen du ohnehin erst einmal ankommen, die Gegend kennenlernen und eine TFN vorweisen können solltest. Viele Vermieter verlangen sie als Teil der Bewerbungsunterlagen.</w:t>
      </w:r>
    </w:p>
    <w:p w14:paraId="646F43B2" w14:textId="77777777" w:rsidR="001F7233" w:rsidRDefault="00000000">
      <w:pPr>
        <w:spacing w:after="140"/>
      </w:pPr>
      <w:r>
        <w:t>Die eigentliche Wohnungssuche läuft in Australien überwiegend online über Immobilienportale, mit Massenbesichtigungen zu festen Zeitfenstern und einer Bewerbungsmappe pro Objekt: Gehaltsnachweis oder Jobangebot, Referenzen, oft auch der Ausweis mit Visumsnachweis. Bei begehrten Wohnungen in Melbourne oder Sydney bewerben sich zehn oder mehr Interessenten gleichzeitig. Wer zur Besichtigung ohne vollständige Unterlagen erscheint, ist faktisch schon aus dem Rennen. Rechne von Anfang an mit einer Kaution (</w:t>
      </w:r>
      <w:r>
        <w:rPr>
          <w:i/>
          <w:iCs/>
        </w:rPr>
        <w:t>Rental Bond</w:t>
      </w:r>
      <w:r>
        <w:t xml:space="preserve">), die bei Vertragsabschluss meist bei einer staatlichen Treuhandstelle hinterlegt wird, nicht direkt beim Vermieter. Das schützt beide Seiten, verlangt aber zusätzlich Bargeld auf der hohen Kante, bevor überhaupt die erste Monatsmiete fällig </w:t>
      </w:r>
      <w:r>
        <w:lastRenderedPageBreak/>
        <w:t xml:space="preserve">wird. Mietpreise, die genaue Kautionshöhe und die besten Stadtteile je nach Berufsfeld und Klima behandelt das </w:t>
      </w:r>
      <w:hyperlink w:anchor="tau09">
        <w:r w:rsidR="001F7233">
          <w:rPr>
            <w:color w:val="0563C1"/>
            <w:u w:val="single"/>
          </w:rPr>
          <w:t>Kapitel zum Wohnen in diesem Teil</w:t>
        </w:r>
      </w:hyperlink>
      <w:r>
        <w:t xml:space="preserve"> im Detail.</w:t>
      </w:r>
    </w:p>
    <w:p w14:paraId="1B84EA05" w14:textId="77777777" w:rsidR="001F7233" w:rsidRDefault="00000000">
      <w:r>
        <w:rPr>
          <w:b/>
        </w:rPr>
        <w:t xml:space="preserve">SPARTIPP: </w:t>
      </w:r>
    </w:p>
    <w:p w14:paraId="551279F0" w14:textId="77777777" w:rsidR="001F7233" w:rsidRDefault="00000000">
      <w:r>
        <w:t>• Nutze die ersten Tage in der Übergangsunterkunft aktiv für Besichtigungen, statt erst nach der eigenen Wohnung zu suchen, wenn das Hotelbudget schon spürbar schrumpft. Wer mit vollständigen Unterlagen und einer Terminliste anreist statt erst vor Ort zu improvisieren, gewinnt in diesem Bewerbungsrennen wertvolle Tage.</w:t>
      </w:r>
    </w:p>
    <w:p w14:paraId="40DCC7E6" w14:textId="77777777" w:rsidR="001F7233" w:rsidRDefault="001F7233">
      <w:pPr>
        <w:spacing w:line="220" w:lineRule="exact"/>
      </w:pPr>
    </w:p>
    <w:p w14:paraId="70EDA8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w14:paraId="68788AA2" w14:textId="77777777" w:rsidR="001F7233" w:rsidRDefault="00000000">
      <w:pPr>
        <w:spacing w:after="140"/>
      </w:pPr>
      <w:r>
        <w:t>Die folgende Übersicht ordnet die wichtigsten Schritte grob nach Zeitpunkt. Wie schnell es tatsächlich geht, hängt von Flug, Visumtyp und Wohnort ab.</w:t>
      </w:r>
    </w:p>
    <w:p w14:paraId="736B66F4" w14:textId="77777777" w:rsidR="001F7233" w:rsidRDefault="00000000">
      <w:r>
        <w:rPr>
          <w:b/>
        </w:rPr>
        <w:t>Tag 1–2</w:t>
      </w:r>
    </w:p>
    <w:p w14:paraId="7A599360" w14:textId="77777777" w:rsidR="001F7233" w:rsidRDefault="00000000">
      <w:r>
        <w:rPr>
          <w:b/>
        </w:rPr>
        <w:t xml:space="preserve">Aufgabe: </w:t>
      </w:r>
      <w:r>
        <w:t>Einreise, Übergangsunterkunft beziehen, SIM aktivieren, Familie und Arbeitgeber informieren</w:t>
      </w:r>
    </w:p>
    <w:p w14:paraId="5977CA13" w14:textId="77777777" w:rsidR="001F7233" w:rsidRDefault="00000000">
      <w:r>
        <w:rPr>
          <w:b/>
        </w:rPr>
        <w:t xml:space="preserve">Mehr dazu: </w:t>
      </w:r>
      <w:r>
        <w:t>–</w:t>
      </w:r>
    </w:p>
    <w:p w14:paraId="63903303" w14:textId="77777777" w:rsidR="001F7233" w:rsidRDefault="00000000">
      <w:r>
        <w:rPr>
          <w:b/>
        </w:rPr>
        <w:t>Tag 2–4</w:t>
      </w:r>
    </w:p>
    <w:p w14:paraId="2E01DA73" w14:textId="77777777" w:rsidR="001F7233" w:rsidRDefault="00000000">
      <w:r>
        <w:rPr>
          <w:b/>
        </w:rPr>
        <w:t xml:space="preserve">Aufgabe: </w:t>
      </w:r>
      <w:r>
        <w:t>TFN beantragen, sobald ein Wohnsitznachweis vorliegt; Bankkonto eröffnen oder vor Ort verifizieren</w:t>
      </w:r>
    </w:p>
    <w:p w14:paraId="182637E2" w14:textId="77777777" w:rsidR="001F7233" w:rsidRDefault="00000000">
      <w:r>
        <w:rPr>
          <w:b/>
        </w:rPr>
        <w:t xml:space="preserve">Mehr dazu: </w:t>
      </w:r>
      <w:r>
        <w:t>Steuer-ID/Bank</w:t>
      </w:r>
    </w:p>
    <w:p w14:paraId="0D3AA53B" w14:textId="77777777" w:rsidR="001F7233" w:rsidRDefault="00000000">
      <w:r>
        <w:rPr>
          <w:b/>
        </w:rPr>
        <w:t>Tag 3–7</w:t>
      </w:r>
    </w:p>
    <w:p w14:paraId="1DE190E4" w14:textId="77777777" w:rsidR="001F7233" w:rsidRDefault="00000000">
      <w:r>
        <w:rPr>
          <w:b/>
        </w:rPr>
        <w:t xml:space="preserve">Aufgabe: </w:t>
      </w:r>
      <w:r>
        <w:t>Bei PR-Status: Anmeldung beim Gesundheitssystem bei Services Australia; sonst private Versicherungspolice prüfen</w:t>
      </w:r>
    </w:p>
    <w:p w14:paraId="7180471A" w14:textId="77777777" w:rsidR="001F7233" w:rsidRDefault="00000000">
      <w:r>
        <w:rPr>
          <w:b/>
        </w:rPr>
        <w:t xml:space="preserve">Mehr dazu: </w:t>
      </w:r>
      <w:r>
        <w:t>Gesundheitssystem</w:t>
      </w:r>
    </w:p>
    <w:p w14:paraId="6134AD33" w14:textId="77777777" w:rsidR="001F7233" w:rsidRDefault="00000000">
      <w:r>
        <w:rPr>
          <w:b/>
        </w:rPr>
        <w:t>Woche 1–2</w:t>
      </w:r>
    </w:p>
    <w:p w14:paraId="3CE56800" w14:textId="77777777" w:rsidR="001F7233" w:rsidRDefault="00000000">
      <w:r>
        <w:rPr>
          <w:b/>
        </w:rPr>
        <w:t xml:space="preserve">Aufgabe: </w:t>
      </w:r>
      <w:r>
        <w:t>Wohnungssuche: Portale einrichten, Besichtigungstermine, Bewerbungsmappe vorbereiten</w:t>
      </w:r>
    </w:p>
    <w:p w14:paraId="47D3A61C" w14:textId="77777777" w:rsidR="001F7233" w:rsidRDefault="00000000">
      <w:r>
        <w:rPr>
          <w:b/>
        </w:rPr>
        <w:t xml:space="preserve">Mehr dazu: </w:t>
      </w:r>
      <w:r>
        <w:t>Wohnen</w:t>
      </w:r>
    </w:p>
    <w:p w14:paraId="1D985F68" w14:textId="77777777" w:rsidR="001F7233" w:rsidRDefault="00000000">
      <w:r>
        <w:rPr>
          <w:b/>
        </w:rPr>
        <w:t>Woche 2</w:t>
      </w:r>
    </w:p>
    <w:p w14:paraId="7990ED72" w14:textId="77777777" w:rsidR="001F7233" w:rsidRDefault="00000000">
      <w:r>
        <w:rPr>
          <w:b/>
        </w:rPr>
        <w:lastRenderedPageBreak/>
        <w:t xml:space="preserve">Aufgabe: </w:t>
      </w:r>
      <w:r>
        <w:t>Erste Fragen zu Steuerklasse und Superannuation-Fondswahl mit dem Arbeitgeber klären</w:t>
      </w:r>
    </w:p>
    <w:p w14:paraId="47F2385B" w14:textId="77777777" w:rsidR="001F7233" w:rsidRDefault="00000000">
      <w:r>
        <w:rPr>
          <w:b/>
        </w:rPr>
        <w:t xml:space="preserve">Mehr dazu: </w:t>
      </w:r>
      <w:r>
        <w:t>Steuer-ID/Bank</w:t>
      </w:r>
    </w:p>
    <w:p w14:paraId="3268E456" w14:textId="77777777" w:rsidR="001F7233" w:rsidRDefault="001F7233">
      <w:pPr>
        <w:spacing w:line="180" w:lineRule="exact"/>
      </w:pPr>
    </w:p>
    <w:p w14:paraId="7D0C7295" w14:textId="77777777" w:rsidR="001F7233" w:rsidRDefault="001F7233">
      <w:pPr>
        <w:spacing w:line="220" w:lineRule="exact"/>
      </w:pPr>
    </w:p>
    <w:p w14:paraId="6194B8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w14:paraId="21879DF0" w14:textId="77777777" w:rsidR="001F7233" w:rsidRDefault="00000000">
      <w:pPr>
        <w:spacing w:after="140"/>
      </w:pPr>
      <w:r>
        <w:t>Die Beagle am Gepäckband prüfen den Apfel im Rucksack. Dieselbe Behörde meint es mit dem Hund, der sechs Wochen später nachkommt, noch ernster und mit der Kiste, die per Schiff hinterherfährt. Beides musst du vor dem Abflug entschieden haben, nicht in der ersten Woche in Melbourne.</w:t>
      </w:r>
    </w:p>
    <w:p w14:paraId="6AC2D65A" w14:textId="77777777" w:rsidR="001F7233" w:rsidRDefault="00000000">
      <w:pPr>
        <w:spacing w:after="140"/>
      </w:pPr>
      <w:r>
        <w:t xml:space="preserve">Deutschland ist für Hunde und Katzen einnerhalb von der DAFF zugelassenes Herkunftsland der Gruppe 3: Tollwut kommt vor, gilt aber als gut kontrolliert. Die Behörde schreibt auf ihrer Schritt-für-Schritt-Seite selbst, dass du mindestens sechs Monate einplanen sollst. Sie empfiehlt außerdem einen erfahrenen Tiertransport, weil der Ablauf aus Genehmigung, Labor, Amtstierarzt und Quarantäneplatz besteht, nicht aus einer Impfung beim Haustierarzt um die Ecke. Aktuelle Gebühren für Genehmigung und Quarantäne stehen nur auf </w:t>
      </w:r>
      <w:hyperlink r:id="rId626">
        <w:r w:rsidR="001F7233">
          <w:rPr>
            <w:color w:val="0563C1"/>
            <w:u w:val="single"/>
          </w:rPr>
          <w:t>agriculture.gov.au/cats-dogs</w:t>
        </w:r>
      </w:hyperlink>
      <w:r>
        <w:t>. Sie ändern sich. Ein Buch, das einen Festbetrag nennt, ist schneller falsch als nützlich.</w:t>
      </w:r>
    </w:p>
    <w:p w14:paraId="4FA6368D" w14:textId="77777777" w:rsidR="001F7233" w:rsidRDefault="00000000">
      <w:pPr>
        <w:spacing w:after="140"/>
      </w:pPr>
      <w:r>
        <w:t>Der Ablauf in der Reihenfolge, die wirklich zählt:</w:t>
      </w:r>
    </w:p>
    <w:p w14:paraId="3687A2BA" w14:textId="77777777" w:rsidR="001F7233" w:rsidRDefault="00000000">
      <w:pPr>
        <w:pStyle w:val="ListParagraph"/>
        <w:numPr>
          <w:ilvl w:val="0"/>
          <w:numId w:val="37"/>
        </w:numPr>
        <w:spacing w:after="60"/>
      </w:pPr>
      <w:r>
        <w:t>Prüfe, ob dein Tier überhaupt einfuhrfähig ist. Seit dem 1. März 2026 dürfen Bengal-Katzen nicht mehr nach Australien. Andere Hybriden, bestimmte Hunderassen und Tiere, die nicht die ganze Vorlaufzeit in einem zugelassenen Land gelebt haben, scheitern an derselben Stelle. Kaninchen, Vögel und die meisten anderen Arten sind kein Privatweg nebenbei. Für sie gelten eigene, oft strengere Regeln.</w:t>
      </w:r>
    </w:p>
    <w:p w14:paraId="0C7A9BCE" w14:textId="77777777" w:rsidR="001F7233" w:rsidRDefault="00000000">
      <w:pPr>
        <w:pStyle w:val="ListParagraph"/>
        <w:numPr>
          <w:ilvl w:val="0"/>
          <w:numId w:val="2"/>
        </w:numPr>
        <w:spacing w:after="60"/>
      </w:pPr>
      <w:r>
        <w:t xml:space="preserve">Das Tier muss vor der Ausfuhr mindestens 180 Tage am Stück in einem zugelassenen Land gelebt haben. Das ist keine Quarantäne. Hund oder Katze wohnen in dieser Zeit bei dir. Der </w:t>
      </w:r>
      <w:r>
        <w:lastRenderedPageBreak/>
        <w:t>genaue Start dieser Frist hängt am Tollwut-Bluttest und steht im aktuellen Leitfaden. Rechne ihn dort nach, nicht in einer Facebook-Gruppe.</w:t>
      </w:r>
    </w:p>
    <w:p w14:paraId="56B7E655" w14:textId="77777777" w:rsidR="001F7233" w:rsidRDefault="00000000">
      <w:pPr>
        <w:pStyle w:val="ListParagraph"/>
        <w:numPr>
          <w:ilvl w:val="0"/>
          <w:numId w:val="2"/>
        </w:numPr>
        <w:spacing w:after="60"/>
      </w:pPr>
      <w:r>
        <w:t xml:space="preserve">Tollwutimpfung und danach ein </w:t>
      </w:r>
      <w:r>
        <w:rPr>
          <w:i/>
          <w:iCs/>
        </w:rPr>
        <w:t>Rabies Neutralising Antibody Titre Test</w:t>
      </w:r>
      <w:r>
        <w:t xml:space="preserve"> (RNATT, ein Bluttest, der misst, ob die Impfung angeschlagen hat). Eine amtliche Tierärztin oder ein amtlicher Tierarzt sollte die Identität des Tieres prüfen, bevor das Blut abgenommen wird. Nur dann kann die spätere Quarantäne von mindestens 30 Tagen auf mindestens 10 Tage sinken. Wer den Test zuerst macht und die Identitätsprüfung nachreicht, hat die kurze Frist verschenkt.</w:t>
      </w:r>
    </w:p>
    <w:p w14:paraId="680C2311" w14:textId="77777777" w:rsidR="001F7233" w:rsidRDefault="00000000">
      <w:pPr>
        <w:pStyle w:val="ListParagraph"/>
        <w:numPr>
          <w:ilvl w:val="0"/>
          <w:numId w:val="2"/>
        </w:numPr>
        <w:spacing w:after="60"/>
      </w:pPr>
      <w:r>
        <w:t>Importgenehmigung der DAFF, bevor das Tier reist. Ohne Genehmigung wird es nicht „erst mal durchgewunken“.</w:t>
      </w:r>
    </w:p>
    <w:p w14:paraId="34AA3B5D" w14:textId="77777777" w:rsidR="001F7233" w:rsidRDefault="00000000">
      <w:pPr>
        <w:pStyle w:val="ListParagraph"/>
        <w:numPr>
          <w:ilvl w:val="0"/>
          <w:numId w:val="2"/>
        </w:numPr>
        <w:spacing w:after="60"/>
      </w:pPr>
      <w:r>
        <w:t>Ankunft meist so, dass das Tier direkt in die staatliche Quarantänestation Mickleham bei Melbourne kommt. Die Aufenthaltsdauer legt die DAFF fest: mindestens 30 Tage aus einem Gruppe-3-Land, mindestens 10 Tage nur mit der rechtzeitigen Identitätsprüfung. Probleme bei den Papieren verlängern den Aufenthalt. Besuche, Futter und was du mitgeben darfst, stehen in den Stationsregeln, nicht im Reiseblog.</w:t>
      </w:r>
    </w:p>
    <w:p w14:paraId="01B41FC1" w14:textId="77777777" w:rsidR="001F7233" w:rsidRDefault="001F7233">
      <w:pPr>
        <w:spacing w:line="120" w:lineRule="exact"/>
      </w:pPr>
    </w:p>
    <w:p w14:paraId="7632CEBB" w14:textId="77777777" w:rsidR="001F7233" w:rsidRDefault="00000000">
      <w:r>
        <w:rPr>
          <w:b/>
        </w:rPr>
        <w:t xml:space="preserve">ACHTUNG: </w:t>
      </w:r>
    </w:p>
    <w:p w14:paraId="1631CECE" w14:textId="77777777" w:rsidR="001F7233" w:rsidRDefault="00000000">
      <w:r>
        <w:t>• Die 180 Tage vor der Ausfuhr und die Tage in Mickleham sind zwei verschiedene Fristen. Wer nur die Quarantäne einplant und den halbjährigen Vorlauf vergisst, bucht den Familienflug ein halbes Jahr zu früh.</w:t>
      </w:r>
    </w:p>
    <w:p w14:paraId="0FD76A6A" w14:textId="77777777" w:rsidR="001F7233" w:rsidRDefault="001F7233">
      <w:pPr>
        <w:spacing w:line="220" w:lineRule="exact"/>
      </w:pPr>
    </w:p>
    <w:p w14:paraId="561A131D" w14:textId="77777777" w:rsidR="001F7233" w:rsidRDefault="001F7233">
      <w:pPr>
        <w:spacing w:line="220" w:lineRule="exact"/>
      </w:pPr>
    </w:p>
    <w:p w14:paraId="415C18A0" w14:textId="77777777" w:rsidR="001F7233" w:rsidRDefault="00000000">
      <w:pPr>
        <w:spacing w:after="140"/>
      </w:pPr>
      <w:r>
        <w:t xml:space="preserve">Der Container ist das zweite Thema, das Leute mit dem Koffer verwechseln. Unbegleitetes Umzugsgut wird von der Australian Border Force und der Biosicherheitskontrolle geprüft, nicht nur stichprobenartig am Flughafen. Was in der Kiste nichts zu suchen hat: Lebensmittel, auch vakuumiert und „doch nur für die erste Woche“, Samen, Honig, Erde an Wanderschuhen und Zelten, </w:t>
      </w:r>
      <w:r>
        <w:lastRenderedPageBreak/>
        <w:t>unbehandeltes Holz, auch als Brettspiel oder Bilderrahmen, wenn die Behörde es so einstuft. Eine Beanstandung kann Reinigung oder Behandlung bedeuten, und die zahlst du, während der Container liegt. Ob gebrauchte Möbel und Hausrat zollfrei hereinkommen, entscheidet die Border Force nach den aktuellen Regeln für unbegleitetes persönliches Umzugsgut. Nenne deinem Spediteur ehrlich, was in den Kisten ist: Eine Liste, die „Haushaltsgegenstände“ sagt und die Wanderschuhe verschweigt, ist die teure Variante.</w:t>
      </w:r>
    </w:p>
    <w:p w14:paraId="05298AD8" w14:textId="77777777" w:rsidR="001F7233" w:rsidRDefault="00000000">
      <w:r>
        <w:rPr>
          <w:b/>
        </w:rPr>
        <w:t xml:space="preserve">SPARTIPP: </w:t>
      </w:r>
    </w:p>
    <w:p w14:paraId="25C03658" w14:textId="77777777" w:rsidR="001F7233" w:rsidRDefault="00000000">
      <w:r>
        <w:t>• Für die ersten zwei Monate reicht oft Luftfracht mit Kleidung, Unterlagen und dem, was die Kinder wirklich vermissen. Den Rest kaufst du vor Ort oder lässt ihn erst schicken, wenn die Wohnung feststeht. Ein Container, der drei Wochen auf eine Adresse wartet, die du noch nicht hast, spart kein Geld.</w:t>
      </w:r>
    </w:p>
    <w:p w14:paraId="59F19872" w14:textId="77777777" w:rsidR="001F7233" w:rsidRDefault="001F7233">
      <w:pPr>
        <w:spacing w:line="220" w:lineRule="exact"/>
      </w:pPr>
    </w:p>
    <w:p w14:paraId="24723C63" w14:textId="77777777" w:rsidR="001F7233" w:rsidRDefault="00000000">
      <w:r>
        <w:rPr>
          <w:b/>
        </w:rPr>
        <w:t xml:space="preserve">MERKE: </w:t>
      </w:r>
    </w:p>
    <w:p w14:paraId="4D8355D1" w14:textId="77777777" w:rsidR="001F7233" w:rsidRDefault="00000000">
      <w:r>
        <w:t>• Apfel im Rucksack ist ein Gespräch an der Kontrolle. Hund ohne Genehmigung und Container mit Gartenerde sind ein anderes Verfahren, und beide beginnen in Deutschland.</w:t>
      </w:r>
    </w:p>
    <w:p w14:paraId="42800113" w14:textId="77777777" w:rsidR="001F7233" w:rsidRDefault="001F7233">
      <w:pPr>
        <w:spacing w:line="220" w:lineRule="exact"/>
      </w:pPr>
    </w:p>
    <w:p w14:paraId="43B621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Ankunft, erste Tage und Wochen</w:t>
      </w:r>
    </w:p>
    <w:p w14:paraId="3D1EBFD2" w14:textId="77777777" w:rsidR="001F7233" w:rsidRDefault="00000000">
      <w:r>
        <w:rPr>
          <w:b/>
        </w:rPr>
        <w:t>Plus: Bankkonto oft schon vor Abflug online vorbereitbar</w:t>
      </w:r>
    </w:p>
    <w:p w14:paraId="5FB1BBCC" w14:textId="77777777" w:rsidR="001F7233" w:rsidRDefault="00000000">
      <w:r>
        <w:rPr>
          <w:b/>
        </w:rPr>
        <w:t xml:space="preserve">Minus: </w:t>
      </w:r>
      <w:r>
        <w:t>TFN erst nach Ankunft mit Adressnachweis beantragbar</w:t>
      </w:r>
    </w:p>
    <w:p w14:paraId="407E5927" w14:textId="77777777" w:rsidR="001F7233" w:rsidRDefault="00000000">
      <w:r>
        <w:rPr>
          <w:b/>
        </w:rPr>
        <w:t>Plus: SIM-Karten und Prepaid-Tarife unkompliziert und ohne Bonitätsprüfung</w:t>
      </w:r>
    </w:p>
    <w:p w14:paraId="4A2EF10D" w14:textId="77777777" w:rsidR="001F7233" w:rsidRDefault="00000000">
      <w:r>
        <w:rPr>
          <w:b/>
        </w:rPr>
        <w:t xml:space="preserve">Minus: </w:t>
      </w:r>
      <w:r>
        <w:t>Wohnungsmarkt in Melbourne und Sydney sehr kompetitiv</w:t>
      </w:r>
    </w:p>
    <w:p w14:paraId="05E26F4B" w14:textId="77777777" w:rsidR="001F7233" w:rsidRDefault="00000000">
      <w:r>
        <w:rPr>
          <w:b/>
        </w:rPr>
        <w:t>Plus: Permanent Residents haben ab Tag eins vollen Zugang zum Gesundheitssystem</w:t>
      </w:r>
    </w:p>
    <w:p w14:paraId="5AD4557B" w14:textId="77777777" w:rsidR="001F7233" w:rsidRDefault="00000000">
      <w:r>
        <w:rPr>
          <w:b/>
        </w:rPr>
        <w:t xml:space="preserve">Minus: </w:t>
      </w:r>
      <w:r>
        <w:t>Befristete Visa-Inhaber brauchen von Anfang an private Versicherung</w:t>
      </w:r>
    </w:p>
    <w:p w14:paraId="1EE0233B" w14:textId="77777777" w:rsidR="001F7233" w:rsidRDefault="00000000">
      <w:r>
        <w:rPr>
          <w:b/>
        </w:rPr>
        <w:lastRenderedPageBreak/>
        <w:t>Plus: Biosecurity-Kontrolle gründlich, aber meist schnell erledigt</w:t>
      </w:r>
    </w:p>
    <w:p w14:paraId="17B45638" w14:textId="77777777" w:rsidR="001F7233" w:rsidRDefault="00000000">
      <w:r>
        <w:rPr>
          <w:b/>
        </w:rPr>
        <w:t xml:space="preserve">Minus: </w:t>
      </w:r>
      <w:r>
        <w:t>Strenge Deklarationspflicht bei Lebensmitteln und Naturprodukten</w:t>
      </w:r>
    </w:p>
    <w:p w14:paraId="7C5C5644" w14:textId="77777777" w:rsidR="001F7233" w:rsidRDefault="00000000">
      <w:r>
        <w:rPr>
          <w:b/>
        </w:rPr>
        <w:t>Plus: Hund und Katze aus Deutschland sind grundsätzlich einfuhrfähig</w:t>
      </w:r>
    </w:p>
    <w:p w14:paraId="7D666A2E" w14:textId="77777777" w:rsidR="001F7233" w:rsidRDefault="00000000">
      <w:r>
        <w:rPr>
          <w:b/>
        </w:rPr>
        <w:t xml:space="preserve">Minus: </w:t>
      </w:r>
      <w:r>
        <w:t>Mindestens sechs Monate Vorlauf plus Quarantäne in Mickleham</w:t>
      </w:r>
    </w:p>
    <w:p w14:paraId="5D047419" w14:textId="77777777" w:rsidR="001F7233" w:rsidRDefault="001F7233">
      <w:pPr>
        <w:spacing w:line="180" w:lineRule="exact"/>
      </w:pPr>
    </w:p>
    <w:p w14:paraId="0EE6D9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945C93A" w14:textId="77777777" w:rsidR="001F7233" w:rsidRDefault="00000000">
      <w:pPr>
        <w:spacing w:after="140"/>
      </w:pPr>
      <w:r>
        <w:t>Kläre vor dem Abflug, welche Bank eine Online-Voreröffnung anbietet, richte die eSIM ein und buche eine flexible Übergangsunterkunft. Nach der Landung hat die TFN-Beantragung Priorität, sobald ein Wohnsitznachweis vorliegt, gefolgt von der Anmeldung beim Gesundheitssystem bei PR-Status oder der Bestätigung deiner privaten Versicherung bei befristetem Visum. Starte parallel mit der Wohnungssuche, statt sie auf später zu verschieben.</w:t>
      </w:r>
    </w:p>
    <w:p w14:paraId="15459BC0" w14:textId="77777777" w:rsidR="001F7233" w:rsidRDefault="00000000">
      <w:r>
        <w:t>• Bank-Voreröffnung vor Abflug geprüft, sonst Filialtermin für die erste Woche eingeplant</w:t>
      </w:r>
    </w:p>
    <w:p w14:paraId="2A74DAE2" w14:textId="77777777" w:rsidR="001F7233" w:rsidRDefault="00000000">
      <w:r>
        <w:t>• eSIM oder Prepaid-SIM organisiert, deutsche Nummer als Zweit-SIM behalten</w:t>
      </w:r>
    </w:p>
    <w:p w14:paraId="5FFDEA8A" w14:textId="77777777" w:rsidR="001F7233" w:rsidRDefault="00000000">
      <w:r>
        <w:t>• Übergangsunterkunft mit Stornierungsoption für mindestens ein bis zwei Wochen gebucht</w:t>
      </w:r>
    </w:p>
    <w:p w14:paraId="2B1B9331" w14:textId="77777777" w:rsidR="001F7233" w:rsidRDefault="00000000">
      <w:r>
        <w:t>• Visumsbestätigung und wichtige Dokumente ausgedruckt im Handgepäck</w:t>
      </w:r>
    </w:p>
    <w:p w14:paraId="5BEA7738" w14:textId="77777777" w:rsidR="001F7233" w:rsidRDefault="00000000">
      <w:r>
        <w:t>• TFN-Antrag vorbereitet, sobald ein Wohnsitznachweis vorliegt</w:t>
      </w:r>
    </w:p>
    <w:p w14:paraId="4CEC96EE" w14:textId="77777777" w:rsidR="001F7233" w:rsidRDefault="00000000">
      <w:r>
        <w:t>• Bei PR-Status: Termin für die Anmeldung beim Gesundheitssystem bei Services Australia geplant</w:t>
      </w:r>
    </w:p>
    <w:p w14:paraId="2B66FE68" w14:textId="77777777" w:rsidR="001F7233" w:rsidRDefault="00000000">
      <w:r>
        <w:t>• Bei befristetem Visum: private Versicherungspolice ab Ankunftstag aktiv</w:t>
      </w:r>
    </w:p>
    <w:p w14:paraId="293A9C5F" w14:textId="77777777" w:rsidR="001F7233" w:rsidRDefault="00000000">
      <w:r>
        <w:lastRenderedPageBreak/>
        <w:t>• Bewerbungsmappe für die Wohnungssuche zusammengestellt (Gehaltsnachweis, Referenzen, Ausweis)</w:t>
      </w:r>
    </w:p>
    <w:p w14:paraId="488DB204" w14:textId="77777777" w:rsidR="001F7233" w:rsidRDefault="00000000">
      <w:r>
        <w:t>• Biosecurity-Regeln vor dem Kofferpacken geprüft, nichts Undeklariertes im Gepäck</w:t>
      </w:r>
    </w:p>
    <w:p w14:paraId="7EF3248F" w14:textId="77777777" w:rsidR="001F7233" w:rsidRDefault="00000000">
      <w:r>
        <w:t>• Bei Hund oder Katze: Gruppe-3-Ablauf der DAFF begonnen, Identitätsprüfung vor dem RNATT, Importgenehmigung und Mickleham-Platz gebucht</w:t>
      </w:r>
    </w:p>
    <w:p w14:paraId="50CE6B5F" w14:textId="77777777" w:rsidR="001F7233" w:rsidRDefault="00000000">
      <w:r>
        <w:t>• Containerliste ohne Lebensmittel, Samen, Erde und unbehandeltes Holz. Zollregeln für Umzugsgut auf der Seite der Border Force geprüft.</w:t>
      </w:r>
    </w:p>
    <w:p w14:paraId="19FA0B3C" w14:textId="77777777" w:rsidR="001F7233" w:rsidRDefault="001F7233">
      <w:pPr>
        <w:spacing w:line="220" w:lineRule="exact"/>
      </w:pPr>
    </w:p>
    <w:p w14:paraId="288DA9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DB06A9C" w14:textId="77777777" w:rsidR="001F7233" w:rsidRDefault="00000000">
      <w:pPr>
        <w:pStyle w:val="ListParagraph"/>
        <w:numPr>
          <w:ilvl w:val="0"/>
          <w:numId w:val="1"/>
        </w:numPr>
        <w:spacing w:after="60"/>
      </w:pPr>
      <w:r>
        <w:t xml:space="preserve">Department of Home Affairs — Einreise, ImmiAccount: </w:t>
      </w:r>
      <w:hyperlink r:id="rId627">
        <w:r w:rsidR="001F7233">
          <w:rPr>
            <w:color w:val="0563C1"/>
            <w:u w:val="single"/>
          </w:rPr>
          <w:t>immi.homeaffairs.gov.au</w:t>
        </w:r>
      </w:hyperlink>
    </w:p>
    <w:p w14:paraId="53F6D191" w14:textId="77777777" w:rsidR="001F7233" w:rsidRDefault="00000000">
      <w:pPr>
        <w:pStyle w:val="ListParagraph"/>
        <w:numPr>
          <w:ilvl w:val="0"/>
          <w:numId w:val="1"/>
        </w:numPr>
        <w:spacing w:after="60"/>
      </w:pPr>
      <w:r>
        <w:t xml:space="preserve">Australian Border Force — Biosecurity und Zoll bei der Einreise: </w:t>
      </w:r>
      <w:hyperlink r:id="rId628">
        <w:r w:rsidR="001F7233">
          <w:rPr>
            <w:color w:val="0563C1"/>
            <w:u w:val="single"/>
          </w:rPr>
          <w:t>abf.gov.au</w:t>
        </w:r>
      </w:hyperlink>
    </w:p>
    <w:p w14:paraId="3ED27AEC" w14:textId="77777777" w:rsidR="001F7233" w:rsidRDefault="00000000">
      <w:pPr>
        <w:pStyle w:val="ListParagraph"/>
        <w:numPr>
          <w:ilvl w:val="0"/>
          <w:numId w:val="1"/>
        </w:numPr>
        <w:spacing w:after="60"/>
      </w:pPr>
      <w:r>
        <w:t xml:space="preserve">Department of Agriculture, Fisheries and Forestry — Hunde und Katzen, Gruppe 3, Mickleham: </w:t>
      </w:r>
      <w:hyperlink r:id="rId629">
        <w:r w:rsidR="001F7233">
          <w:rPr>
            <w:color w:val="0563C1"/>
            <w:u w:val="single"/>
          </w:rPr>
          <w:t>agriculture.gov.au/cats-dogs</w:t>
        </w:r>
      </w:hyperlink>
    </w:p>
    <w:p w14:paraId="2BC28202" w14:textId="77777777" w:rsidR="001F7233" w:rsidRDefault="00000000">
      <w:pPr>
        <w:pStyle w:val="ListParagraph"/>
        <w:numPr>
          <w:ilvl w:val="0"/>
          <w:numId w:val="1"/>
        </w:numPr>
        <w:spacing w:after="60"/>
      </w:pPr>
      <w:r>
        <w:t xml:space="preserve">Australian Taxation Office — Tax File Number: </w:t>
      </w:r>
      <w:hyperlink r:id="rId630">
        <w:r w:rsidR="001F7233">
          <w:rPr>
            <w:color w:val="0563C1"/>
            <w:u w:val="single"/>
          </w:rPr>
          <w:t>ato.gov.au</w:t>
        </w:r>
      </w:hyperlink>
    </w:p>
    <w:p w14:paraId="60024B22" w14:textId="77777777" w:rsidR="001F7233" w:rsidRDefault="00000000">
      <w:pPr>
        <w:pStyle w:val="ListParagraph"/>
        <w:numPr>
          <w:ilvl w:val="0"/>
          <w:numId w:val="1"/>
        </w:numPr>
        <w:spacing w:after="60"/>
      </w:pPr>
      <w:r>
        <w:t xml:space="preserve">Services Australia — Anmeldung beim Gesundheitssystem: </w:t>
      </w:r>
      <w:hyperlink r:id="rId631">
        <w:r w:rsidR="001F7233">
          <w:rPr>
            <w:color w:val="0563C1"/>
            <w:u w:val="single"/>
          </w:rPr>
          <w:t>servicesaustralia.gov.au</w:t>
        </w:r>
      </w:hyperlink>
    </w:p>
    <w:p w14:paraId="53095155" w14:textId="77777777" w:rsidR="001F7233" w:rsidRDefault="00000000">
      <w:pPr>
        <w:pStyle w:val="ListParagraph"/>
        <w:numPr>
          <w:ilvl w:val="0"/>
          <w:numId w:val="1"/>
        </w:numPr>
        <w:spacing w:after="60"/>
      </w:pPr>
      <w:r>
        <w:t xml:space="preserve">Deutsche Vertretungen in Australien: </w:t>
      </w:r>
      <w:hyperlink r:id="rId632">
        <w:r w:rsidR="001F7233">
          <w:rPr>
            <w:color w:val="0563C1"/>
            <w:u w:val="single"/>
          </w:rPr>
          <w:t>australien.diplo.de</w:t>
        </w:r>
      </w:hyperlink>
    </w:p>
    <w:p w14:paraId="27821EFE" w14:textId="77777777" w:rsidR="001F7233" w:rsidRDefault="001F7233">
      <w:pPr>
        <w:spacing w:line="120" w:lineRule="exact"/>
      </w:pPr>
    </w:p>
    <w:p w14:paraId="45EBCC71" w14:textId="77777777" w:rsidR="001F7233" w:rsidRDefault="00000000">
      <w:r>
        <w:t>• 23.09.2026. Diese Angaben ändern sich schnell: Biosecurity- und Zollregeln, die Quarantänedauer und die Länderliste für Hunde und Katzen, TFN-Verfahren, Bankkonditionen für Neuankömmlinge sowie die Anmeldung beim Gesundheitssystem. Prüfe vor der Einreise die aktuellen Seiten von Home Affairs, Australian Border Force, der DAFF und Services Australia.</w:t>
      </w:r>
    </w:p>
    <w:p w14:paraId="020EE08C" w14:textId="77777777" w:rsidR="001F7233" w:rsidRDefault="00000000">
      <w:pPr>
        <w:spacing w:line="220" w:lineRule="exact"/>
      </w:pPr>
      <w:r>
        <w:br w:type="page"/>
      </w:r>
    </w:p>
    <w:p w14:paraId="0FC91801" w14:textId="77777777" w:rsidR="001F7233" w:rsidRDefault="00000000">
      <w:pPr>
        <w:pStyle w:val="Heading2"/>
        <w:keepNext/>
        <w:spacing w:line="341" w:lineRule="auto"/>
        <w:jc w:val="center"/>
      </w:pPr>
      <w:bookmarkStart w:id="94" w:name="tau07"/>
      <w:r>
        <w:rPr>
          <w:rFonts w:ascii="Amazon Ember" w:eastAsia="Amazon Ember" w:hAnsi="Amazon Ember" w:cs="Amazon Ember"/>
          <w:color w:val="0000FF"/>
          <w:sz w:val="36"/>
          <w:szCs w:val="36"/>
        </w:rPr>
        <w:lastRenderedPageBreak/>
        <w:t>Australien: Steuer-ID, Bank, Kredit aufbauen</w:t>
      </w:r>
      <w:bookmarkEnd w:id="94"/>
    </w:p>
    <w:p w14:paraId="30AA9A3C" w14:textId="77777777" w:rsidR="001F7233" w:rsidRDefault="00000000">
      <w:pPr>
        <w:spacing w:after="140"/>
      </w:pPr>
      <w:r>
        <w:rPr>
          <w:i/>
          <w:iCs/>
        </w:rPr>
        <w:t>Deine erste Gehaltsabrechnung in Australien kommt, und fast die Hälfte fehlt. Das ist kein Rechenfehler der Personalabteilung, sondern die Quittung dafür, dass du ein einziges Formular noch nicht eingereicht hast: die Tax File Number (TFN, die australische Steuer-Identifikationsnummer). Ohne sie behält dein Arbeitgeber pauschal 47 % deines Lohns ein, bis du sie nachreichst. Es ist nicht gerade das Willkommensgeschenk, das man sich nach zwanzig Stunden Flug erhofft. Dieses Kapitel zeigt, wie du die TFN beantragst, was dich beim australischen Steuersystem, bei Medicare Levy und Superannuation erwartet, wie du ein Bankkonto eröffnest und wie du dir, ganz ohne mitgebrachte Schufa-Historie, eine australische Kreditwürdigkeit aufbaust.</w:t>
      </w:r>
    </w:p>
    <w:p w14:paraId="1BEBBF4C" w14:textId="77777777" w:rsidR="001F7233" w:rsidRDefault="00000000">
      <w:r>
        <w:rPr>
          <w:b/>
        </w:rPr>
        <w:t xml:space="preserve">KURZ GESAGT: </w:t>
      </w:r>
    </w:p>
    <w:p w14:paraId="3E1695BC" w14:textId="77777777" w:rsidR="001F7233" w:rsidRDefault="00000000">
      <w:r>
        <w:t>• Beantrage die Tax File Number (TFN) so früh wie möglich: kostenlos, aber ohne sie behält dein Arbeitgeber 47 % deines Lohns ein.</w:t>
      </w:r>
    </w:p>
    <w:p w14:paraId="037B1FF2" w14:textId="77777777" w:rsidR="001F7233" w:rsidRDefault="00000000">
      <w:r>
        <w:t>• Das Finanzjahr läuft vom 1. Juli bis 30. Juni. Steuersätze 2026–27 für Ansässige: 0 % bis 18.200 AUD, dann steigend bis 45 % über 190.000 AUD. Working-Holiday-Reisende zahlen ab dem ersten verdienten Dollar 15 %.</w:t>
      </w:r>
    </w:p>
    <w:p w14:paraId="258547CE" w14:textId="77777777" w:rsidR="001F7233" w:rsidRDefault="00000000">
      <w:r>
        <w:t>• Die Medicare Levy kostet Ansässige pauschal 2,0 % des zu versteuernden Einkommens. Besserverdiener ohne private Krankenhausversicherung zahlen auch die Medicare Levy Surcharge von 1,0 bis 1,5 %.</w:t>
      </w:r>
    </w:p>
    <w:p w14:paraId="052068DB" w14:textId="77777777" w:rsidR="001F7233" w:rsidRDefault="00000000">
      <w:r>
        <w:t>• Dein Arbeitgeber zahlt verpflichtend 12,0 % deines Lohns in deine Superannuation (kapitalgedeckte Altersvorsorge) ein – dein Geld, nicht seines.</w:t>
      </w:r>
    </w:p>
    <w:p w14:paraId="476343D1" w14:textId="77777777" w:rsidR="001F7233" w:rsidRDefault="00000000">
      <w:r>
        <w:t>• DASP (Departing Australia Superannuation Payment): Du kannst die Auszahlung in der Regel beantragen, wenn du Australien verlassen hast, dein befristetes Visum abgelaufen oder aufgehoben ist und du kein anderes aktives australisches Visum hältst. Auf den steuerfreien Anteil entfallen 0 %, auf den im Fonds versteuerten steuerpflichtigen Anteil 35 % und auf den unversteuerten Anteil 45 %. Für Working-Holiday-Maker gilt auf den steuerpflichtigen Anteil ein Satz von 65 %. Prüfe die Anspruchsvoraussetzungen und aktuellen Angaben vor dem Antrag bei der ATO.</w:t>
      </w:r>
    </w:p>
    <w:p w14:paraId="462D93D9" w14:textId="77777777" w:rsidR="001F7233" w:rsidRDefault="00000000">
      <w:r>
        <w:t>• Ein Bankkonto lässt sich bei manchen Banken schon vor der Einreise online eröffnen. Deine deutsche Bonität zählt dabei nichts, Kreditwürdigkeit baust du in Australien neu auf.</w:t>
      </w:r>
    </w:p>
    <w:p w14:paraId="5D8DCD63" w14:textId="77777777" w:rsidR="001F7233" w:rsidRDefault="001F7233">
      <w:pPr>
        <w:spacing w:line="220" w:lineRule="exact"/>
      </w:pPr>
    </w:p>
    <w:p w14:paraId="240D3B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Tax File Number: deine Basis im System</w:t>
      </w:r>
    </w:p>
    <w:p w14:paraId="2ABD57A9" w14:textId="77777777" w:rsidR="001F7233" w:rsidRDefault="00000000">
      <w:pPr>
        <w:spacing w:after="140"/>
      </w:pPr>
      <w:r>
        <w:rPr>
          <w:i/>
          <w:iCs/>
        </w:rPr>
        <w:t>Die TFN ist die zentrale Steuernummer der Australian Taxation Office (ATO, die australische Finanzbehörde) und die Grundlage für praktisch alles, was mit Geld zu tun hat: korrekter Lohnsteuerabzug, Steuererklärung, Zinserträge, Superannuation. Die Beantragung ist kostenlos. Wer bereits in Australien ist und über eine ausreichend belastbare digitale Identität (myID, das staatliche Digital-ID-Verfahren) verfügt, kann online beantragen. Alternativ läuft es über ein persönliches Interview bei einer teilnehmenden Filiale der Australia Post, mit beglaubigten Ausweisdokumenten. Für frisch eingereiste Migranten mit gültigem Arbeitsvisum ist die Beantragung in der Praxis meist erst nach der Ankunft sinnvoll, weil ein australischer Wohnsitznachweis verlangt wird. Das exakte Verfahren für diese Gruppe unterscheidet sich vom oben beschriebenen Weg für Staatsangehörige und ist nicht bis ins letzte Detail einheitlich dokumentiert. Informiere dich bei der Antragstellung direkt bei der ATO über den für dich richtigen Weg.</w:t>
      </w:r>
    </w:p>
    <w:p w14:paraId="3CD8BCD8" w14:textId="77777777" w:rsidR="001F7233" w:rsidRDefault="00000000">
      <w:r>
        <w:rPr>
          <w:b/>
        </w:rPr>
        <w:t xml:space="preserve">ACHTUNG: </w:t>
      </w:r>
    </w:p>
    <w:p w14:paraId="61D18B20" w14:textId="77777777" w:rsidR="001F7233" w:rsidRDefault="00000000">
      <w:r>
        <w:t xml:space="preserve">• Ohne vorgelegte TFN oder erklärte Befreiung muss dein Arbeitgeber binnen 28 Tagen nach Arbeitsbeginn den Höchstsatz von 47 % einbehalten (Höchststeuersatz plus Medicare-Levy-Pauschale). Zu viel gezahlte Steuer bekommst du zwar über die Steuererklärung zurück, aber erst Monate später – in der Zwischenzeit fehlt dir das Geld im Alltag. Beantrage die TFN deshalb </w:t>
      </w:r>
      <w:r>
        <w:lastRenderedPageBreak/>
        <w:t>an einem deiner ersten Tage in Australien, nicht erst, wenn die erste Abrechnung dich überrascht.</w:t>
      </w:r>
    </w:p>
    <w:p w14:paraId="3ED3309A" w14:textId="77777777" w:rsidR="001F7233" w:rsidRDefault="001F7233">
      <w:pPr>
        <w:spacing w:line="220" w:lineRule="exact"/>
      </w:pPr>
    </w:p>
    <w:p w14:paraId="46FC65F4" w14:textId="77777777" w:rsidR="001F7233" w:rsidRDefault="00000000">
      <w:pPr>
        <w:spacing w:after="140"/>
      </w:pPr>
      <w:r>
        <w:t xml:space="preserve">Die TFN gilt ausschließlich für Steuer- und Superannuation-Zwecke. Für Medicare (siehe das </w:t>
      </w:r>
      <w:hyperlink w:anchor="tau08">
        <w:r w:rsidR="001F7233">
          <w:rPr>
            <w:color w:val="0563C1"/>
            <w:u w:val="single"/>
          </w:rPr>
          <w:t>Kapitel zum Gesundheitssystem in diesem Teil</w:t>
        </w:r>
      </w:hyperlink>
      <w:r>
        <w:t xml:space="preserve">) und für Sozialleistungen über </w:t>
      </w:r>
      <w:r>
        <w:rPr>
          <w:i/>
          <w:iCs/>
        </w:rPr>
        <w:t>Centrelink</w:t>
      </w:r>
      <w:r>
        <w:t xml:space="preserve"> brauchst du separate Anmeldungen bei Services Australia – die eine Nummer öffnet nicht automatisch alle Türen, so verlockend das wäre.</w:t>
      </w:r>
    </w:p>
    <w:p w14:paraId="5BE00B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Steuersystem: ATO, Finanzjahr und wer wie viel zahlt</w:t>
      </w:r>
    </w:p>
    <w:p w14:paraId="3D29AAC6" w14:textId="77777777" w:rsidR="001F7233" w:rsidRDefault="00000000">
      <w:pPr>
        <w:spacing w:after="140"/>
      </w:pPr>
      <w:r>
        <w:t>Australiens Finanzjahr läuft vom 1. Juli bis zum 30. Juni, nicht wie in Deutschland parallel zum Kalenderjahr. Das ist ein Detail, das dich bei jeder Fristangabe kurz stutzen lässt, bis du dich daran gewöhnt hast. Für Ansässige (</w:t>
      </w:r>
      <w:r>
        <w:rPr>
          <w:i/>
          <w:iCs/>
        </w:rPr>
        <w:t>Residents</w:t>
      </w:r>
      <w:r>
        <w:t xml:space="preserve"> für Steuerzwecke) gilt 2026–27 ein progressiver Tarif mit steuerfreiem Grundbetrag:</w:t>
      </w:r>
    </w:p>
    <w:p w14:paraId="02893EA2" w14:textId="77777777" w:rsidR="001F7233" w:rsidRDefault="00000000">
      <w:r>
        <w:rPr>
          <w:b/>
        </w:rPr>
        <w:t>0 %</w:t>
      </w:r>
    </w:p>
    <w:p w14:paraId="66347204" w14:textId="77777777" w:rsidR="001F7233" w:rsidRDefault="00000000">
      <w:r>
        <w:rPr>
          <w:b/>
        </w:rPr>
        <w:t xml:space="preserve">Zu versteuerndes Einkommen: </w:t>
      </w:r>
      <w:r>
        <w:t>bis 18.200 AUD</w:t>
      </w:r>
    </w:p>
    <w:p w14:paraId="0506E0E5" w14:textId="77777777" w:rsidR="001F7233" w:rsidRDefault="00000000">
      <w:r>
        <w:rPr>
          <w:b/>
        </w:rPr>
        <w:t>15 %</w:t>
      </w:r>
    </w:p>
    <w:p w14:paraId="73EE68B6" w14:textId="77777777" w:rsidR="001F7233" w:rsidRDefault="00000000">
      <w:r>
        <w:rPr>
          <w:b/>
        </w:rPr>
        <w:t xml:space="preserve">Zu versteuerndes Einkommen: </w:t>
      </w:r>
      <w:r>
        <w:t>18.201–45.000 AUD</w:t>
      </w:r>
    </w:p>
    <w:p w14:paraId="1C33FED0" w14:textId="77777777" w:rsidR="001F7233" w:rsidRDefault="00000000">
      <w:r>
        <w:rPr>
          <w:b/>
        </w:rPr>
        <w:t>30 %</w:t>
      </w:r>
    </w:p>
    <w:p w14:paraId="11C32C3C" w14:textId="77777777" w:rsidR="001F7233" w:rsidRDefault="00000000">
      <w:r>
        <w:rPr>
          <w:b/>
        </w:rPr>
        <w:t xml:space="preserve">Zu versteuerndes Einkommen: </w:t>
      </w:r>
      <w:r>
        <w:t>45.001–135.000 AUD</w:t>
      </w:r>
    </w:p>
    <w:p w14:paraId="0784B5E5" w14:textId="77777777" w:rsidR="001F7233" w:rsidRDefault="00000000">
      <w:r>
        <w:rPr>
          <w:b/>
        </w:rPr>
        <w:t>37 %</w:t>
      </w:r>
    </w:p>
    <w:p w14:paraId="0942B93C" w14:textId="77777777" w:rsidR="001F7233" w:rsidRDefault="00000000">
      <w:r>
        <w:rPr>
          <w:b/>
        </w:rPr>
        <w:t xml:space="preserve">Zu versteuerndes Einkommen: </w:t>
      </w:r>
      <w:r>
        <w:t>135.001–190.000 AUD</w:t>
      </w:r>
    </w:p>
    <w:p w14:paraId="5FC8D842" w14:textId="77777777" w:rsidR="001F7233" w:rsidRDefault="00000000">
      <w:r>
        <w:rPr>
          <w:b/>
        </w:rPr>
        <w:t>45 %</w:t>
      </w:r>
    </w:p>
    <w:p w14:paraId="371D5549" w14:textId="77777777" w:rsidR="001F7233" w:rsidRDefault="00000000">
      <w:r>
        <w:rPr>
          <w:b/>
        </w:rPr>
        <w:t xml:space="preserve">Zu versteuerndes Einkommen: </w:t>
      </w:r>
      <w:r>
        <w:t>über 190.000 AUD</w:t>
      </w:r>
    </w:p>
    <w:p w14:paraId="7B5DAE47" w14:textId="77777777" w:rsidR="001F7233" w:rsidRDefault="001F7233">
      <w:pPr>
        <w:spacing w:line="180" w:lineRule="exact"/>
      </w:pPr>
    </w:p>
    <w:p w14:paraId="53F3D50D" w14:textId="77777777" w:rsidR="001F7233" w:rsidRDefault="00000000">
      <w:pPr>
        <w:spacing w:after="140"/>
      </w:pPr>
      <w:r>
        <w:t xml:space="preserve">Der zweite Satz sank zum 1. Juli 2026 von 16 auf 15 %. Dazu kommt der </w:t>
      </w:r>
      <w:r>
        <w:rPr>
          <w:i/>
          <w:iCs/>
        </w:rPr>
        <w:t>Low Income Tax Offset</w:t>
      </w:r>
      <w:r>
        <w:t xml:space="preserve"> (LITO), eine Steuergutschrift für niedrige Einkommen von bis zu 700 AUD im Jahr. Mit ihr liegt die effektive Steuerfreigrenze für die meisten Ansässigen bei etwa 22.867 AUD.</w:t>
      </w:r>
    </w:p>
    <w:p w14:paraId="4C4125EB" w14:textId="77777777" w:rsidR="001F7233" w:rsidRDefault="00000000">
      <w:pPr>
        <w:spacing w:after="140"/>
      </w:pPr>
      <w:r>
        <w:rPr>
          <w:i/>
          <w:iCs/>
        </w:rPr>
        <w:lastRenderedPageBreak/>
        <w:t>Wer für Steuerzwecke nicht als australischer Ansässiger gilt (Foreign Resident, die genauen Kriterien wie der Wohnsitz- und der 183-Tage-Test sind ein eigenes, komplexes Thema), zahlt ohne jeden Steuerfreibetrag: 30 % bis 135.000 AUD, 37 % bis 190.000 AUD, 45 % darüber. Dafür entfällt für Steuerausländer die Medicare Levy, weil ohnehin kein Medicare-Zugang besteht.</w:t>
      </w:r>
    </w:p>
    <w:p w14:paraId="7A588C2C" w14:textId="77777777" w:rsidR="001F7233" w:rsidRDefault="00000000">
      <w:pPr>
        <w:spacing w:after="140"/>
      </w:pPr>
      <w:r>
        <w:t xml:space="preserve">Verbreiteter Irrtum: Viele Neuankömmlinge nehmen an, der steuerfreie Grundbetrag gelte für jeden, der in Australien arbeitet. Für Inhaber eines </w:t>
      </w:r>
      <w:r>
        <w:rPr>
          <w:i/>
          <w:iCs/>
        </w:rPr>
        <w:t>Working Holiday Visa</w:t>
      </w:r>
      <w:r>
        <w:t xml:space="preserve"> (417/462) stimmt das nicht. Der sogenannte „Backpacker Tax“ verlangt seit 2017 unverändert 15 % auf jeden verdienten Dollar bis 45.000 AUD, ohne Freibetrag, danach dieselben Stufen wie bei Ansässigen. Wer im selben Steuerjahr von einem Working-Holiday-Visum auf ein Skilled-Visum wechselt, kann anteilig unter beide Tarife fallen. Das ist ein Fall für den Steuerberater, nicht für eigenes Rechnen auf der Rückseite eines Bierdeckels.</w:t>
      </w:r>
    </w:p>
    <w:p w14:paraId="320672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w:t>
      </w:r>
    </w:p>
    <w:p w14:paraId="3C53AACE" w14:textId="77777777" w:rsidR="001F7233" w:rsidRDefault="00000000">
      <w:pPr>
        <w:spacing w:after="140"/>
      </w:pPr>
      <w:r>
        <w:rPr>
          <w:i/>
          <w:iCs/>
        </w:rPr>
        <w:t>Die Medicare Levy ist eine pauschale Abgabe von 2,0 % des zu versteuernden Einkommens, mit der Ansässige das staatliche Gesundheitssystem Medicare mitfinanzieren. Bei niedrigem Einkommen (2026–27 unterhalb von rund 28.011 AUD) entfällt sie ganz oder teilweise. Steuerausländer zahlen sie nicht, ebenso wenig Personen, die zwar steuerlich ansässig, aber mangels Medicare-Zugang gar nicht anspruchsberechtigt sind (dazu mehr im Kapitel zum Gesundheitssystem). Für diesen Fall lässt sich bei der Steuererklärung eine Befreiung geltend machen, was sich vor der ersten Erklärung mit einem Steuerberater zu klären lohnt.</w:t>
      </w:r>
    </w:p>
    <w:p w14:paraId="70CC817E" w14:textId="77777777" w:rsidR="001F7233" w:rsidRDefault="00000000">
      <w:pPr>
        <w:spacing w:after="140"/>
      </w:pPr>
      <w:r>
        <w:t xml:space="preserve">Wer gut verdient und keine private Krankenhausversicherung hat, zahlt zusätzlich die </w:t>
      </w:r>
      <w:r>
        <w:rPr>
          <w:i/>
          <w:iCs/>
        </w:rPr>
        <w:t>Medicare Levy Surcharge</w:t>
      </w:r>
      <w:r>
        <w:t xml:space="preserve"> (MLS):</w:t>
      </w:r>
    </w:p>
    <w:p w14:paraId="7090A4C0" w14:textId="77777777" w:rsidR="001F7233" w:rsidRDefault="00000000">
      <w:r>
        <w:rPr>
          <w:b/>
        </w:rPr>
        <w:lastRenderedPageBreak/>
        <w:t>ab 105.000 AUD</w:t>
      </w:r>
    </w:p>
    <w:p w14:paraId="780D3BD4" w14:textId="77777777" w:rsidR="001F7233" w:rsidRDefault="00000000">
      <w:r>
        <w:rPr>
          <w:b/>
        </w:rPr>
        <w:t xml:space="preserve">Einkommen (Familien): </w:t>
      </w:r>
      <w:r>
        <w:t>ab 210.000 AUD</w:t>
      </w:r>
    </w:p>
    <w:p w14:paraId="2EBD2B61" w14:textId="77777777" w:rsidR="001F7233" w:rsidRDefault="00000000">
      <w:r>
        <w:rPr>
          <w:b/>
        </w:rPr>
        <w:t xml:space="preserve">MLS-Satz: </w:t>
      </w:r>
      <w:r>
        <w:t>1,0 %</w:t>
      </w:r>
    </w:p>
    <w:p w14:paraId="2A35E95A" w14:textId="77777777" w:rsidR="001F7233" w:rsidRDefault="00000000">
      <w:r>
        <w:rPr>
          <w:b/>
        </w:rPr>
        <w:t>ab 123.000 AUD</w:t>
      </w:r>
    </w:p>
    <w:p w14:paraId="7145F59D" w14:textId="77777777" w:rsidR="001F7233" w:rsidRDefault="00000000">
      <w:r>
        <w:rPr>
          <w:b/>
        </w:rPr>
        <w:t xml:space="preserve">Einkommen (Familien): </w:t>
      </w:r>
      <w:r>
        <w:t>ab 246.000 AUD</w:t>
      </w:r>
    </w:p>
    <w:p w14:paraId="23EC72A9" w14:textId="77777777" w:rsidR="001F7233" w:rsidRDefault="00000000">
      <w:r>
        <w:rPr>
          <w:b/>
        </w:rPr>
        <w:t xml:space="preserve">MLS-Satz: </w:t>
      </w:r>
      <w:r>
        <w:t>1,25 %</w:t>
      </w:r>
    </w:p>
    <w:p w14:paraId="40F78327" w14:textId="77777777" w:rsidR="001F7233" w:rsidRDefault="00000000">
      <w:r>
        <w:rPr>
          <w:b/>
        </w:rPr>
        <w:t>ab 164.000 AUD</w:t>
      </w:r>
    </w:p>
    <w:p w14:paraId="726F4D20" w14:textId="77777777" w:rsidR="001F7233" w:rsidRDefault="00000000">
      <w:r>
        <w:rPr>
          <w:b/>
        </w:rPr>
        <w:t xml:space="preserve">Einkommen (Familien): </w:t>
      </w:r>
      <w:r>
        <w:t>ab 328.000 AUD</w:t>
      </w:r>
    </w:p>
    <w:p w14:paraId="32EEBC49" w14:textId="77777777" w:rsidR="001F7233" w:rsidRDefault="00000000">
      <w:r>
        <w:rPr>
          <w:b/>
        </w:rPr>
        <w:t xml:space="preserve">MLS-Satz: </w:t>
      </w:r>
      <w:r>
        <w:t>1,5 %</w:t>
      </w:r>
    </w:p>
    <w:p w14:paraId="0BBA1982" w14:textId="77777777" w:rsidR="001F7233" w:rsidRDefault="001F7233">
      <w:pPr>
        <w:spacing w:line="180" w:lineRule="exact"/>
      </w:pPr>
    </w:p>
    <w:p w14:paraId="7D7153A9" w14:textId="77777777" w:rsidR="001F7233" w:rsidRDefault="00000000">
      <w:pPr>
        <w:spacing w:after="140"/>
      </w:pPr>
      <w:r>
        <w:rPr>
          <w:i/>
          <w:iCs/>
        </w:rPr>
        <w:t>Die Familienschwelle steigt ab dem zweiten Kind um jeweils 1.500 AUD. Für die meisten Neuankömmlinge auf befristeten Visa ist die MLS in der Praxis kein Thema. Wer ohnehin keinen Medicare-Zugang hat und stattdessen zwingend eine private Auslandskrankenversicherung (OVHC) abschließen muss, zahlt keine MLS, weil diese nur für Medicare-Berechtigte ohne Krankenhausversicherung greift. Erst mit dem Permanent-Resident-Status und entsprechendem Einkommen wird die MLS relevant. Dann lohnt sich der Vergleich, ob eine private Krankenhausversicherung nicht am Ende günstiger kommt als die Abgabe.</w:t>
      </w:r>
    </w:p>
    <w:p w14:paraId="7FA366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die Pflichtvorsorge deines Arbeitgebers</w:t>
      </w:r>
    </w:p>
    <w:p w14:paraId="3AA0B3FD" w14:textId="77777777" w:rsidR="001F7233" w:rsidRDefault="00000000">
      <w:pPr>
        <w:spacing w:after="140"/>
      </w:pPr>
      <w:r>
        <w:rPr>
          <w:i/>
          <w:iCs/>
        </w:rPr>
        <w:t xml:space="preserve">Superannuation ist Australiens verpflichtende, kapitalgedeckte Altersvorsorge, am ehesten vergleichbar mit einer Mischung aus deutscher gesetzlicher Rente und betrieblicher Altersvorsorge, nur dass das Guthaben auf einem persönlichen Konto liegt und dir gehört. Dein Arbeitgeber zahlt den Superannuation Guarantee (SG) obendrauf zu deinem Gehalt in einen Superfonds ein, seit dem 1. Juli 2025 in Höhe von 12,0 % deines gewöhnlichen Arbeitsentgelts. Das ist die letzte gesetzlich vorgesehene Erhöhungsstufe; weitere automatische Steigerungen sind derzeit nicht terminiert. Ab dem 1. Juli 2026 gilt </w:t>
      </w:r>
      <w:r>
        <w:rPr>
          <w:i/>
          <w:iCs/>
        </w:rPr>
        <w:lastRenderedPageBreak/>
        <w:t>außerdem „Payday Super“: Arbeitgeber müssen die Beiträge zeitgleich mit dem Lohn überweisen, nicht mehr gesammelt im Quartal.</w:t>
      </w:r>
    </w:p>
    <w:p w14:paraId="4225C940" w14:textId="77777777" w:rsidR="001F7233" w:rsidRDefault="00000000">
      <w:pPr>
        <w:spacing w:after="140"/>
      </w:pPr>
      <w:r>
        <w:t>Binnen 28 Tagen nach Arbeitsbeginn erhältst du vom Arbeitgeber ein Formular zur Fondswahl. Wählst du keinen eigenen Fonds, sucht der Arbeitgeber zunächst nach einem bereits vorhandenen, bei der ATO hinterlegten Fonds aus einem früheren Job (</w:t>
      </w:r>
      <w:r>
        <w:rPr>
          <w:i/>
          <w:iCs/>
        </w:rPr>
        <w:t>Stapled Fund</w:t>
      </w:r>
      <w:r>
        <w:t>). Existiert keiner, greift der betriebliche Standardfonds. Es lohnt sich, aktiv zu wählen, statt es dem Zufall zu überlassen. Ein Fondswechsel später ist möglich, aber mit Aufwand verbunden.</w:t>
      </w:r>
    </w:p>
    <w:p w14:paraId="3EA67C02" w14:textId="77777777" w:rsidR="001F7233" w:rsidRDefault="00000000">
      <w:r>
        <w:rPr>
          <w:b/>
        </w:rPr>
        <w:t xml:space="preserve">MERKE: </w:t>
      </w:r>
    </w:p>
    <w:p w14:paraId="13F037D0" w14:textId="77777777" w:rsidR="001F7233" w:rsidRDefault="00000000">
      <w:r>
        <w:t>• Superannuation ist dein Geld, kein freiwilliges Extra des Arbeitgebers und keine Sozialabgabe, die im System verschwindet. Der reguläre Zugriff ist erst ab dem sogenannten Preservation Age möglich, einheitlich 60 Jahre für alle nach 1964 Geborenen. Für die meisten Neueinwanderer also erst in ferner Zukunft.</w:t>
      </w:r>
    </w:p>
    <w:p w14:paraId="0199ED4D" w14:textId="77777777" w:rsidR="001F7233" w:rsidRDefault="001F7233">
      <w:pPr>
        <w:spacing w:line="220" w:lineRule="exact"/>
      </w:pPr>
    </w:p>
    <w:p w14:paraId="093142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Wegzug: Was mit der Superannuation passiert (DASP)</w:t>
      </w:r>
    </w:p>
    <w:p w14:paraId="41C06EA1" w14:textId="77777777" w:rsidR="001F7233" w:rsidRDefault="00000000">
      <w:pPr>
        <w:spacing w:after="140"/>
      </w:pPr>
      <w:r>
        <w:rPr>
          <w:i/>
          <w:iCs/>
        </w:rPr>
        <w:t>Bei einer Departing Australia Superannuation Payment (DASP) hängt der Steuerabzug von den Bestandteilen ab. Der steuerfreie Anteil wird mit 0 % belastet. Auf den steuerpflichtigen, im Fonds versteuerten Anteil gelten regulär 35 %, auf den unversteuerten Anteil 45 %. Für Working-Holiday-Maker gilt auf beide steuerpflichtigen Elemente 65 %. Wer jemals ein Working-Holiday-Visum (Subclass 417 oder 462) hatte, fällt unter den 65-%-Satz, wenn die Auszahlung Beiträge enthält, die während dieses Visums eingezahlt wurden. Dann gilt der Satz für die gesamte DASP-Auszahlung, auch für Beiträge aus einer späteren Visumsphase. Die ATO oder der jeweilige Fonds bestimmt die Zuordnung. Prüfe die aktuelle Berechnung vor der Auszahlung beim Fonds oder bei der ATO.</w:t>
      </w:r>
    </w:p>
    <w:p w14:paraId="0E60DD69" w14:textId="77777777" w:rsidR="001F7233" w:rsidRDefault="00000000">
      <w:r>
        <w:rPr>
          <w:b/>
        </w:rPr>
        <w:lastRenderedPageBreak/>
        <w:t xml:space="preserve">ACHTUNG: </w:t>
      </w:r>
    </w:p>
    <w:p w14:paraId="351AC8E1" w14:textId="77777777" w:rsidR="001F7233" w:rsidRDefault="00000000">
      <w:r>
        <w:t>Rechenbeispiel nach ATO-Satz: Sind 1.000 AUD vollständig steuerpflichtiger DASP-Betrag und fällt der Working-Holiday-Satz an, werden 650 AUD einbehalten. Bei einer regulären DASP-Auszahlung wären es je nach Fondsbestandteil 350 AUD (versteuerter Anteil) oder 450 AUD (unversteuerter Anteil). Ein steuerfreier Anteil bleibt unversteuert. Die tatsächliche Auszahlung hängt von der Aufteilung des Fonds ab.</w:t>
      </w:r>
    </w:p>
    <w:p w14:paraId="5F99415E" w14:textId="77777777" w:rsidR="001F7233" w:rsidRDefault="001F7233">
      <w:pPr>
        <w:spacing w:line="220" w:lineRule="exact"/>
      </w:pPr>
    </w:p>
    <w:p w14:paraId="156DA6FE" w14:textId="77777777" w:rsidR="001F7233" w:rsidRDefault="001F7233">
      <w:pPr>
        <w:spacing w:line="220" w:lineRule="exact"/>
      </w:pPr>
    </w:p>
    <w:p w14:paraId="2AAC0A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w:t>
      </w:r>
    </w:p>
    <w:p w14:paraId="25239095" w14:textId="77777777" w:rsidR="001F7233" w:rsidRDefault="00000000">
      <w:pPr>
        <w:spacing w:after="140"/>
      </w:pPr>
      <w:r>
        <w:t>Der australische Privatkundenmarkt wird von vier Großbanken dominiert: Commonwealth Bank (CommBank), Westpac, NAB und ANZ. Wie früh du ein Konto eröffnen kannst, unterscheidet sich merklich. CommBank ermöglicht die Online-Eröffnung bis zu 14 Tage vor der Einreise, Westpac bereits bis zu 12 Monate vorab, NAB dagegen erst nach der Ankunft vor Ort. Nach der Einreise verlangen alle vier Banken eine persönliche Identifizierung in der Filiale, den sogenannten „100-Punkte-ID-Check“ (meist Pass, Visumsnachweis und ein weiteres Ausweisdokument).</w:t>
      </w:r>
    </w:p>
    <w:p w14:paraId="606E5AE6" w14:textId="77777777" w:rsidR="001F7233" w:rsidRDefault="00000000">
      <w:r>
        <w:rPr>
          <w:b/>
        </w:rPr>
        <w:t xml:space="preserve">SPARTIPP: </w:t>
      </w:r>
    </w:p>
    <w:p w14:paraId="04A2214B" w14:textId="77777777" w:rsidR="001F7233" w:rsidRDefault="00000000">
      <w:r>
        <w:t>• Eröffne dein Konto, wenn möglich, online, bevor du fliegst. Dann bist du vom ersten Arbeitstag an zahlungsfähig, statt in der ersten, ohnehin turbulenten Woche noch einen Bankbesuch einschieben zu müssen.</w:t>
      </w:r>
    </w:p>
    <w:p w14:paraId="5AE3F7C3" w14:textId="77777777" w:rsidR="001F7233" w:rsidRDefault="001F7233">
      <w:pPr>
        <w:spacing w:line="220" w:lineRule="exact"/>
      </w:pPr>
    </w:p>
    <w:p w14:paraId="76A4D28C" w14:textId="77777777" w:rsidR="001F7233" w:rsidRDefault="00000000">
      <w:pPr>
        <w:spacing w:after="140"/>
      </w:pPr>
      <w:r>
        <w:t xml:space="preserve">Auch ohne feste australische Adresse und ohne TFN lässt sich meist ein Interimskonto eröffnen. Reiche die TFN aber zügig nach. Ohne sie behält die Bank auf Zinserträge dieselbe hohe Vorsteuer ein wie der Arbeitgeber auf den Lohn. Kontoführungsgebühren der Standardkonten lassen sich bei allen vier Großbanken meist durch eine Mindesteinzahlung, das Alter unter 25 oder 30 Jahren oder Studierendenstatus vermeiden. Die genauen Bedingungen ändern </w:t>
      </w:r>
      <w:r>
        <w:lastRenderedPageBreak/>
        <w:t>sich häufig und lohnen einen Vergleich direkt auf den Bank-Websites vor der Wahl.</w:t>
      </w:r>
    </w:p>
    <w:p w14:paraId="2C2E35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das australische Auskunftssystem</w:t>
      </w:r>
    </w:p>
    <w:p w14:paraId="03C66377" w14:textId="77777777" w:rsidR="001F7233" w:rsidRDefault="00000000">
      <w:pPr>
        <w:spacing w:after="140"/>
      </w:pPr>
      <w:r>
        <w:rPr>
          <w:i/>
          <w:iCs/>
        </w:rPr>
        <w:t>Deine deutsche Schufa-Historie wird in Australien nicht übernommen. Seit 1. April 2026 gibt es zwei Berichtsstellen: Equifax und Experian. Der australische Experian-Bericht umfasst die früher bei illion geführten Daten. Beide führen getrennte Berichte; Datenbestand und Bewertung können abweichen. Comprehensive Credit Reporting berücksichtigt sowohl verspätete als auch puenktliche Zahlungen. Prüfe beide Berichte, bevor du einen Kredit beantragst.</w:t>
      </w:r>
    </w:p>
    <w:p w14:paraId="6CE26D0C" w14:textId="77777777" w:rsidR="001F7233" w:rsidRDefault="00000000">
      <w:r>
        <w:rPr>
          <w:b/>
        </w:rPr>
        <w:t>Auskunfteien</w:t>
      </w:r>
    </w:p>
    <w:p w14:paraId="457E54A1" w14:textId="77777777" w:rsidR="001F7233" w:rsidRDefault="00000000">
      <w:r>
        <w:rPr>
          <w:b/>
        </w:rPr>
        <w:t xml:space="preserve">Schufa (Deutschland): </w:t>
      </w:r>
      <w:r>
        <w:t>im Kern eine, die Schufa dominiert</w:t>
      </w:r>
    </w:p>
    <w:p w14:paraId="1A81744A" w14:textId="77777777" w:rsidR="001F7233" w:rsidRDefault="00000000">
      <w:r>
        <w:rPr>
          <w:b/>
        </w:rPr>
        <w:t>Kreditauskunft (Australien): zwei Stellen seit 1. April 2026 - Equifax und Experian (Experian übernimmt australische illion-Daten)</w:t>
      </w:r>
    </w:p>
    <w:p w14:paraId="7356FF84" w14:textId="77777777" w:rsidR="001F7233" w:rsidRDefault="00000000">
      <w:r>
        <w:rPr>
          <w:b/>
        </w:rPr>
        <w:t>Skala</w:t>
      </w:r>
    </w:p>
    <w:p w14:paraId="6B95537A" w14:textId="77777777" w:rsidR="001F7233" w:rsidRDefault="00000000">
      <w:r>
        <w:rPr>
          <w:b/>
        </w:rPr>
        <w:t xml:space="preserve">Schufa (Deutschland): </w:t>
      </w:r>
      <w:r>
        <w:t>0–100 % (Wahrscheinlichkeit)</w:t>
      </w:r>
    </w:p>
    <w:p w14:paraId="5AB05825" w14:textId="77777777" w:rsidR="001F7233" w:rsidRDefault="00000000">
      <w:r>
        <w:rPr>
          <w:b/>
        </w:rPr>
        <w:t>Kreditauskunft (Australien): Scores unterscheiden sich nach Anbieter und Modell</w:t>
      </w:r>
    </w:p>
    <w:p w14:paraId="3A3261C7" w14:textId="77777777" w:rsidR="001F7233" w:rsidRDefault="00000000">
      <w:r>
        <w:rPr>
          <w:b/>
        </w:rPr>
        <w:t>Beim Umzug nach Australien</w:t>
      </w:r>
    </w:p>
    <w:p w14:paraId="39DDDD12" w14:textId="77777777" w:rsidR="001F7233" w:rsidRDefault="00000000">
      <w:r>
        <w:rPr>
          <w:b/>
        </w:rPr>
        <w:t xml:space="preserve">Schufa (Deutschland): </w:t>
      </w:r>
      <w:r>
        <w:t>zählt nicht, kein Import der Historie</w:t>
      </w:r>
    </w:p>
    <w:p w14:paraId="0F76C3D9" w14:textId="77777777" w:rsidR="001F7233" w:rsidRDefault="00000000">
      <w:r>
        <w:rPr>
          <w:b/>
        </w:rPr>
        <w:t xml:space="preserve">Kreditauskunft (Australien): </w:t>
      </w:r>
      <w:r>
        <w:t>Start ohne jede Historie, unabhängig von der deutschen Bonität</w:t>
      </w:r>
    </w:p>
    <w:p w14:paraId="5A441A2C" w14:textId="77777777" w:rsidR="001F7233" w:rsidRDefault="00000000">
      <w:r>
        <w:rPr>
          <w:b/>
        </w:rPr>
        <w:t>Was zählt</w:t>
      </w:r>
    </w:p>
    <w:p w14:paraId="01ACE89F" w14:textId="77777777" w:rsidR="001F7233" w:rsidRDefault="00000000">
      <w:r>
        <w:rPr>
          <w:b/>
        </w:rPr>
        <w:t xml:space="preserve">Schufa (Deutschland): </w:t>
      </w:r>
      <w:r>
        <w:t>vor allem Zahlungsausfälle</w:t>
      </w:r>
    </w:p>
    <w:p w14:paraId="6164DF0C" w14:textId="77777777" w:rsidR="001F7233" w:rsidRDefault="00000000">
      <w:r>
        <w:rPr>
          <w:b/>
        </w:rPr>
        <w:t>Kreditauskunft (Australien): Comprehensive Credit Reporting berücksichtigt auch positive Zahlungshistorie</w:t>
      </w:r>
    </w:p>
    <w:p w14:paraId="75CDAD8B" w14:textId="77777777" w:rsidR="001F7233" w:rsidRDefault="001F7233">
      <w:pPr>
        <w:spacing w:line="180" w:lineRule="exact"/>
      </w:pPr>
    </w:p>
    <w:p w14:paraId="6E87AAB3" w14:textId="77777777" w:rsidR="001F7233" w:rsidRDefault="00000000">
      <w:pPr>
        <w:spacing w:after="140"/>
      </w:pPr>
      <w:r>
        <w:rPr>
          <w:i/>
          <w:iCs/>
        </w:rPr>
        <w:t xml:space="preserve">Praktisch beginnst du den Aufbau am besten mit einem laufenden Girokonto samt Debitkarte, pünktlich bezahlten Mobilfunk- und </w:t>
      </w:r>
      <w:r>
        <w:rPr>
          <w:i/>
          <w:iCs/>
        </w:rPr>
        <w:lastRenderedPageBreak/>
        <w:t>Internetrechnungen und, sobald möglich, einer ersten Kreditkarte mit niedrigem Limit bei deiner Hausbank. Auch pünktlich bezahlte Miete kann über manche Vermieter-Plattformen inzwischen an die Auskunfteien gemeldet werden. Seit Juni 2025 fallen auch Ratenkäufe nach dem Prinzip „jetzt kaufen, später zahlen“ (Buy Now, Pay Later, BNPL) unter die reguläre Kreditprüfung. Verpasste Raten landen dann ebenso in der Akte wie eine verpasste Kreditkartenrate. Verzichte in den ersten Monaten auf mehrere gleichzeitige Kreditanträge. Jede Anfrage hinterlässt eine Spur in der Akte und kann den Score kurzfristig drücken.</w:t>
      </w:r>
    </w:p>
    <w:p w14:paraId="65AC82F2" w14:textId="77777777" w:rsidR="001F7233" w:rsidRDefault="00000000">
      <w:pPr>
        <w:spacing w:after="140"/>
      </w:pPr>
      <w:r>
        <w:t>Seit 1. April 2026 werden Australiens Experian- und illion-Verbraucherberichte in einem Experian-Bericht zusammengeführt. Equifax bleibt eine zweite, getrennte Stelle. Ein Score-Wechsel danach kann aus dem neuen Datenbestand oder Berechnungsmodell stammen und belegt für sich keine Veränderung deiner Zahlungsfähigkeit. Fordere beide Berichte an. Bei falschen Daten kannst du kostenlos eine Korrektur beim Kreditgeber oder der Auskunftei verlangen. Wird der Eintrag nicht geändert, müssen sie ihre Gründe mitteilen und auf externe Beschwerdewege verweisen. Quellen: creditsmart.org.au/otherhelpfulservices/credit-reporting-bodies/changes-to-the-experian-and-illion-credit-reporting-bodies; oaic.gov.au/privacy/your-privacy-rights/credit-reporting/correct-your-credit-report.</w:t>
      </w:r>
    </w:p>
    <w:p w14:paraId="262869BD" w14:textId="77777777" w:rsidR="001F7233" w:rsidRDefault="00000000">
      <w:pPr>
        <w:spacing w:after="140"/>
      </w:pPr>
      <w:r>
        <w:rPr>
          <w:b/>
        </w:rPr>
        <w:t>Wenn eine Rate nicht mehr passt</w:t>
      </w:r>
    </w:p>
    <w:p w14:paraId="776D39BE" w14:textId="77777777" w:rsidR="001F7233" w:rsidRDefault="00000000">
      <w:pPr>
        <w:spacing w:after="140"/>
      </w:pPr>
      <w:r>
        <w:t>Kontaktiere die Bank oder den Kreditgeber möglichst vor dem Zahlungsausfall und bitte um eine Härtefallprüfung. Kostenlose, unabhängige finanzielle Beratung erreichst du über die National Debt Helpline unter 1800 007 007. Ein formeller Debt Agreement ist ein Insolvenzverfahren mit gesetzlichen Folgen, nicht bloß ein Rabatt auf die Schuld. Quellen: ndh.org.au/financial-counselling/what-is-financial-counselling/; afsa.gov.au/i-cant-pay-my-debts/debt-agreements.</w:t>
      </w:r>
    </w:p>
    <w:p w14:paraId="344D362B" w14:textId="77777777" w:rsidR="001F7233" w:rsidRDefault="00000000">
      <w:r>
        <w:rPr>
          <w:b/>
        </w:rPr>
        <w:t xml:space="preserve">MERKE: </w:t>
      </w:r>
    </w:p>
    <w:p w14:paraId="1123EB1D" w14:textId="77777777" w:rsidR="001F7233" w:rsidRDefault="00000000">
      <w:r>
        <w:lastRenderedPageBreak/>
        <w:t>Fordere deine kostenlose Auskunft regelmäßig bei Equifax und Experian an. Prüfe beide getrennten Berichte auf fremde Konten, Anfragen, Salden und falsche Zahlungseinträge. Bei Fehlern beantragst du kostenlos die Korrektur bei der Auskunftei oder dem meldenden Kreditgeber. Lege Nachweise bei und prüfe danach den geänderten Bericht. Quellen: oaic.gov.au/privacy/your-privacy-rights/credit-reporting/correct-your-credit-report; creditsmart.org.au/otherhelpfulservices/credit-reporting-bodies/changes-to-the-experian-and-illion-credit-reporting-bodies.</w:t>
      </w:r>
    </w:p>
    <w:p w14:paraId="29FF62B2" w14:textId="77777777" w:rsidR="001F7233" w:rsidRDefault="001F7233">
      <w:pPr>
        <w:spacing w:line="220" w:lineRule="exact"/>
      </w:pPr>
    </w:p>
    <w:p w14:paraId="457A12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Fristen und Ablauf</w:t>
      </w:r>
    </w:p>
    <w:p w14:paraId="7715DF5D" w14:textId="77777777" w:rsidR="001F7233" w:rsidRDefault="00000000">
      <w:pPr>
        <w:spacing w:after="140"/>
      </w:pPr>
      <w:r>
        <w:t xml:space="preserve">Die reguläre Frist für die Selbstveranlagung über das Online-Portal </w:t>
      </w:r>
      <w:r>
        <w:rPr>
          <w:i/>
          <w:iCs/>
        </w:rPr>
        <w:t>myGov</w:t>
      </w:r>
      <w:r>
        <w:t>/</w:t>
      </w:r>
      <w:r>
        <w:rPr>
          <w:i/>
          <w:iCs/>
        </w:rPr>
        <w:t>myTax</w:t>
      </w:r>
      <w:r>
        <w:t xml:space="preserve"> ist der 31. Oktober. 2026 fällt dieser Termin für das Finanzjahr 2025–26 auf einen Samstag und verschiebt sich auf Montag, den 2. November 2026. Wer vor dem 31. Oktober einen registrierten Steuerberater (</w:t>
      </w:r>
      <w:r>
        <w:rPr>
          <w:i/>
          <w:iCs/>
        </w:rPr>
        <w:t>Tax Agent</w:t>
      </w:r>
      <w:r>
        <w:t>) beauftragt, erhält meist eine Fristverlängerung bis zum 15. Mai 2027, mit Kulanz bis 5. Juni 2027, sofern offene Beträge fristgerecht beglichen werden. Eine gewisse Großzügigkeit bei verpassten Terminen ist der ATO dagegen nicht nachzusagen. Die Versäumnisgebühr beträgt 364 AUD je angefangene 28 Tage Verspätung, gedeckelt bei 1.820 AUD für Einzelpersonen.</w:t>
      </w:r>
    </w:p>
    <w:p w14:paraId="1D26E427" w14:textId="77777777" w:rsidR="001F7233" w:rsidRDefault="00000000">
      <w:pPr>
        <w:spacing w:after="140"/>
      </w:pPr>
      <w:r>
        <w:t>Deine erste vollständige Steuererklärung wird typischerweise erst im auf die Einreise folgenden Finanzjahr fällig. Bewahre in der Zwischenzeit Gehaltsabrechnungen, den Jahresabschluss deines Arbeitgebers und Belege für berufsbezogene Ausgaben sorgfältig auf. Das erspart im Oktober viel Sucherei.</w:t>
      </w:r>
    </w:p>
    <w:p w14:paraId="780B7F43" w14:textId="77777777" w:rsidR="001F7233" w:rsidRDefault="00000000">
      <w:r>
        <w:t xml:space="preserve">• Dieses Kapitel erklärt das System und nennt Richtwerte. Es ersetzt keine Rechts- oder Steuerberatung. Ob du als Ansässiger oder Steuerausländer giltst, wie sich ein Statuswechsel im selben </w:t>
      </w:r>
      <w:r>
        <w:lastRenderedPageBreak/>
        <w:t>Finanzjahr auswirkt und wie das Doppelbesteuerungsabkommen zwischen Deutschland und Australien mit deutschem Einkommen, Mieteinnahmen oder der gesetzlichen Rente umgeht, kann im Einzelfall stark abweichen. Lass das von einem australischen Steuerberater prüfen, der die deutsche Seite kennt oder sich mit einem deutschen Steuerberater abstimmt.</w:t>
      </w:r>
    </w:p>
    <w:p w14:paraId="6C1E1809" w14:textId="77777777" w:rsidR="001F7233" w:rsidRDefault="001F7233">
      <w:pPr>
        <w:spacing w:line="220" w:lineRule="exact"/>
      </w:pPr>
    </w:p>
    <w:p w14:paraId="598D0449" w14:textId="77777777" w:rsidR="001F7233" w:rsidRDefault="00000000">
      <w:pPr>
        <w:pStyle w:val="Heading3"/>
      </w:pPr>
      <w:r>
        <w:t>Bankruptcy: erst Beratung, dann Entscheidung</w:t>
      </w:r>
    </w:p>
    <w:p w14:paraId="11EA3778" w14:textId="77777777" w:rsidR="001F7233" w:rsidRDefault="00000000">
      <w:r>
        <w:t>Australische Privatinsolvenz kann untragbare Schulden ordnen, hat aber ernste Folgen: Vermögenswerte können verkauft werden, Einkommen kann Zahlungen auslösen, bestimmte Arbeit und Kredite werden eingeschränkt und für Auslandsreisen brauchst du während der Insolvenz schriftliche Zustimmung des Trustees. Sie dauert meist drei Jahre und einen Tag. Prüfe vor einem Umzug Schulden, ausländische Vermögenswerte und die Folgen für Arbeit und Kredit mit AFSA oder einer kostenlosen Finanzberatung. Das ist ein gesetzlicher Schuldenerlass für echte Zahlungsunfähigkeit, keine Methode, einen Umzug oder Hauskauf zu finanzieren.</w:t>
      </w:r>
    </w:p>
    <w:p w14:paraId="615EACFD" w14:textId="77777777" w:rsidR="001F7233" w:rsidRDefault="00000000">
      <w:pPr>
        <w:pStyle w:val="Heading3"/>
      </w:pPr>
      <w:r>
        <w:t>Schuldenhilfe und Kartenbetrug: früh handeln</w:t>
      </w:r>
    </w:p>
    <w:p w14:paraId="081F612C" w14:textId="77777777" w:rsidR="001F7233" w:rsidRDefault="00000000">
      <w:r>
        <w:t>Wenn Raten kippen, Kreditgeber früh um Härtefallregelung bitten und unabhängige Finanzberatung nutzen. Eine Firma, die Schulden garantiert halbiert oder zur Zahlungseinstellung rät, kann Gebühren, Zinsen, Inkasso und Kreditschäden vergrößern. Unbekannte Kartenbuchung sofort beim Herausgeber melden und Karte sichern. Fristen und Haftung hängen von Karte und Umständen ab. Belege, Gesprächsnummer und schriftliche Bestätigung aufheben; nie Einmalcodes herausgeben.</w:t>
      </w:r>
    </w:p>
    <w:p w14:paraId="36DF80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Steuer-ID, Bank, Kredit aufbauen</w:t>
      </w:r>
    </w:p>
    <w:p w14:paraId="375AD5DC" w14:textId="77777777" w:rsidR="001F7233" w:rsidRDefault="00000000">
      <w:r>
        <w:rPr>
          <w:b/>
        </w:rPr>
        <w:t>Plus: TFN-Beantragung ist kostenlos und meist zügig erledigt</w:t>
      </w:r>
    </w:p>
    <w:p w14:paraId="32CB34C9" w14:textId="77777777" w:rsidR="001F7233" w:rsidRDefault="00000000">
      <w:r>
        <w:rPr>
          <w:b/>
        </w:rPr>
        <w:t xml:space="preserve">Minus: </w:t>
      </w:r>
      <w:r>
        <w:t>Ohne TFN 47 % Lohnabzug – ein teurer Fehlstart</w:t>
      </w:r>
    </w:p>
    <w:p w14:paraId="38B4D105" w14:textId="77777777" w:rsidR="001F7233" w:rsidRDefault="00000000">
      <w:r>
        <w:rPr>
          <w:b/>
        </w:rPr>
        <w:t>Plus: Steuerfreier Grundbetrag von 18.200 AUD für Ansässige</w:t>
      </w:r>
    </w:p>
    <w:p w14:paraId="0BC38A08" w14:textId="77777777" w:rsidR="001F7233" w:rsidRDefault="00000000">
      <w:r>
        <w:rPr>
          <w:b/>
        </w:rPr>
        <w:t xml:space="preserve">Minus: </w:t>
      </w:r>
      <w:r>
        <w:t>Working-Holiday-Reisende zahlen ab dem ersten Dollar 15 %</w:t>
      </w:r>
    </w:p>
    <w:p w14:paraId="679306E2" w14:textId="77777777" w:rsidR="001F7233" w:rsidRDefault="00000000">
      <w:r>
        <w:rPr>
          <w:b/>
        </w:rPr>
        <w:t>Plus: Superannuation gehört dir und wächst mit jedem Gehalt</w:t>
      </w:r>
    </w:p>
    <w:p w14:paraId="0E7BEBDD" w14:textId="77777777" w:rsidR="001F7233" w:rsidRDefault="00000000">
      <w:r>
        <w:rPr>
          <w:b/>
        </w:rPr>
        <w:t>Minus: DASP-Abzug hängt von Anteil und Visumshistorie ab; für einschlägige Working-Holiday-Auszahlungen 65 % auf die gesamte Zahlung</w:t>
      </w:r>
    </w:p>
    <w:p w14:paraId="43143602" w14:textId="77777777" w:rsidR="001F7233" w:rsidRDefault="00000000">
      <w:r>
        <w:rPr>
          <w:b/>
        </w:rPr>
        <w:t>Plus: Comprehensive Credit Reporting belohnt pünktliches Zahlen schnell</w:t>
      </w:r>
    </w:p>
    <w:p w14:paraId="7968B175" w14:textId="77777777" w:rsidR="001F7233" w:rsidRDefault="00000000">
      <w:r>
        <w:rPr>
          <w:b/>
        </w:rPr>
        <w:t xml:space="preserve">Minus: </w:t>
      </w:r>
      <w:r>
        <w:t>Start ohne jede australische Kredithistorie, Schufa zählt nicht</w:t>
      </w:r>
    </w:p>
    <w:p w14:paraId="406CC153" w14:textId="77777777" w:rsidR="001F7233" w:rsidRDefault="00000000">
      <w:r>
        <w:rPr>
          <w:b/>
        </w:rPr>
        <w:t>Plus: Bankkonto teils schon vor der Einreise online eröffenbar</w:t>
      </w:r>
    </w:p>
    <w:p w14:paraId="274175AE" w14:textId="77777777" w:rsidR="001F7233" w:rsidRDefault="00000000">
      <w:r>
        <w:rPr>
          <w:b/>
        </w:rPr>
        <w:t xml:space="preserve">Minus: </w:t>
      </w:r>
      <w:r>
        <w:t>Vollständige Identifizierung erst persönlich in der Filiale möglich</w:t>
      </w:r>
    </w:p>
    <w:p w14:paraId="154C569A" w14:textId="77777777" w:rsidR="001F7233" w:rsidRDefault="001F7233">
      <w:pPr>
        <w:spacing w:line="180" w:lineRule="exact"/>
      </w:pPr>
    </w:p>
    <w:p w14:paraId="2CA302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4B2164F" w14:textId="77777777" w:rsidR="001F7233" w:rsidRDefault="00000000">
      <w:pPr>
        <w:spacing w:after="140"/>
      </w:pPr>
      <w:r>
        <w:t>Beantrage die TFN in deiner ersten Woche in Australien und trage die 28-Tage-Frist für den regulären Lohnsteuerabzug in deinen Kalender ein. Eröffne dein Bankkonto möglichst schon vor der Einreise online, wähle bei Arbeitsbeginn aktiv einen Superfonds, statt die Standardlösung laufen zu lassen und baue mit pünktlichen Rechnungen und einer ersten Kreditkarte gezielt deine australische Kreditwürdigkeit auf. Kläre früh, ob dein Einkommen die Schwelle zur Medicare Levy Surcharge erreicht und ob sich eine private Krankenhausversicherung dadurch lohnt.</w:t>
      </w:r>
    </w:p>
    <w:p w14:paraId="3F0E7A63" w14:textId="77777777" w:rsidR="001F7233" w:rsidRDefault="00000000">
      <w:r>
        <w:t>• Tax File Number (TFN) beantragt, Antragsweg (myID online oder Australia-Post-Interview) geklärt</w:t>
      </w:r>
    </w:p>
    <w:p w14:paraId="297A0FD1" w14:textId="77777777" w:rsidR="001F7233" w:rsidRDefault="00000000">
      <w:r>
        <w:lastRenderedPageBreak/>
        <w:t>• 28-Tage-Frist für die TFN-Vorlage beim Arbeitgeber notiert</w:t>
      </w:r>
    </w:p>
    <w:p w14:paraId="4ABD9553" w14:textId="77777777" w:rsidR="001F7233" w:rsidRDefault="00000000">
      <w:r>
        <w:t>• Steuerlichen Status geprüft: Ansässiger, Steuerausländer oder Working-Holiday-Tarif</w:t>
      </w:r>
    </w:p>
    <w:p w14:paraId="6616672B" w14:textId="77777777" w:rsidR="001F7233" w:rsidRDefault="00000000">
      <w:r>
        <w:t>• Bankkonto eröffnet (online vor Einreise oder in der Filiale mit 100-Punkte-ID-Check)</w:t>
      </w:r>
    </w:p>
    <w:p w14:paraId="0480CA8B" w14:textId="77777777" w:rsidR="001F7233" w:rsidRDefault="00000000">
      <w:r>
        <w:t>• Superfonds bei Arbeitsbeginn aktiv gewählt statt Standardfonds übernommen</w:t>
      </w:r>
    </w:p>
    <w:p w14:paraId="5BE6FBE1" w14:textId="77777777" w:rsidR="001F7233" w:rsidRDefault="00000000">
      <w:r>
        <w:t>• Bei geplanter Ausreise: DASP-Steuerfolgen für die Superannuation eingeplant</w:t>
      </w:r>
    </w:p>
    <w:p w14:paraId="4759C838" w14:textId="77777777" w:rsidR="001F7233" w:rsidRDefault="00000000">
      <w:r>
        <w:t>• Erste Kreditkarte mit niedrigem Limit beantragt, Rechnungen pünktlich beglichen</w:t>
      </w:r>
    </w:p>
    <w:p w14:paraId="5A62F23F" w14:textId="77777777" w:rsidR="001F7233" w:rsidRDefault="00000000">
      <w:r>
        <w:t>Eigene Kreditauskunft bei Equifax und Experian geprüft</w:t>
      </w:r>
    </w:p>
    <w:p w14:paraId="20F435ED" w14:textId="77777777" w:rsidR="001F7233" w:rsidRDefault="00000000">
      <w:r>
        <w:t>• Einkommen mit den Schwellen der Medicare Levy Surcharge abgeglichen</w:t>
      </w:r>
    </w:p>
    <w:p w14:paraId="53C5932C" w14:textId="77777777" w:rsidR="001F7233" w:rsidRDefault="00000000">
      <w:r>
        <w:t>• Frist für die Steuererklärung (31. Oktober bzw. mit Steuerberater später) im Kalender</w:t>
      </w:r>
    </w:p>
    <w:p w14:paraId="5DABE329" w14:textId="77777777" w:rsidR="001F7233" w:rsidRDefault="001F7233">
      <w:pPr>
        <w:spacing w:line="220" w:lineRule="exact"/>
      </w:pPr>
    </w:p>
    <w:p w14:paraId="263696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737A675" w14:textId="77777777" w:rsidR="001F7233" w:rsidRDefault="001F7233">
      <w:pPr>
        <w:pStyle w:val="ListParagraph"/>
        <w:numPr>
          <w:ilvl w:val="0"/>
          <w:numId w:val="1"/>
        </w:numPr>
        <w:spacing w:after="60"/>
      </w:pPr>
      <w:hyperlink r:id="rId633">
        <w:r>
          <w:rPr>
            <w:color w:val="0563C1"/>
            <w:u w:val="single"/>
          </w:rPr>
          <w:t>ato.gov.au</w:t>
        </w:r>
      </w:hyperlink>
      <w:r>
        <w:t xml:space="preserve"> – Tax File Number, Steuersätze, Medicare Levy und Surcharge, Superannuation, DASP</w:t>
      </w:r>
    </w:p>
    <w:p w14:paraId="4CF98BB4" w14:textId="77777777" w:rsidR="001F7233" w:rsidRDefault="001F7233">
      <w:pPr>
        <w:pStyle w:val="ListParagraph"/>
        <w:numPr>
          <w:ilvl w:val="0"/>
          <w:numId w:val="1"/>
        </w:numPr>
        <w:spacing w:after="60"/>
      </w:pPr>
      <w:hyperlink r:id="rId634">
        <w:r>
          <w:rPr>
            <w:color w:val="0563C1"/>
            <w:u w:val="single"/>
          </w:rPr>
          <w:t>servicesaustralia.gov.au</w:t>
        </w:r>
      </w:hyperlink>
      <w:r>
        <w:t xml:space="preserve"> – Centrelink, Medicare-Anmeldung</w:t>
      </w:r>
    </w:p>
    <w:p w14:paraId="1C7150E2" w14:textId="77777777" w:rsidR="001F7233" w:rsidRDefault="001F7233">
      <w:pPr>
        <w:pStyle w:val="ListParagraph"/>
        <w:numPr>
          <w:ilvl w:val="0"/>
          <w:numId w:val="1"/>
        </w:numPr>
        <w:spacing w:after="60"/>
      </w:pPr>
      <w:hyperlink r:id="rId635">
        <w:r>
          <w:rPr>
            <w:color w:val="0563C1"/>
            <w:u w:val="single"/>
          </w:rPr>
          <w:t>moneysmart.gov.au</w:t>
        </w:r>
      </w:hyperlink>
      <w:r>
        <w:t xml:space="preserve"> – unabhängige Verbraucherinformation der Finanzaufsicht ASIC, u. a. zu Kreditauskünften</w:t>
      </w:r>
    </w:p>
    <w:p w14:paraId="4238B56F" w14:textId="77777777" w:rsidR="001F7233" w:rsidRDefault="001F7233">
      <w:pPr>
        <w:pStyle w:val="ListParagraph"/>
        <w:numPr>
          <w:ilvl w:val="0"/>
          <w:numId w:val="1"/>
        </w:numPr>
        <w:spacing w:after="60"/>
      </w:pPr>
      <w:hyperlink r:id="rId636">
        <w:r>
          <w:rPr>
            <w:rStyle w:val="Hyperlink"/>
          </w:rPr>
          <w:t>equifax.com.au</w:t>
        </w:r>
      </w:hyperlink>
      <w:r>
        <w:t xml:space="preserve"> / </w:t>
      </w:r>
      <w:hyperlink r:id="rId637">
        <w:r>
          <w:rPr>
            <w:rStyle w:val="Hyperlink"/>
          </w:rPr>
          <w:t>experian.com.au</w:t>
        </w:r>
      </w:hyperlink>
      <w:r>
        <w:t xml:space="preserve"> (frühere australische illion-Daten bei Experian zusammengeführt, Stand 1. April 2026)</w:t>
      </w:r>
    </w:p>
    <w:p w14:paraId="14953A2B" w14:textId="77777777" w:rsidR="001F7233" w:rsidRDefault="001F7233">
      <w:pPr>
        <w:pStyle w:val="ListParagraph"/>
        <w:numPr>
          <w:ilvl w:val="0"/>
          <w:numId w:val="1"/>
        </w:numPr>
        <w:spacing w:after="60"/>
      </w:pPr>
      <w:hyperlink r:id="rId638">
        <w:r>
          <w:rPr>
            <w:color w:val="0563C1"/>
            <w:u w:val="single"/>
          </w:rPr>
          <w:t>commbank.com.au</w:t>
        </w:r>
      </w:hyperlink>
      <w:r>
        <w:t xml:space="preserve"> / </w:t>
      </w:r>
      <w:hyperlink r:id="rId639">
        <w:r>
          <w:rPr>
            <w:color w:val="0563C1"/>
            <w:u w:val="single"/>
          </w:rPr>
          <w:t>westpac.com.au</w:t>
        </w:r>
      </w:hyperlink>
      <w:r>
        <w:t xml:space="preserve"> / </w:t>
      </w:r>
      <w:hyperlink r:id="rId640">
        <w:r>
          <w:rPr>
            <w:color w:val="0563C1"/>
            <w:u w:val="single"/>
          </w:rPr>
          <w:t>nab.com.au</w:t>
        </w:r>
      </w:hyperlink>
      <w:r>
        <w:t xml:space="preserve"> / </w:t>
      </w:r>
      <w:hyperlink r:id="rId641">
        <w:r>
          <w:rPr>
            <w:color w:val="0563C1"/>
            <w:u w:val="single"/>
          </w:rPr>
          <w:t>anz.com.au</w:t>
        </w:r>
      </w:hyperlink>
      <w:r>
        <w:t xml:space="preserve"> – Kontoeröffnung für Neuankömmlinge</w:t>
      </w:r>
    </w:p>
    <w:p w14:paraId="3BE54B1A" w14:textId="77777777" w:rsidR="001F7233" w:rsidRDefault="001F7233">
      <w:pPr>
        <w:pStyle w:val="ListParagraph"/>
        <w:numPr>
          <w:ilvl w:val="0"/>
          <w:numId w:val="1"/>
        </w:numPr>
        <w:spacing w:after="60"/>
      </w:pPr>
      <w:hyperlink r:id="rId642">
        <w:r>
          <w:rPr>
            <w:color w:val="0563C1"/>
            <w:u w:val="single"/>
          </w:rPr>
          <w:t>mygov.au</w:t>
        </w:r>
      </w:hyperlink>
      <w:r>
        <w:t xml:space="preserve"> – Online-Portal für Steuererklärung und Behördengänge</w:t>
      </w:r>
    </w:p>
    <w:p w14:paraId="667F0939" w14:textId="77777777" w:rsidR="001F7233" w:rsidRDefault="001F7233">
      <w:pPr>
        <w:spacing w:line="120" w:lineRule="exact"/>
      </w:pPr>
    </w:p>
    <w:p w14:paraId="3291B550" w14:textId="77777777" w:rsidR="001F7233" w:rsidRDefault="00000000">
      <w:pPr>
        <w:pStyle w:val="ListParagraph"/>
      </w:pPr>
      <w:r>
        <w:t xml:space="preserve">AFSA — consequences of bankruptcy: </w:t>
      </w:r>
      <w:hyperlink r:id="rId643">
        <w:r w:rsidR="001F7233">
          <w:rPr>
            <w:rStyle w:val="Hyperlink"/>
          </w:rPr>
          <w:t>afsa.gov.au/i-cant-pay-my-debts/bankruptcy/consequences-bankruptcy</w:t>
        </w:r>
      </w:hyperlink>
    </w:p>
    <w:p w14:paraId="1AE57D3B" w14:textId="77777777" w:rsidR="001F7233" w:rsidRDefault="00000000">
      <w:pPr>
        <w:pStyle w:val="ListParagraph"/>
      </w:pPr>
      <w:r>
        <w:lastRenderedPageBreak/>
        <w:t xml:space="preserve">ASIC Moneysmart — financial hardship and debt: </w:t>
      </w:r>
      <w:hyperlink r:id="rId644">
        <w:r w:rsidR="001F7233">
          <w:rPr>
            <w:rStyle w:val="Hyperlink"/>
          </w:rPr>
          <w:t>moneysmart.gov.au/managing-debt</w:t>
        </w:r>
      </w:hyperlink>
    </w:p>
    <w:p w14:paraId="7101F8A1" w14:textId="77777777" w:rsidR="001F7233" w:rsidRDefault="00000000">
      <w:r>
        <w:t>• Quellen- und Datenstand: September 2026; Redaktionsschluss: Oktober 2026. Schnell ändern sich: Steuersätze und -schwellen (jährlich zum 1. Juli), Medicare-Levy-Surcharge-Schwellen, Superannuation-Sätze, DASP-Regeln und Kontoführungsgebühren der Banken. Prüfe vor jeder Entscheidung die aktuellen Werte auf ato.gov.au und den genannten Bank- und Auskunftei-Websites.</w:t>
      </w:r>
    </w:p>
    <w:p w14:paraId="73AC1B2B" w14:textId="77777777" w:rsidR="001F7233" w:rsidRDefault="00000000">
      <w:pPr>
        <w:spacing w:line="220" w:lineRule="exact"/>
      </w:pPr>
      <w:r>
        <w:br w:type="page"/>
      </w:r>
    </w:p>
    <w:p w14:paraId="2C9B2301" w14:textId="77777777" w:rsidR="001F7233" w:rsidRDefault="00000000">
      <w:pPr>
        <w:pStyle w:val="Heading2"/>
        <w:keepNext/>
        <w:spacing w:line="341" w:lineRule="auto"/>
        <w:jc w:val="center"/>
      </w:pPr>
      <w:bookmarkStart w:id="95" w:name="tau08"/>
      <w:r>
        <w:rPr>
          <w:rFonts w:ascii="Amazon Ember" w:eastAsia="Amazon Ember" w:hAnsi="Amazon Ember" w:cs="Amazon Ember"/>
          <w:color w:val="0000FF"/>
          <w:sz w:val="36"/>
          <w:szCs w:val="36"/>
        </w:rPr>
        <w:lastRenderedPageBreak/>
        <w:t>Australien: Das Gesundheitssystem</w:t>
      </w:r>
      <w:bookmarkEnd w:id="95"/>
    </w:p>
    <w:p w14:paraId="569AA3DF" w14:textId="77777777" w:rsidR="001F7233" w:rsidRDefault="00000000">
      <w:pPr>
        <w:spacing w:after="140"/>
      </w:pPr>
      <w:r>
        <w:t>Wer aus einem EU-Land nach Australien zieht, geht gern automatisch von einer Art Grundabsicherung aus. Europa hat doch für fast alles ein Abkommen, oder? Genau an dieser Selbstverständlichkeit hängt eine der teuersten Fehlannahmen für deutsche Auswanderer: Anders als Bürger der Niederlande, Belgiens oder Italiens haben Deutsche in Australien keinen automatischen Zugang zum staatlichen Gesundheitssystem. Wer das erst im Wartezimmer merkt, hat ein Problem, das sich mit ein wenig Vorbereitung vollständig vermeiden lässt. Dieses Kapitel erklärt, wie das System funktioniert, wer davon profitiert und was für alle anderen zwingend nötig ist.</w:t>
      </w:r>
    </w:p>
    <w:p w14:paraId="058D78EF" w14:textId="77777777" w:rsidR="001F7233" w:rsidRDefault="00000000">
      <w:r>
        <w:rPr>
          <w:b/>
        </w:rPr>
        <w:t xml:space="preserve">KURZ GESAGT: </w:t>
      </w:r>
    </w:p>
    <w:p w14:paraId="1F6510EA" w14:textId="77777777" w:rsidR="001F7233" w:rsidRDefault="00000000">
      <w:r>
        <w:t>• Medicare ist Australiens staatliches Krankenversicherungssystem, mitfinanziert über die Medicare Levy (2,0 % des zu versteuernden Einkommens), aber nicht jeder, der in Australien lebt, hat Zugang dazu.</w:t>
      </w:r>
    </w:p>
    <w:p w14:paraId="03469B4E" w14:textId="77777777" w:rsidR="001F7233" w:rsidRDefault="00000000">
      <w:r>
        <w:t>• Australien hat mit elf Ländern ein Reciprocal Health Care Agreement (RHCA, ein zwischenstaatliches Gegenseitigkeitsabkommen zur medizinischen Grundversorgung), darunter die Niederlande, Belgien und Italien. Deutschland gehört nicht dazu.</w:t>
      </w:r>
    </w:p>
    <w:p w14:paraId="46C0BEF3" w14:textId="77777777" w:rsidR="001F7233" w:rsidRDefault="00000000">
      <w:r>
        <w:t>• Permanent Residents (PR, Inhaber einer unbefristeten Aufenthaltserlaubnis; etwa nach Subclass 189, 190 oder 191) können sich ab dem Ankunftstag bei Medicare anmelden.</w:t>
      </w:r>
    </w:p>
    <w:p w14:paraId="6B6A5249" w14:textId="77777777" w:rsidR="001F7233" w:rsidRDefault="00000000">
      <w:r>
        <w:t>• Inhaber befristeter Visa – Working Holiday, Studium, die meisten Arbeitsvisa. Brauchen zwingend eine private Versicherung: Overseas Visitor Health Cover (OVHC) oder, für Studierende, Overseas Student Health Cover (OSHC).</w:t>
      </w:r>
    </w:p>
    <w:p w14:paraId="68E39B79" w14:textId="77777777" w:rsidR="001F7233" w:rsidRDefault="00000000">
      <w:r>
        <w:t>• Wer gut verdient, Medicare-berechtigt ist, aber keine private Krankenhausversicherung hat, zahlt obendrein die Medicare Levy Surcharge.</w:t>
      </w:r>
    </w:p>
    <w:p w14:paraId="7ED072F4" w14:textId="77777777" w:rsidR="001F7233" w:rsidRDefault="00000000">
      <w:r>
        <w:lastRenderedPageBreak/>
        <w:t>• Zahnbehandlung für Erwachsene und die meisten Sehhilfen deckt Medicare grundsätzlich nicht ab.</w:t>
      </w:r>
    </w:p>
    <w:p w14:paraId="1DD70077" w14:textId="77777777" w:rsidR="001F7233" w:rsidRDefault="001F7233">
      <w:pPr>
        <w:spacing w:line="220" w:lineRule="exact"/>
      </w:pPr>
    </w:p>
    <w:p w14:paraId="5C3998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das staatliche System, kurz erklärt</w:t>
      </w:r>
    </w:p>
    <w:p w14:paraId="289FBE03" w14:textId="77777777" w:rsidR="001F7233" w:rsidRDefault="00000000">
      <w:pPr>
        <w:spacing w:after="140"/>
      </w:pPr>
      <w:r>
        <w:t>Medicare ist Australiens staatliches Krankenversicherungssystem, die australische Antwort auf die Frage, wie ein Land ohne deutsches GKV-Modell trotzdem eine gewisse Grundversorgung für alle sicherstellt. Finanziert wird es unter anderem über die Medicare Levy, eine pauschale Abgabe von 2,0 % des zu versteuernden Einkommens, die Ansässige mit Medicare-Zugang auch zur normalen Einkommensteuer zahlen. Bei niedrigem Einkommen (2026–27 unterhalb von rund 28.011 AUD) entfällt sie ganz oder teilweise. Wer keinen Medicare-Zugang hat, zahlt konsequenterweise auch keine Medicare Levy.</w:t>
      </w:r>
    </w:p>
    <w:p w14:paraId="134934D0" w14:textId="77777777" w:rsidR="001F7233" w:rsidRDefault="00000000">
      <w:pPr>
        <w:spacing w:after="140"/>
      </w:pPr>
      <w:r>
        <w:t>Anders als die deutsche GKV ist Medicare kein System aus konkurrierenden Kassen, sondern eine einzige staatliche Einrichtung, verwaltet von Services Australia. Berechtigte erhalten eine Medicare-Karte, mit der sie Arztbesuche und Behandlungen in öffentlichen Krankenhäusern abrechnen. Wie beim deutschen System deckt Medicare die medizinische Grundversorgung ab. Wie in vielen Ländern mit gemischten Systemen bleiben Zahnbehandlungen für Erwachsene, die meisten Sehhilfen und einige weitere Leistungen außen vor (dazu später mehr).</w:t>
      </w:r>
    </w:p>
    <w:p w14:paraId="7A7BBA1E" w14:textId="77777777" w:rsidR="001F7233" w:rsidRDefault="00000000">
      <w:r>
        <w:rPr>
          <w:b/>
        </w:rPr>
        <w:t xml:space="preserve">MERKE: </w:t>
      </w:r>
    </w:p>
    <w:p w14:paraId="77A017B1" w14:textId="77777777" w:rsidR="001F7233" w:rsidRDefault="00000000">
      <w:r>
        <w:t>• Medicare ist an die Staatsangehörigkeit oder den Aufenthaltsstatus geknüpft, nicht einfach an den Wohnort. Wer in Australien lebt, arbeitet und Steuern zahlt, ist deshalb nicht automatisch Medicare-berechtigt. Das ist der zentrale Unterschied zur deutschen Logik, in der die Versicherungspflicht am Wohnsitz und der Beschäftigung hängt.</w:t>
      </w:r>
    </w:p>
    <w:p w14:paraId="53B9D8CF" w14:textId="77777777" w:rsidR="001F7233" w:rsidRDefault="001F7233">
      <w:pPr>
        <w:spacing w:line="220" w:lineRule="exact"/>
      </w:pPr>
    </w:p>
    <w:p w14:paraId="1BBF72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entscheidende Unterschied: Deutschland hat kein Abkommen mit Australien</w:t>
      </w:r>
    </w:p>
    <w:p w14:paraId="1A9CBCB7" w14:textId="77777777" w:rsidR="001F7233" w:rsidRDefault="00000000">
      <w:pPr>
        <w:spacing w:after="140"/>
      </w:pPr>
      <w:r>
        <w:t>Für den eingeschränkten Zugang von Besuchern und befristeten Visuminhabern zu Medicare gibt es einen einzigen Schlüssel: das RHCA. Australien hat solche Abkommen mit genau elf Ländern geschlossen: dem Vereinigten Königreich, Irland, Neuseeland, Schweden, den Niederlanden, Finnland, Norwegen, Belgien, Slowenien, Malta und Italien. Staatsangehörige dieser Länder erhalten während eines befristeten Aufenthalts eingeschränkten Zugang zu medizinisch notwendiger Behandlung über Medicare, ganz ohne eigene australische Aufenthaltserlaubnis auf Dauer.</w:t>
      </w:r>
    </w:p>
    <w:p w14:paraId="0A007D7E" w14:textId="77777777" w:rsidR="001F7233" w:rsidRDefault="00000000">
      <w:pPr>
        <w:spacing w:after="140"/>
      </w:pPr>
      <w:r>
        <w:rPr>
          <w:b/>
          <w:bCs/>
        </w:rPr>
        <w:t>Deutschland steht nicht auf dieser Liste. Das ist keine Lücke, die sich demnächst schließt, sondern seit Jahren unveränderter Stand und ausgerechnet deshalb hält sich hier ein Irrtum hartnäckig: Wer aus einem RHCA-Land wie den Niederlanden oder Belgien nach Australien zieht, hat es in dieser Hinsicht spürbar leichter als jemand aus Deutschland. Obwohl beide EU-Bürger sind und in Europas ähnliche Rechte genießen. Diese Logik überträgt sich nicht automatisch auf Australien. Die beiden Systeme haben schlicht keinen entsprechenden Vertrag miteinander.</w:t>
      </w:r>
    </w:p>
    <w:p w14:paraId="4FDB096A" w14:textId="77777777" w:rsidR="001F7233" w:rsidRDefault="00000000">
      <w:pPr>
        <w:spacing w:after="140"/>
      </w:pPr>
      <w:r>
        <w:t xml:space="preserve">Verbreiteter Irrtum: Viele deutsche Auswanderer nehmen an, dass zumindest ein Mindestmaß an Absicherung über zwischenstaatliche Abkommen automatisch mitkommt, so wie es in der EU mit der Europäischen Krankenversicherungskarte funktioniert. Tatsächlich gibt es zwischen Deutschland und Australien kein solches Abkommen und die Europäische Krankenversicherungskarte gilt ohnehin nur in der EU sowie in einigen weiteren europäischen </w:t>
      </w:r>
      <w:r>
        <w:lastRenderedPageBreak/>
        <w:t>Staaten. Für Australien ist sie wertlos. Praktisch bedeutet das: Jeder Tag ohne gültige private Absicherung ist ein Tag mit vollem finanziellem Risiko, unabhängig davon, wie gesund du dich fühlst, wenn das Flugzeug landet.</w:t>
      </w:r>
    </w:p>
    <w:p w14:paraId="2104FBA8" w14:textId="77777777" w:rsidR="001F7233" w:rsidRDefault="00000000">
      <w:r>
        <w:rPr>
          <w:b/>
        </w:rPr>
        <w:t xml:space="preserve">ACHTUNG: </w:t>
      </w:r>
    </w:p>
    <w:p w14:paraId="57370ED5" w14:textId="77777777" w:rsidR="001F7233" w:rsidRDefault="00000000">
      <w:r>
        <w:t>• Verlass dich nicht auf Erzählungen von Bekannten aus anderen EU-Ländern, die von unkompliziertem Medicare-Zugang berichten. Was für niederländische, belgische oder italienische Nachbarn gilt, gilt für dich als Deutschen nicht. Frage im Zweifel nicht Bekannte, sondern direkt Services Australia oder deine Versicherung.</w:t>
      </w:r>
    </w:p>
    <w:p w14:paraId="7640E10F" w14:textId="77777777" w:rsidR="001F7233" w:rsidRDefault="001F7233">
      <w:pPr>
        <w:spacing w:line="220" w:lineRule="exact"/>
      </w:pPr>
    </w:p>
    <w:p w14:paraId="3206FA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Medicare bekommt – und wer nicht</w:t>
      </w:r>
    </w:p>
    <w:p w14:paraId="50D54750" w14:textId="77777777" w:rsidR="001F7233" w:rsidRDefault="00000000">
      <w:pPr>
        <w:spacing w:after="140"/>
      </w:pPr>
      <w:r>
        <w:t>Für die Praxis zählt vor allem der Aufenthaltsstatus, nicht die gute Absicht. Diese Übersicht ordnet die wichtigsten Situationen ein:</w:t>
      </w:r>
    </w:p>
    <w:p w14:paraId="211DB383" w14:textId="77777777" w:rsidR="001F7233" w:rsidRDefault="00000000">
      <w:r>
        <w:rPr>
          <w:b/>
        </w:rPr>
        <w:t>Permanent Resident (z. B. Subclass 189, 190, 191)</w:t>
      </w:r>
    </w:p>
    <w:p w14:paraId="0B7C6E34" w14:textId="77777777" w:rsidR="001F7233" w:rsidRDefault="00000000">
      <w:r>
        <w:rPr>
          <w:b/>
        </w:rPr>
        <w:t xml:space="preserve">Medicare-Zugang: </w:t>
      </w:r>
      <w:r>
        <w:t>Ja, ab Ankunft mit gültigem PR-Visum</w:t>
      </w:r>
    </w:p>
    <w:p w14:paraId="3F9C6A8D" w14:textId="77777777" w:rsidR="001F7233" w:rsidRDefault="00000000">
      <w:r>
        <w:rPr>
          <w:b/>
        </w:rPr>
        <w:t xml:space="preserve">Was du brauchst: </w:t>
      </w:r>
      <w:r>
        <w:t>Anmeldung bei Services Australia</w:t>
      </w:r>
    </w:p>
    <w:p w14:paraId="6EB07CC2" w14:textId="77777777" w:rsidR="001F7233" w:rsidRDefault="00000000">
      <w:r>
        <w:rPr>
          <w:b/>
        </w:rPr>
        <w:t>Working Holiday (417)</w:t>
      </w:r>
    </w:p>
    <w:p w14:paraId="03AF2101" w14:textId="77777777" w:rsidR="001F7233" w:rsidRDefault="00000000">
      <w:r>
        <w:rPr>
          <w:b/>
        </w:rPr>
        <w:t xml:space="preserve">Medicare-Zugang: </w:t>
      </w:r>
      <w:r>
        <w:t>Nein</w:t>
      </w:r>
    </w:p>
    <w:p w14:paraId="7091E705" w14:textId="77777777" w:rsidR="001F7233" w:rsidRDefault="00000000">
      <w:r>
        <w:rPr>
          <w:b/>
        </w:rPr>
        <w:t xml:space="preserve">Was du brauchst: </w:t>
      </w:r>
      <w:r>
        <w:t>OVHC ab Ankunftstag</w:t>
      </w:r>
    </w:p>
    <w:p w14:paraId="2858ABD8" w14:textId="77777777" w:rsidR="001F7233" w:rsidRDefault="00000000">
      <w:r>
        <w:rPr>
          <w:b/>
        </w:rPr>
        <w:t>Skilled-Arbeitsvisum (z. B. 482)</w:t>
      </w:r>
    </w:p>
    <w:p w14:paraId="6CC54F37" w14:textId="77777777" w:rsidR="001F7233" w:rsidRDefault="00000000">
      <w:r>
        <w:rPr>
          <w:b/>
        </w:rPr>
        <w:t xml:space="preserve">Medicare-Zugang: </w:t>
      </w:r>
      <w:r>
        <w:t>Nein</w:t>
      </w:r>
    </w:p>
    <w:p w14:paraId="687CD156" w14:textId="77777777" w:rsidR="001F7233" w:rsidRDefault="00000000">
      <w:r>
        <w:rPr>
          <w:b/>
        </w:rPr>
        <w:t xml:space="preserve">Was du brauchst: </w:t>
      </w:r>
      <w:r>
        <w:t>OVHC, vom Arbeitgeber teils bezuschusst</w:t>
      </w:r>
    </w:p>
    <w:p w14:paraId="1777C0DD" w14:textId="77777777" w:rsidR="001F7233" w:rsidRDefault="00000000">
      <w:r>
        <w:rPr>
          <w:b/>
        </w:rPr>
        <w:t>Student (500)</w:t>
      </w:r>
    </w:p>
    <w:p w14:paraId="682E91FC" w14:textId="77777777" w:rsidR="001F7233" w:rsidRDefault="00000000">
      <w:r>
        <w:rPr>
          <w:b/>
        </w:rPr>
        <w:t xml:space="preserve">Medicare-Zugang: </w:t>
      </w:r>
      <w:r>
        <w:t>Nein</w:t>
      </w:r>
    </w:p>
    <w:p w14:paraId="5DA3571F" w14:textId="77777777" w:rsidR="001F7233" w:rsidRDefault="00000000">
      <w:r>
        <w:rPr>
          <w:b/>
        </w:rPr>
        <w:t xml:space="preserve">Was du brauchst: </w:t>
      </w:r>
      <w:r>
        <w:t>OSHC, bereits bei Visumantrag nachzuweisen</w:t>
      </w:r>
    </w:p>
    <w:p w14:paraId="5E5233A6" w14:textId="77777777" w:rsidR="001F7233" w:rsidRDefault="001F7233">
      <w:pPr>
        <w:spacing w:line="180" w:lineRule="exact"/>
      </w:pPr>
    </w:p>
    <w:p w14:paraId="12945D05" w14:textId="77777777" w:rsidR="001F7233" w:rsidRDefault="00000000">
      <w:pPr>
        <w:spacing w:after="140"/>
      </w:pPr>
      <w:r>
        <w:t xml:space="preserve">Die meisten befristeten Visa-Inhaber – ausdrücklich samt Subclass 482 und 500. Sind also nicht Medicare-berechtigt, sofern keine Ausnahme per Ministerial Order greift oder ein RHCA-Land </w:t>
      </w:r>
      <w:r>
        <w:lastRenderedPageBreak/>
        <w:t>einschlägig ist, was für Deutsche nicht der Fall ist. Das betrifft in der Praxis fast jeden Weg, den ein deutscher Auswanderer typischerweise zuerst geht: Working Holiday, Studium, der arbeitgebergesponserte Einstieg über ein Skilled-Visum. Erst mit einem tatsächlich bewilligten Permanent-Resident-Status öffnet sich Medicare, sei es direkt über den Punktetest oder später über den Umstieg von einem befristeten Arbeitsvisum.</w:t>
      </w:r>
    </w:p>
    <w:p w14:paraId="60C14A01" w14:textId="77777777" w:rsidR="001F7233" w:rsidRDefault="00000000">
      <w:r>
        <w:rPr>
          <w:b/>
        </w:rPr>
        <w:t xml:space="preserve">MERKE: </w:t>
      </w:r>
    </w:p>
    <w:p w14:paraId="7240E340" w14:textId="77777777" w:rsidR="001F7233" w:rsidRDefault="00000000">
      <w:r>
        <w:t>• Der Wechsel von befristetem Visum zu Permanent Residence ist auch ein Wechsel im Gesundheitssystem. Bis zur Bewilligung der PR bleibt die private Versicherung Pflicht, selbst wenn der PR-Antrag längst läuft. Erst der bewilligte Status zählt, nicht die Antragstellung.</w:t>
      </w:r>
    </w:p>
    <w:p w14:paraId="3E5AF4C1" w14:textId="77777777" w:rsidR="001F7233" w:rsidRDefault="001F7233">
      <w:pPr>
        <w:spacing w:line="220" w:lineRule="exact"/>
      </w:pPr>
    </w:p>
    <w:p w14:paraId="426C56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 kurz</w:t>
      </w:r>
    </w:p>
    <w:p w14:paraId="5132A974" w14:textId="77777777" w:rsidR="001F7233" w:rsidRDefault="00000000">
      <w:pPr>
        <w:spacing w:after="140"/>
      </w:pPr>
      <w:r>
        <w:t xml:space="preserve">Sobald du Medicare-berechtigt bist – meist also erst mit PR-Status –, wird die Medicare Levy Teil deiner Steuerrechnung: pauschal 2,0 % des zu versteuernden Einkommens, mit Ermäßigung bei niedrigem Einkommen. Gut verdienende Medicare-Berechtigte ohne private Krankenhausversicherung zahlen obendrein die Medicare Levy Surcharge (MLS) von 1,0 bis 1,5 %, je nach Einkommen. Die genauen Schwellen und die volle Systematik erklärt das </w:t>
      </w:r>
      <w:hyperlink w:anchor="tau07">
        <w:r w:rsidR="001F7233">
          <w:rPr>
            <w:color w:val="0563C1"/>
            <w:u w:val="single"/>
          </w:rPr>
          <w:t>Kapitel zu Steuer-ID, Bank und Kredit in diesem Teil</w:t>
        </w:r>
      </w:hyperlink>
      <w:r>
        <w:t xml:space="preserve"> im Detail.</w:t>
      </w:r>
    </w:p>
    <w:p w14:paraId="1F9BAE52" w14:textId="77777777" w:rsidR="001F7233" w:rsidRDefault="00000000">
      <w:pPr>
        <w:spacing w:after="140"/>
      </w:pPr>
      <w:r>
        <w:t>Für Neuankömmlinge auf befristetem Visum ist die MLS in der Praxis kein Thema, denn sie greift nur bei Medicare-Berechtigten und wer stattdessen zwingend OVHC oder OSHC abschließt, zahlt sie nicht. Relevant wird sie erst mit PR-Status und entsprechendem Einkommen. Dann lohnt sich der Vergleich, ob eine private Krankenhausversicherung nicht ohnehin günstiger kommt als die Abgabe.</w:t>
      </w:r>
    </w:p>
    <w:p w14:paraId="327B37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Private Absicherung: OVHC und OSHC</w:t>
      </w:r>
    </w:p>
    <w:p w14:paraId="3C19E17D" w14:textId="77777777" w:rsidR="001F7233" w:rsidRDefault="00000000">
      <w:pPr>
        <w:spacing w:after="140"/>
      </w:pPr>
      <w:r>
        <w:t>Für alle, die noch keinen Medicare-Zugang haben, ist private Absicherung keine Option, sondern in den meisten Fällen direkt an das Visum geknüpft. Zwei Produkte sind hier maßgeblich.</w:t>
      </w:r>
    </w:p>
    <w:p w14:paraId="47EC3C98" w14:textId="77777777" w:rsidR="001F7233" w:rsidRDefault="00000000">
      <w:pPr>
        <w:spacing w:after="140"/>
      </w:pPr>
      <w:r>
        <w:t>OVHC richtet sich an die meisten befristeten, nicht-studentischen Visa. Darunter Skilled-Arbeitsvisa wie Subclass 482, aber auch andere befristete Kategorien. Für Subclass-482-Inhaber verlangt Home Affairs den Nachweis bei jeder Einreise nach Australien. Die Prämien schwanken stark nach Alter, Anbieter und Deckungsumfang: Einstiegsprodukte beginnen bei rund 72,50 AUD im Monat mit einem Selbstbehalt von 500 AUD, marktüblich liegt eine Einzelperson eher bei 80 bis 150 AUD im Monat.</w:t>
      </w:r>
    </w:p>
    <w:p w14:paraId="4CDD784C" w14:textId="77777777" w:rsidR="001F7233" w:rsidRDefault="00000000">
      <w:pPr>
        <w:spacing w:after="140"/>
      </w:pPr>
      <w:r>
        <w:t>OSHC ist für Inhaber eines Student Visa (Subclass 500) während der gesamten Studiendauer verpflichtend und muss schon bei der Visumantragstellung nachgewiesen werden. Ohne OSHC-Bestätigung kommt der Antrag gar nicht erst durch. Die Kosten liegen bei rund 500 bis 700 AUD im Jahr für eine Einzelperson, abhängig vom Anbieter.</w:t>
      </w:r>
    </w:p>
    <w:p w14:paraId="675CD6B8" w14:textId="77777777" w:rsidR="001F7233" w:rsidRDefault="00000000">
      <w:pPr>
        <w:spacing w:after="140"/>
      </w:pPr>
      <w:r>
        <w:t>Wichtig für beide Produkte: Beide sind keine Medicare-Ersatzkarte, sondern private Versicherungsverträge mit eigenem Netzwerk, eigenen Bedingungen und eigenem Kleingedrucktem. Vergleiche vor dem Abschluss, was genau abgedeckt ist. Ambulante Behandlung, Krankenhausaufenthalt, Rücktransport – und ob Vorerkrankungen ausgeschlossen sind. Working-Holiday-Reisende sind rechtlich nicht in jedem Fall so eindeutig zum Abschluss verpflichtet wie etwa Studierende oder bestimmte Arbeitsvisa-Inhaber. Sie sollten aber angesichts des fehlenden Medicare-Zugangs trotzdem nicht ohne Versicherung reisen.</w:t>
      </w:r>
    </w:p>
    <w:p w14:paraId="6FA64C40" w14:textId="77777777" w:rsidR="001F7233" w:rsidRDefault="00000000">
      <w:r>
        <w:rPr>
          <w:b/>
        </w:rPr>
        <w:t xml:space="preserve">SPARTIPP: </w:t>
      </w:r>
    </w:p>
    <w:p w14:paraId="59C8134F" w14:textId="77777777" w:rsidR="001F7233" w:rsidRDefault="00000000">
      <w:r>
        <w:t xml:space="preserve">• Schließe OVHC oder OSHC schon von Deutschland aus ab, mit Beginn zum Ankunftstag. Dann besteht ab der Landung durchgehend </w:t>
      </w:r>
      <w:r>
        <w:lastRenderedPageBreak/>
        <w:t>Versicherungsschutz, ohne Lücke zwischen Abflug und dem ersten möglichen Vertragsbeginn vor Ort.</w:t>
      </w:r>
    </w:p>
    <w:p w14:paraId="6B999271" w14:textId="77777777" w:rsidR="001F7233" w:rsidRDefault="001F7233">
      <w:pPr>
        <w:spacing w:line="220" w:lineRule="exact"/>
      </w:pPr>
    </w:p>
    <w:p w14:paraId="7D93E398" w14:textId="77777777" w:rsidR="001F7233" w:rsidRDefault="001F7233">
      <w:pPr>
        <w:spacing w:line="220" w:lineRule="exact"/>
      </w:pPr>
    </w:p>
    <w:p w14:paraId="2D8F49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anmelden: der Ablauf für Permanent Residents</w:t>
      </w:r>
    </w:p>
    <w:p w14:paraId="6D0F7352" w14:textId="77777777" w:rsidR="001F7233" w:rsidRDefault="00000000">
      <w:pPr>
        <w:spacing w:after="140"/>
      </w:pPr>
      <w:r>
        <w:t>Wer mit einem bewilligten PR-Visum einreist, kann die Medicare-Anmeldung als einen der ersten Behördenwege erledigen. Die Anmeldung läuft persönlich bei einem Service-Center von Services Australia, nicht online. Mitzubringen sind der Reisepass, der Nachweis über das bewilligte Visum (die Bewilligungsmitteilung von Home Affairs oder der entsprechende Eintrag im ImmiAccount) sowie ein Adressnachweis. Eine feste, langfristige Adresse ist dafür nicht zwingend nötig. Auch die Adresse der Übergangsunterkunft kann reichen, solange sie belegbar ist.</w:t>
      </w:r>
    </w:p>
    <w:p w14:paraId="04C80AED" w14:textId="77777777" w:rsidR="001F7233" w:rsidRDefault="00000000">
      <w:pPr>
        <w:spacing w:after="140"/>
      </w:pPr>
      <w:r>
        <w:t>Nach der Anmeldung erhältst du eine Medicare-Nummer, die Karte selbst kommt danach per Post nach. Bis sie eintrifft, gilt die Nummer bereits als Nachweis der Berechtigung. Bewahre die Anmeldebestätigung deshalb griffbereit auf, etwa als Foto auf dem Handy. Melde neben dir selbst auch Partner und Kinder gleich mit an. Sie laufen in Australien meist über einen gemeinsamen Familieneintrag, ähnlich wie bei der Krankenversicherungskarte in Deutschland, nur eben ohne Kassenwahl.</w:t>
      </w:r>
    </w:p>
    <w:p w14:paraId="0957DC93" w14:textId="77777777" w:rsidR="001F7233" w:rsidRDefault="00000000">
      <w:r>
        <w:rPr>
          <w:b/>
        </w:rPr>
        <w:t xml:space="preserve">MERKE: </w:t>
      </w:r>
    </w:p>
    <w:p w14:paraId="0AB5A8E8" w14:textId="77777777" w:rsidR="001F7233" w:rsidRDefault="00000000">
      <w:r>
        <w:t>• Die Medicare-Anmeldung ersetzt nicht automatisch eine bereits laufende private Versicherung aus Deutschland oder eine Übergangs-OVHC. Kündige diese erst, wenn die Medicare-Berechtigung tatsächlich bestätigt ist. Die Bearbeitung kann einige Tage dauern, und eine Deckungslücke dazwischen ist unnötig.</w:t>
      </w:r>
    </w:p>
    <w:p w14:paraId="761D73EA" w14:textId="77777777" w:rsidR="001F7233" w:rsidRDefault="001F7233">
      <w:pPr>
        <w:spacing w:line="220" w:lineRule="exact"/>
      </w:pPr>
    </w:p>
    <w:p w14:paraId="62F4DB95" w14:textId="77777777" w:rsidR="001F7233" w:rsidRDefault="001F7233">
      <w:pPr>
        <w:spacing w:line="220" w:lineRule="exact"/>
      </w:pPr>
    </w:p>
    <w:p w14:paraId="6698BB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Beim Arzt und im Krankenhaus: Bulk Billing, Gap und Wartelisten</w:t>
      </w:r>
    </w:p>
    <w:p w14:paraId="0C5CCA5B" w14:textId="77777777" w:rsidR="001F7233" w:rsidRDefault="00000000">
      <w:pPr>
        <w:spacing w:after="140"/>
      </w:pPr>
      <w:r>
        <w:rPr>
          <w:i/>
          <w:iCs/>
        </w:rPr>
        <w:t>Ist der Medicare-Zugang einmal da, unterscheidet sich der Praxisalltag deutlich vom deutschen System. Hausärzte (General Practitioners, GPs) rechnen entweder per Bulk Billing direkt mit Medicare ab, dann zahlst du beim Termin nichts dazu oder sie verlangen eine eigene Gebühr, von der Medicare nur einen Teil erstattet. Die Differenz (Gap) trägst du selbst. Ob eine Praxis bulk-billt, ist von Praxis zu Praxis unterschiedlich und ändert sich. Frage deshalb am Telefon nach, bevor du einen Termin buchst, statt es erst am Empfang zu erfahren.</w:t>
      </w:r>
    </w:p>
    <w:p w14:paraId="5ECBBDC7" w14:textId="77777777" w:rsidR="001F7233" w:rsidRDefault="00000000">
      <w:pPr>
        <w:spacing w:after="140"/>
      </w:pPr>
      <w:r>
        <w:t>Öffentliche Krankenhäuser behandeln Medicare-Berechtigte für viele Leistungen kostenfrei. Planbare, nicht dringende Eingriffe laufen dort aber über Wartelisten, die je nach Bundesstaat und Eingriff spürbar lang werden können. Genau hier setzt private Krankenhausversicherung an, die viele Australier auch zu Medicare abschließen. Sie ermöglicht die freie Wahl von Arzt und privater Klinik sowie meist kürzere Wartezeiten bei planbaren Operationen. Wer sie nicht hat und gut verdient, zahlt dafür wie beschrieben die Medicare Levy Surcharge.</w:t>
      </w:r>
    </w:p>
    <w:p w14:paraId="493C6863" w14:textId="77777777" w:rsidR="001F7233" w:rsidRDefault="00000000">
      <w:pPr>
        <w:spacing w:after="140"/>
      </w:pPr>
      <w:r>
        <w:t xml:space="preserve">Für Notfälle gilt in Australien der Notruf </w:t>
      </w:r>
      <w:r>
        <w:rPr>
          <w:i/>
          <w:iCs/>
        </w:rPr>
        <w:t>Triple Zero</w:t>
      </w:r>
      <w:r>
        <w:t xml:space="preserve"> (000), der Polizei, Feuerwehr und Rettungsdienst gleichermaßen erreicht. Öffentliche Notaufnahmen (</w:t>
      </w:r>
      <w:r>
        <w:rPr>
          <w:i/>
          <w:iCs/>
        </w:rPr>
        <w:t>Emergency Department</w:t>
      </w:r>
      <w:r>
        <w:t>, die Notaufnahme) behandeln unabhängig vom Versicherungsstatus, die Abrechnung folgt im Nachgang: für Medicare-Berechtigte über Medicare, für alle anderen über die private Versicherung oder, ohne beides, als Eigenrechnung.</w:t>
      </w:r>
    </w:p>
    <w:p w14:paraId="2D7D89CA" w14:textId="77777777" w:rsidR="001F7233" w:rsidRDefault="00000000">
      <w:r>
        <w:rPr>
          <w:b/>
        </w:rPr>
        <w:t xml:space="preserve">ACHTUNG: </w:t>
      </w:r>
    </w:p>
    <w:p w14:paraId="441BCC78" w14:textId="77777777" w:rsidR="001F7233" w:rsidRDefault="00000000">
      <w:r>
        <w:t>• OVHC und OSHC sind keine Medicare-Ersatzkarte fürs öffentliche System, sondern greifen meist bei privater ambulanter und stationärer Behandlung. Sie ersetzen nicht in jedem Fall den vollen Zugang zum öffentlichen Krankenhaussystem, den Medicare-</w:t>
      </w:r>
      <w:r>
        <w:lastRenderedPageBreak/>
        <w:t>Berechtigte haben. Kläre vor einem geplanten Eingriff mit deiner Versicherung, was konkret gedeckt ist.</w:t>
      </w:r>
    </w:p>
    <w:p w14:paraId="797FF95F" w14:textId="77777777" w:rsidR="001F7233" w:rsidRDefault="001F7233">
      <w:pPr>
        <w:spacing w:line="220" w:lineRule="exact"/>
      </w:pPr>
    </w:p>
    <w:p w14:paraId="3D8EB3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Zahn, Augen, Psychotherapie: was Medicare nicht abdeckt</w:t>
      </w:r>
    </w:p>
    <w:p w14:paraId="2680E870" w14:textId="77777777" w:rsidR="001F7233" w:rsidRDefault="00000000">
      <w:pPr>
        <w:spacing w:after="140"/>
      </w:pPr>
      <w:r>
        <w:rPr>
          <w:i/>
          <w:iCs/>
        </w:rPr>
        <w:t>Wie in vielen Ländern mit gemischten Gesundheitssystemen deckt Medicare Zahnbehandlungen für Erwachsene meist nicht ab, ebenso wenig die meisten Sehhilfen. Wer das absichern möchte, schließt einen zusätzlichen privaten Extras-Tarif ab, oft im selben Paket wie die private Krankenhausversicherung, aber als eigener Baustein mit eigenen Jahreshöchstgrenzen. Ohne eine solche Zusatzversicherung zahlst du Kontrolluntersuchung, Füllung oder Brille komplett selbst.</w:t>
      </w:r>
    </w:p>
    <w:p w14:paraId="3A61E043" w14:textId="77777777" w:rsidR="001F7233" w:rsidRDefault="00000000">
      <w:pPr>
        <w:spacing w:after="140"/>
      </w:pPr>
      <w:r>
        <w:rPr>
          <w:i/>
          <w:iCs/>
        </w:rPr>
        <w:t>Psychologische und psychotherapeutische Behandlung ist über Medicare in eingeschränktem Umfang zugänglich: Mit einer Überweisung vom Hausarzt (einem sogenannten Mental Health Treatment Plan, einem Behandlungsplan für psychische Gesundheit) übernimmt Medicare einen begrenzten Teil der Kosten für eine festgelegte Anzahl an Sitzungen pro Jahr. Alles außerdem läuft über Eigenkosten oder eine private Zusatzversicherung. Für Inhaber von OVHC oder OSHC ist die psychologische Versorgung noch enger begrenzt und im Einzelfall bei der jeweiligen Police nachzulesen.</w:t>
      </w:r>
    </w:p>
    <w:p w14:paraId="57E5406E" w14:textId="77777777" w:rsidR="001F7233" w:rsidRDefault="00000000">
      <w:r>
        <w:t>Wegovy (Semaglutid) ist verschreibungspflichtig; Eignung, Risiken, Kosten und Verlauf gehören in ärztliche Beratung. Bei Online-Anbietern wie Hims &amp; Hers prüfe, ob sie dich im Land versorgen, wer verschreibt, welches zugelassene Präparat verwendet wird und wie Nachsorge und Kündigung geregelt sind. Für Botox, Filler und kosmetische Chirurgie Registrierung bei AHPRA, Operationsort und Nachsorge prüfen. Überblick: https://www.healthdirect.gov.au/guide-to-cosmetic-surgery; Arzneimittelwarnungen: https://www.tga.gov.au/.</w:t>
      </w:r>
    </w:p>
    <w:p w14:paraId="10E5B0DA" w14:textId="77777777" w:rsidR="001F7233" w:rsidRDefault="00000000">
      <w:pPr>
        <w:pStyle w:val="Heading3"/>
      </w:pPr>
      <w:r>
        <w:lastRenderedPageBreak/>
        <w:t>Gewicht, Abnehmmedikamente und ästhetische Eingriffe</w:t>
      </w:r>
    </w:p>
    <w:p w14:paraId="56BE5C75" w14:textId="77777777" w:rsidR="001F7233" w:rsidRDefault="00000000">
      <w:r>
        <w:t>Bei mildem, kurzem Durchfall helfen Ruhe und häufige kleine Schlucke Wasser oder orale Rehydratationslösung. Wasch die Hände gründlich und geh nicht zur Arbeit mit Lebensmitteln, solange du ansteckend krank bist. Durchfallmittel wie Loperamid nur nach Packungsbeilage oder Rat von Apotheke oder Arzt. Nicht eigenmächtig bei Fieber oder Blut im Stuhl. Lass dich beraten, wenn es nach zwei bis drei Tagen anhält, du zu einer Risikogruppe gehörst oder unsicher bist. Blut oder schwarzer Stuhl, starke Schmerzen, hohes Fieber, Verwirrtheit, Ohnmacht, sehr wenig Urin oder anhaltendes Erbrechen sind dringende Warnzeichen. Für allgemeine telefonische Beratung erreichst du Healthdirect unter 1800 022 222; bei lebensbedrohlichem Notfall wählst du 000.</w:t>
      </w:r>
    </w:p>
    <w:p w14:paraId="5FEDD65C" w14:textId="77777777" w:rsidR="001F7233" w:rsidRDefault="00000000">
      <w:pPr>
        <w:pStyle w:val="Heading3"/>
      </w:pPr>
      <w:r>
        <w:t>Schmerzmittel: australische Namen und sichere Auswahl</w:t>
      </w:r>
    </w:p>
    <w:p w14:paraId="424569CE" w14:textId="77777777" w:rsidR="001F7233" w:rsidRDefault="00000000">
      <w:r>
        <w:t>Der Wirkstoff heißt meist paracetamol, in den USA acetaminophen. Es lindert Schmerz und Fieber, nicht Entzündung. Zu viel kann die Leber schädigen, auch wenn der Wirkstoff in mehreren Erkältungsprodukten steckt. Ibuprofen und Aspirin/ASA sind NSAIDs; Magenblutung und Nierenschaden sind mögliche Risiken, bei Durchfall und Dehydrierung ist Ibuprofen besonders ungünstig. Niedrig dosiertes Aspirin zur Herzvorsorge nicht selbst anfangen. Naproxen und Diclofenac sind weitere NSAIDs, keine risikofreien Alternativen. Prüfe Wirkstoff und Packungsbeilage, nicht nur die vertraute deutsche Marke. Bei Schwangerschaft, Blutverdünnern, Geschwür oder Nieren-/Leberproblemen zuerst Apotheke oder Arzt fragen.</w:t>
      </w:r>
    </w:p>
    <w:p w14:paraId="7BF8CA44" w14:textId="77777777" w:rsidR="001F7233" w:rsidRDefault="00000000">
      <w:pPr>
        <w:pStyle w:val="Heading3"/>
      </w:pPr>
      <w:r>
        <w:t>Notfall: 000; medizinische Beratung: Healthdirect</w:t>
      </w:r>
    </w:p>
    <w:p w14:paraId="12748905" w14:textId="77777777" w:rsidR="001F7233" w:rsidRDefault="00000000">
      <w:r>
        <w:t xml:space="preserve">Bei Lebensgefahr, schwerer Verletzung, Atemnot, Bewusstlosigkeit, Brustschmerz oder Schlaganfallzeichen wählst du 000 und verlangst </w:t>
      </w:r>
      <w:r>
        <w:lastRenderedPageBreak/>
        <w:t>Ambulance. Nenne Adresse, Rückrufnummer und Symptome. Bei nicht lebensbedrohlichen Fragen: Healthdirect 1800 022 222. Nicht selbst fahren, wenn jemand instabil ist.</w:t>
      </w:r>
    </w:p>
    <w:p w14:paraId="1BB9311A" w14:textId="77777777" w:rsidR="001F7233" w:rsidRDefault="00000000">
      <w:pPr>
        <w:pStyle w:val="Heading3"/>
      </w:pPr>
      <w:r>
        <w:t>Medicare-Lücke: geplante Krebsbehandlung oder Operation klären</w:t>
      </w:r>
    </w:p>
    <w:p w14:paraId="2A9D7356" w14:textId="77777777" w:rsidR="001F7233" w:rsidRDefault="00000000">
      <w:r>
        <w:t>Prüfe bei Services Australia sofort, ob du nach Visum und Status Medicare-berechtigt bist. Eine fehlende oder abgelaufene Karte ist nicht immer dasselbe wie fehlende Anspruchsberechtigung. Medicare-berechtigte Patienten können sich als öffentliche Patienten in öffentlichen Krankenhäusern behandeln lassen. Geplante Operationen werden nach klinischer Dringlichkeit eingestuft und können auf eine Warteliste kommen. "elective" heißt hier geplant, nicht zwingend freiwillig. Private Behandlung, manche Medikamente und Besucher ohne Medicare-Anspruch können Kosten auslösen. Frage den behandelnden Facharzt nach öffentlichem Überweisungspfad, Einstufung, voraussichtlicher Wartezeit und Sozialdienst. Eine neu abgeschlossene private Police deckt bekannte Vorerkrankungen vielleicht nicht sofort; Wartezeiten gelten. Bei Krebs Behandlung nicht selbst verschieben: Onkologie soll die Dringlichkeit bewerten und Unterlagen direkt an die passende öffentliche Klinik senden.</w:t>
      </w:r>
    </w:p>
    <w:p w14:paraId="755E6941" w14:textId="77777777" w:rsidR="001F7233" w:rsidRDefault="00000000">
      <w:pPr>
        <w:pStyle w:val="Heading3"/>
      </w:pPr>
      <w:r>
        <w:t>Ankommen: Settlement Services und Englischkurse</w:t>
      </w:r>
    </w:p>
    <w:p w14:paraId="41F8D99A" w14:textId="77777777" w:rsidR="001F7233" w:rsidRDefault="00000000">
      <w:r>
        <w:t>Erkundige dich nach örtlichen Settlement Services und dem Adult Migrant English Program (AMEP). Berechtigung hängt von Visum und Programm ab. Eine Bibliothek, Gemeindeorganisation oder lokale Migrant Resource Centre kann zu Schule, Arbeit, Sprache und Behördengängen verweisen. „The dole“ meint umgangssprachlich meist Arbeitslosenhilfe; amtlich heißt sie JobSeeker Payment. Dafür brauchst du die passende Aufenthaltsberechtigung, und neu Zugezogene können Wartezeiten haben.</w:t>
      </w:r>
    </w:p>
    <w:p w14:paraId="02C0AD82" w14:textId="77777777" w:rsidR="001F7233" w:rsidRDefault="00000000">
      <w:pPr>
        <w:pStyle w:val="Heading3"/>
        <w:keepNext/>
        <w:spacing w:line="341" w:lineRule="auto"/>
        <w:jc w:val="center"/>
      </w:pPr>
      <w:r>
        <w:lastRenderedPageBreak/>
        <w:t>Plus und Minus: Australien: Das Gesundheitssystem</w:t>
      </w:r>
    </w:p>
    <w:p w14:paraId="34CD0F6C" w14:textId="77777777" w:rsidR="001F7233" w:rsidRDefault="00000000">
      <w:r>
        <w:rPr>
          <w:b/>
        </w:rPr>
        <w:t>Plus: Medicare deckt medizinische Grundversorgung für Berechtigte weitgehend kostenfrei</w:t>
      </w:r>
    </w:p>
    <w:p w14:paraId="39D568BF" w14:textId="77777777" w:rsidR="001F7233" w:rsidRDefault="00000000">
      <w:r>
        <w:rPr>
          <w:b/>
        </w:rPr>
        <w:t xml:space="preserve">Minus: </w:t>
      </w:r>
      <w:r>
        <w:t>Deutschland hat kein Gegenseitigkeitsabkommen mit Australien – kein automatischer Zugang</w:t>
      </w:r>
    </w:p>
    <w:p w14:paraId="4B202EF1" w14:textId="77777777" w:rsidR="001F7233" w:rsidRDefault="00000000">
      <w:r>
        <w:rPr>
          <w:b/>
        </w:rPr>
        <w:t>Plus: Permanent Residents sind ab Ankunft anmeldefähig</w:t>
      </w:r>
    </w:p>
    <w:p w14:paraId="2CB5BF4D" w14:textId="77777777" w:rsidR="001F7233" w:rsidRDefault="00000000">
      <w:r>
        <w:rPr>
          <w:b/>
        </w:rPr>
        <w:t xml:space="preserve">Minus: </w:t>
      </w:r>
      <w:r>
        <w:t>Befristete Visa-Inhaber brauchen durchgehend private OVHC oder OSHC</w:t>
      </w:r>
    </w:p>
    <w:p w14:paraId="5378A817" w14:textId="77777777" w:rsidR="001F7233" w:rsidRDefault="00000000">
      <w:r>
        <w:rPr>
          <w:b/>
        </w:rPr>
        <w:t>Plus: OVHC und OSHC lassen sich schon von Deutschland aus abschließen</w:t>
      </w:r>
    </w:p>
    <w:p w14:paraId="56D56042" w14:textId="77777777" w:rsidR="001F7233" w:rsidRDefault="00000000">
      <w:r>
        <w:rPr>
          <w:b/>
        </w:rPr>
        <w:t xml:space="preserve">Minus: </w:t>
      </w:r>
      <w:r>
        <w:t>Zahnbehandlung und die meisten Sehhilfen bleiben privat zu zahlen</w:t>
      </w:r>
    </w:p>
    <w:p w14:paraId="52DA9F03" w14:textId="77777777" w:rsidR="001F7233" w:rsidRDefault="00000000">
      <w:r>
        <w:rPr>
          <w:b/>
        </w:rPr>
        <w:t>Plus: Notaufnahmen behandeln unabhängig vom Versicherungsstatus</w:t>
      </w:r>
    </w:p>
    <w:p w14:paraId="28132A88" w14:textId="77777777" w:rsidR="001F7233" w:rsidRDefault="00000000">
      <w:r>
        <w:rPr>
          <w:b/>
        </w:rPr>
        <w:t xml:space="preserve">Minus: </w:t>
      </w:r>
      <w:r>
        <w:t>Wartelisten im öffentlichen System bei planbaren Eingriffen</w:t>
      </w:r>
    </w:p>
    <w:p w14:paraId="0253613A" w14:textId="77777777" w:rsidR="001F7233" w:rsidRDefault="001F7233">
      <w:pPr>
        <w:spacing w:line="180" w:lineRule="exact"/>
      </w:pPr>
    </w:p>
    <w:p w14:paraId="53C59B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EFBB33B" w14:textId="77777777" w:rsidR="001F7233" w:rsidRDefault="00000000">
      <w:pPr>
        <w:spacing w:after="140"/>
      </w:pPr>
      <w:r>
        <w:t>Kläre vor dem Abflug, ob dein Visumtyp einen Medicare-Zugang erlaubt oder ob eine private Versicherung Pflicht ist und schließe OVHC oder OSHC bei Bedarf schon von Deutschland aus mit Beginn zum Ankunftstag ab. Bei PR-Status steht die persönliche Medicare-Anmeldung bei Services Australia ganz oben auf der Liste der ersten Behördenwege. Kläre außerdem früh, welche Zusatzversicherung für Zahn und Augen sich lohnt, statt das auf später zu verschieben.</w:t>
      </w:r>
    </w:p>
    <w:p w14:paraId="7917D0FF" w14:textId="77777777" w:rsidR="001F7233" w:rsidRDefault="00000000">
      <w:r>
        <w:t>• Visumtyp und daraus folgenden Medicare-Status vor dem Abflug geklärt</w:t>
      </w:r>
    </w:p>
    <w:p w14:paraId="21B9BC6D" w14:textId="77777777" w:rsidR="001F7233" w:rsidRDefault="00000000">
      <w:r>
        <w:t>• Bei befristetem Visum: OVHC oder OSHC abgeschlossen, Beginn zum Ankunftstag</w:t>
      </w:r>
    </w:p>
    <w:p w14:paraId="6D7E69C0" w14:textId="77777777" w:rsidR="001F7233" w:rsidRDefault="00000000">
      <w:r>
        <w:t>• Bei PR-Status: Medicare-Anmeldung bei Services Australia in den ersten Wochen eingeplant</w:t>
      </w:r>
    </w:p>
    <w:p w14:paraId="25ABE7E2" w14:textId="77777777" w:rsidR="001F7233" w:rsidRDefault="00000000">
      <w:r>
        <w:t>• Pass, Visumsnachweis und Adressnachweis für die Medicare-Anmeldung bereitgelegt</w:t>
      </w:r>
    </w:p>
    <w:p w14:paraId="4EEB89C4" w14:textId="77777777" w:rsidR="001F7233" w:rsidRDefault="00000000">
      <w:r>
        <w:lastRenderedPageBreak/>
        <w:t>• Geprüft, ob und wann die Medicare Levy Surcharge relevant werden könnte</w:t>
      </w:r>
    </w:p>
    <w:p w14:paraId="3D10F4AD" w14:textId="77777777" w:rsidR="001F7233" w:rsidRDefault="00000000">
      <w:r>
        <w:t>• Hausarztpraxis gesucht und nach Bulk Billing gefragt</w:t>
      </w:r>
    </w:p>
    <w:p w14:paraId="4E876DD5" w14:textId="77777777" w:rsidR="001F7233" w:rsidRDefault="00000000">
      <w:r>
        <w:t>• Zusatzversicherung für Zahn und Augen verglichen</w:t>
      </w:r>
    </w:p>
    <w:p w14:paraId="3C8D6E2E" w14:textId="77777777" w:rsidR="001F7233" w:rsidRDefault="00000000">
      <w:r>
        <w:t>• Notruf Triple Zero (000) und nächstgelegene Notaufnahme notiert</w:t>
      </w:r>
    </w:p>
    <w:p w14:paraId="18C8A079" w14:textId="77777777" w:rsidR="001F7233" w:rsidRDefault="001F7233">
      <w:pPr>
        <w:spacing w:line="220" w:lineRule="exact"/>
      </w:pPr>
    </w:p>
    <w:p w14:paraId="63C0F9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D328DE1" w14:textId="77777777" w:rsidR="001F7233" w:rsidRDefault="00000000">
      <w:pPr>
        <w:pStyle w:val="ListParagraph"/>
        <w:numPr>
          <w:ilvl w:val="0"/>
          <w:numId w:val="1"/>
        </w:numPr>
        <w:spacing w:after="60"/>
      </w:pPr>
      <w:r>
        <w:t xml:space="preserve">Services Australia — Medicare-Anmeldung, Reciprocal Health Care Agreements: </w:t>
      </w:r>
      <w:hyperlink r:id="rId645">
        <w:r w:rsidR="001F7233">
          <w:rPr>
            <w:color w:val="0563C1"/>
            <w:u w:val="single"/>
          </w:rPr>
          <w:t>servicesaustralia.gov.au</w:t>
        </w:r>
      </w:hyperlink>
    </w:p>
    <w:p w14:paraId="1779F404" w14:textId="77777777" w:rsidR="001F7233" w:rsidRDefault="00000000">
      <w:pPr>
        <w:pStyle w:val="ListParagraph"/>
        <w:numPr>
          <w:ilvl w:val="0"/>
          <w:numId w:val="1"/>
        </w:numPr>
        <w:spacing w:after="60"/>
      </w:pPr>
      <w:r>
        <w:t xml:space="preserve">Australian Taxation Office — Medicare Levy und Surcharge: </w:t>
      </w:r>
      <w:hyperlink r:id="rId646">
        <w:r w:rsidR="001F7233">
          <w:rPr>
            <w:color w:val="0563C1"/>
            <w:u w:val="single"/>
          </w:rPr>
          <w:t>ato.gov.au</w:t>
        </w:r>
      </w:hyperlink>
    </w:p>
    <w:p w14:paraId="3C92F9EC" w14:textId="77777777" w:rsidR="001F7233" w:rsidRDefault="00000000">
      <w:pPr>
        <w:pStyle w:val="ListParagraph"/>
        <w:numPr>
          <w:ilvl w:val="0"/>
          <w:numId w:val="1"/>
        </w:numPr>
        <w:spacing w:after="60"/>
      </w:pPr>
      <w:r>
        <w:t xml:space="preserve">Department of Home Affairs — visumbedingte Gesundheitsversicherung (OVHC, OSHC): </w:t>
      </w:r>
      <w:hyperlink r:id="rId647">
        <w:r w:rsidR="001F7233">
          <w:rPr>
            <w:color w:val="0563C1"/>
            <w:u w:val="single"/>
          </w:rPr>
          <w:t>immi.homeaffairs.gov.au</w:t>
        </w:r>
      </w:hyperlink>
    </w:p>
    <w:p w14:paraId="6D8A9C9C" w14:textId="77777777" w:rsidR="001F7233" w:rsidRDefault="001F7233">
      <w:pPr>
        <w:pStyle w:val="ListParagraph"/>
        <w:numPr>
          <w:ilvl w:val="0"/>
          <w:numId w:val="1"/>
        </w:numPr>
        <w:spacing w:after="60"/>
      </w:pPr>
      <w:hyperlink r:id="rId648">
        <w:r>
          <w:rPr>
            <w:color w:val="0563C1"/>
            <w:u w:val="single"/>
          </w:rPr>
          <w:t>privatehealth.gov.au</w:t>
        </w:r>
      </w:hyperlink>
      <w:r>
        <w:t xml:space="preserve"> — unabhängiger Vergleich privater Krankenversicherungen (Private Health Insurance Ombudsman)</w:t>
      </w:r>
    </w:p>
    <w:p w14:paraId="79A7109E" w14:textId="77777777" w:rsidR="001F7233" w:rsidRDefault="00000000">
      <w:pPr>
        <w:pStyle w:val="ListParagraph"/>
        <w:numPr>
          <w:ilvl w:val="0"/>
          <w:numId w:val="1"/>
        </w:numPr>
        <w:spacing w:after="60"/>
      </w:pPr>
      <w:r>
        <w:t xml:space="preserve">Deutsche Vertretungen in Australien: </w:t>
      </w:r>
      <w:hyperlink r:id="rId649">
        <w:r w:rsidR="001F7233">
          <w:rPr>
            <w:color w:val="0563C1"/>
            <w:u w:val="single"/>
          </w:rPr>
          <w:t>australien.diplo.de</w:t>
        </w:r>
      </w:hyperlink>
    </w:p>
    <w:p w14:paraId="193578A8" w14:textId="77777777" w:rsidR="001F7233" w:rsidRDefault="001F7233">
      <w:pPr>
        <w:spacing w:line="120" w:lineRule="exact"/>
      </w:pPr>
    </w:p>
    <w:p w14:paraId="3362973B" w14:textId="77777777" w:rsidR="001F7233" w:rsidRDefault="00000000">
      <w:pPr>
        <w:pStyle w:val="ListParagraph"/>
      </w:pPr>
      <w:r>
        <w:t xml:space="preserve">healthdirect Australia — Diarrhoea: self-care and when to seek help: </w:t>
      </w:r>
      <w:hyperlink r:id="rId650">
        <w:r w:rsidR="001F7233">
          <w:rPr>
            <w:rStyle w:val="Hyperlink"/>
          </w:rPr>
          <w:t>healthdirect.gov.au/diarrhoea</w:t>
        </w:r>
      </w:hyperlink>
    </w:p>
    <w:p w14:paraId="68506FDF" w14:textId="77777777" w:rsidR="001F7233" w:rsidRDefault="00000000">
      <w:pPr>
        <w:pStyle w:val="ListParagraph"/>
      </w:pPr>
      <w:r>
        <w:t xml:space="preserve">healthdirect — paracetamol, ibuprofen and diarrhoea: </w:t>
      </w:r>
      <w:hyperlink r:id="rId651">
        <w:r w:rsidR="001F7233">
          <w:rPr>
            <w:rStyle w:val="Hyperlink"/>
          </w:rPr>
          <w:t>healthdirect.gov.au/paracetamol</w:t>
        </w:r>
      </w:hyperlink>
      <w:r>
        <w:t xml:space="preserve">; </w:t>
      </w:r>
      <w:hyperlink r:id="rId652">
        <w:r w:rsidR="001F7233">
          <w:rPr>
            <w:rStyle w:val="Hyperlink"/>
          </w:rPr>
          <w:t>healthdirect.gov.au/ibuprofen</w:t>
        </w:r>
      </w:hyperlink>
      <w:r>
        <w:t xml:space="preserve">; </w:t>
      </w:r>
      <w:hyperlink r:id="rId653">
        <w:r w:rsidR="001F7233">
          <w:rPr>
            <w:rStyle w:val="Hyperlink"/>
          </w:rPr>
          <w:t>healthdirect.gov.au/diarrhoea</w:t>
        </w:r>
      </w:hyperlink>
    </w:p>
    <w:p w14:paraId="70E0BC1D" w14:textId="77777777" w:rsidR="001F7233" w:rsidRDefault="00000000">
      <w:pPr>
        <w:pStyle w:val="ListParagraph"/>
      </w:pPr>
      <w:r>
        <w:t xml:space="preserve">Services Australia — Medicare eligibility/enrolment: </w:t>
      </w:r>
      <w:hyperlink r:id="rId654">
        <w:r w:rsidR="001F7233">
          <w:rPr>
            <w:rStyle w:val="Hyperlink"/>
          </w:rPr>
          <w:t>servicesaustralia.gov.au/enrolling-medicare</w:t>
        </w:r>
      </w:hyperlink>
      <w:r>
        <w:t xml:space="preserve">; healthdirect — cancer care: </w:t>
      </w:r>
      <w:hyperlink r:id="rId655">
        <w:r w:rsidR="001F7233">
          <w:rPr>
            <w:rStyle w:val="Hyperlink"/>
          </w:rPr>
          <w:t>healthdirect.gov.au/cancer</w:t>
        </w:r>
      </w:hyperlink>
    </w:p>
    <w:p w14:paraId="789D9945" w14:textId="77777777" w:rsidR="001F7233" w:rsidRDefault="00000000">
      <w:pPr>
        <w:pStyle w:val="ListParagraph"/>
      </w:pPr>
      <w:r>
        <w:t xml:space="preserve">Services Australia — JobSeeker residence rules: </w:t>
      </w:r>
      <w:hyperlink r:id="rId656">
        <w:r w:rsidR="001F7233">
          <w:rPr>
            <w:rStyle w:val="Hyperlink"/>
          </w:rPr>
          <w:t>servicesaustralia.gov.au/residence-rules-for-jobseeker-payment</w:t>
        </w:r>
      </w:hyperlink>
      <w:r>
        <w:t xml:space="preserve">; Home Affairs — Adult Migrant English Program: </w:t>
      </w:r>
      <w:hyperlink r:id="rId657">
        <w:r w:rsidR="001F7233">
          <w:rPr>
            <w:rStyle w:val="Hyperlink"/>
          </w:rPr>
          <w:t>immi.homeaffairs.gov.au/amep-subsite/Pages/default.aspx</w:t>
        </w:r>
      </w:hyperlink>
    </w:p>
    <w:p w14:paraId="510DEC45" w14:textId="77777777" w:rsidR="001F7233" w:rsidRDefault="00000000">
      <w:r>
        <w:t xml:space="preserve">• 23.09.2026. Diese Angaben ändern sich schnell: die RHCA-Länderliste, Medicare-Levy- und Surcharge-Schwellen (jährlich zum </w:t>
      </w:r>
      <w:r>
        <w:lastRenderedPageBreak/>
        <w:t>1. Juli angepasst), OVHC- und OSHC-Prämien sowie die genauen Bedingungen einzelner Versicherer. Prüfe vor jeder Entscheidung die aktuellen Seiten von Services Australia und der ATO sowie die Police deines gewählten Versicherers.</w:t>
      </w:r>
    </w:p>
    <w:p w14:paraId="1E2DE4D1" w14:textId="77777777" w:rsidR="001F7233" w:rsidRDefault="001F7233">
      <w:pPr>
        <w:spacing w:line="220" w:lineRule="exact"/>
      </w:pPr>
    </w:p>
    <w:p w14:paraId="61AFDFEB" w14:textId="77777777" w:rsidR="001F7233" w:rsidRDefault="00000000">
      <w:pPr>
        <w:pStyle w:val="Heading3"/>
      </w:pPr>
      <w:r>
        <w:t>Krebsdiagnose: Behandlung und Umzug planen</w:t>
      </w:r>
    </w:p>
    <w:p w14:paraId="332E2AD7"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658">
        <w:r w:rsidR="001F7233">
          <w:rPr>
            <w:color w:val="0563C1"/>
            <w:u w:val="single"/>
          </w:rPr>
          <w:t>Cancer Council: gerade diagnostiziert</w:t>
        </w:r>
      </w:hyperlink>
      <w:r>
        <w:t xml:space="preserve"> </w:t>
      </w:r>
      <w:hyperlink r:id="rId659">
        <w:r w:rsidR="001F7233">
          <w:rPr>
            <w:color w:val="0563C1"/>
            <w:u w:val="single"/>
          </w:rPr>
          <w:t>Cancer Council: 13 11 20</w:t>
        </w:r>
      </w:hyperlink>
    </w:p>
    <w:p w14:paraId="0D2E463C" w14:textId="77777777" w:rsidR="001F7233" w:rsidRDefault="00000000">
      <w:pPr>
        <w:pStyle w:val="Heading3"/>
      </w:pPr>
      <w:r>
        <w:t>Schwangerschaftsabbruch: Versorgung, Kosten und Wege</w:t>
      </w:r>
    </w:p>
    <w:p w14:paraId="43493441" w14:textId="77777777" w:rsidR="001F7233" w:rsidRDefault="00000000">
      <w:r>
        <w:t xml:space="preserve">In Australia, abortion laws and service pathways vary by State and Territory. Access may depend on gestation, provider availability, Medicare status, public/private service and travel distance; remote residents may need to travel. Ask a qualified clinic or state/territory health service about current local law, method, timing, total cost, Medicare/private-insurance coverage and travel assistance. Do not assume that a temporary visa holder has the same Medicare </w:t>
      </w:r>
      <w:r>
        <w:lastRenderedPageBreak/>
        <w:t xml:space="preserve">coverage as a permanent resident. Seek advice promptly because gestational limits and service options matter. </w:t>
      </w:r>
      <w:hyperlink r:id="rId660">
        <w:r w:rsidR="001F7233">
          <w:rPr>
            <w:color w:val="0563C1"/>
            <w:u w:val="single"/>
          </w:rPr>
          <w:t>Australian Government: abortion and state/territory differences</w:t>
        </w:r>
      </w:hyperlink>
    </w:p>
    <w:p w14:paraId="6A666DE3" w14:textId="77777777" w:rsidR="001F7233" w:rsidRDefault="00000000">
      <w:pPr>
        <w:pStyle w:val="Heading3"/>
      </w:pPr>
      <w:r>
        <w:t>Essen, Herz-Kreislauf-Risiko und der Fast-Food-Reflex</w:t>
      </w:r>
    </w:p>
    <w:p w14:paraId="76929A38" w14:textId="77777777" w:rsidR="001F7233" w:rsidRDefault="00000000">
      <w:r>
        <w:t xml:space="preserve">Ein herzfreundlicher Einkauf orientiert sich an den fünf Lebensmittelgruppen: viel verschiedenes Obst und Gemüse, Vollkorn, Hülsenfrüchte, Nüsse, Fisch oder andere passende Eiweißquellen. Vergleiche auf Verpackungen Salz/Natrium, zugesetzten Zucker und gesättigte Fette; Health Star Ratings helfen nur beim Vergleich ähnlicher Produkte und ersetzen die Zutaten- und Nährwertprüfung nicht. Fast-Food-Menüs können viel Salz, gesättigte Fette und große Getränke enthalten. Wähle eine kleinere Portion, Wasser oder ungesüßten Kaffee/Tee und Sauce separat; „gegrillt“ ist keine Garantie für wenig Natrium. Individuelle Ernährungsgrenzen bei Herz- oder Nierenerkrankung klärst du mit deiner Behandlungsperson. Bei Umzug Medikamentenliste, Wirkstoffe/Dosen, Allergien und Arztbrief mitnehmen; Medicare-Berechtigung sowie Kosten und Anschlussversorgung vorab prüfen. Herzinfarktzeichen oder FAST-Schlaganfallzeichen: sofort 000 anrufen, nicht selbst fahren. </w:t>
      </w:r>
      <w:hyperlink r:id="rId661">
        <w:r w:rsidR="001F7233">
          <w:rPr>
            <w:color w:val="0563C1"/>
            <w:u w:val="single"/>
          </w:rPr>
          <w:t>Australian Government: healthy heart diet (healthdirect)</w:t>
        </w:r>
      </w:hyperlink>
      <w:r>
        <w:t xml:space="preserve"> </w:t>
      </w:r>
      <w:hyperlink r:id="rId662">
        <w:r w:rsidR="001F7233">
          <w:rPr>
            <w:color w:val="0563C1"/>
            <w:u w:val="single"/>
          </w:rPr>
          <w:t>healthdirect: heart attack signs</w:t>
        </w:r>
      </w:hyperlink>
      <w:r>
        <w:t xml:space="preserve"> </w:t>
      </w:r>
      <w:hyperlink r:id="rId663">
        <w:r w:rsidR="001F7233">
          <w:rPr>
            <w:color w:val="0563C1"/>
            <w:u w:val="single"/>
          </w:rPr>
          <w:t>Australian Government: stroke symptoms</w:t>
        </w:r>
      </w:hyperlink>
      <w:r>
        <w:br w:type="page"/>
      </w:r>
    </w:p>
    <w:p w14:paraId="713340BD" w14:textId="77777777" w:rsidR="001F7233" w:rsidRDefault="00000000">
      <w:pPr>
        <w:pStyle w:val="Heading2"/>
        <w:keepNext/>
        <w:spacing w:line="341" w:lineRule="auto"/>
        <w:jc w:val="center"/>
      </w:pPr>
      <w:bookmarkStart w:id="96" w:name="tau09"/>
      <w:r>
        <w:rPr>
          <w:rFonts w:ascii="Amazon Ember" w:eastAsia="Amazon Ember" w:hAnsi="Amazon Ember" w:cs="Amazon Ember"/>
          <w:color w:val="0000FF"/>
          <w:sz w:val="36"/>
          <w:szCs w:val="36"/>
        </w:rPr>
        <w:lastRenderedPageBreak/>
        <w:t>Australien: Wohnen und die besten Orte zum Leben</w:t>
      </w:r>
      <w:bookmarkEnd w:id="96"/>
    </w:p>
    <w:p w14:paraId="5647902A" w14: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w14:paraId="12727EB1" w14:textId="77777777" w:rsidR="001F7233" w:rsidRDefault="00000000">
      <w:pPr>
        <w:spacing w:after="140"/>
      </w:pPr>
      <w:r>
        <w:t>Am Samstagvormittag steht die Menge nicht vor der Kirche, sondern vor einem Reihenhaus in Melbourne. Der Auktionator ruft Gebote, jemand hebt die Hand, das Haus wechselt binnen zwanzig Minuten den Besitzer, ganz ohne Notartermin, ganz ohne die gemütliche deutsche Bedenkzeit. Wer aus Deutschland kommt, wo ein Immobilienkauf gern Monate dauert, lernt hier schnell: In Australien geht vieles fixer, manches unübersichtlicher. Beim Wohnort entscheiden am Ende nicht nur Job und Budget, sondern auch, ob du eher mit Buschfeuer, Flusshochwasser oder schlicht beständig hohen Mieten leben willst.</w:t>
      </w:r>
    </w:p>
    <w:p w14:paraId="4D730133" w14:textId="77777777" w:rsidR="001F7233" w:rsidRDefault="00000000">
      <w:r>
        <w:rPr>
          <w:b/>
        </w:rPr>
        <w:t xml:space="preserve">KURZ GESAGT: </w:t>
      </w:r>
    </w:p>
    <w:p w14:paraId="5001E482" w14:textId="77777777" w:rsidR="001F7233" w:rsidRDefault="00000000">
      <w:r>
        <w:t>• Mieten läuft über Online-Portale und offene Besichtigungen mit vielen Mitbewerbern. Die Kaution (Bond) beträgt meist vier Wochen Miete und wird bei einer staatlichen Kautionsstelle hinterlegt, nicht beim Vermieter.</w:t>
      </w:r>
    </w:p>
    <w:p w14:paraId="73A8270A" w14:textId="77777777" w:rsidR="001F7233" w:rsidRDefault="00000000">
      <w:r>
        <w:t>• Bestandsimmobilien dürfen Ausländer und befristete Visa-Inhaber seit 1. April 2025 bis mindestens 30. Juni 2029 meist nicht kaufen (FIRB-Verbot); Neubauten bleiben mit Genehmigung möglich.</w:t>
      </w:r>
    </w:p>
    <w:p w14:paraId="14EEA658" w14:textId="77777777" w:rsidR="001F7233" w:rsidRDefault="00000000">
      <w:r>
        <w:t>• Wer keine Permanent Residence hat, zahlt beim Kauf auch einen Foreign-Buyer-Zuschlag auf die Grunderwerbsteuer (Stamp Duty) von 7–9 % des Kaufpreises, je nach Bundesstaat.</w:t>
      </w:r>
    </w:p>
    <w:p w14:paraId="22702D40" w14:textId="77777777" w:rsidR="001F7233" w:rsidRDefault="00000000">
      <w:r>
        <w:t>• Wer mit einem Permanent-Visum wie dem Skilled Independent Visa (Subclass 189) einreist, gilt ab dem ersten Tag nicht als „foreign person“ – Stamp-Duty-Zuschlag und FIRB-Verbot entfallen.</w:t>
      </w:r>
    </w:p>
    <w:p w14:paraId="4484BB54" w14:textId="77777777" w:rsidR="001F7233" w:rsidRDefault="00000000">
      <w:r>
        <w:t>• Sydney ist am teuersten und bietet die meisten Jobs. Melbourne ist beim Kauf inzwischen die günstigste der vier großen Städte. Perth und Adelaide zahlen in Bergbau und Verteidigung Spitzengehälter.</w:t>
      </w:r>
    </w:p>
    <w:p w14:paraId="33135F81" w14:textId="77777777" w:rsidR="001F7233" w:rsidRDefault="00000000">
      <w:r>
        <w:lastRenderedPageBreak/>
        <w:t>• Jede Stadt trägt ihr eigenes Naturgefahren-Profil – Buschfeuer, Flusshochwasser oder beides –, das du vor dem Kauf mit einer Versicherung klärst, nicht danach.</w:t>
      </w:r>
    </w:p>
    <w:p w14:paraId="0943B77A" w14:textId="77777777" w:rsidR="001F7233" w:rsidRDefault="001F7233">
      <w:pPr>
        <w:spacing w:line="220" w:lineRule="exact"/>
      </w:pPr>
    </w:p>
    <w:p w14:paraId="05E26E1C" w14:textId="77777777" w:rsidR="001F7233" w:rsidRDefault="00000000">
      <w:r>
        <w:t>Australische Häuser können trotz Ziegelfassade einen leichten Holz- oder Stahlrahmen haben. Dachmaterial und Dämmung müssen zur lokalen Hitze-, Sturm-, Hagel- und Buschfeuerzone passen. Bei einem Pool gelten je nach Bundesstaat Registrierung, Barrieren und wiederkehrende Prüfungen. Prüfe die kommunalen Regeln vor Kauf oder Bau. In Apartmentanlagen heißt die Gemeinschaft je nach Bundesstaat Owners Corporation, strata company oder body corporate.</w:t>
      </w:r>
    </w:p>
    <w:p w14:paraId="5AA6D0C8" w14:textId="77777777" w:rsidR="001F7233" w:rsidRDefault="00000000">
      <w:r>
        <w:t>Holzrahmenbau ist auch in Kanada üblich und muss für die konkrete Schneelast, Kälte, Wind- und Feuchtebedingungen ausgelegt sein. Ein Seeufergrundstück kann günstiger als ein Großstadtmarkt wirken, bringt aber je nach Gemeinde Uferabstände, Septik-, Brunnen-, Hochwasser- und Winterzugangsfragen mit sich. Bei Eigentumswohnungen prüfst du die Provinzregeln, Rücklage, Protokolle und mögliche Sonderumlagen der condominium corporation.</w:t>
      </w:r>
    </w:p>
    <w:p w14:paraId="4CA473BA" w14:textId="77777777" w:rsidR="001F7233" w:rsidRDefault="00000000">
      <w:r>
        <w:t>Holzrahmenbau ist die traditionelle Bauweise; Dach und Außenbekleidung müssen zur Wind- und Küstenexposition sowie zum Feuchteschutz passen. Profilierte Metalldächer sind verbreitet, ihre Befestigung und Korrosionsbeständigkeit hängen aber von Wind- und Salzluftzone ab. Bei Unit Titles gehören Body-Corporate-Levies, Instandhaltungsplan und Regeln zu den Vorabprüfungen. Seenähe allein bedeutet keine günstige Lage: Queenstown-Lakes ist ein hochpreisiger Markt.</w:t>
      </w:r>
    </w:p>
    <w:p w14:paraId="5BF896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Bond, Besichtigung, Vertrag</w:t>
      </w:r>
    </w:p>
    <w:p w14:paraId="6AA1C870" w14:textId="77777777" w:rsidR="001F7233" w:rsidRDefault="00000000">
      <w:pPr>
        <w:spacing w:after="140"/>
      </w:pPr>
      <w:r>
        <w:t xml:space="preserve">Die Wohnungssuche läuft fast ausschließlich online, allen voran über die Portale Domain und </w:t>
      </w:r>
      <w:hyperlink r:id="rId664">
        <w:r w:rsidR="001F7233">
          <w:rPr>
            <w:color w:val="0563C1"/>
            <w:u w:val="single"/>
          </w:rPr>
          <w:t>realestate.com.au</w:t>
        </w:r>
      </w:hyperlink>
      <w:r>
        <w:t xml:space="preserve">, funktional vergleichbar mit deutschen Immobilienportalen, nur mit mehr Fotos vom Garten und weniger Angaben zur Heizungsart. Statt Einzelterminen gibt es </w:t>
      </w:r>
      <w:r>
        <w:lastRenderedPageBreak/>
        <w:t>meist offene Besichtigungen (Open for Inspection), oft nur fünfzehn bis dreißig Minuten am Samstagvormittag, bei denen ein halbes Dutzend Bewerber gleichzeitig durch dieselbe Wohnung läuft. Wer die Wohnung will, bewirbt sich direkt danach online, mit Einkommensnachweis, Referenzen früherer Vermieter und oft einem kurzen Anschreiben. In begehrten Lagen entscheidet die Hausverwaltung (Property Manager, die für den Eigentümer die Vermietung abwickelt) noch am selben Tag. Der Eigentümer zahlt die Vermittlungsprovision, nicht der Mieter, anders als bei vielen deutschen Maklerwohnungen.</w:t>
      </w:r>
    </w:p>
    <w:p w14:paraId="5B936EB7" w14:textId="77777777" w:rsidR="001F7233" w:rsidRDefault="00000000">
      <w:pPr>
        <w:spacing w:after="140"/>
      </w:pPr>
      <w:r>
        <w:rPr>
          <w:i/>
          <w:iCs/>
        </w:rPr>
        <w:t>Bei der Wohnungsart lohnt ein zweiter Blick auf die Bezeichnung: Ein House ist ein frei- oder aneinandergebautes Einfamilienhaus mit eigenem Garten, eine Townhouse ein Reihenhaus, eine Unit oder Apartment eine Eigentumswohnung in einem Mehrfamilienhaus. Die Zahl der Schlafzimmer steht meist direkt im Inserat („3-bed, 2-bath“). Wohn- und Esszimmer zählen, wie im US-Teil dieses Buches beschrieben, nicht mit.</w:t>
      </w:r>
    </w:p>
    <w:p w14:paraId="420B5040" w14:textId="77777777" w:rsidR="001F7233" w:rsidRDefault="00000000">
      <w:pPr>
        <w:spacing w:after="140"/>
      </w:pPr>
      <w:r>
        <w:rPr>
          <w:i/>
          <w:iCs/>
        </w:rPr>
        <w:t>Die Kaution (Bond) liegt in den meisten Bundesstaaten bei vier Wochen Miete, in South Australia bei sechs Wochen, sobald die Wochenmiete über 800 AUD liegt, in Western Australia ist sie ab 1.200 AUD Wochenmiete frei verhandelbar. Anders als in Deutschland zahlst du sie nicht an den Vermieter, sondern an eine staatliche Kautionsstelle. In New South Wales etwa Rental Bonds Online von NSW Fair Trading –, die sie bis zum Auszug treuhänderisch verwahrt. Ein Streit über die Rückzahlung landet damit vor einer Behörde, nicht in einer stillen Absprache zwischen Mieter und Vermieter. Mietverträge laufen meist sechs bis zwölf Monate. Danach folgt entweder eine Verlängerung oder ein formloser Zeitmietvertrag (Periodic Lease), der mit einer Kündigungsfrist beider Seiten endet.</w:t>
      </w:r>
    </w:p>
    <w:p w14:paraId="4712850F" w14:textId="77777777" w:rsidR="001F7233" w:rsidRDefault="00000000">
      <w:r>
        <w:rPr>
          <w:b/>
        </w:rPr>
        <w:t xml:space="preserve">ACHTUNG: </w:t>
      </w:r>
    </w:p>
    <w:p w14:paraId="2C877A2D" w14:textId="77777777" w:rsidR="001F7233" w:rsidRDefault="00000000">
      <w:r>
        <w:t xml:space="preserve">• Der Mietmarkt ist 2026 in allen Landeshauptstädten auf Rekordniveau, Sydney mit Abstand am teuersten. Wer sich bewirbt, sollte alle Unterlagen vorbereitet haben, bevor die Besichtigung </w:t>
      </w:r>
      <w:r>
        <w:lastRenderedPageBreak/>
        <w:t>überhaupt beginnt: Wartezeiten von mehreren Wochen bis zur Zusage sind selten. Meist ist eine gefragte Wohnung binnen weniger Tage vergeben, manchmal noch am Tag der Besichtigung.</w:t>
      </w:r>
    </w:p>
    <w:p w14:paraId="6466CF23" w14:textId="77777777" w:rsidR="001F7233" w:rsidRDefault="001F7233">
      <w:pPr>
        <w:spacing w:line="220" w:lineRule="exact"/>
      </w:pPr>
    </w:p>
    <w:p w14:paraId="572553CB" w14:textId="77777777" w:rsidR="001F7233" w:rsidRDefault="00000000">
      <w:r>
        <w:rPr>
          <w:b/>
        </w:rPr>
        <w:t xml:space="preserve">SPARTIPP: </w:t>
      </w:r>
    </w:p>
    <w:p w14:paraId="4E0C8A08" w14:textId="77777777" w:rsidR="001F7233" w:rsidRDefault="00000000">
      <w:r>
        <w:t>• In Melbourne ist die Miete für Häuser inzwischen günstiger als für Wohnungen (rund 580 AUD gegen 600 AUD pro Woche). Ungewöhnlich im Städtevergleich und leicht zu übersehen. Vergleiche beide Wohnungstypen, statt dich vorab auf einen festzulegen. Die erste Preisspanne im Kopf stimmt nicht überall.</w:t>
      </w:r>
    </w:p>
    <w:p w14:paraId="52183557" w14:textId="77777777" w:rsidR="001F7233" w:rsidRDefault="001F7233">
      <w:pPr>
        <w:spacing w:line="220" w:lineRule="exact"/>
      </w:pPr>
    </w:p>
    <w:p w14:paraId="05C31BAF" w14:textId="77777777" w:rsidR="001F7233" w:rsidRDefault="001F7233">
      <w:pPr>
        <w:spacing w:line="220" w:lineRule="exact"/>
      </w:pPr>
    </w:p>
    <w:p w14:paraId="2909AA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Kaufen: Stamp Duty, FIRB und Permanent Residence</w:t>
      </w:r>
    </w:p>
    <w:p w14:paraId="72D3EF2C" w14:textId="77777777" w:rsidR="001F7233" w:rsidRDefault="00000000">
      <w:pPr>
        <w:spacing w:after="140"/>
      </w:pPr>
      <w:r>
        <w:rPr>
          <w:i/>
          <w:iCs/>
        </w:rPr>
        <w:t>Der Kauf selbst läuft anders ab als in Deutschland: Es gibt keinen Notartermin, sondern eine auf Immobilienrecht spezialisierte Fachperson (Conveyancer, teils auch ein Anwalt), die den Vertrag prüft, Grundbuchauszüge einholt und die Übergabe (Settlement) abwickelt. Häuser werden entweder freihändig verkauft (Private Treaty, mit Verhandlung wie in Deutschland) oder öffentlich versteigert (Auction), vor allem in Melbourne und Sydney eine eigene Institution. Der Auktionator steht auf der Veranda, die Bieter auf dem Gehweg und wer den Zuschlag bekommt, hat in diesem Moment einen bindenden Vertrag unterschrieben, meist ganz ohne Rücktrittsrecht. Beim freihändigen Verkauf gibt es dagegen meist eine gesetzliche Rücktrittsfrist (Cooling-off Period) von wenigen Werktagen nach Vertragsunterzeichnung. In New South Wales fünf Werktage –, in der ein Rücktritt nur gegen eine kleine Vertragsstrafe möglich ist. Die genaue Frist und Strafe regelt jeder Bundesstaat anders. Üblich ist eine Anzahlung von rund 10 % des Kaufpreises bei Vertragsunterzeichnung, die eine Treuhandstelle bis zur Übergabe verwahrt.</w:t>
      </w:r>
    </w:p>
    <w:p w14:paraId="478B5A1A" w14:textId="77777777" w:rsidR="001F7233" w:rsidRDefault="00000000">
      <w:pPr>
        <w:spacing w:after="140"/>
      </w:pPr>
      <w:r>
        <w:rPr>
          <w:i/>
          <w:iCs/>
        </w:rPr>
        <w:lastRenderedPageBreak/>
        <w:t>Wer ohne australische Kredithistorie finanzieren will, merkt schnell: Nicht jede Bank finanziert Käufer mit befristetem Visum und wer finanziert, verlangt oft eine höhere Anzahlung als bei Staatsbürgern oder Permanent Residents – teils 20 % oder mehr, dazu den Nachweis eines stabilen Einkommens in Australien. Frage früh bei mehreren Banken oder einem Hypothekenmakler (Mortgage Broker) nach den konkreten Bedingungen für deinen Visumtyp, bevor du dich in eine Auktion mit fester Kaufabsicht begibst.</w:t>
      </w:r>
    </w:p>
    <w:p w14:paraId="480C7FAC" w14:textId="77777777" w:rsidR="001F7233" w:rsidRDefault="00000000">
      <w:pPr>
        <w:spacing w:after="140"/>
      </w:pPr>
      <w:r>
        <w:rPr>
          <w:i/>
          <w:iCs/>
        </w:rPr>
        <w:t>Für ausländische Käufer kommt seit dem 1. April 2025 eine deutliche Hürde hinzu: Ausländer und Inhaber befristeter Visa dürfen bis mindestens 30. Juni 2029 keine Bestandsimmobilien (Established Dwellings) mehr kaufen. Dieses Verbot setzt die australische Prüfbehörde für Auslandsinvestitionen (Foreign Investment Review Board, FIRB) durch. Eine Ausnahme gilt für Inhaber befristeter Visa, die selbst darin wohnen wollen: Diese dürfen eine einzige Bestandsimmobilie als eigenen Hauptwohnsitz erwerben, müssen sie aber spätestens drei Monate nach Ablauf des Visums oder nach der Ausreise wieder verkaufen. Neubauten und unbebaute Grundstücke bleiben über einen FIRB-Antrag käuflich. Die Gebühr dafür liegt seit dem 1. Juli 2026 gestaffelt nach Kaufpreis bei 15.600 AUD (bis 1 Mio. AUD), 31.300 AUD (bis 2 Mio. AUD) oder 62.600 AUD (bis 3 Mio. AUD).</w:t>
      </w:r>
    </w:p>
    <w:p w14:paraId="228AB65D" w14:textId="77777777" w:rsidR="001F7233" w:rsidRDefault="00000000">
      <w:pPr>
        <w:spacing w:after="140"/>
      </w:pPr>
      <w:r>
        <w:rPr>
          <w:i/>
          <w:iCs/>
        </w:rPr>
        <w:t>Auch erhebt jeder Bundesstaat beim Immobilienkauf eine gestaffelte Grunderwerbsteuer (Stamp Duty). Wer nicht australischer Staatsbürger oder Permanent Resident ist, zahlt obendrauf einen Foreign-Buyer-Zuschlag auf den vollen Kaufpreis: 9 % in New South Wales, 8 % in Victoria, Tasmanien und Queensland, 7 % in Western Australia und South Australia (Stand 2026). Bei einem Haus für 900.000 AUD in Sydney sind das allein 81.000 AUD obendrein zur regulären Steuer.</w:t>
      </w:r>
    </w:p>
    <w:p w14:paraId="3E82CF33" w14:textId="77777777" w:rsidR="001F7233" w:rsidRDefault="00000000">
      <w:r>
        <w:rPr>
          <w:b/>
        </w:rPr>
        <w:t xml:space="preserve">MERKE: </w:t>
      </w:r>
    </w:p>
    <w:p w14:paraId="3B53A0F5" w14:textId="77777777" w:rsidR="001F7233" w:rsidRDefault="00000000">
      <w:r>
        <w:t xml:space="preserve">• Ob du als „foreign person“ giltst, hängt am Visumstatus, nicht am Pass oder an der gefühlten Zugehörigkeit. Wer mit einem Permanent-Visum wie dem Skilled Independent Visa (Subclass 189) </w:t>
      </w:r>
      <w:r>
        <w:lastRenderedPageBreak/>
        <w:t>einreist, ist von der ersten Sekunde an Permanent Resident. FIRB-Verbot und Stamp-Duty-Zuschlag gelten dann nicht. Wer dagegen mit einem befristeten Skilled-Visum kommt, zählt so lange als „foreign person“, bis eine unbefristete Aufenthaltserlaubnis vorliegt, unabhängig davon, wie lange er schon in Australien lebt oder ob er hier bereits Steuern zahlt.</w:t>
      </w:r>
    </w:p>
    <w:p w14:paraId="1252B125" w14:textId="77777777" w:rsidR="001F7233" w:rsidRDefault="001F7233">
      <w:pPr>
        <w:spacing w:line="220" w:lineRule="exact"/>
      </w:pPr>
    </w:p>
    <w:p w14:paraId="09629FA0" w14:textId="77777777" w:rsidR="001F7233" w:rsidRDefault="00000000">
      <w:r>
        <w:rPr>
          <w:b/>
        </w:rPr>
        <w:t xml:space="preserve">ACHTUNG: </w:t>
      </w:r>
    </w:p>
    <w:p w14:paraId="27928608" w14:textId="77777777" w:rsidR="001F7233" w:rsidRDefault="00000000">
      <w:r>
        <w:t>• Verstöße gegen das FIRB-Verbot sind kein Kavaliersdelikt – die Behörde kann den Kauf rückabwickeln lassen. Prüfe vor jedem Gebot oder jeder Unterschrift, ob die Immobilie unter die Established-Dwelling-Regel fällt und ob dein Visumstatus dich überhaupt zum Kauf berechtigt. Im Zweifel klärt das ein auf FIRB spezialisierter Conveyancer oder Anwalt vorab, nicht du selbst im Eifer der Auktion.</w:t>
      </w:r>
    </w:p>
    <w:p w14:paraId="3B2CB0A1" w14:textId="77777777" w:rsidR="001F7233" w:rsidRDefault="001F7233">
      <w:pPr>
        <w:spacing w:line="220" w:lineRule="exact"/>
      </w:pPr>
    </w:p>
    <w:p w14:paraId="3C80F485" w14:textId="77777777" w:rsidR="001F7233" w:rsidRDefault="001F7233">
      <w:pPr>
        <w:spacing w:line="220" w:lineRule="exact"/>
      </w:pPr>
    </w:p>
    <w:p w14:paraId="3A3158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w14:paraId="1220CDF6" w14:textId="77777777" w:rsidR="001F7233" w:rsidRDefault="00000000">
      <w:pPr>
        <w:spacing w:after="140"/>
      </w:pPr>
      <w:r>
        <w:t>Die „beste“ Stadt gibt es nicht, nur die, die zu deinem Beruf, deinem Budget und deiner Risikobereitschaft passt. Verbreiteter Irrtum: „Sydney ist teuer, der Rest ist günstig.“ Tatsächlich haben Perth, Brisbane und Adelaide beim Kaufpreis zuletzt kräftig aufgeholt und liegen inzwischen über Melbourne. Perth allein legte binnen eines Jahres um 15,6 % zu. Was für Deutsche auch gewöhnungsbedürftig ist: Jede Stadt trägt ihr eigenes Naturgefahren-Risiko, nicht als exotische Randnotiz, sondern als Posten, den deine Versicherung jedes Jahr neu bepreist. Rechne über Miete oder Kaufpreis hinaus außerdem mit den üblichen Fixkosten für Auto, Strom und Kinderbetreuung. Sie unterscheiden sich zwischen den Städten spürbar weniger stark als Miete und Kaufpreis, gehören aber ebenso in deine Budgetrechnung.</w:t>
      </w:r>
    </w:p>
    <w:p w14:paraId="0F8A0AD2" w14:textId="77777777" w:rsidR="001F7233" w:rsidRDefault="00000000">
      <w:pPr>
        <w:spacing w:after="140"/>
      </w:pPr>
      <w:r>
        <w:rPr>
          <w:b/>
          <w:bCs/>
        </w:rPr>
        <w:lastRenderedPageBreak/>
        <w:t>Sydney (New South Wales) ist subtropisch-warm, mit heißen, teils schwülen Sommern und hat eine Buschfeuergefahr, die bis an die Vorstädte reicht. Eine Studie der Landesregierung rechnet für das Einzugsgebiet der Stadt bis 2050 mit bis zu 24 % mehr Buschfeuern auf bis zu 35 % größerer Fläche. Dafür ist Sydney mit Abstand der teuerste Wohnort Australiens: Häuser kosten im Schnitt 850 AUD Miete pro Woche, Wohnungen 780 AUD, der Kaufmedian liegt bei 1.222.718 AUD. Der Jobmarkt gleicht das teilweise aus, mit über 300.000 offenen Stellen, Schwerpunkt Finanzen, IT und Gesundheit, mit besonders starker Nachfrage nach Cybersecurity-Fachkräften.</w:t>
      </w:r>
    </w:p>
    <w:p w14:paraId="3DCDD376" w14:textId="77777777" w:rsidR="001F7233" w:rsidRDefault="00000000">
      <w:pPr>
        <w:spacing w:after="140"/>
      </w:pPr>
      <w:r>
        <w:rPr>
          <w:b/>
          <w:bCs/>
        </w:rPr>
        <w:t>Melbourne (Victoria) ist ozeanisch-gemäßigt, aber launisch. „Four seasons in one day“ ist keine Übertreibung, sondern beschreibt, wie durchziehende Kaltluft-Pools mehrfach täglich zwischen Sonne, Regen, Hagel und plötzlichem Temperatursturz wechseln lassen. Buschfeuerrisiko besteht vor allem im Umland bei Hitzewellen, die auch in der Stadt selbst über 40 °C erreichen können. Beim Kauf ist Melbourne inzwischen die günstigste der vier großen Städte (Kaufmedian 786.718 AUD, −4,7 % zum Vorjahr) und wurde damit von Brisbane, Perth und Adelaide im Preisniveau überholt. Bei Hausmieten liegt sie mit rund 580 AUD pro Woche ebenfalls am günstigsten, während Wohnungsmieten mit 600 AUD auf Rekordniveau liegen. Der Jobmarkt bietet rund 220.000 Stellen in IT, Gesundheit, Infrastruktur und Kreativwirtschaft, dazu einen etablierten Biotech-Standort.</w:t>
      </w:r>
    </w:p>
    <w:p w14:paraId="1C36200C" w14:textId="77777777" w:rsidR="001F7233" w:rsidRDefault="00000000">
      <w:pPr>
        <w:spacing w:after="140"/>
      </w:pPr>
      <w:r>
        <w:rPr>
          <w:b/>
          <w:bCs/>
        </w:rPr>
        <w:t xml:space="preserve">Brisbane (Queensland) ist subtropisch, mit heißen, feuchten Sommern und kräftigen Gewittern und hat ein Flusshochwasser-Risiko, das zum sonnigen Ruf der Stadt schlecht passt. Die Flut vom Februar 2022 in Südost-Queensland zählt mit rund 9,6 Mrd. AUD Sachschaden zu den schwersten Flutkatastrophen des Landes, dazu kommen gelegentliche Ausläufer tropischer Zyklone aus dem Norden. Mieten liegen bei 700 AUD (Haus) und 660 AUD (Wohnung) pro </w:t>
      </w:r>
      <w:r>
        <w:rPr>
          <w:b/>
          <w:bCs/>
        </w:rPr>
        <w:lastRenderedPageBreak/>
        <w:t>Woche, beide auf Rekordniveau. Der Kaufmedian stieg zuletzt um 10,8 % auf 1.080.142 AUD, der stärkste Anstieg der sechs großen Metros. Ein Grund ist der Bauboom vor den Olympischen Spielen 2032: Der Arbeitskräftemangel am Bau soll von rund 27.200 Beschäftigten (2026/27) auf bis zu 46.000 (2028/29) steigen, mit entsprechender Nachfrage nach Ingenieuren und Technikern.</w:t>
      </w:r>
    </w:p>
    <w:p w14:paraId="63783F74" w14:textId="77777777" w:rsidR="001F7233" w:rsidRDefault="00000000">
      <w:pPr>
        <w:spacing w:after="140"/>
      </w:pPr>
      <w:r>
        <w:rPr>
          <w:b/>
          <w:bCs/>
        </w:rPr>
        <w:t>Perth (Western Australia) ist mediterran: Jeder Sommer ist verlässlich heiß und trocken, mit regelmäßig über 35 °C und kaum Niederschlag. Buschfeuer gehören praktisch zu jedem Sommer und die Zahl der Tage über 40 °C hat sich im letzten Jahrhundert mehr als verdoppelt. Mieten liegen bei rund 750 AUD pro Woche für Häuser, der Kaufmedian stieg zuletzt mit 15,6 % so stark wie in keiner anderen der sechs großen Metros, auf 999.987 AUD. Der Jobmarkt wird vom Bergbau dominiert, Eisenerz in der Pilbara-Region, dazu bedeutende Goldminen. Der anhaltende Mangel an qualifizierten Ingenieuren treibt die Gehälter: Ein Mining Engineer verdient im Schnitt 155.000 AUD im Jahr, mit Fly-in-Fly-out-Zulagen (Unterkunft, Verpflegung und Zuschläge für den Wechsel zwischen Wohnort und entlegener Mine) oft 30.000 bis 60.000 AUD mehr.</w:t>
      </w:r>
    </w:p>
    <w:p w14:paraId="17272FD7" w14:textId="77777777" w:rsidR="001F7233" w:rsidRDefault="00000000">
      <w:pPr>
        <w:spacing w:after="140"/>
      </w:pPr>
      <w:r>
        <w:rPr>
          <w:b/>
          <w:bCs/>
        </w:rPr>
        <w:t xml:space="preserve">Adelaide (South Australia) ist ebenfalls mediterran und verzeichnet den geringsten Jahresniederschlag aller australischen Landeshauptstädte. Das macht sie entsprechend anfällig für lange Trockenperioden und Hitzewellen über 40 °C, die zusammen mit rasch wechselndem „Whiplash“-Wetter (schneller Wechsel zwischen Starkregen und Dürre) das Buschfeuerrisiko im Umland erhöhen. Beim Wohnen ist Adelaide mittleres bis gehobenes Terrain: Hausmiete rund 650 AUD pro Woche, Wohnungsmiete mit 520 AUD die günstigste der sechs großen Metros, Kaufmedian 937.207 AUD. Der Jobmarkt wächst vor allem in der Verteidigungsindustrie und im Schiffbau: Der Ausbau der Osborne Naval Shipyard soll bis 2030 bis zu 5.000 zusätzliche Stellen in Südaustralien schaffen, </w:t>
      </w:r>
      <w:r>
        <w:rPr>
          <w:b/>
          <w:bCs/>
        </w:rPr>
        <w:lastRenderedPageBreak/>
        <w:t>gesucht werden vor allem Schweißer, Fertigungsspezialisten und Ingenieure.</w:t>
      </w:r>
    </w:p>
    <w:p w14:paraId="556317C2" w14:textId="77777777" w:rsidR="001F7233" w:rsidRDefault="00000000">
      <w:pPr>
        <w:spacing w:after="140"/>
      </w:pPr>
      <w:r>
        <w:rPr>
          <w:b/>
          <w:bCs/>
        </w:rPr>
        <w:t>Canberra (Australian Capital Territory) liegt als einzige der sechs Städte nicht an der Küste und hat ein deutlich kontinentaleres Klima: heiße, trockene Sommer, kalte Winter mit Frost. Das Buschfeuerrisiko ist real und historisch belegt. Die Feuersbrunst vom Januar 2003 tötete vier Menschen, verletzte über 435, erzwang 5.000 Evakuierungen und verbrannte rund 70 % der Weide-, Wald- und Naturschutzflächen des Territoriums. Beim Wohnen ist Canberra das stabilste der sechs Metros: Hausmiete rund 700 AUD pro Woche, Kaufmedian 864.998 AUD, zuletzt nahezu unverändert. Der mit Abstand größte Arbeitgeber ist der australische Bundesöffentliche Dienst, der 2026 allerdings unter Spardruck steht. Die Arbeitslosigkeit im Territorium stieg von 3,0 % Ende 2024 auf 4,4 % im Mai 2026. Nachfrage bleibt hoch in Steuer-Compliance, Verteidigung, Energie- und Umweltregulierung sowie Altenpflege.</w:t>
      </w:r>
    </w:p>
    <w:p w14:paraId="55934059" w14:textId="77777777" w:rsidR="001F7233" w:rsidRDefault="00000000">
      <w:r>
        <w:rPr>
          <w:b/>
        </w:rPr>
        <w:t>Sydney</w:t>
      </w:r>
    </w:p>
    <w:p w14:paraId="0D186C21" w14:textId="77777777" w:rsidR="001F7233" w:rsidRDefault="00000000">
      <w:r>
        <w:rPr>
          <w:b/>
        </w:rPr>
        <w:t xml:space="preserve">Klima und Naturgefahr: </w:t>
      </w:r>
      <w:r>
        <w:t>subtropisch, Buschfeuer am Stadtrand</w:t>
      </w:r>
    </w:p>
    <w:p w14:paraId="7CF8E0A3" w14:textId="77777777" w:rsidR="001F7233" w:rsidRDefault="00000000">
      <w:r>
        <w:rPr>
          <w:b/>
        </w:rPr>
        <w:t xml:space="preserve">Kosten (Miete Haus/Woche · Kaufmedian): </w:t>
      </w:r>
      <w:r>
        <w:t>850 AUD · 1.222.718 AUD</w:t>
      </w:r>
    </w:p>
    <w:p w14:paraId="72CEC552" w14:textId="77777777" w:rsidR="001F7233" w:rsidRDefault="00000000">
      <w:r>
        <w:rPr>
          <w:b/>
        </w:rPr>
        <w:t xml:space="preserve">Jobmarkt-Stärke: </w:t>
      </w:r>
      <w:r>
        <w:t>Finanzen, IT, Cybersecurity</w:t>
      </w:r>
    </w:p>
    <w:p w14:paraId="0174E197" w14:textId="77777777" w:rsidR="001F7233" w:rsidRDefault="00000000">
      <w:r>
        <w:rPr>
          <w:b/>
        </w:rPr>
        <w:t>Melbourne</w:t>
      </w:r>
    </w:p>
    <w:p w14:paraId="7BFF08A3" w14:textId="77777777" w:rsidR="001F7233" w:rsidRDefault="00000000">
      <w:r>
        <w:rPr>
          <w:b/>
        </w:rPr>
        <w:t xml:space="preserve">Klima und Naturgefahr: </w:t>
      </w:r>
      <w:r>
        <w:t>ozeanisch, wechselhaft, Hitzewellen im Umland</w:t>
      </w:r>
    </w:p>
    <w:p w14:paraId="01FB4A8F" w14:textId="77777777" w:rsidR="001F7233" w:rsidRDefault="00000000">
      <w:r>
        <w:rPr>
          <w:b/>
        </w:rPr>
        <w:t xml:space="preserve">Kosten (Miete Haus/Woche · Kaufmedian): </w:t>
      </w:r>
      <w:r>
        <w:t>580 AUD · 786.718 AUD</w:t>
      </w:r>
    </w:p>
    <w:p w14:paraId="2067F9D6" w14:textId="77777777" w:rsidR="001F7233" w:rsidRDefault="00000000">
      <w:r>
        <w:rPr>
          <w:b/>
        </w:rPr>
        <w:t xml:space="preserve">Jobmarkt-Stärke: </w:t>
      </w:r>
      <w:r>
        <w:t>Tech, Gesundheit, Kreativwirtschaft</w:t>
      </w:r>
    </w:p>
    <w:p w14:paraId="4FE84ED3" w14:textId="77777777" w:rsidR="001F7233" w:rsidRDefault="00000000">
      <w:r>
        <w:rPr>
          <w:b/>
        </w:rPr>
        <w:t>Brisbane</w:t>
      </w:r>
    </w:p>
    <w:p w14:paraId="1E24DB75" w14:textId="77777777" w:rsidR="001F7233" w:rsidRDefault="00000000">
      <w:r>
        <w:rPr>
          <w:b/>
        </w:rPr>
        <w:t xml:space="preserve">Klima und Naturgefahr: </w:t>
      </w:r>
      <w:r>
        <w:t>subtropisch, Flusshochwasser, Zyklonausläufer</w:t>
      </w:r>
    </w:p>
    <w:p w14:paraId="0703D313" w14:textId="77777777" w:rsidR="001F7233" w:rsidRDefault="00000000">
      <w:r>
        <w:rPr>
          <w:b/>
        </w:rPr>
        <w:t xml:space="preserve">Kosten (Miete Haus/Woche · Kaufmedian): </w:t>
      </w:r>
      <w:r>
        <w:t>700 AUD · 1.080.142 AUD</w:t>
      </w:r>
    </w:p>
    <w:p w14:paraId="38C542E4" w14:textId="77777777" w:rsidR="001F7233" w:rsidRDefault="00000000">
      <w:r>
        <w:rPr>
          <w:b/>
        </w:rPr>
        <w:lastRenderedPageBreak/>
        <w:t xml:space="preserve">Jobmarkt-Stärke: </w:t>
      </w:r>
      <w:r>
        <w:t>Bauboom Olympia 2032</w:t>
      </w:r>
    </w:p>
    <w:p w14:paraId="02A3E725" w14:textId="77777777" w:rsidR="001F7233" w:rsidRDefault="00000000">
      <w:r>
        <w:rPr>
          <w:b/>
        </w:rPr>
        <w:t>Perth</w:t>
      </w:r>
    </w:p>
    <w:p w14:paraId="64E72066" w14:textId="77777777" w:rsidR="001F7233" w:rsidRDefault="00000000">
      <w:r>
        <w:rPr>
          <w:b/>
        </w:rPr>
        <w:t xml:space="preserve">Klima und Naturgefahr: </w:t>
      </w:r>
      <w:r>
        <w:t>mediterran, Buschfeuer jeden Sommer</w:t>
      </w:r>
    </w:p>
    <w:p w14:paraId="11D2DE79" w14:textId="77777777" w:rsidR="001F7233" w:rsidRDefault="00000000">
      <w:r>
        <w:rPr>
          <w:b/>
        </w:rPr>
        <w:t xml:space="preserve">Kosten (Miete Haus/Woche · Kaufmedian): </w:t>
      </w:r>
      <w:r>
        <w:t>750 AUD · 999.987 AUD</w:t>
      </w:r>
    </w:p>
    <w:p w14:paraId="61AD8446" w14:textId="77777777" w:rsidR="001F7233" w:rsidRDefault="00000000">
      <w:r>
        <w:rPr>
          <w:b/>
        </w:rPr>
        <w:t xml:space="preserve">Jobmarkt-Stärke: </w:t>
      </w:r>
      <w:r>
        <w:t>Bergbau (Pilbara, Gold)</w:t>
      </w:r>
    </w:p>
    <w:p w14:paraId="58B853BC" w14:textId="77777777" w:rsidR="001F7233" w:rsidRDefault="00000000">
      <w:r>
        <w:rPr>
          <w:b/>
        </w:rPr>
        <w:t>Adelaide</w:t>
      </w:r>
    </w:p>
    <w:p w14:paraId="32713920" w14:textId="77777777" w:rsidR="001F7233" w:rsidRDefault="00000000">
      <w:r>
        <w:rPr>
          <w:b/>
        </w:rPr>
        <w:t xml:space="preserve">Klima und Naturgefahr: </w:t>
      </w:r>
      <w:r>
        <w:t>mediterran, trockenste Hauptstadt</w:t>
      </w:r>
    </w:p>
    <w:p w14:paraId="3CA954B2" w14:textId="77777777" w:rsidR="001F7233" w:rsidRDefault="00000000">
      <w:r>
        <w:rPr>
          <w:b/>
        </w:rPr>
        <w:t xml:space="preserve">Kosten (Miete Haus/Woche · Kaufmedian): </w:t>
      </w:r>
      <w:r>
        <w:t>650 AUD · 937.207 AUD</w:t>
      </w:r>
    </w:p>
    <w:p w14:paraId="472302DC" w14:textId="77777777" w:rsidR="001F7233" w:rsidRDefault="00000000">
      <w:r>
        <w:rPr>
          <w:b/>
        </w:rPr>
        <w:t xml:space="preserve">Jobmarkt-Stärke: </w:t>
      </w:r>
      <w:r>
        <w:t>Verteidigung, Schiffbau</w:t>
      </w:r>
    </w:p>
    <w:p w14:paraId="253195BA" w14:textId="77777777" w:rsidR="001F7233" w:rsidRDefault="00000000">
      <w:r>
        <w:rPr>
          <w:b/>
        </w:rPr>
        <w:t>Canberra</w:t>
      </w:r>
    </w:p>
    <w:p w14:paraId="7A49D84F" w14:textId="77777777" w:rsidR="001F7233" w:rsidRDefault="00000000">
      <w:r>
        <w:rPr>
          <w:b/>
        </w:rPr>
        <w:t xml:space="preserve">Klima und Naturgefahr: </w:t>
      </w:r>
      <w:r>
        <w:t>kontinental-binnenländisch, Buschfeuer (2003)</w:t>
      </w:r>
    </w:p>
    <w:p w14:paraId="7DFC436F" w14:textId="77777777" w:rsidR="001F7233" w:rsidRDefault="00000000">
      <w:r>
        <w:rPr>
          <w:b/>
        </w:rPr>
        <w:t xml:space="preserve">Kosten (Miete Haus/Woche · Kaufmedian): </w:t>
      </w:r>
      <w:r>
        <w:t>700 AUD · 864.998 AUD</w:t>
      </w:r>
    </w:p>
    <w:p w14:paraId="51B3F987" w14:textId="77777777" w:rsidR="001F7233" w:rsidRDefault="00000000">
      <w:r>
        <w:rPr>
          <w:b/>
        </w:rPr>
        <w:t xml:space="preserve">Jobmarkt-Stärke: </w:t>
      </w:r>
      <w:r>
        <w:t>Bundesverwaltung</w:t>
      </w:r>
    </w:p>
    <w:p w14:paraId="007881CB" w14:textId="77777777" w:rsidR="001F7233" w:rsidRDefault="001F7233">
      <w:pPr>
        <w:spacing w:line="180" w:lineRule="exact"/>
      </w:pPr>
    </w:p>
    <w:p w14:paraId="2A1802BE" w14:textId="77777777" w:rsidR="001F7233" w:rsidRDefault="00000000">
      <w:r>
        <w:rPr>
          <w:b/>
        </w:rPr>
        <w:t xml:space="preserve">ACHTUNG: </w:t>
      </w:r>
    </w:p>
    <w:p w14:paraId="762DFD20" w14:textId="77777777" w:rsidR="001F7233" w:rsidRDefault="00000000">
      <w:r>
        <w:t>• Naturgefahren sind in Australien kein Randthema, sondern ein Kostenfaktor: Versicherer bepreisen Buschfeuer-, Flut- und Zyklonrisiko in die Jahresprämie ein und in einzelnen Hochrisikolagen wird eine Immobilie nur schwer oder zu hohen Kosten versicherbar. Hol dir vor dem Kauf ein konkretes Angebot für genau dieses Grundstück. Nicht erst danach, wenn der Vertrag schon unterschrieben ist.</w:t>
      </w:r>
    </w:p>
    <w:p w14:paraId="5D54B29E" w14:textId="77777777" w:rsidR="001F7233" w:rsidRDefault="001F7233">
      <w:pPr>
        <w:spacing w:line="220" w:lineRule="exact"/>
      </w:pPr>
    </w:p>
    <w:p w14:paraId="15552E8B" w14:textId="77777777" w:rsidR="001F7233" w:rsidRDefault="00000000">
      <w:pPr>
        <w:pStyle w:val="Heading3"/>
      </w:pPr>
      <w:r>
        <w:t>Geräte, Gas und Reparatur: vor dem Einzug prüfen</w:t>
      </w:r>
    </w:p>
    <w:p w14:paraId="7FE7477C" w14:textId="77777777" w:rsidR="001F7233" w:rsidRDefault="00000000">
      <w:r>
        <w:t xml:space="preserve">Im Vertrag festhalten, welche Geräte mitvermietet werden und wer Reparaturen beauftragt. Prüfe Gasanschluss, Warmwasser, Heizung/Kühlung und Klimaanlage. „Gasherd im Inserat“ bedeutet nicht, dass jede Wohnung Gas hat. Deutschland und Australien liegen bei der Netzspannung nahe beieinander, aber stecker, Zulassung und Gerätespezifikation unterscheiden sich: Typenschild und </w:t>
      </w:r>
      <w:r>
        <w:lastRenderedPageBreak/>
        <w:t>Herstellerfreigabe prüfen, nicht nur Adapter kaufen. Serviceverträge oder Geräteschutz sind Zusatzverträge; Ausschlüsse, Servicegebühr und Reparaturgrenze lesen.</w:t>
      </w:r>
    </w:p>
    <w:p w14:paraId="66AE5AB4" w14:textId="77777777" w:rsidR="001F7233" w:rsidRDefault="00000000">
      <w:pPr>
        <w:pStyle w:val="Heading3"/>
      </w:pPr>
      <w:r>
        <w:t>Nachbarschaftsstreit: Vermieter, Strata und zuständige Stelle</w:t>
      </w:r>
    </w:p>
    <w:p w14:paraId="49DA9291" w14:textId="77777777" w:rsidR="001F7233" w:rsidRDefault="00000000">
      <w:r>
        <w:t>Bei Lärm oder Gemeinschaftsflächen erst Hausregeln, Mietvertrag und Zuständigkeit der Owners Corporation/Strata prüfen. Halte Datum, Dauer und konkrete Auswirkung fest und stelle eine ruhige, konkrete Bitte. Danach Vermieter/Strata-Manager und die passende staatliche Fair-Trading- oder Mietstreitstelle nutzen. Drohungen oder Gewalt sind eine Sicherheitsfrage, kein Strata-Problem.</w:t>
      </w:r>
    </w:p>
    <w:p w14:paraId="6135A315" w14:textId="77777777" w:rsidR="001F7233" w:rsidRDefault="00000000">
      <w:pPr>
        <w:pStyle w:val="Heading3"/>
      </w:pPr>
      <w:bookmarkStart w:id="97" w:name="idx_Termites"/>
      <w:r>
        <w:t>Termiten: Building Report und Pest Report sind verschieden</w:t>
      </w:r>
      <w:bookmarkEnd w:id="97"/>
    </w:p>
    <w:p w14:paraId="61BE57BC" w14:textId="77777777" w:rsidR="001F7233" w:rsidRDefault="00000000">
      <w:r>
        <w:t>Termiten sind in Australien eine echte Wartungs- und Kaufprüffrage. Bauweise oder Betonplatte schließen Befall nicht sicher aus. Wichtig: Ein normaler Building Inspection Report kann aktive Termiten nicht abdecken. Vor dem Kauf separat einen Timber Pest/Termite Inspection Report von einem qualifizierten, versicherten Inspektor bestellen. Nach Vorbefall, Barrieren, Behandlung, Zugangsbeschränkungen und nächster Prüfung fragen. Bei Holz nahe Erde, Mulch am Haus, Feuchte, Schlammröhren oder hohl klingendem Holz nachsehen lassen. Als Eigentümer sind regelmäßige Fachkontrollen und trockene, einsehbare Randbereiche Teil der Instandhaltung. Als Mieter Befall sofort schriftlich melden.</w:t>
      </w:r>
    </w:p>
    <w:p w14:paraId="5E38B1D8" w14:textId="77777777" w:rsidR="001F7233" w:rsidRDefault="00000000">
      <w:pPr>
        <w:pStyle w:val="ListParagraph"/>
      </w:pPr>
      <w:r>
        <w:t xml:space="preserve">Quellen: </w:t>
      </w:r>
      <w:hyperlink r:id="rId665">
        <w:r w:rsidR="001F7233">
          <w:rPr>
            <w:rStyle w:val="Hyperlink"/>
          </w:rPr>
          <w:t>NSW Government: Pre-purchase inspection reports</w:t>
        </w:r>
      </w:hyperlink>
      <w:r>
        <w:t xml:space="preserve"> | </w:t>
      </w:r>
      <w:hyperlink r:id="rId666">
        <w:r w:rsidR="001F7233">
          <w:rPr>
            <w:rStyle w:val="Hyperlink"/>
          </w:rPr>
          <w:t>Victoria Building and Plumbing Commission: Termites</w:t>
        </w:r>
      </w:hyperlink>
    </w:p>
    <w:p w14:paraId="400B90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Wohnen und die besten Orte zum Leben</w:t>
      </w:r>
    </w:p>
    <w:p w14:paraId="16B525FA" w14:textId="77777777" w:rsidR="001F7233" w:rsidRDefault="00000000">
      <w:r>
        <w:rPr>
          <w:b/>
        </w:rPr>
        <w:t>Plus: Kaution liegt treuhänderisch bei einer Behörde, nicht beim Vermieter</w:t>
      </w:r>
    </w:p>
    <w:p w14:paraId="3E7E9680" w14:textId="77777777" w:rsidR="001F7233" w:rsidRDefault="00000000">
      <w:r>
        <w:rPr>
          <w:b/>
        </w:rPr>
        <w:t xml:space="preserve">Minus: </w:t>
      </w:r>
      <w:r>
        <w:t>Mietmarkt in allen Hauptstädten auf Rekordniveau, hohe Konkurrenz bei Besichtigungen</w:t>
      </w:r>
    </w:p>
    <w:p w14:paraId="19608C90" w14:textId="77777777" w:rsidR="001F7233" w:rsidRDefault="00000000">
      <w:r>
        <w:rPr>
          <w:b/>
        </w:rPr>
        <w:t>Plus: Permanent-Resident-Visa wie Subclass 189 sparen sofort Stamp-Duty-Zuschlag und FIRB-Aufwand</w:t>
      </w:r>
    </w:p>
    <w:p w14:paraId="27FD1E8C" w14:textId="77777777" w:rsidR="001F7233" w:rsidRDefault="00000000">
      <w:r>
        <w:rPr>
          <w:b/>
        </w:rPr>
        <w:t xml:space="preserve">Minus: </w:t>
      </w:r>
      <w:r>
        <w:t>Befristete Visa-Inhaber dürfen bis mindestens 2029 kaum Bestandsimmobilien kaufen</w:t>
      </w:r>
    </w:p>
    <w:p w14:paraId="3489971C" w14:textId="77777777" w:rsidR="001F7233" w:rsidRDefault="00000000">
      <w:r>
        <w:rPr>
          <w:b/>
        </w:rPr>
        <w:t>Plus: Melbourne, Brisbane, Perth und Adelaide bieten spürbar günstigeren Wohnraum als Sydney</w:t>
      </w:r>
    </w:p>
    <w:p w14:paraId="1D76D422" w14:textId="77777777" w:rsidR="001F7233" w:rsidRDefault="00000000">
      <w:r>
        <w:rPr>
          <w:b/>
        </w:rPr>
        <w:t xml:space="preserve">Minus: </w:t>
      </w:r>
      <w:r>
        <w:t>Foreign-Buyer-Zuschlag von 7–9 % trifft, wer noch keine Permanent Residence hat</w:t>
      </w:r>
    </w:p>
    <w:p w14:paraId="72B4D059" w14:textId="77777777" w:rsidR="001F7233" w:rsidRDefault="00000000">
      <w:r>
        <w:rPr>
          <w:b/>
        </w:rPr>
        <w:t>Plus: Bergbau, Verteidigung und der Olympia-Bauboom schaffen gut bezahlte Nischenjobs</w:t>
      </w:r>
    </w:p>
    <w:p w14:paraId="1DA9E8C9" w14:textId="77777777" w:rsidR="001F7233" w:rsidRDefault="00000000">
      <w:r>
        <w:rPr>
          <w:b/>
        </w:rPr>
        <w:t xml:space="preserve">Minus: </w:t>
      </w:r>
      <w:r>
        <w:t>Diese Jobs sind meist an eine einzelne Stadt oder Region gebunden</w:t>
      </w:r>
    </w:p>
    <w:p w14:paraId="1A5423A4" w14:textId="77777777" w:rsidR="001F7233" w:rsidRDefault="00000000">
      <w:r>
        <w:rPr>
          <w:b/>
        </w:rPr>
        <w:t>Plus: Kaufprozess mit Auktion und Conveyancer ist oft schneller als in Deutschland</w:t>
      </w:r>
    </w:p>
    <w:p w14:paraId="28E7FC08" w14:textId="77777777" w:rsidR="001F7233" w:rsidRDefault="00000000">
      <w:r>
        <w:rPr>
          <w:b/>
        </w:rPr>
        <w:t xml:space="preserve">Minus: </w:t>
      </w:r>
      <w:r>
        <w:t>Kaum Bedenkzeit bei Versteigerungen, kurze Cooling-off-Frist beim freihändigen Kauf</w:t>
      </w:r>
    </w:p>
    <w:p w14:paraId="66BC943F" w14:textId="77777777" w:rsidR="001F7233" w:rsidRDefault="00000000">
      <w:r>
        <w:rPr>
          <w:b/>
        </w:rPr>
        <w:t>Plus: Jede Stadt hat ein gut dokumentiertes Naturgefahren-Profil, das sich recherchieren lässt</w:t>
      </w:r>
    </w:p>
    <w:p w14:paraId="6B9030D1" w14:textId="77777777" w:rsidR="001F7233" w:rsidRDefault="00000000">
      <w:r>
        <w:rPr>
          <w:b/>
        </w:rPr>
        <w:t xml:space="preserve">Minus: </w:t>
      </w:r>
      <w:r>
        <w:t>Buschfeuer, Flut oder Zyklon können Versicherbarkeit und -kosten merklich beeinflussen</w:t>
      </w:r>
    </w:p>
    <w:p w14:paraId="15ADAC67" w14:textId="77777777" w:rsidR="001F7233" w:rsidRDefault="001F7233">
      <w:pPr>
        <w:spacing w:line="180" w:lineRule="exact"/>
      </w:pPr>
    </w:p>
    <w:p w14:paraId="42BBA3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372415D" w14:textId="77777777" w:rsidR="001F7233" w:rsidRDefault="00000000">
      <w:pPr>
        <w:spacing w:after="140"/>
      </w:pPr>
      <w:r>
        <w:t xml:space="preserve">Vergleiche vor der Zusage nicht nur das Gehalt, sondern die Kombination aus Miet- oder Kaufniveau, Jobmarkt in deinem Berufsfeld und Naturgefahren-Profil der Zielstadt. Kläre früh, </w:t>
      </w:r>
      <w:r>
        <w:lastRenderedPageBreak/>
        <w:t>welchen Visumstatus du beim Umzug hast. Er entscheidet, ob FIRB-Verbot und Stamp-Duty-Zuschlag für dich überhaupt gelten und ob eine Bank dich ohne australische Kredithistorie finanziert. Miete zunächst, auch wenn ein Kauf verlockt: Du lernst Viertel und Schuldistrikt aus eigener Erfahrung kennen und musst dich nicht unter Zeitdruck durch eine Versteigerung hetzen lassen, deren Zuschlag. Anders als in Deutschland – sofort bindet.</w:t>
      </w:r>
    </w:p>
    <w:p w14:paraId="41425D55" w14:textId="77777777" w:rsidR="001F7233" w:rsidRDefault="00000000">
      <w:r>
        <w:t>• Visumstatus geklärt: Permanent Resident oder „foreign person“ im Sinne des FIRB?</w:t>
      </w:r>
    </w:p>
    <w:p w14:paraId="2A0369D6" w14:textId="77777777" w:rsidR="001F7233" w:rsidRDefault="00000000">
      <w:r>
        <w:t>• Bei befristetem Visum geprüft, ob überhaupt eine Bestandsimmobilie infrage kommt oder nur ein Neubau mit FIRB-Genehmigung.</w:t>
      </w:r>
    </w:p>
    <w:p w14:paraId="5FFFF60E" w14:textId="77777777" w:rsidR="001F7233" w:rsidRDefault="00000000">
      <w:r>
        <w:t>• Foreign-Buyer-Zuschlag des Zielbundesstaats in die Kaufpreisrechnung eingerechnet (7–9 %)</w:t>
      </w:r>
    </w:p>
    <w:p w14:paraId="798F6394" w14:textId="77777777" w:rsidR="001F7233" w:rsidRDefault="00000000">
      <w:r>
        <w:t>• Unterlagen für Mietbewerbungen vorbereitet: Einkommensnachweis, Referenzen, Ausweis</w:t>
      </w:r>
    </w:p>
    <w:p w14:paraId="0CEC2592" w14:textId="77777777" w:rsidR="001F7233" w:rsidRDefault="00000000">
      <w:r>
        <w:t>• Kautionsstelle (Bond-Behörde) des Bundesstaats recherchiert</w:t>
      </w:r>
    </w:p>
    <w:p w14:paraId="5A6A0ECE" w14:textId="77777777" w:rsidR="001F7233" w:rsidRDefault="00000000">
      <w:r>
        <w:t>• Naturgefahren-Profil der Zielstadt mit einem konkreten Versicherungsangebot abgeglichen</w:t>
      </w:r>
    </w:p>
    <w:p w14:paraId="31C6DA97" w14:textId="77777777" w:rsidR="001F7233" w:rsidRDefault="00000000">
      <w:r>
        <w:t>• Miet- und Kaufpreise mehrerer Städte im eigenen Berufsfeld verglichen, nicht nur Sydney oder Melbourne</w:t>
      </w:r>
    </w:p>
    <w:p w14:paraId="34BC9FF5" w14:textId="77777777" w:rsidR="001F7233" w:rsidRDefault="00000000">
      <w:r>
        <w:t>• Bei Kaufabsicht: Conveyancer oder Immobilienanwalt kontaktiert, Cooling-off-Regeln des Bundesstaats geprüft</w:t>
      </w:r>
    </w:p>
    <w:p w14:paraId="43515052" w14:textId="77777777" w:rsidR="001F7233" w:rsidRDefault="00000000">
      <w:r>
        <w:t>• Finanzierungsbedingungen für den eigenen Visumtyp bei mindestens zwei Banken erfragt</w:t>
      </w:r>
    </w:p>
    <w:p w14:paraId="21833D39" w14:textId="77777777" w:rsidR="001F7233" w:rsidRDefault="00000000">
      <w:r>
        <w:t>• Entschieden, mindestens die ersten sechs bis zwölf Monate zu mieten</w:t>
      </w:r>
    </w:p>
    <w:p w14:paraId="42D0689B" w14:textId="77777777" w:rsidR="001F7233" w:rsidRDefault="001F7233">
      <w:pPr>
        <w:spacing w:line="220" w:lineRule="exact"/>
      </w:pPr>
    </w:p>
    <w:p w14:paraId="5049E5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DEE1FB3" w14:textId="77777777" w:rsidR="001F7233" w:rsidRDefault="00000000">
      <w:pPr>
        <w:pStyle w:val="ListParagraph"/>
        <w:numPr>
          <w:ilvl w:val="0"/>
          <w:numId w:val="1"/>
        </w:numPr>
        <w:spacing w:after="60"/>
      </w:pPr>
      <w:r>
        <w:t>Foreign Investment Review Board — FIRB-Regeln, Established-Dwelling-Verbot (</w:t>
      </w:r>
      <w:hyperlink r:id="rId667">
        <w:r w:rsidR="001F7233">
          <w:rPr>
            <w:color w:val="0563C1"/>
            <w:u w:val="single"/>
          </w:rPr>
          <w:t>firb.gov.au</w:t>
        </w:r>
      </w:hyperlink>
      <w:r>
        <w:t>)</w:t>
      </w:r>
    </w:p>
    <w:p w14:paraId="7342EB5E" w14:textId="77777777" w:rsidR="001F7233" w:rsidRDefault="00000000">
      <w:pPr>
        <w:pStyle w:val="ListParagraph"/>
        <w:numPr>
          <w:ilvl w:val="0"/>
          <w:numId w:val="1"/>
        </w:numPr>
        <w:spacing w:after="60"/>
      </w:pPr>
      <w:r>
        <w:lastRenderedPageBreak/>
        <w:t>Australian Taxation Office — Gebühren und Fristen für Auslandsinvestitionen (</w:t>
      </w:r>
      <w:hyperlink r:id="rId668">
        <w:r w:rsidR="001F7233">
          <w:rPr>
            <w:color w:val="0563C1"/>
            <w:u w:val="single"/>
          </w:rPr>
          <w:t>ato.gov.au</w:t>
        </w:r>
      </w:hyperlink>
      <w:r>
        <w:t>)</w:t>
      </w:r>
    </w:p>
    <w:p w14:paraId="694C7114" w14:textId="77777777" w:rsidR="001F7233" w:rsidRDefault="00000000">
      <w:pPr>
        <w:pStyle w:val="ListParagraph"/>
        <w:numPr>
          <w:ilvl w:val="0"/>
          <w:numId w:val="1"/>
        </w:numPr>
        <w:spacing w:after="60"/>
      </w:pPr>
      <w:r>
        <w:t>NSW Fair Trading — Mietrecht, Rental Bonds Online (</w:t>
      </w:r>
      <w:hyperlink r:id="rId669">
        <w:r w:rsidR="001F7233">
          <w:rPr>
            <w:color w:val="0563C1"/>
            <w:u w:val="single"/>
          </w:rPr>
          <w:t>fairtrading.nsw.gov.au</w:t>
        </w:r>
      </w:hyperlink>
      <w:r>
        <w:t>)</w:t>
      </w:r>
    </w:p>
    <w:p w14:paraId="349AF6E4" w14:textId="77777777" w:rsidR="001F7233" w:rsidRDefault="00000000">
      <w:pPr>
        <w:pStyle w:val="ListParagraph"/>
        <w:numPr>
          <w:ilvl w:val="0"/>
          <w:numId w:val="1"/>
        </w:numPr>
        <w:spacing w:after="60"/>
      </w:pPr>
      <w:r>
        <w:t>Domain Rental Report und Cotality Home Value Index — aktuelle Miet- und Kaufpreise (</w:t>
      </w:r>
      <w:hyperlink r:id="rId670">
        <w:r w:rsidR="001F7233">
          <w:rPr>
            <w:color w:val="0563C1"/>
            <w:u w:val="single"/>
          </w:rPr>
          <w:t>domain.com.au</w:t>
        </w:r>
      </w:hyperlink>
      <w:r>
        <w:t xml:space="preserve">, </w:t>
      </w:r>
      <w:hyperlink r:id="rId671">
        <w:r w:rsidR="001F7233">
          <w:rPr>
            <w:color w:val="0563C1"/>
            <w:u w:val="single"/>
          </w:rPr>
          <w:t>cotality.com</w:t>
        </w:r>
      </w:hyperlink>
      <w:r>
        <w:t>)</w:t>
      </w:r>
    </w:p>
    <w:p w14:paraId="37FE4E83" w14:textId="77777777" w:rsidR="001F7233" w:rsidRDefault="00000000">
      <w:pPr>
        <w:pStyle w:val="ListParagraph"/>
        <w:numPr>
          <w:ilvl w:val="0"/>
          <w:numId w:val="1"/>
        </w:numPr>
        <w:spacing w:after="60"/>
      </w:pPr>
      <w:r>
        <w:t>Deutsche Botschaft Canberra und Generalkonsulat Sydney — Vertretungen vor Ort (</w:t>
      </w:r>
      <w:hyperlink r:id="rId672">
        <w:r w:rsidR="001F7233">
          <w:rPr>
            <w:color w:val="0563C1"/>
            <w:u w:val="single"/>
          </w:rPr>
          <w:t>australien.diplo.de</w:t>
        </w:r>
      </w:hyperlink>
      <w:r>
        <w:t>)</w:t>
      </w:r>
    </w:p>
    <w:p w14:paraId="3216CE95" w14:textId="77777777" w:rsidR="001F7233" w:rsidRDefault="001F7233">
      <w:pPr>
        <w:spacing w:line="120" w:lineRule="exact"/>
      </w:pPr>
    </w:p>
    <w:p w14:paraId="2FFFFF8C" w14:textId="77777777" w:rsidR="001F7233" w:rsidRDefault="00000000">
      <w:pPr>
        <w:pStyle w:val="ListParagraph"/>
      </w:pPr>
      <w:r>
        <w:t xml:space="preserve">NSW Fair Trading — strata living: </w:t>
      </w:r>
      <w:hyperlink r:id="rId673">
        <w:r w:rsidR="001F7233">
          <w:rPr>
            <w:rStyle w:val="Hyperlink"/>
          </w:rPr>
          <w:t>nsw.gov.au/housing-and-construction/strata/living-in-a-strata-scheme</w:t>
        </w:r>
      </w:hyperlink>
    </w:p>
    <w:p w14:paraId="0AFB7A66" w14:textId="77777777" w:rsidR="001F7233" w:rsidRDefault="00000000">
      <w:r>
        <w:t>• September 2026 (Schreibdatum 23. September 2026). Miet- und Kaufpreise ändern sich quartalsweise spürbar, ebenso die Foreign-Buyer-Zuschläge, die FIRB-Gebühren (turnusmäßig zum 1. Juli angepasst) und die Frist des Established-Dwelling-Verbots (aktuell bis 30. Juni 2029 befristet). Prüfe vor jeder Entscheidung die offiziellen Seiten und aktuelle Marktberichte.</w:t>
      </w:r>
    </w:p>
    <w:p w14:paraId="6C935B0B" w14:textId="77777777" w:rsidR="001F7233" w:rsidRDefault="001F7233">
      <w:pPr>
        <w:spacing w:line="220" w:lineRule="exact"/>
      </w:pPr>
    </w:p>
    <w:p w14:paraId="6C18937A" w14:textId="77777777" w:rsidR="001F7233" w:rsidRDefault="00000000">
      <w:pPr>
        <w:pStyle w:val="Heading3"/>
      </w:pPr>
      <w:r>
        <w:t>Strom, Wasser und Gas: laufende Kosten senken</w:t>
      </w:r>
    </w:p>
    <w:p w14:paraId="05DEB17A" w14:textId="77777777" w:rsidR="001F7233" w:rsidRDefault="00000000">
      <w:r>
        <w:t xml:space="preserve">Electricity and gas offers, daily supply charges and comparison services vary by State/Territory and postcode; some regions have limited retailer choice. Compare the estimated annual cost using your actual household pattern and check solar feed-in terms separately from the import price. Water and sewer charges may be billed by a retailer, council or landlord, and drought restrictions are local. Reduce cooling and heating demand with shade, curtains, fans where appropriate, moderate thermostat settings and clean filters. Wash full cold-water loads, shorten hot showers and fix/report leaks. In rentals, check the tenancy agreement and get permission before changing fixtures or equipment. Ask the retailer about concessions or a payment plan if bills become difficult. </w:t>
      </w:r>
      <w:hyperlink r:id="rId674">
        <w:r w:rsidR="001F7233">
          <w:rPr>
            <w:color w:val="0563C1"/>
            <w:u w:val="single"/>
          </w:rPr>
          <w:t>Australian Government: quick energy-saving actions and retailer comparison</w:t>
        </w:r>
      </w:hyperlink>
      <w:r>
        <w:t xml:space="preserve"> </w:t>
      </w:r>
      <w:hyperlink r:id="rId675">
        <w:r w:rsidR="001F7233">
          <w:rPr>
            <w:color w:val="0563C1"/>
            <w:u w:val="single"/>
          </w:rPr>
          <w:t>Australian Government: heating and cooling</w:t>
        </w:r>
      </w:hyperlink>
    </w:p>
    <w:p w14:paraId="4B4B3610" w14:textId="77777777" w:rsidR="001F7233" w:rsidRDefault="00000000">
      <w:pPr>
        <w:pStyle w:val="Heading3"/>
      </w:pPr>
      <w:r>
        <w:lastRenderedPageBreak/>
        <w:t>Helikopter, Flugrouten und wiederkehrender Lärm</w:t>
      </w:r>
    </w:p>
    <w:p w14:paraId="1F65EC1D" w14:textId="77777777" w:rsidR="001F7233" w:rsidRDefault="00000000">
      <w:r>
        <w:t>Über Australien können neben einzelnen Polizei- oder Rettungsflügen auch touristische Rundflüge und Arbeitsverkehr hörbar sein. Die Belastung hängt stark vom konkreten Ort ab. Besuche vor Miete oder Kauf zu verschiedenen Zeiten und prüfe Flughäfen, Helipads, Krankenhäuser, Flugrouten und Veranstaltungsorte. Frag Nachbarn nach regelmäßigem Flug- und Baustellenlärm. Karten zeigen nicht jede Geräuschquelle; Routen können sich ändern.</w:t>
      </w:r>
    </w:p>
    <w:p w14:paraId="241FE862" w14:textId="77777777" w:rsidR="001F7233" w:rsidRDefault="00000000">
      <w:pPr>
        <w:pStyle w:val="Heading3"/>
      </w:pPr>
      <w:r>
        <w:t>Hobbys mit Nachweis: Flugzeug, Funk, Boot, Drohne, Tauchen und Hovercraft</w:t>
      </w:r>
    </w:p>
    <w:p w14:paraId="7722B4E4" w14:textId="77777777" w:rsidR="001F7233" w:rsidRDefault="00000000">
      <w:r>
        <w:t xml:space="preserve">Für eine Cessna ist eine CASA-Pilotenlizenz mit passenden Klassenberechtigungen nötig; die Recreational Pilot Licence deckt nur begrenzte Flugzeuge und Betriebsarten ab. Dazu kommen Medical-/Medical-Self-Declaration-Regeln, Flugreviews und gegebenenfalls Funk-, Luftraum- oder Navigationsendorsements. Amateurfunk erfordert eine ACMA-anerkannte Qualifikation und Betrieb nach den Lizenzbedingungen. Freizeitboot-Führerscheine regeln States und Territories unterschiedlich; prüfe Landesrecht und Anforderungen für Motorboot, Jetski oder Segelboot samt Hilfsmotor. Freizeitdrohnen sind teils von der Registrierung ausgenommen, während geschäftlich genutzte Drohnen registriert werden müssen; Remote-Pilot-Lizenz und Betreiberzertifikat hängen von der Tätigkeit ab. Für Gerätetauchen verlangen Tauchschulen und Charter üblicherweise anerkannte Zertifizierung, aktuelle Erfahrung und medizinische Angaben. Prüfe Anerkennung deutscher Scheine vor Kauf oder Kurs. </w:t>
      </w:r>
      <w:hyperlink r:id="rId676">
        <w:r w:rsidR="001F7233">
          <w:rPr>
            <w:color w:val="0563C1"/>
            <w:u w:val="single"/>
          </w:rPr>
          <w:t>CASA: Recreational Pilot Licence</w:t>
        </w:r>
      </w:hyperlink>
      <w:r>
        <w:t xml:space="preserve"> </w:t>
      </w:r>
      <w:hyperlink r:id="rId677">
        <w:r w:rsidR="001F7233">
          <w:rPr>
            <w:color w:val="0563C1"/>
            <w:u w:val="single"/>
          </w:rPr>
          <w:t>ACMA: amateur-radio qualification</w:t>
        </w:r>
      </w:hyperlink>
      <w:r>
        <w:t xml:space="preserve"> </w:t>
      </w:r>
      <w:hyperlink r:id="rId678">
        <w:r w:rsidR="001F7233">
          <w:rPr>
            <w:color w:val="0563C1"/>
            <w:u w:val="single"/>
          </w:rPr>
          <w:t>AMSA: recreational boat requirements by State/Territory</w:t>
        </w:r>
      </w:hyperlink>
      <w:r>
        <w:t xml:space="preserve"> </w:t>
      </w:r>
      <w:hyperlink r:id="rId679">
        <w:r w:rsidR="001F7233">
          <w:rPr>
            <w:color w:val="0563C1"/>
            <w:u w:val="single"/>
          </w:rPr>
          <w:t>CASA: drone registration requirements</w:t>
        </w:r>
      </w:hyperlink>
      <w:r>
        <w:t xml:space="preserve"> </w:t>
      </w:r>
      <w:hyperlink r:id="rId680">
        <w:r w:rsidR="001F7233">
          <w:rPr>
            <w:color w:val="0563C1"/>
            <w:u w:val="single"/>
          </w:rPr>
          <w:t>PADI: Open Water Diver certification</w:t>
        </w:r>
      </w:hyperlink>
    </w:p>
    <w:p w14:paraId="09827F00" w14:textId="77777777" w:rsidR="001F7233" w:rsidRDefault="00000000">
      <w:r>
        <w:t xml:space="preserve">Hovercraft: Private Nutzung fällt unter die Freizeitbootregeln des jeweiligen Bundesstaats oder Territoriums; kommerzieller oder </w:t>
      </w:r>
      <w:r>
        <w:lastRenderedPageBreak/>
        <w:t>Forschungsbetrieb kann dem nationalen AMSA-System unterliegen. Vor dem Kauf Nutzung, Gewässer, Registrierung und Sicherheitsanforderungen mit der passenden Marine-Safety-Stelle klären. AMSA: https://www.amsa.gov.au/vessels-operators/domestic-commercial-vessels/it-domestic-commercial-vessel</w:t>
      </w:r>
      <w:r>
        <w:br w:type="page"/>
      </w:r>
    </w:p>
    <w:p w14:paraId="6E4ED354" w14:textId="77777777" w:rsidR="001F7233" w:rsidRDefault="00000000">
      <w:pPr>
        <w:pStyle w:val="Heading2"/>
        <w:keepNext/>
        <w:spacing w:line="341" w:lineRule="auto"/>
        <w:jc w:val="center"/>
      </w:pPr>
      <w:bookmarkStart w:id="98" w:name="tau10"/>
      <w:r>
        <w:rPr>
          <w:rFonts w:ascii="Amazon Ember" w:eastAsia="Amazon Ember" w:hAnsi="Amazon Ember" w:cs="Amazon Ember"/>
          <w:color w:val="0000FF"/>
          <w:sz w:val="36"/>
          <w:szCs w:val="36"/>
        </w:rPr>
        <w:lastRenderedPageBreak/>
        <w:t>Australien: Führerschein, Auto und Verkehrsregeln</w:t>
      </w:r>
      <w:bookmarkEnd w:id="98"/>
    </w:p>
    <w:p w14:paraId="610E1D6C" w14: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w14:paraId="758BA541" w14:textId="77777777" w:rsidR="001F7233" w:rsidRDefault="00000000">
      <w:pPr>
        <w:spacing w:after="140"/>
      </w:pPr>
      <w:r>
        <w:t>Du sitzt zum ersten Mal hinter dem Lenkrad eines australischen Mietwagens und tastest routiniert nach dem Blinkerhebel links. Stattdessen lässt du die Scheibenwischer trocken über die Windschutzscheibe quietschen. Der Beifahrer sagt nichts, aber sein Blick sagt alles. Am ersten Kreisverkehr fährst du aus tiefstem Reflex gegen den Uhrzeigersinn los, bis ein höflicher, aber bestimmter Hupton dich zurückholt. Willkommen in einem Land, das seine Straßenseite nie gewechselt hat, nur du musst es jetzt tun. Führerschein, Auto und Verkehrsregeln hängen in Australien eng zusammen und wer die wichtigsten Unterschiede vor dem ersten Start kennt, erspart sich die teuersten Überraschungen.</w:t>
      </w:r>
    </w:p>
    <w:p w14:paraId="094F9378" w14:textId="77777777" w:rsidR="001F7233" w:rsidRDefault="00000000">
      <w:r>
        <w:rPr>
          <w:b/>
        </w:rPr>
        <w:t xml:space="preserve">KURZ GESAGT: </w:t>
      </w:r>
    </w:p>
    <w:p w14:paraId="4CD928F3" w14:textId="77777777" w:rsidR="001F7233" w:rsidRDefault="00000000">
      <w:r>
        <w:t>• Wichtigster Unterschied zu Deutschland: Australien fährt auf der linken Straßenseite. Kreisverkehre laufen im Uhrzeigersinn, Blinker und Scheibenwischer sitzen bei vielen Fahrzeugen vertauscht und die Eingewöhnung braucht ein paar Tage bewusste Aufmerksamkeit.</w:t>
      </w:r>
    </w:p>
    <w:p w14:paraId="4204E19F" w14:textId="77777777" w:rsidR="001F7233" w:rsidRDefault="00000000">
      <w:r>
        <w:t>• Der Führerschein-Umtausch ist Sache der Bundesstaaten: In Victoria, Queensland, South Australia, Tasmanien und im ACT fährst du mit gültigem deutschem Führerschein als befristeter Visuminhaber zeitlich unbegrenzt, in New South Wales nur 6 Monate, im Northern Territory 3 Monate. Western Australia verlangt den Umtausch binnen 3 Monaten von allen.</w:t>
      </w:r>
    </w:p>
    <w:p w14:paraId="50506774" w14:textId="77777777" w:rsidR="001F7233" w:rsidRDefault="00000000">
      <w:r>
        <w:t>• Die Alkoholgrenze liegt bei 0,05 % BAC (Blutalkoholkonzentration) für volle Lizenzen, bei 0,00 % für Fahranfänger und wird durch Random Breath Testing (RBT) mit rund 15 Millionen Tests im Jahr flächendeckend kontrolliert.</w:t>
      </w:r>
    </w:p>
    <w:p w14:paraId="379DAD0D" w14:textId="77777777" w:rsidR="001F7233" w:rsidRDefault="00000000">
      <w:r>
        <w:lastRenderedPageBreak/>
        <w:t>• Mobile Speed Cameras stehen in mehreren Bundesstaaten unmarkiert am Straßenrand und bußgelder fürs Handy am Steuer erreichen je nach Bundesstaat vierstellige Beträge.</w:t>
      </w:r>
    </w:p>
    <w:p w14:paraId="37049262" w14:textId="77777777" w:rsidR="001F7233" w:rsidRDefault="00000000">
      <w:r>
        <w:t>• Das Demerit-Points-System ist streng gestaffelt: Volle Lizenzen verlieren sie bei 11 bis 13 Punkten binnen drei Jahren, Fahranfänger schon bei 4.</w:t>
      </w:r>
    </w:p>
    <w:p w14:paraId="45707817" w14:textId="77777777" w:rsidR="001F7233" w:rsidRDefault="00000000">
      <w:r>
        <w:t>• Im Outback zählen Kängurus zu den größten Unfallrisiken und die Entfernungen zwischen Städten sind so groß, dass Pausenplanung Pflicht ist, nicht Kür.</w:t>
      </w:r>
    </w:p>
    <w:p w14:paraId="06BBF6EE" w14:textId="77777777" w:rsidR="001F7233" w:rsidRDefault="001F7233">
      <w:pPr>
        <w:spacing w:line="220" w:lineRule="exact"/>
      </w:pPr>
    </w:p>
    <w:p w14:paraId="73FCC3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wichtigste Punkt: Linksverkehr im Alltag</w:t>
      </w:r>
    </w:p>
    <w:p w14:paraId="42E50ACC" w14:textId="77777777" w:rsidR="001F7233" w:rsidRDefault="00000000">
      <w:pPr>
        <w:spacing w:after="140"/>
      </w:pPr>
      <w:r>
        <w:t>Im Alltag zeigt sich das an vielen kleinen Stellen gleichzeitig. Kreisverkehre werden im Uhrzeigersinn durchfahren, nicht gegen ihn. Blinker- und Scheibenwischerhebel sitzen je nach Fahrzeug und Hersteller oft vertauscht, weil die Fahrerposition gespiegelt ist. Der Griff zum falschen Hebel ist so verlässlich wie harmlos, aber er passiert praktisch jedem in der ersten Woche. Beim Linksabbiegen und an Kreuzungen wird typischerweise vergessen, zuerst nach rechts zu schauen, weil der Gegenverkehr aus der „falschen“ Richtung kommt. Genau das gilt als eine der häufigsten Fehlerquellen für Neuankömmlinge in den ersten Tagen und Wochen. Auf mehrspurigen Straßen fährst du möglichst weit links, überholt wird rechts, exakt umgekehrt zur deutschen Regel.</w:t>
      </w:r>
    </w:p>
    <w:p w14:paraId="67DC1357" w14:textId="77777777" w:rsidR="001F7233" w:rsidRDefault="00000000">
      <w:pPr>
        <w:spacing w:after="140"/>
      </w:pPr>
      <w:r>
        <w:t xml:space="preserve">Dazu kommt eine australische Besonderheit, die mit dem Linksverkehr nichts zu tun hat, aber ebenfalls neu ist. An unbeschilderten Kreuzungen ohne Ampeln oder Markierungen (und die keine T-Kreuzung sind) hat meist das von rechts kommende Fahrzeug Vorfahrt, unabhängig davon, ob es abbiegt oder geradeaus fährt. Treffen zwei Fahrzeuge gleichzeitig ein, muss das Fahrzeug von links dem Fahrzeug von rechts weichen. Das Prinzip ähnelt dem </w:t>
      </w:r>
      <w:r>
        <w:lastRenderedPageBreak/>
        <w:t>deutschen „rechts vor links“, ist aber konsequenter: Es zählt allein die Position, nicht die Fahrtrichtung. An unbeschilderten T-Kreuzungen gilt eine eigene Regel: Wer von der endenden Straße kommt (dem „Fuß“ des T), muss dem durchgehenden Verkehr auf der Straße am „Balken“ des T Vorfahrt gewähren. Dieses Prinzip gilt in Australien schon deutlich länger als im benachbarten Neuseeland, das eine vergleichbare Regel erst 2012 eingeführt hat.</w:t>
      </w:r>
    </w:p>
    <w:p w14:paraId="00DEEBA4" w14:textId="77777777" w:rsidR="001F7233" w:rsidRDefault="00000000">
      <w:r>
        <w:rPr>
          <w:b/>
        </w:rPr>
        <w:t xml:space="preserve">ACHTUNG: </w:t>
      </w:r>
    </w:p>
    <w:p w14:paraId="0302AFCC" w14:textId="77777777" w:rsidR="001F7233" w:rsidRDefault="00000000">
      <w:r>
        <w:t>• Übe die ersten Fahrten möglichst auf einem leeren Parkplatz oder in einer ruhigen Wohnstraße, bevor du dich in den Stadtverkehr wagst. Besonders Kreisverkehre und Linksabbiegen an belebten Kreuzungen. Der Fehler mit der falschen Fahrspur passiert nicht aus Leichtsinn, sondern aus Jahrzehnten eingeübter Reflexe, die sich nicht per Willenskraft, sondern nur durch Wiederholung umgewöhnen lassen.</w:t>
      </w:r>
    </w:p>
    <w:p w14:paraId="191EE7F3" w14:textId="77777777" w:rsidR="001F7233" w:rsidRDefault="001F7233">
      <w:pPr>
        <w:spacing w:line="220" w:lineRule="exact"/>
      </w:pPr>
    </w:p>
    <w:p w14:paraId="51B51527" w14:textId="77777777" w:rsidR="001F7233" w:rsidRDefault="001F7233">
      <w:pPr>
        <w:spacing w:line="220" w:lineRule="exact"/>
      </w:pPr>
    </w:p>
    <w:p w14:paraId="2AF94961" w14:textId="77777777" w:rsidR="001F7233" w:rsidRDefault="00000000">
      <w:r>
        <w:rPr>
          <w:b/>
        </w:rPr>
        <w:t xml:space="preserve">MERKE: </w:t>
      </w:r>
    </w:p>
    <w:p w14:paraId="3880E60E" w14:textId="77777777" w:rsidR="001F7233" w:rsidRDefault="00000000">
      <w:r>
        <w:t>• Nicht das Fahren an sich ist in Australien das Problem, sondern die ersten reflexhaften Sekunden. Blinker, Schulterblick, Kreisverkehr, der Blick zuerst nach rechts. Nach ein bis zwei Wochen bewusster Übung wird daraus Routine, danach denkst du nicht mehr darüber nach.</w:t>
      </w:r>
    </w:p>
    <w:p w14:paraId="44067C6E" w14:textId="77777777" w:rsidR="001F7233" w:rsidRDefault="001F7233">
      <w:pPr>
        <w:spacing w:line="220" w:lineRule="exact"/>
      </w:pPr>
    </w:p>
    <w:p w14:paraId="47E05D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Sache der Bundesstaaten</w:t>
      </w:r>
    </w:p>
    <w:p w14:paraId="0570EE85" w14:textId="77777777" w:rsidR="001F7233" w:rsidRDefault="00000000">
      <w:pPr>
        <w:spacing w:after="140"/>
      </w:pPr>
      <w:r>
        <w:rPr>
          <w:i/>
          <w:iCs/>
        </w:rPr>
        <w:t xml:space="preserve">Wie schon beim US-Teil dieses Buches gilt auch in Australien: Für den Führerschein ist nicht die Bundesregierung zuständig, sondern jeder Bundesstaat und jedes Territorium für sich. Deutschland gehört zu einer Gruppe von rund 28 Ländern, deren Führerscheine in allen australischen Bundesstaaten ohne praktische oder theoretische Fahrprüfung umgetauscht werden. Ein reiner Verwaltungsvorgang, </w:t>
      </w:r>
      <w:r>
        <w:rPr>
          <w:i/>
          <w:iCs/>
        </w:rPr>
        <w:lastRenderedPageBreak/>
        <w:t>sofern der deutsche Führerschein auf Englisch vorliegt oder durch eine amtliche Übersetzung oder einen Internationalen Führerschein (IDP, eine mehrsprachige Zusatzurkunde zum nationalen Führerschein) ergänzt wird.</w:t>
      </w:r>
    </w:p>
    <w:p w14:paraId="587B1C10" w14:textId="77777777" w:rsidR="001F7233" w:rsidRDefault="00000000">
      <w:pPr>
        <w:spacing w:after="140"/>
      </w:pPr>
      <w:r>
        <w:t>Die zuständige Behörde heißt je nach Bundesstaat anders. In Victoria ist es VicRoads oder das Department of Transport; in New South Wales Transport for NSW (Service NSW); in Queensland das Department of Transport and Main Roads (TMR). In South Australia ist Service SA zuständig, in Western Australia das Department of Transport.</w:t>
      </w:r>
    </w:p>
    <w:p w14:paraId="05F0710D" w14:textId="77777777" w:rsidR="001F7233" w:rsidRDefault="00000000">
      <w:r>
        <w:rPr>
          <w:b/>
        </w:rPr>
        <w:t>Victoria, Queensland, South Australia, Tasmanien, ACT</w:t>
      </w:r>
    </w:p>
    <w:p w14:paraId="742DAE07" w14:textId="77777777" w:rsidR="001F7233" w:rsidRDefault="00000000">
      <w:r>
        <w:rPr>
          <w:b/>
        </w:rPr>
        <w:t xml:space="preserve">Regel für befristete Visa-Inhaber: </w:t>
      </w:r>
      <w:r>
        <w:t>zeitlich unbegrenzt mit gültigem deutschem Führerschein</w:t>
      </w:r>
    </w:p>
    <w:p w14:paraId="177A2620" w14:textId="77777777" w:rsidR="001F7233" w:rsidRDefault="00000000">
      <w:r>
        <w:rPr>
          <w:b/>
        </w:rPr>
        <w:t xml:space="preserve">Frist für Permanent Residents/Staatsbürger: </w:t>
      </w:r>
      <w:r>
        <w:t>i. d. R. 3 Monate nach Wohnsitznahme</w:t>
      </w:r>
    </w:p>
    <w:p w14:paraId="44155C89" w14:textId="77777777" w:rsidR="001F7233" w:rsidRDefault="00000000">
      <w:r>
        <w:rPr>
          <w:b/>
        </w:rPr>
        <w:t>New South Wales</w:t>
      </w:r>
    </w:p>
    <w:p w14:paraId="028BD57B" w14:textId="77777777" w:rsidR="001F7233" w:rsidRDefault="00000000">
      <w:r>
        <w:rPr>
          <w:b/>
        </w:rPr>
        <w:t xml:space="preserve">Regel für befristete Visa-Inhaber: </w:t>
      </w:r>
      <w:r>
        <w:t>6 Monate ab Wohnsitznahme</w:t>
      </w:r>
    </w:p>
    <w:p w14:paraId="49897DC4" w14:textId="77777777" w:rsidR="001F7233" w:rsidRDefault="00000000">
      <w:r>
        <w:rPr>
          <w:b/>
        </w:rPr>
        <w:t xml:space="preserve">Frist für Permanent Residents/Staatsbürger: </w:t>
      </w:r>
      <w:r>
        <w:t>3 Monate</w:t>
      </w:r>
    </w:p>
    <w:p w14:paraId="3AAA96E1" w14:textId="77777777" w:rsidR="001F7233" w:rsidRDefault="00000000">
      <w:r>
        <w:rPr>
          <w:b/>
        </w:rPr>
        <w:t>Northern Territory</w:t>
      </w:r>
    </w:p>
    <w:p w14:paraId="3D6B1BF1" w14:textId="77777777" w:rsidR="001F7233" w:rsidRDefault="00000000">
      <w:r>
        <w:rPr>
          <w:b/>
        </w:rPr>
        <w:t xml:space="preserve">Regel für befristete Visa-Inhaber: </w:t>
      </w:r>
      <w:r>
        <w:t>3 Monate ab Wohnsitznahme</w:t>
      </w:r>
    </w:p>
    <w:p w14:paraId="511BBD19" w14:textId="77777777" w:rsidR="001F7233" w:rsidRDefault="00000000">
      <w:r>
        <w:rPr>
          <w:b/>
        </w:rPr>
        <w:t xml:space="preserve">Frist für Permanent Residents/Staatsbürger: </w:t>
      </w:r>
      <w:r>
        <w:t>3 Monate</w:t>
      </w:r>
    </w:p>
    <w:p w14:paraId="30324C0A" w14:textId="77777777" w:rsidR="001F7233" w:rsidRDefault="00000000">
      <w:r>
        <w:rPr>
          <w:b/>
        </w:rPr>
        <w:t>Western Australia</w:t>
      </w:r>
    </w:p>
    <w:p w14:paraId="149BDAF3" w14:textId="77777777" w:rsidR="001F7233" w:rsidRDefault="00000000">
      <w:r>
        <w:rPr>
          <w:b/>
        </w:rPr>
        <w:t xml:space="preserve">Regel für befristete Visa-Inhaber: </w:t>
      </w:r>
      <w:r>
        <w:t>3 Monate ab Wohnsitznahme, unabhängig vom Visumstatus</w:t>
      </w:r>
    </w:p>
    <w:p w14:paraId="3A2B6269" w14:textId="77777777" w:rsidR="001F7233" w:rsidRDefault="00000000">
      <w:r>
        <w:rPr>
          <w:b/>
        </w:rPr>
        <w:t xml:space="preserve">Frist für Permanent Residents/Staatsbürger: </w:t>
      </w:r>
      <w:r>
        <w:t>3 Monate</w:t>
      </w:r>
    </w:p>
    <w:p w14:paraId="2D6B3096" w14:textId="77777777" w:rsidR="001F7233" w:rsidRDefault="001F7233">
      <w:pPr>
        <w:spacing w:line="180" w:lineRule="exact"/>
      </w:pPr>
    </w:p>
    <w:p w14:paraId="0433A730" w14:textId="77777777" w:rsidR="001F7233" w:rsidRDefault="00000000">
      <w:pPr>
        <w:spacing w:after="140"/>
      </w:pPr>
      <w:r>
        <w:t xml:space="preserve">Verbreiteter Irrtum: „Der deutsche Führerschein gilt doch, solange das Visum läuft.“ Tatsächlich ist die Frist an den Wohnsitz gekoppelt, nicht an das Visum und sie beginnt bei jedem Umzug in Australiens neu zu laufen. Wer von einem kulanten Bundesstaat wie Victoria </w:t>
      </w:r>
      <w:r>
        <w:lastRenderedPageBreak/>
        <w:t>nach New South Wales oder Western Australia zieht, sollte die dortige Frist ab dem Tag der Wohnsitznahme neu prüfen, statt sich auf die alte Regel zu verlassen.</w:t>
      </w:r>
    </w:p>
    <w:p w14:paraId="4CA194DC" w14:textId="77777777" w:rsidR="001F7233" w:rsidRDefault="00000000">
      <w:r>
        <w:rPr>
          <w:b/>
        </w:rPr>
        <w:t xml:space="preserve">ACHTUNG: </w:t>
      </w:r>
    </w:p>
    <w:p w14:paraId="6DD88D24" w14:textId="77777777" w:rsidR="001F7233" w:rsidRDefault="00000000">
      <w:r>
        <w:t>• Wer die Umtauschfrist seines Bundesstaats verpasst, fährt ohne gültige Lizenz. Mit Folgen für Bußgelder, Versicherungsschutz im Schadensfall und im schlimmsten Fall den Aufenthaltsstatus. Prüfe die Frist deines Zielbundesstaats direkt bei der passenden Behörde, bevor du fliegst, nicht danach.</w:t>
      </w:r>
    </w:p>
    <w:p w14:paraId="27AB9A63" w14:textId="77777777" w:rsidR="001F7233" w:rsidRDefault="001F7233">
      <w:pPr>
        <w:spacing w:line="220" w:lineRule="exact"/>
      </w:pPr>
    </w:p>
    <w:p w14:paraId="7D4E88A0" w14:textId="77777777" w:rsidR="001F7233" w:rsidRDefault="00000000">
      <w:pPr>
        <w:spacing w:after="140"/>
      </w:pPr>
      <w:r>
        <w:t>Beantrage die englische Übersetzung oder den IDP schon in Deutschland bei deiner Führerscheinstelle. Vor Ort in Australien geht das nicht rückwirkend. Beim Umtausch selbst verlangt das jeweilige Amt meist Reisepass, Visumsnachweis, Adressnachweis und den deutschen Führerschein im Original. Manche Behörden behalten die deutsche Karte ein, weshalb sich eine Kopie vorher lohnt.</w:t>
      </w:r>
    </w:p>
    <w:p w14:paraId="48DC58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w14:paraId="484DB281" w14:textId="77777777" w:rsidR="001F7233" w:rsidRDefault="00000000">
      <w:pPr>
        <w:spacing w:after="140"/>
      </w:pPr>
      <w:r>
        <w:rPr>
          <w:i/>
          <w:iCs/>
        </w:rPr>
        <w:t>Eine Kfz-Haftpflicht-Basisversicherung, die Compulsory Third Party-Versicherung (CTP, umgangssprachlich in New South Wales „Green Slip“), ist in jedem Bundesstaat und Territorium Pflicht für die Zulassung und deckt Personenschäden Dritter bei Unfällen ab. In Victoria ist sie automatisch Teil der Zulassungsgebühr. In New South Wales, Queensland, South Australia und im ACT wählst du die Police separat bei einem lizenzierten Versicherer, bevor überhaupt eine Zulassung möglich ist. Zusätzlicher Schutz für Schäden am eigenen Fahrzeug oder durch Diebstahl (Comprehensive bzw. Third Party Property Damage, entspricht Voll- oder Teilkasko) ist freiwillig, aber marktüblich. Konkrete Prämienhöhen hängen stark von Fahrzeug, Wohnort und Fahrerprofil ab und lohnen einen Vergleich mehrerer Angebote.</w:t>
      </w:r>
    </w:p>
    <w:p w14:paraId="67C5D03C" w14:textId="77777777" w:rsidR="001F7233" w:rsidRDefault="00000000">
      <w:pPr>
        <w:spacing w:after="140"/>
      </w:pPr>
      <w:r>
        <w:rPr>
          <w:i/>
          <w:iCs/>
        </w:rPr>
        <w:lastRenderedPageBreak/>
        <w:t>Beim Gebrauchtwagenkauf lohnt ein zweiter Blick auf den Bundesstaat: Nur Victoria und Queensland verlangen gesetzlich ein Roadworthy Certificate (eine Zustandsprüfung des Fahrzeugs) beim Verkauf, mit Kosten von rund 80 bis 150 AUD (in Victoria eher rund 200 AUD) und einer Gültigkeit von meist 30 Tagen. In New South Wales, Western Australia, South Australia und Tasmanien gibt es diese Pflicht nicht. Hier lohnt sich eine unabhängige Inspektion vor dem Kauf besonders, weil niemand sonst für den technischen Zustand geradesteht.</w:t>
      </w:r>
    </w:p>
    <w:p w14:paraId="2AD271AE" w14:textId="77777777" w:rsidR="001F7233" w:rsidRDefault="00000000">
      <w:r>
        <w:t>Rostprüfung: Australiens Winterdienst ist kein einheitlicher US-/Kanada-Fall, aber alpine Straßen, Küstenluft und Fahrten auf nassem Sand können Metall und Unterboden belasten. Vor dem Kauf Standortgeschichte erfragen und Fahrwerk, Hohlräume und Bremsleitungen prüfen lassen. Nach Fahrten am Strand das Fahrzeug gründlich mit Süßwasser spülen.</w:t>
      </w:r>
    </w:p>
    <w:p w14:paraId="665FD88E" w14:textId="77777777" w:rsidR="001F7233" w:rsidRDefault="00000000">
      <w:r>
        <w:rPr>
          <w:b/>
        </w:rPr>
        <w:t xml:space="preserve">SPARTIPP: </w:t>
      </w:r>
    </w:p>
    <w:p w14:paraId="0603B035" w14:textId="77777777" w:rsidR="001F7233" w:rsidRDefault="00000000">
      <w:r>
        <w:t>• Kaufst du außerhalb von Victoria oder Queensland, lass das Fahrzeug vor dem Kauf von einer unabhängigen Werkstatt prüfen. Die Kosten dafür liegen deutlich unter dem, was ein übersehener Mangel später kostet und hole für die Versicherung mindestens zwei bis drei Angebote mit identischer Deckung ein, denn die Preisunterschiede zwischen Anbietern sind spürbar.</w:t>
      </w:r>
    </w:p>
    <w:p w14:paraId="568B94F4" w14:textId="77777777" w:rsidR="001F7233" w:rsidRDefault="001F7233">
      <w:pPr>
        <w:spacing w:line="220" w:lineRule="exact"/>
      </w:pPr>
    </w:p>
    <w:p w14:paraId="43DE3B38" w14:textId="77777777" w:rsidR="001F7233" w:rsidRDefault="00000000">
      <w:pPr>
        <w:spacing w:after="140"/>
      </w:pPr>
      <w:r>
        <w:rPr>
          <w:i/>
          <w:iCs/>
        </w:rPr>
        <w:t>Die Zulassung selbst (umgangssprachlich Rego, kurz für Registration) läuft über dieselbe Landesbehörde, die auch den Führerschein ausstellt. Beim Händlerkauf übernimmt der Verkäufer die Ummeldung meist automatisch. Beim Privatkauf überträgst du das Kennzeichen selbst online oder vor Ort, gegen Vorlage von Kaufvertrag, gültiger CTP-Versicherung und einem Identitätsnachweis. Anders als beim deutschen TÜV gibt es keine bundesweit einheitliche Hauptuntersuchung. Ob und wie oft eine technische Prüfung fällig wird, entscheidet – wieder einmal – der Bundesstaat. Die Verlängerung läuft meist jährlich und wird meist automatisch per Brief oder SMS angekündigt, bezahlt wird online.</w:t>
      </w:r>
    </w:p>
    <w:p w14:paraId="3F92A05F" w14:textId="77777777" w:rsidR="001F7233" w:rsidRDefault="00000000">
      <w:pPr>
        <w:spacing w:after="140"/>
      </w:pPr>
      <w:r>
        <w:lastRenderedPageBreak/>
        <w:t>Die Zulassungskosten inklusive CTP reichen je nach Bundesstaat und Fahrzeug von wenigen hundert bis über 1.000 AUD im Jahr. Eine grobe Richtgröße, keine feste Zahl, die du beim passenden Amt deines Bundesstaats konkret erfragst.</w:t>
      </w:r>
    </w:p>
    <w:p w14:paraId="771F2B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am Steuer und die Kultur der Random Breath Tests</w:t>
      </w:r>
    </w:p>
    <w:p w14:paraId="01E27E7A" w14:textId="77777777" w:rsidR="001F7233" w:rsidRDefault="00000000">
      <w:pPr>
        <w:spacing w:after="140"/>
      </w:pPr>
      <w:r>
        <w:rPr>
          <w:i/>
          <w:iCs/>
        </w:rPr>
        <w:t>Für Inhaber einer vollen Lizenz gilt bundesweit einheitlich eine Grenze von 0,05 % BAC (Blood Alcohol Concentration, Blutalkoholkonzentration). Niedriger als die deutschen 0,5 Promille. Für Lern- und Anfängerfahrer mit P-Plates (der Kennzeichnung für Fahranfänger, vergleichbar der deutschen Probezeit) gilt bundesweit 0,00 %: Jede messbare Menge Alkohol ist ein Verstoß, unabhängig von tatsächlicher Beeinträchtigung.</w:t>
      </w:r>
    </w:p>
    <w:p w14:paraId="691AC2FE" w14:textId="77777777" w:rsidR="001F7233" w:rsidRDefault="00000000">
      <w:pPr>
        <w:spacing w:after="140"/>
      </w:pPr>
      <w:r>
        <w:rPr>
          <w:i/>
          <w:iCs/>
        </w:rPr>
        <w:t>Was diese Zahl im Alltag deutlich greifbarer macht als in Deutschland, ist die Kontrolldichte. Random Breath Testing (RBT, verdachtsunabhängige Atemalkoholkontrolle direkt auf der Straße) ist seit der Einführung in New South Wales 1982 ein fester Bestandteil der australischen Verkehrssicherheitskultur: Landesweit werden inzwischen rund 15 Millionen Atemtests pro Jahr durchgeführt, gegen 2,1 Millionen im Jahr 1997/98. New South Wales Police allein führt über 4 Millionen Tests im Jahr durch und meldete zum 40. Jahrestag der RBT 2022 kumuliert 123 Millionen Tests und 1 Million Festnahmen seit Einführung. Wissenschaftlich wird RBT mit geschätzt 5.279 verhinderten Verkehrstoten allein in vier australischen Bundesstaaten in Verbindung gebracht.</w:t>
      </w:r>
    </w:p>
    <w:p w14:paraId="42B77EB7" w14:textId="77777777" w:rsidR="001F7233" w:rsidRDefault="00000000">
      <w:pPr>
        <w:spacing w:after="140"/>
      </w:pPr>
      <w:r>
        <w:t>Praktisch heißt das: Kontrollstellen, an denen reihenweise Fahrzeuge ohne konkreten Anlass zum Atemtest herausgewunken werden, begegnen dir im Lauf eines Jahres so gut wie sicher. Meist am Straßenrand, oft abends oder am Wochenende, manchmal auch tagsüber. Das ist kein Zeichen, dass etwas Besonderes vorgefallen ist, sondern schlicht Alltag.</w:t>
      </w:r>
    </w:p>
    <w:p w14:paraId="1485074D" w14:textId="77777777" w:rsidR="001F7233" w:rsidRDefault="00000000">
      <w:r>
        <w:rPr>
          <w:b/>
        </w:rPr>
        <w:lastRenderedPageBreak/>
        <w:t xml:space="preserve">MERKE: </w:t>
      </w:r>
    </w:p>
    <w:p w14:paraId="4E75E020" w14:textId="77777777" w:rsidR="001F7233" w:rsidRDefault="00000000">
      <w:r>
        <w:t>• In Australien ist es der Normalfall, nicht die Ausnahme, im Lauf eines Jahres mindestens einmal in eine Random-Breath-Test-Kontrolle zu geraten. Führerschein und Ausweis griffbereit zu haben, gehört ebenso zur Routine wie der Sicherheitsgurt.</w:t>
      </w:r>
    </w:p>
    <w:p w14:paraId="1B240C96" w14:textId="77777777" w:rsidR="001F7233" w:rsidRDefault="001F7233">
      <w:pPr>
        <w:spacing w:line="220" w:lineRule="exact"/>
      </w:pPr>
    </w:p>
    <w:p w14:paraId="51038B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Mobile Speed Cameras, Handy-Verbot und das Punktesystem</w:t>
      </w:r>
    </w:p>
    <w:p w14:paraId="100FFDEC" w14:textId="77777777" w:rsidR="001F7233" w:rsidRDefault="00000000">
      <w:pPr>
        <w:spacing w:after="140"/>
      </w:pPr>
      <w:r>
        <w:t>Über 7.300 Kamerastandorte, fest und mobil, werden australienweit erfasst. New South Wales allein zählt rund 640 mobile Standorte. Wie sichtbar diese Kameras sind, entscheidet der Bundesstaat: Victoria, South Australia und Western Australia betreiben verdeckte mobile Blitzer ohne Warnschilder, New South Wales schreibt dagegen drei Warnschilder vor Ort und danach vor, Queensland arbeitet seit 2015 überwiegend verdeckt. Toleranzschwellen liegen in den meisten Staaten inoffiziell bei rund 2 bis 3 km/h über dem Limit. Nur Victoria hat das offiziell festgelegt, während New South Wales inzwischen beinahe jede messbare Überschreitung verfolgt.</w:t>
      </w:r>
    </w:p>
    <w:p w14:paraId="508D1230" w14:textId="77777777" w:rsidR="001F7233" w:rsidRDefault="00000000">
      <w:pPr>
        <w:spacing w:after="140"/>
      </w:pPr>
      <w:r>
        <w:t>Die Strafen für Handynutzung am Steuer unterscheiden sich deutlich zwischen den Bundesstaaten. In New South Wales kostet ein Verstoß 362 bis 481 AUD und bringt 5 bis 10 Demeritpunkte. In Victoria beträgt die Strafe seit einer Anhebung 2026 mindestens 577 AUD (je nach Verstoß bis 1.731 AUD) und 4 Punkte. Queensland verlangt 1.161 AUD und verhängt 4 Punkte.</w:t>
      </w:r>
    </w:p>
    <w:p w14:paraId="4EFF91E7" w14:textId="77777777" w:rsidR="001F7233" w:rsidRDefault="00000000">
      <w:pPr>
        <w:spacing w:after="140"/>
      </w:pPr>
      <w:r>
        <w:rPr>
          <w:i/>
          <w:iCs/>
        </w:rPr>
        <w:lastRenderedPageBreak/>
        <w:t>Das Demerit-Points-System (Punktesystem für Verkehrsverstöße) staffelt sich nach Lizenztyp und Bundesstaat: In New South Wales verlierst du bei voller Lizenz 13 Punkte in drei Jahren, als P2-Fahrer 7, als P1-Fahrer oder Lernfahrer nur 4. Victoria setzt die Grenze für volle Lizenzen bei 11 Punkten in drei Jahren, das ACT bei 12 für volle und 4 für Lern- oder Probationary-Lizenzen. Ist die Grenze erreicht, drohen Sperre oder alternativ ein „Good Behaviour“-Zeitraum mit strengeren Auflagen.</w:t>
      </w:r>
    </w:p>
    <w:p w14:paraId="3D8D3C49" w14:textId="77777777" w:rsidR="001F7233" w:rsidRDefault="00000000">
      <w:r>
        <w:rPr>
          <w:b/>
        </w:rPr>
        <w:t xml:space="preserve">ACHTUNG: </w:t>
      </w:r>
    </w:p>
    <w:p w14:paraId="6E4E8F8A" w14:textId="77777777" w:rsidR="001F7233" w:rsidRDefault="00000000">
      <w:r>
        <w:t>• Ein einziger Handyverstoß kann bei knappem Punktestand schon zur Sperre führen, besonders bei P-Plate-Fahrern mit ihrer niedrigen Schwelle. Rechne Bußgeld und Punktabzug realistisch mit ein, bevor du zum Telefon greifst. Eine kurze Nachricht ist selten die Fahrerlaubnis wert.</w:t>
      </w:r>
    </w:p>
    <w:p w14:paraId="56E584DC" w14:textId="77777777" w:rsidR="001F7233" w:rsidRDefault="001F7233">
      <w:pPr>
        <w:spacing w:line="220" w:lineRule="exact"/>
      </w:pPr>
    </w:p>
    <w:p w14:paraId="3E26E3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Große Distanzen: Outback, Kängurus und Tempolimits</w:t>
      </w:r>
    </w:p>
    <w:p w14:paraId="74E468D0" w14:textId="77777777" w:rsidR="001F7233" w:rsidRDefault="00000000">
      <w:pPr>
        <w:spacing w:after="140"/>
      </w:pPr>
      <w:r>
        <w:t>Tempolimits regelt jeder Bundesstaat für sich, ohne bundeseinheitliches Regime. Als Faustregel gilt innerorts 50 km/h, außerorts 100 km/h, sofern nicht anders beschildert. New South Wales erlaubt auf Motorways oft 110 km/h, Victoria bleibt auf vergleichbaren Straßen häufiger bei 100 km/h, Queensland mischt beide Werte je nach Straße. Im Northern Territory gelten auf dem Stuart und dem Barkly Highway aktuell bis zu 130 km/h. Frühere Abschnitte ganz ohne Limit wurden zwischenzeitlich mehrfach politisch geändert, weshalb sich der genaue Status vor einer Fahrt direkt bei der Verkehrsbehörde des Northern Territory lohnt zu prüfen. Ein Vorschlag, das ländliche Standardtempo von 100 auf 80 oder 70 km/h zu senken, wurde nach öffentlichem Widerstand bislang nicht umgesetzt.</w:t>
      </w:r>
    </w:p>
    <w:p w14:paraId="7995EF1E" w14:textId="77777777" w:rsidR="001F7233" w:rsidRDefault="00000000">
      <w:pPr>
        <w:spacing w:after="140"/>
      </w:pPr>
      <w:r>
        <w:lastRenderedPageBreak/>
        <w:t>Die eigentliche Herausforderung im Outback sind aber selten die Tempolimits, sondern die Entfernungen selbst und was auf diesen Strecken plötzlich auf der Fahrbahn steht. Kängurus und Wallabys verursachen rund 90 % aller Tierunfälle in Australien. Tierkollisionen machen insgesamt etwa 5 % aller tödlichen Unfälle aus. Eine CSIRO-Studie auf einem 21,2 Kilometer langen Outback-Highway-Abschnitt in West-New-South-Wales zählte binnen sechs Monaten 125 tote Kängurus. Hochgerechnet auf einen 390 Kilometer langen Abschnitt ergäbe das über 5.000 getötete Wirbeltiere pro Jahr. Die meisten Kollisionen ereignen sich zwischen 17 und 22 Uhr, wenn Kängurus aktiv werden und das Licht schwindet. Im Northern Territory gehen laut einer Auswertung 78,9 % aller Tierkollisionen des Territoriums auf Outback-Gebiete zurück. South Australia meldete laut einem Bericht vom 9. November 2025 einen Anstieg der Känguru-Kollisionen auf regionalen Straßen um rund 40 %.</w:t>
      </w:r>
    </w:p>
    <w:p w14:paraId="08033FF9" w14:textId="77777777" w:rsidR="001F7233" w:rsidRDefault="00000000">
      <w:pPr>
        <w:spacing w:after="140"/>
      </w:pPr>
      <w:r>
        <w:rPr>
          <w:i/>
          <w:iCs/>
        </w:rPr>
        <w:t>Dazu kommen Roadtrains – mehrgliedrige Lkw-Züge, teils über 50 Meter lang –, die auf Outback-Highways alltäglich sind und wegen ihrer Länge einen deutlich größeren Überholweg brauchen als jeder Lkw, den du aus Deutschland kennst. Überholst du einen Roadtrain, brauchst du eine lange, wirklich freie Gerade. Im Zweifel lieber einmal zu oft warten als knapp einscheren.</w:t>
      </w:r>
    </w:p>
    <w:p w14:paraId="7FB9E07C" w14:textId="77777777" w:rsidR="001F7233" w:rsidRDefault="00000000">
      <w:pPr>
        <w:spacing w:after="140"/>
      </w:pPr>
      <w:r>
        <w:t>Die Faustregel für lange Strecken: nicht in der Dämmerung oder nachts fahren, wenn es sich vermeiden lässt, regelmäßig Pausen einplanen, ausreichend Wasser mitführen und den Tank nie unter einem Viertel füllen lassen, bevor die nächste Tankstelle Hunderte Kilometer entfernt liegt. Auf vielen Outback-Strecken gibt es über weite Abschnitte keinen Mobilfunkempfang. Wer regelmäßig abgelegene Routen fährt, informiert vorher jemanden über die geplante Strecke und Ankunftszeit und überlegt, ob sich ein Satellitenkommunikationsgerät für den Notfall lohnt. Ein Ersatzreifen in fahrbereitem Zustand ist im Outback kein nettes Extra, sondern die letzte Absicherung, bevor aus einer Reifenpanne ein echtes Problem wird. Gerade dort, wo die Distanz zur nächsten Werkstatt in Autostunden, nicht in Kilometern gedacht wird.</w:t>
      </w:r>
    </w:p>
    <w:p w14:paraId="18E5FB9F" w14:textId="77777777" w:rsidR="001F7233" w:rsidRDefault="001F7233">
      <w:pPr>
        <w:spacing w:line="220" w:lineRule="exact"/>
      </w:pPr>
    </w:p>
    <w:p w14:paraId="49F2BEEE" w14:textId="77777777" w:rsidR="001F7233" w:rsidRDefault="00000000">
      <w:r>
        <w:t>Radarwarner und Störer sind nicht überall gleich geregelt. New South Wales und Western Australia verbieten Geräte dieser Art im Fahrzeug. Funkstörer können außerdem Notruf-, GPS- und andere Funkdienste beeinträchtigen. Kennzeichen müssen sauber, gut sichtbar und lesbar bleiben. Sprays, reflektierende Folien oder verdeckende Halter sind keine legale Lösung. Polizeifunk ist ebenfalls keine verlässliche Warn-App: Dienste und Regeln unterscheiden sich nach Bundesstaat. Nutze Tempomat, Geschwindigkeitsbegrenzer und legale Navigation; die örtliche Beschilderung zählt.</w:t>
      </w:r>
    </w:p>
    <w:p w14:paraId="009384D6" w14:textId="77777777" w:rsidR="001F7233" w:rsidRDefault="00000000">
      <w:pPr>
        <w:pStyle w:val="Heading3"/>
      </w:pPr>
      <w:r>
        <w:t>Messgeräte stören und Kennzeichen verdecken</w:t>
      </w:r>
    </w:p>
    <w:p w14:paraId="365BA716" w14:textId="77777777" w:rsidR="001F7233" w:rsidRDefault="00000000">
      <w:pPr>
        <w:pStyle w:val="Heading3"/>
      </w:pPr>
      <w:r>
        <w:t>Gibt es einen TÜV? Roadworthy-Prüfungen hängen vom Staat ab</w:t>
      </w:r>
    </w:p>
    <w:p w14:paraId="7525CA50" w14:textId="77777777" w:rsidR="001F7233" w:rsidRDefault="00000000">
      <w:r>
        <w:t>Keine einheitliche bundesweite Hauptuntersuchung: Staat/Territorium regelt. Ein „roadworthy“ oder „safety certificate“ wird oft bei Verkauf, Ummeldung oder nach Defekt gebraucht. NSW nutzt für viele ältere Fahrzeuge einen „pink slip“ bei der Registrierung. Prüfe die Regel deines Wohnstaats.</w:t>
      </w:r>
    </w:p>
    <w:p w14:paraId="45CF43C4" w14:textId="77777777" w:rsidR="001F7233" w:rsidRDefault="00000000">
      <w:pPr>
        <w:pStyle w:val="Heading3"/>
      </w:pPr>
      <w:r>
        <w:t>GPS und Handys am Steuer: lokale Regeln vor Fahrt prüfen</w:t>
      </w:r>
    </w:p>
    <w:p w14:paraId="3B6794D7" w14:textId="77777777" w:rsidR="001F7233" w:rsidRDefault="00000000">
      <w:r>
        <w:t>Stelle GPS vor dem Losfahren ein und nutze Sprachansagen. Regeln zu montierten Geräten und Handys unterscheiden sich zwischen Staaten und nach Führerscheinstatus; NSW hat strenge Handy- und Bildschirmregeln. Halte sicher an, bevor du das Ziel änderst.</w:t>
      </w:r>
    </w:p>
    <w:p w14:paraId="0FC5BF65" w14:textId="77777777" w:rsidR="001F7233" w:rsidRDefault="00000000">
      <w:pPr>
        <w:pStyle w:val="Heading3"/>
      </w:pPr>
      <w:r>
        <w:t>Unfall zu Hause oder im Auto: CTP ist nicht Vollkasko</w:t>
      </w:r>
    </w:p>
    <w:p w14:paraId="304C3D84" w14:textId="77777777" w:rsidR="001F7233" w:rsidRDefault="00000000">
      <w:r>
        <w:t xml:space="preserve">Bei akuter Gefahr rufst du 000. Dokumentiere Beteiligte, Kennzeichen, Schäden und Zeugen, melde den Unfall nach örtlicher Pflicht der Polizei und deinem Versicherer. CTP ist die </w:t>
      </w:r>
      <w:r>
        <w:lastRenderedPageBreak/>
        <w:t>Pflichtdeckung für Personenschäden Dritter, repariert aber nicht dein Auto. Gebäude-, Hausrat- und Privathaftpflicht sind getrennte Policen; Bedingungen und Meldefrist prüfen.</w:t>
      </w:r>
    </w:p>
    <w:p w14:paraId="77E0B0CA" w14:textId="77777777" w:rsidR="001F7233" w:rsidRDefault="00000000">
      <w:pPr>
        <w:pStyle w:val="Heading3"/>
      </w:pPr>
      <w:r>
        <w:t>Onlinekauf: Händler unabhängig prüfen</w:t>
      </w:r>
    </w:p>
    <w:p w14:paraId="01EB2C4C"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australischem Verbraucherrecht.</w:t>
      </w:r>
    </w:p>
    <w:p w14:paraId="360F1D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Führerschein, Auto und Verkehrsregeln</w:t>
      </w:r>
    </w:p>
    <w:p w14:paraId="7CE2F313" w14:textId="77777777" w:rsidR="001F7233" w:rsidRDefault="00000000">
      <w:r>
        <w:rPr>
          <w:b/>
        </w:rPr>
        <w:t>Plus: Führerschein-Umtausch läuft in den meisten Bundesstaaten ohne Prüfung</w:t>
      </w:r>
    </w:p>
    <w:p w14:paraId="29941F48" w14:textId="77777777" w:rsidR="001F7233" w:rsidRDefault="00000000">
      <w:r>
        <w:rPr>
          <w:b/>
        </w:rPr>
        <w:t xml:space="preserve">Minus: </w:t>
      </w:r>
      <w:r>
        <w:t>Fristen und Regeln unterscheiden sich stark, ein Umzug setzt die Uhr neu</w:t>
      </w:r>
    </w:p>
    <w:p w14:paraId="3280DEE7" w14:textId="77777777" w:rsidR="001F7233" w:rsidRDefault="00000000">
      <w:r>
        <w:rPr>
          <w:b/>
        </w:rPr>
        <w:t>Plus: Straßen und Fernstraßen sind gut ausgebaut und meist mautfrei</w:t>
      </w:r>
    </w:p>
    <w:p w14:paraId="14F42447" w14:textId="77777777" w:rsidR="001F7233" w:rsidRDefault="00000000">
      <w:r>
        <w:rPr>
          <w:b/>
        </w:rPr>
        <w:t xml:space="preserve">Minus: </w:t>
      </w:r>
      <w:r>
        <w:t>Riesige Entfernungen zwischen Städten, im Outback kaum Handyempfang</w:t>
      </w:r>
    </w:p>
    <w:p w14:paraId="752081E5" w14:textId="77777777" w:rsidR="001F7233" w:rsidRDefault="00000000">
      <w:r>
        <w:rPr>
          <w:b/>
        </w:rPr>
        <w:t>Plus: RBT-Kontrollen machen Alkohol am Steuer sichtbar unattraktiv</w:t>
      </w:r>
    </w:p>
    <w:p w14:paraId="7B2420AE" w14:textId="77777777" w:rsidR="001F7233" w:rsidRDefault="00000000">
      <w:r>
        <w:rPr>
          <w:b/>
        </w:rPr>
        <w:t xml:space="preserve">Minus: </w:t>
      </w:r>
      <w:r>
        <w:t>Verdachtsunabhängige Kontrollen sind für Neuankömmlinge gewöhnungsbedürftig</w:t>
      </w:r>
    </w:p>
    <w:p w14:paraId="3406A208" w14:textId="77777777" w:rsidR="001F7233" w:rsidRDefault="00000000">
      <w:r>
        <w:rPr>
          <w:b/>
        </w:rPr>
        <w:t>Plus: CTP-Pflichtversicherung deckt Personenschäden von Beginn an ab</w:t>
      </w:r>
    </w:p>
    <w:p w14:paraId="7D82D941" w14:textId="77777777" w:rsidR="001F7233" w:rsidRDefault="00000000">
      <w:r>
        <w:rPr>
          <w:b/>
        </w:rPr>
        <w:lastRenderedPageBreak/>
        <w:t xml:space="preserve">Minus: </w:t>
      </w:r>
      <w:r>
        <w:t>Zusatzversicherung und Roadworthy-Prüfung sind je Bundesstaat unterschiedlich geregelt</w:t>
      </w:r>
    </w:p>
    <w:p w14:paraId="1FD59657" w14:textId="77777777" w:rsidR="001F7233" w:rsidRDefault="00000000">
      <w:r>
        <w:rPr>
          <w:b/>
        </w:rPr>
        <w:t>Plus: Kreisverkehr, Vorfahrt und Tempolimits folgen klaren, lernbaren Regeln</w:t>
      </w:r>
    </w:p>
    <w:p w14:paraId="5FF547AB" w14:textId="77777777" w:rsidR="001F7233" w:rsidRDefault="00000000">
      <w:r>
        <w:rPr>
          <w:b/>
        </w:rPr>
        <w:t xml:space="preserve">Minus: </w:t>
      </w:r>
      <w:r>
        <w:t>Linksverkehr erfordert echte Umgewöhnung, Fehler passieren vor allem in den ersten Wochen</w:t>
      </w:r>
    </w:p>
    <w:p w14:paraId="5FCB5093" w14:textId="77777777" w:rsidR="001F7233" w:rsidRDefault="00000000">
      <w:r>
        <w:rPr>
          <w:b/>
        </w:rPr>
        <w:t>Plus: Mobile Speed Cameras und KI-Erkennung erhöhen die Verkehrssicherheit spürbar</w:t>
      </w:r>
    </w:p>
    <w:p w14:paraId="15DEEEFF" w14:textId="77777777" w:rsidR="001F7233" w:rsidRDefault="00000000">
      <w:r>
        <w:rPr>
          <w:b/>
        </w:rPr>
        <w:t xml:space="preserve">Minus: </w:t>
      </w:r>
      <w:r>
        <w:t>Bußgelder fürs Handy am Steuer erreichen vierstellige Beträge</w:t>
      </w:r>
    </w:p>
    <w:p w14:paraId="24836D14" w14:textId="77777777" w:rsidR="001F7233" w:rsidRDefault="001F7233">
      <w:pPr>
        <w:spacing w:line="180" w:lineRule="exact"/>
      </w:pPr>
    </w:p>
    <w:p w14:paraId="60FC53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B28FBBA" w14:textId="77777777" w:rsidR="001F7233" w:rsidRDefault="00000000">
      <w:pPr>
        <w:pStyle w:val="ListParagraph"/>
        <w:numPr>
          <w:ilvl w:val="0"/>
          <w:numId w:val="38"/>
        </w:numPr>
        <w:spacing w:after="60"/>
      </w:pPr>
      <w:r>
        <w:t>Vor dem Abflug: Umtauschfrist und Prüfungspflicht deines Zielbundesstaats klären, englische Übersetzung oder IDP beantragen.</w:t>
      </w:r>
    </w:p>
    <w:p w14:paraId="7E4DF73E" w14:textId="77777777" w:rsidR="001F7233" w:rsidRDefault="00000000">
      <w:pPr>
        <w:pStyle w:val="ListParagraph"/>
        <w:numPr>
          <w:ilvl w:val="0"/>
          <w:numId w:val="2"/>
        </w:numPr>
        <w:spacing w:after="60"/>
      </w:pPr>
      <w:r>
        <w:t>In der ersten Woche: Erste Fahrten auf ruhigen Strecken üben, CTP-Versicherung klären, Termin bei der passenden Behörde vereinbaren.</w:t>
      </w:r>
    </w:p>
    <w:p w14:paraId="1012FC37" w14:textId="77777777" w:rsidR="001F7233" w:rsidRDefault="00000000">
      <w:pPr>
        <w:pStyle w:val="ListParagraph"/>
        <w:numPr>
          <w:ilvl w:val="0"/>
          <w:numId w:val="2"/>
        </w:numPr>
        <w:spacing w:after="60"/>
      </w:pPr>
      <w:r>
        <w:t>Vor dem Autokauf: Bei Bedarf unabhängige Fahrzeuginspektion organisieren und mehrere Versicherungsangebote vergleichen.</w:t>
      </w:r>
    </w:p>
    <w:p w14:paraId="436272AB" w14:textId="77777777" w:rsidR="001F7233" w:rsidRDefault="001F7233">
      <w:pPr>
        <w:spacing w:line="120" w:lineRule="exact"/>
      </w:pPr>
    </w:p>
    <w:p w14:paraId="32D5D5CD" w14:textId="77777777" w:rsidR="001F7233" w:rsidRDefault="00000000">
      <w:r>
        <w:t>• Umtauschfrist deines Zielbundesstaats bei der zuständigen Verkehrsbehörde geprüft</w:t>
      </w:r>
    </w:p>
    <w:p w14:paraId="5077DE7B" w14:textId="77777777" w:rsidR="001F7233" w:rsidRDefault="00000000">
      <w:r>
        <w:t>• Englische Übersetzung des Führerscheins oder Internationalen Führerschein (IDP) vor der Abreise beantragt</w:t>
      </w:r>
    </w:p>
    <w:p w14:paraId="219EF9B0" w14:textId="77777777" w:rsidR="001F7233" w:rsidRDefault="00000000">
      <w:r>
        <w:t>• Erste Fahrten in ruhiger Umgebung eingeplant, v. a. Kreisverkehre und Linksabbiegen</w:t>
      </w:r>
    </w:p>
    <w:p w14:paraId="6ADDA914" w14:textId="77777777" w:rsidR="001F7233" w:rsidRDefault="00000000">
      <w:r>
        <w:t>• CTP-Pflichtversicherung geklärt (in Victoria automatisch, sonst separat zu wählen)</w:t>
      </w:r>
    </w:p>
    <w:p w14:paraId="54AC63CB" w14:textId="77777777" w:rsidR="001F7233" w:rsidRDefault="00000000">
      <w:r>
        <w:t>• Bei Gebrauchtwagenkauf außerhalb Victoria/Queensland unabhängige Inspektion eingeplant</w:t>
      </w:r>
    </w:p>
    <w:p w14:paraId="747D4294" w14:textId="77777777" w:rsidR="001F7233" w:rsidRDefault="00000000">
      <w:r>
        <w:t>• Mindestens zwei bis drei Versicherungsangebote mit identischer Deckung eingeholt</w:t>
      </w:r>
    </w:p>
    <w:p w14:paraId="04700DD2" w14:textId="77777777" w:rsidR="001F7233" w:rsidRDefault="00000000">
      <w:r>
        <w:lastRenderedPageBreak/>
        <w:t>• Ausweis und Führerschein für Random-Breath-Test-Kontrollen griffbereit</w:t>
      </w:r>
    </w:p>
    <w:p w14:paraId="59CEF40D" w14:textId="77777777" w:rsidR="001F7233" w:rsidRDefault="00000000">
      <w:r>
        <w:t>• Handy-Regeln des Bundesstaats gekannt und Halterung fürs Fahrzeug besorgt</w:t>
      </w:r>
    </w:p>
    <w:p w14:paraId="73756A7D" w14:textId="77777777" w:rsidR="001F7233" w:rsidRDefault="00000000">
      <w:r>
        <w:t>• Eigenen Demerit-Punktestand und dessen Schwelle im Zielbundesstaat notiert</w:t>
      </w:r>
    </w:p>
    <w:p w14:paraId="7A834075" w14:textId="77777777" w:rsidR="001F7233" w:rsidRDefault="00000000">
      <w:r>
        <w:t>• Outback-Fahrten mit Pausen, Wasser und möglichst viel Tageslicht geplant</w:t>
      </w:r>
    </w:p>
    <w:p w14:paraId="184CBCDF" w14:textId="77777777" w:rsidR="001F7233" w:rsidRDefault="00000000">
      <w:r>
        <w:t>• Bei Umzug zwischen Bundesstaaten neue Umtauschfrist ab Wohnsitzwechsel geprüft</w:t>
      </w:r>
    </w:p>
    <w:p w14:paraId="52F66DEF" w14:textId="77777777" w:rsidR="001F7233" w:rsidRDefault="001F7233">
      <w:pPr>
        <w:spacing w:line="220" w:lineRule="exact"/>
      </w:pPr>
    </w:p>
    <w:p w14:paraId="52E449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AD678FE" w14:textId="77777777" w:rsidR="001F7233" w:rsidRDefault="00000000">
      <w:pPr>
        <w:pStyle w:val="ListParagraph"/>
        <w:numPr>
          <w:ilvl w:val="0"/>
          <w:numId w:val="1"/>
        </w:numPr>
        <w:spacing w:after="60"/>
      </w:pPr>
      <w:r>
        <w:t xml:space="preserve">Verkehrsbehörden der Bundesstaaten — Führerschein-Umtausch, Fristen: </w:t>
      </w:r>
      <w:hyperlink r:id="rId681">
        <w:r w:rsidR="001F7233">
          <w:rPr>
            <w:color w:val="0563C1"/>
            <w:u w:val="single"/>
          </w:rPr>
          <w:t>transport.vic.gov.au</w:t>
        </w:r>
      </w:hyperlink>
      <w:r>
        <w:t xml:space="preserve">, </w:t>
      </w:r>
      <w:hyperlink r:id="rId682">
        <w:r w:rsidR="001F7233">
          <w:rPr>
            <w:color w:val="0563C1"/>
            <w:u w:val="single"/>
          </w:rPr>
          <w:t>service.nsw.gov.au</w:t>
        </w:r>
      </w:hyperlink>
      <w:r>
        <w:t xml:space="preserve">, </w:t>
      </w:r>
      <w:hyperlink r:id="rId683">
        <w:r w:rsidR="001F7233">
          <w:rPr>
            <w:color w:val="0563C1"/>
            <w:u w:val="single"/>
          </w:rPr>
          <w:t>tmr.qld.gov.au</w:t>
        </w:r>
      </w:hyperlink>
    </w:p>
    <w:p w14:paraId="30EC615F" w14:textId="77777777" w:rsidR="001F7233" w:rsidRDefault="00000000">
      <w:pPr>
        <w:pStyle w:val="ListParagraph"/>
        <w:numPr>
          <w:ilvl w:val="0"/>
          <w:numId w:val="1"/>
        </w:numPr>
        <w:spacing w:after="60"/>
      </w:pPr>
      <w:r>
        <w:t xml:space="preserve">Deutsche Vertretungen in Australien — Führerschein, IDP: </w:t>
      </w:r>
      <w:hyperlink r:id="rId684">
        <w:r w:rsidR="001F7233">
          <w:rPr>
            <w:color w:val="0563C1"/>
            <w:u w:val="single"/>
          </w:rPr>
          <w:t>australien.diplo.de</w:t>
        </w:r>
      </w:hyperlink>
    </w:p>
    <w:p w14:paraId="77603CB8" w14:textId="77777777" w:rsidR="001F7233" w:rsidRDefault="00000000">
      <w:pPr>
        <w:pStyle w:val="ListParagraph"/>
        <w:numPr>
          <w:ilvl w:val="0"/>
          <w:numId w:val="1"/>
        </w:numPr>
        <w:spacing w:after="60"/>
      </w:pPr>
      <w:r>
        <w:t xml:space="preserve">Austroads — Tempolimits, Verkehrsregeln im Ländervergleich: </w:t>
      </w:r>
      <w:hyperlink r:id="rId685">
        <w:r w:rsidR="001F7233">
          <w:rPr>
            <w:color w:val="0563C1"/>
            <w:u w:val="single"/>
          </w:rPr>
          <w:t>austroads.gov.au</w:t>
        </w:r>
      </w:hyperlink>
    </w:p>
    <w:p w14:paraId="42065C6C" w14:textId="77777777" w:rsidR="001F7233" w:rsidRDefault="00000000">
      <w:pPr>
        <w:pStyle w:val="ListParagraph"/>
        <w:numPr>
          <w:ilvl w:val="0"/>
          <w:numId w:val="1"/>
        </w:numPr>
        <w:spacing w:after="60"/>
      </w:pPr>
      <w:r>
        <w:t xml:space="preserve">New South Wales Police / Bundesstaats-Polizeibehörden — Random Breath Testing: </w:t>
      </w:r>
      <w:hyperlink r:id="rId686">
        <w:r w:rsidR="001F7233">
          <w:rPr>
            <w:color w:val="0563C1"/>
            <w:u w:val="single"/>
          </w:rPr>
          <w:t>nsw.gov.au</w:t>
        </w:r>
      </w:hyperlink>
    </w:p>
    <w:p w14:paraId="09148590" w14:textId="77777777" w:rsidR="001F7233" w:rsidRDefault="00000000">
      <w:pPr>
        <w:pStyle w:val="ListParagraph"/>
        <w:numPr>
          <w:ilvl w:val="0"/>
          <w:numId w:val="1"/>
        </w:numPr>
        <w:spacing w:after="60"/>
      </w:pPr>
      <w:r>
        <w:t xml:space="preserve">Kangaroo Management Taskforce, CSIRO — Wildtierunfälle im Outback: </w:t>
      </w:r>
      <w:hyperlink r:id="rId687">
        <w:r w:rsidR="001F7233">
          <w:rPr>
            <w:color w:val="0563C1"/>
            <w:u w:val="single"/>
          </w:rPr>
          <w:t>kangaroomanagementtaskforce.com.au</w:t>
        </w:r>
      </w:hyperlink>
      <w:r>
        <w:t xml:space="preserve">, </w:t>
      </w:r>
      <w:hyperlink r:id="rId688">
        <w:r w:rsidR="001F7233">
          <w:rPr>
            <w:color w:val="0563C1"/>
            <w:u w:val="single"/>
          </w:rPr>
          <w:t>csiro.au</w:t>
        </w:r>
      </w:hyperlink>
    </w:p>
    <w:p w14:paraId="73548F1F" w14:textId="77777777" w:rsidR="001F7233" w:rsidRDefault="00000000">
      <w:pPr>
        <w:pStyle w:val="ListParagraph"/>
        <w:numPr>
          <w:ilvl w:val="0"/>
          <w:numId w:val="1"/>
        </w:numPr>
        <w:spacing w:after="60"/>
      </w:pPr>
      <w:r>
        <w:t xml:space="preserve">Motorclubs — Praxisratgeber für Neuankömmlinge: </w:t>
      </w:r>
      <w:hyperlink r:id="rId689">
        <w:r w:rsidR="001F7233">
          <w:rPr>
            <w:color w:val="0563C1"/>
            <w:u w:val="single"/>
          </w:rPr>
          <w:t>nrma.com.au</w:t>
        </w:r>
      </w:hyperlink>
      <w:r>
        <w:t xml:space="preserve">, </w:t>
      </w:r>
      <w:hyperlink r:id="rId690">
        <w:r w:rsidR="001F7233">
          <w:rPr>
            <w:color w:val="0563C1"/>
            <w:u w:val="single"/>
          </w:rPr>
          <w:t>racv.com.au</w:t>
        </w:r>
      </w:hyperlink>
    </w:p>
    <w:p w14:paraId="0E037FBE" w14:textId="77777777" w:rsidR="001F7233" w:rsidRDefault="001F7233">
      <w:pPr>
        <w:spacing w:line="120" w:lineRule="exact"/>
      </w:pPr>
    </w:p>
    <w:p w14:paraId="374849A8" w14:textId="77777777" w:rsidR="001F7233" w:rsidRDefault="00000000">
      <w:pPr>
        <w:pStyle w:val="ListParagraph"/>
      </w:pPr>
      <w:r>
        <w:t xml:space="preserve">NSW Government — Speed limits, radar detectors and jammers: </w:t>
      </w:r>
      <w:hyperlink r:id="rId691">
        <w:r w:rsidR="001F7233">
          <w:rPr>
            <w:rStyle w:val="Hyperlink"/>
          </w:rPr>
          <w:t>nsw.gov.au/driving-boating-and-transport/driving-nsw/roads-safety-and-rules/safe-driving/speed-limits-and-cameras/speed-limits</w:t>
        </w:r>
      </w:hyperlink>
    </w:p>
    <w:p w14:paraId="6B3E7D42" w14:textId="77777777" w:rsidR="001F7233" w:rsidRDefault="00000000">
      <w:pPr>
        <w:pStyle w:val="ListParagraph"/>
      </w:pPr>
      <w:r>
        <w:t xml:space="preserve">Queensland Government — Number plate visibility requirements: </w:t>
      </w:r>
      <w:hyperlink r:id="rId692">
        <w:r w:rsidR="001F7233">
          <w:rPr>
            <w:rStyle w:val="Hyperlink"/>
          </w:rPr>
          <w:t>qld.gov.au/transport/registration/numberplate/condition-visibility</w:t>
        </w:r>
      </w:hyperlink>
    </w:p>
    <w:p w14:paraId="575834E7" w14:textId="77777777" w:rsidR="001F7233" w:rsidRDefault="00000000">
      <w:pPr>
        <w:pStyle w:val="ListParagraph"/>
      </w:pPr>
      <w:r>
        <w:lastRenderedPageBreak/>
        <w:t xml:space="preserve">Australian Communications and Media Authority — Jammers are illegal in Australia: </w:t>
      </w:r>
      <w:hyperlink r:id="rId693">
        <w:r w:rsidR="001F7233">
          <w:rPr>
            <w:rStyle w:val="Hyperlink"/>
          </w:rPr>
          <w:t>acma.gov.au/jammers-are-illegal-australia</w:t>
        </w:r>
      </w:hyperlink>
    </w:p>
    <w:p w14:paraId="6DF2595B" w14:textId="77777777" w:rsidR="001F7233" w:rsidRDefault="00000000">
      <w:pPr>
        <w:pStyle w:val="ListParagraph"/>
      </w:pPr>
      <w:r>
        <w:t xml:space="preserve">NSW Government — mobile phones, screens and GPS: </w:t>
      </w:r>
      <w:hyperlink r:id="rId694">
        <w:r w:rsidR="001F7233">
          <w:rPr>
            <w:rStyle w:val="Hyperlink"/>
          </w:rPr>
          <w:t>nsw.gov.au/driving-boating-and-transport/driving-nsw/roads-safety-and-rules/safe-driving/mobiles-screens-and-gps</w:t>
        </w:r>
      </w:hyperlink>
      <w:r>
        <w:t xml:space="preserve">; Services NSW — pink slip: </w:t>
      </w:r>
      <w:hyperlink r:id="rId695">
        <w:r w:rsidR="001F7233">
          <w:rPr>
            <w:rStyle w:val="Hyperlink"/>
          </w:rPr>
          <w:t>service.nsw.gov.au/transaction/get-a-vehicle-safety-inspection-report-pink-slip</w:t>
        </w:r>
      </w:hyperlink>
    </w:p>
    <w:p w14:paraId="055AF74A" w14:textId="77777777" w:rsidR="001F7233" w:rsidRDefault="00000000">
      <w:r>
        <w:t>• 23.09.2026. Schnell ändern sich: Führerschein-Umtauschfristen und -listen je Bundesstaat, Bußgelder und Demerit-Punkte-Schwellen, Tempolimits (v. a. am Stuart Highway im Northern Territory) und die Sichtbarkeits-Regeln für Mobile Speed Cameras. Prüfe vor jeder Entscheidung die Seite der Verkehrsbehörde deines Zielbundesstaats.</w:t>
      </w:r>
    </w:p>
    <w:p w14:paraId="0DCD95D9" w14:textId="77777777" w:rsidR="001F7233" w:rsidRDefault="00000000">
      <w:pPr>
        <w:spacing w:line="220" w:lineRule="exact"/>
      </w:pPr>
      <w:r>
        <w:br w:type="page"/>
      </w:r>
    </w:p>
    <w:p w14:paraId="22FA4FA5" w14:textId="77777777" w:rsidR="001F7233" w:rsidRDefault="00000000">
      <w:pPr>
        <w:pStyle w:val="Heading2"/>
        <w:keepNext/>
        <w:spacing w:line="341" w:lineRule="auto"/>
        <w:jc w:val="center"/>
      </w:pPr>
      <w:bookmarkStart w:id="99" w:name="tau11"/>
      <w:r>
        <w:rPr>
          <w:rFonts w:ascii="Amazon Ember" w:eastAsia="Amazon Ember" w:hAnsi="Amazon Ember" w:cs="Amazon Ember"/>
          <w:color w:val="0000FF"/>
          <w:sz w:val="36"/>
          <w:szCs w:val="36"/>
        </w:rPr>
        <w:lastRenderedPageBreak/>
        <w:t>Australien: Alltagskultur und Umgangsformen</w:t>
      </w:r>
      <w:bookmarkEnd w:id="99"/>
    </w:p>
    <w:p w14:paraId="77CE2E0D" w14:textId="77777777" w:rsidR="001F7233" w:rsidRDefault="00000000">
      <w:pPr>
        <w:spacing w:after="140"/>
      </w:pPr>
      <w:r>
        <w:t>Der Nachbar über den Gartenzaun ruft dir ein fröhliches „G’day, mate!“ zu. Obwohl ihr euch noch nie richtig vorgestellt habt. Du überlegst kurz, ob „mate“ jetzt bedeutet, dass ihr befreundet seid, befreundet werden solltet oder ob es schlicht das australische Äquivalent zum deutschen Kopfnicken im Treppenhaus ist. Die ehrliche Antwort: ein bisschen von allem – und genau das macht die australischen Umgangsformen für Deutsche anfangs schwerer einzuordnen, als sie tatsächlich sind. Nicht weil sie kompliziert wären, sondern weil sie so beiläufig daherkommen, dass man sie leicht unterschätzt.</w:t>
      </w:r>
    </w:p>
    <w:p w14:paraId="3BC9A302" w14:textId="77777777" w:rsidR="001F7233" w:rsidRDefault="00000000">
      <w:r>
        <w:rPr>
          <w:b/>
        </w:rPr>
        <w:t xml:space="preserve">KURZ GESAGT: </w:t>
      </w:r>
    </w:p>
    <w:p w14:paraId="417F47FD" w14:textId="77777777" w:rsidR="001F7233" w:rsidRDefault="00000000">
      <w:r>
        <w:t>• Australische Umgangsformen sind betont informell: Vornamen statt Titel, „mate“ für fast jeden, flache Hierarchien selbst gegen Fremden und Vorgesetzten.</w:t>
      </w:r>
    </w:p>
    <w:p w14:paraId="4AF97A98" w14:textId="77777777" w:rsidR="001F7233" w:rsidRDefault="00000000">
      <w:r>
        <w:t>• Direktheit gilt schnell als unhöflich; Konflikte werden eher umschifft oder mit Humor entschärft. Deutsche Sachlichkeit kommt hier oft härter an, als sie gemeint ist.</w:t>
      </w:r>
    </w:p>
    <w:p w14:paraId="5FE0F035" w14:textId="77777777" w:rsidR="001F7233" w:rsidRDefault="00000000">
      <w:r>
        <w:t>• „No worries“ und „She’ll be right“ sind mehr als Floskeln. Sie beschreiben eine Grundhaltung, über die du dich erst wunderst und die du dann zu schätzen lernst.</w:t>
      </w:r>
    </w:p>
    <w:p w14:paraId="536C1D09" w14:textId="77777777" w:rsidR="001F7233" w:rsidRDefault="00000000">
      <w:r>
        <w:t>• Einladungen sind locker, aber nicht beliebig: BYO (Bring Your Own, eigene Getränke mitbringen) ist beim Barbecue die Regel, „We should catch up sometime“ dagegen selten wörtlich gemeint.</w:t>
      </w:r>
    </w:p>
    <w:p w14:paraId="75A2BECE" w14:textId="77777777" w:rsidR="001F7233" w:rsidRDefault="00000000">
      <w:r>
        <w:t>• Small Talk läuft über Wetter, Sport und Wochenende, so gut wie nie über Gehalt, Herkunftsdetails oder ernste Themen beim ersten Treffen.</w:t>
      </w:r>
    </w:p>
    <w:p w14:paraId="7F7ECB2F" w14:textId="77777777" w:rsidR="001F7233" w:rsidRDefault="00000000">
      <w:r>
        <w:t>• Die Entfernung zu Deutschland ist mehr als eine Zahl auf der Landkarte: Ohne Direktflug und mit über 20 Stunden Reisezeit liegt Australien gefühlt weiter weg als jedes andere Land in diesem Buch.</w:t>
      </w:r>
    </w:p>
    <w:p w14:paraId="3E45CF13" w14:textId="77777777" w:rsidR="001F7233" w:rsidRDefault="001F7233">
      <w:pPr>
        <w:spacing w:line="220" w:lineRule="exact"/>
      </w:pPr>
    </w:p>
    <w:p w14:paraId="1725CF4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 und die flache Hierarchie</w:t>
      </w:r>
    </w:p>
    <w:p w14:paraId="208D227F" w14:textId="77777777" w:rsidR="001F7233" w:rsidRDefault="00000000">
      <w:pPr>
        <w:spacing w:after="140"/>
      </w:pPr>
      <w:r>
        <w:t xml:space="preserve">Das Wort „mate“ hörst du in Australien gegenüber Fremden, Kollegen, der Verkäuferin an der Supermarktkasse und, glaubt man den einschlägigen Beobachtungen, gelegentlich auch gegenüber Hunden. Es signalisiert Zugänglichkeit und Freundlichkeit, nicht zwangsläufig Nähe. Vornamen sind die Regel, auch gegenüber Vorgesetzten; formelle Hierarchien und Titel spielen im Alltag eine spürbar kleinere Rolle als in Deutschland – mehr zur Arbeitswelt im Speziellen steht im </w:t>
      </w:r>
      <w:hyperlink w:anchor="tau14">
        <w:r w:rsidR="001F7233">
          <w:rPr>
            <w:color w:val="0563C1"/>
            <w:u w:val="single"/>
          </w:rPr>
          <w:t>Kapitel zur Arbeitswelt</w:t>
        </w:r>
      </w:hyperlink>
      <w:r>
        <w:t>, hier geht es um den Alltag außerhalb des Büros.</w:t>
      </w:r>
    </w:p>
    <w:p w14:paraId="61711DDA" w14:textId="77777777" w:rsidR="001F7233" w:rsidRDefault="00000000">
      <w:pPr>
        <w:spacing w:after="140"/>
      </w:pPr>
      <w:r>
        <w:rPr>
          <w:i/>
          <w:iCs/>
        </w:rPr>
        <w:t>Wer aus Deutschland kommt, wo der Titel auf der Visitenkarte fast so wichtig wirkt wie der Name selbst, empfindet die erste Begegnung mit einer Geschäftsführerin, die sich schlicht als „Sam“ vorstellt, als kleinen Kulturschock. Der zweite folgt, wenn klar wird, dass Sam das genauso meint, wie sie es sagt: Auch akademische und berufliche Titel treten im Alltag schnell hinter den Vornamen zurück, selbst wenn sie im beruflichen Kontext weiterhin genannt werden. Diese Informalität ist kein Zeichen von Respektlosigkeit, sondern Ausdruck des sogenannten „Mateship“. Eines Ideals von Gleichheit und gegenseitiger Unterstützung, das sich durch die australische Alltagskultur zieht wie ein roter Faden, der nirgends offiziell verlegt wurde, aber überall gegenwärtig ist.</w:t>
      </w:r>
    </w:p>
    <w:p w14:paraId="4B932B7B" w14:textId="77777777" w:rsidR="001F7233" w:rsidRDefault="00000000">
      <w:pPr>
        <w:spacing w:after="140"/>
      </w:pPr>
      <w:r>
        <w:t>Die dazugehörige Begrüßung lautet meist „How ya going?“ oder „G’day“. Beides eher ein Gruß als eine echte Frage nach dem Befinden, ganz ähnlich wie das amerikanische „How are you?“, nur eine Idee lässiger im Ton. Eine kurze, positive Antwort reicht, eine ausführliche Schilderung des eigenen Tages wirkt an der Supermarktkasse eher deplatziert als sympathisch.</w:t>
      </w:r>
    </w:p>
    <w:p w14:paraId="67F7EE1D" w14:textId="77777777" w:rsidR="001F7233" w:rsidRDefault="00000000">
      <w:r>
        <w:rPr>
          <w:b/>
        </w:rPr>
        <w:t xml:space="preserve">ACHTUNG: </w:t>
      </w:r>
    </w:p>
    <w:p w14:paraId="2D76C5F9" w14:textId="77777777" w:rsidR="001F7233" w:rsidRDefault="00000000">
      <w:r>
        <w:lastRenderedPageBreak/>
        <w:t>• „Mate“ zu sein heißt nicht, Freund zu sein. Die Informalität gilt für so gut wie jede Begegnung, unabhängig davon, ob daraus etwas Tieferes wird. Verwechsle die entspannte Anrede nicht mit echter Nähe. Wie du aus Bekanntschaften tatsächliche Freundschaften machst, steht im Kapitel zum Freundefinden.</w:t>
      </w:r>
    </w:p>
    <w:p w14:paraId="4095A977" w14:textId="77777777" w:rsidR="001F7233" w:rsidRDefault="001F7233">
      <w:pPr>
        <w:spacing w:line="220" w:lineRule="exact"/>
      </w:pPr>
    </w:p>
    <w:p w14:paraId="489303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Small Talk: Wetter, Sport, Wochenende – nie Gehalt</w:t>
      </w:r>
    </w:p>
    <w:p w14:paraId="4AE94591" w14:textId="77777777" w:rsidR="001F7233" w:rsidRDefault="00000000">
      <w:pPr>
        <w:spacing w:after="140"/>
      </w:pPr>
      <w:r>
        <w:t>Small Talk erfüllt in Australien eine andere Funktion als in Deutschland. Wo ein direkter Einstieg ins eigentliche Thema hierzulande nicht als unhöflich gilt, baut Small Talk in Australien erst das Vertrauen auf, auf dem alles Weitere ruht. Wetter, Sport (vor allem, welches Team du unterstützt oder eben nicht), Wochenendpläne und Urlaubsziele sind das übliche Repertoire. Gehalt, Miethöhe, Herkunftsdetails über die Nationalität hinaus und Politik bleiben bei ersten Begegnungen außen vor.</w:t>
      </w:r>
    </w:p>
    <w:p w14:paraId="721EB3D3" w14:textId="77777777" w:rsidR="001F7233" w:rsidRDefault="00000000">
      <w:pPr>
        <w:spacing w:after="140"/>
      </w:pPr>
      <w:r>
        <w:t>Verbreiteter Irrtum: Viele Deutsche halten Small Talk für bloße Zeitverschwendung vor dem eigentlichen Anliegen. Tatsächlich ist er in Australien selbst das Anliegen: Wer zu schnell zur Sache kommt, wirkt reserviert, manchmal sogar arrogant. Ein paar Sätze über das Wetter oder das vergangene Wochenende sind keine Nebensache, sondern die Eintrittskarte für alles, was danach kommt – auch im Geschäftlichen.</w:t>
      </w:r>
    </w:p>
    <w:p w14:paraId="1EE591ED" w14:textId="77777777" w:rsidR="001F7233" w:rsidRDefault="00000000">
      <w:r>
        <w:rPr>
          <w:b/>
        </w:rPr>
        <w:t>Gespräch beginnen</w:t>
      </w:r>
    </w:p>
    <w:p w14:paraId="681BF6B4" w14:textId="77777777" w:rsidR="001F7233" w:rsidRDefault="00000000">
      <w:r>
        <w:rPr>
          <w:b/>
        </w:rPr>
        <w:t xml:space="preserve">In Deutschland: </w:t>
      </w:r>
      <w:r>
        <w:t>Direkt zum Thema</w:t>
      </w:r>
    </w:p>
    <w:p w14:paraId="13D44DC8" w14:textId="77777777" w:rsidR="001F7233" w:rsidRDefault="00000000">
      <w:r>
        <w:rPr>
          <w:b/>
        </w:rPr>
        <w:t xml:space="preserve">In Australien: </w:t>
      </w:r>
      <w:r>
        <w:t>Erst Small Talk, dann zur Sache</w:t>
      </w:r>
    </w:p>
    <w:p w14:paraId="52B8A4D5" w14:textId="77777777" w:rsidR="001F7233" w:rsidRDefault="00000000">
      <w:r>
        <w:rPr>
          <w:b/>
        </w:rPr>
        <w:t xml:space="preserve">Tipp: </w:t>
      </w:r>
      <w:r>
        <w:t>Ein bis zwei Sätze Small Talk einplanen</w:t>
      </w:r>
    </w:p>
    <w:p w14:paraId="10985B8B" w14:textId="77777777" w:rsidR="001F7233" w:rsidRDefault="00000000">
      <w:r>
        <w:rPr>
          <w:b/>
        </w:rPr>
        <w:t>Frage nach dem Befinden</w:t>
      </w:r>
    </w:p>
    <w:p w14:paraId="3FFCA702" w14:textId="77777777" w:rsidR="001F7233" w:rsidRDefault="00000000">
      <w:r>
        <w:rPr>
          <w:b/>
        </w:rPr>
        <w:t xml:space="preserve">In Deutschland: </w:t>
      </w:r>
      <w:r>
        <w:t>Ehrliche, ausführliche Antwort erwartet</w:t>
      </w:r>
    </w:p>
    <w:p w14:paraId="5A9FC474" w14:textId="77777777" w:rsidR="001F7233" w:rsidRDefault="00000000">
      <w:r>
        <w:rPr>
          <w:b/>
        </w:rPr>
        <w:t xml:space="preserve">In Australien: </w:t>
      </w:r>
      <w:r>
        <w:t>Kurze, positive Standardantwort</w:t>
      </w:r>
    </w:p>
    <w:p w14:paraId="3E406FFB" w14:textId="77777777" w:rsidR="001F7233" w:rsidRDefault="00000000">
      <w:r>
        <w:rPr>
          <w:b/>
        </w:rPr>
        <w:t xml:space="preserve">Tipp: </w:t>
      </w:r>
      <w:r>
        <w:t>„Good thanks, and you?“ genügt</w:t>
      </w:r>
    </w:p>
    <w:p w14:paraId="4914C1DB" w14:textId="77777777" w:rsidR="001F7233" w:rsidRDefault="00000000">
      <w:r>
        <w:rPr>
          <w:b/>
        </w:rPr>
        <w:lastRenderedPageBreak/>
        <w:t>Themenwahl bei Fremden</w:t>
      </w:r>
    </w:p>
    <w:p w14:paraId="3C5DC7F3" w14:textId="77777777" w:rsidR="001F7233" w:rsidRDefault="00000000">
      <w:r>
        <w:rPr>
          <w:b/>
        </w:rPr>
        <w:t xml:space="preserve">In Deutschland: </w:t>
      </w:r>
      <w:r>
        <w:t>Weiter gefasst, auch Persönliches</w:t>
      </w:r>
    </w:p>
    <w:p w14:paraId="74CC8380" w14:textId="77777777" w:rsidR="001F7233" w:rsidRDefault="00000000">
      <w:r>
        <w:rPr>
          <w:b/>
        </w:rPr>
        <w:t xml:space="preserve">In Australien: </w:t>
      </w:r>
      <w:r>
        <w:t>Wetter, Sport, Wochenende, Urlaub</w:t>
      </w:r>
    </w:p>
    <w:p w14:paraId="64DDB79D" w14:textId="77777777" w:rsidR="001F7233" w:rsidRDefault="00000000">
      <w:r>
        <w:rPr>
          <w:b/>
        </w:rPr>
        <w:t xml:space="preserve">Tipp: </w:t>
      </w:r>
      <w:r>
        <w:t>Gehalt und Politik meiden</w:t>
      </w:r>
    </w:p>
    <w:p w14:paraId="28D9F474" w14:textId="77777777" w:rsidR="001F7233" w:rsidRDefault="00000000">
      <w:r>
        <w:rPr>
          <w:b/>
        </w:rPr>
        <w:t>Direkte Kritik</w:t>
      </w:r>
    </w:p>
    <w:p w14:paraId="4C83C7A1" w14:textId="77777777" w:rsidR="001F7233" w:rsidRDefault="00000000">
      <w:r>
        <w:rPr>
          <w:b/>
        </w:rPr>
        <w:t xml:space="preserve">In Deutschland: </w:t>
      </w:r>
      <w:r>
        <w:t>Sachlich und offen</w:t>
      </w:r>
    </w:p>
    <w:p w14:paraId="768E3BE2" w14:textId="77777777" w:rsidR="001F7233" w:rsidRDefault="00000000">
      <w:r>
        <w:rPr>
          <w:b/>
        </w:rPr>
        <w:t xml:space="preserve">In Australien: </w:t>
      </w:r>
      <w:r>
        <w:t>Verpackt, oft mit Humor entschärft</w:t>
      </w:r>
    </w:p>
    <w:p w14:paraId="499C497B" w14:textId="77777777" w:rsidR="001F7233" w:rsidRDefault="00000000">
      <w:r>
        <w:rPr>
          <w:b/>
        </w:rPr>
        <w:t xml:space="preserve">Tipp: </w:t>
      </w:r>
      <w:r>
        <w:t>Erst loben, dann vorsichtig einwenden</w:t>
      </w:r>
    </w:p>
    <w:p w14:paraId="0BBBE19B" w14:textId="77777777" w:rsidR="001F7233" w:rsidRDefault="001F7233">
      <w:pPr>
        <w:spacing w:line="180" w:lineRule="exact"/>
      </w:pPr>
    </w:p>
    <w:p w14:paraId="41CABC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im Alltag: Abkürzungen und der eigene Wortschatz</w:t>
      </w:r>
    </w:p>
    <w:p w14:paraId="19B5B3C9" w14:textId="77777777" w:rsidR="001F7233" w:rsidRDefault="00000000">
      <w:pPr>
        <w:spacing w:after="140"/>
      </w:pPr>
      <w:r>
        <w:rPr>
          <w:i/>
          <w:iCs/>
        </w:rPr>
        <w:t>Australisches Englisch verkürzt mit Vorliebe fast jedes Wort und hängt ein „-o“ oder „-ie“ an: Aus afternoon (Nachmittag) wird „arvo“, aus service station (Tankstelle) „servo“, aus breakfast „brekkie“, aus mosquito „mozzie“, aus McDonald’s schlicht „Maccas“. Ein ute (von utility vehicle) ist ein Pick-up, eine esky eine Kühlbox für den Ausflug an den Strand oder zum Barbecue. Der ursprüngliche Markenname eines einzelnen Herstellers ist längst zum Gattungsbegriff für jede Kühlbox geworden, ganz ähnlich wie „Tempo“ in Deutschland für Taschentücher. Wer diese Abkürzungen kennt, versteht Alltagsgespräche leichter. Wer sie selbst zu forciert verwendet, bevor sie einem in Fleisch und Blut übergegangen sind, klingt schnell bemüht statt entspannt.</w:t>
      </w:r>
    </w:p>
    <w:p w14:paraId="6ABEE58E" w14:textId="77777777" w:rsidR="001F7233" w:rsidRDefault="00000000">
      <w:r>
        <w:rPr>
          <w:b/>
        </w:rPr>
        <w:t xml:space="preserve">SPARTIPP: </w:t>
      </w:r>
    </w:p>
    <w:p w14:paraId="387979FD" w14:textId="77777777" w:rsidR="001F7233" w:rsidRDefault="00000000">
      <w:r>
        <w:t>• Ein paar dieser Abkürzungen vorab zu lernen, kostet nichts und erspart dir in den ersten Wochen etliche kurze Verständnispausen im Gespräch. Die Verkäuferin an der „servo“-Kasse schaltet nicht extra auf Hochenglisch um, nur weil du gerade erst angekommen bist.</w:t>
      </w:r>
    </w:p>
    <w:p w14:paraId="2749ACFD" w14:textId="77777777" w:rsidR="001F7233" w:rsidRDefault="001F7233">
      <w:pPr>
        <w:spacing w:line="220" w:lineRule="exact"/>
      </w:pPr>
    </w:p>
    <w:p w14:paraId="507E23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Australisches Englisch vor der Abreise trainieren</w:t>
      </w:r>
    </w:p>
    <w:p w14:paraId="122D6ACB" w14:textId="77777777" w:rsidR="001F7233" w:rsidRDefault="00000000">
      <w:pPr>
        <w:spacing w:after="140"/>
      </w:pPr>
      <w:r>
        <w:t>Schulenglisch ist meist britisch geprägt; der australische Alltagston mit seinem Slang und seiner Sprechmelodie klingt anfangs trotzdem ungewohnt. Bücher mit einfacher, dialoggetriebener Prosa helfen mehr als Grammatikhefte: Thriller von Stephen King, John Grisham oder Lee Child lesen sich schnell und bauen Wortschatz nebenbei auf. Für den australischen Alltagston eignet sich auch Liane Moriarty (etwa „Big Little Lies“), die in typisch australischer Vorstadt-Kulisse spielt. Auf YouTube zeigt die „Accent Expert“-Reihe von WIRED (Dialektcoach Erik Singer, Kanal youtube.com/@wired, Suchbegriff „Accent Expert“) anschaulich, woran du australisches, amerikanisches und britisches Englisch unterscheidest.</w:t>
      </w:r>
    </w:p>
    <w:p w14:paraId="7366A783" w14:textId="77777777" w:rsidR="001F7233" w:rsidRDefault="00000000">
      <w:pPr>
        <w:spacing w:after="140"/>
      </w:pPr>
      <w:r>
        <w:t xml:space="preserve">Filme und Serien im Originalton schulen das Ohr. Gute Startpunkte sind der australische Klassiker „The Castle“ und die Netflix-Serie „Heartbreak High“ mit Teenager-Slang. Für einfaches Englisch eignet sich auch die Kinderserie „Bluey“. Prüfe aktuelle Verfügbarkeit und Tonspuren bei </w:t>
      </w:r>
      <w:hyperlink r:id="rId696">
        <w:r w:rsidR="001F7233">
          <w:rPr>
            <w:color w:val="0563C1"/>
            <w:u w:val="single"/>
          </w:rPr>
          <w:t>JustWatch.de</w:t>
        </w:r>
      </w:hyperlink>
      <w:r>
        <w:t xml:space="preserve">; Informationen zu deutschen Ausstrahlungen findest du auf </w:t>
      </w:r>
      <w:hyperlink r:id="rId697">
        <w:r w:rsidR="001F7233">
          <w:rPr>
            <w:color w:val="0563C1"/>
            <w:u w:val="single"/>
          </w:rPr>
          <w:t>ardalpha.de</w:t>
        </w:r>
      </w:hyperlink>
      <w:r>
        <w:t>.</w:t>
      </w:r>
    </w:p>
    <w:p w14:paraId="44354E84" w14:textId="77777777" w:rsidR="001F7233" w:rsidRDefault="00000000">
      <w:r>
        <w:rPr>
          <w:b/>
        </w:rPr>
        <w:t xml:space="preserve">SPARTIPP: </w:t>
      </w:r>
    </w:p>
    <w:p w14:paraId="4C11F698" w14:textId="77777777" w:rsidR="001F7233" w:rsidRDefault="00000000">
      <w:r>
        <w:t>• Nichts davon kostet extra, wenn du ohnehin ein Streaming-Abo hast oder eine Mediathek nutzt. Der Umstieg auf Originalton ist reine Gewöhnungssache, kein zusätzliches Budget.</w:t>
      </w:r>
    </w:p>
    <w:p w14:paraId="682DFA7C" w14:textId="77777777" w:rsidR="001F7233" w:rsidRDefault="001F7233">
      <w:pPr>
        <w:spacing w:line="220" w:lineRule="exact"/>
      </w:pPr>
    </w:p>
    <w:p w14:paraId="46EF5C03" w14:textId="77777777" w:rsidR="001F7233" w:rsidRDefault="00000000">
      <w:pPr>
        <w:spacing w:after="140"/>
      </w:pPr>
      <w:r>
        <w:lastRenderedPageBreak/>
        <w:t xml:space="preserve">Für Kinder gilt eine andere, altersabhängige Auswahl – Serien, Bücher und eine konkrete Umgewöhnungstechnik dazu stehen im </w:t>
      </w:r>
      <w:hyperlink w:anchor="tau13">
        <w:r w:rsidR="001F7233">
          <w:rPr>
            <w:color w:val="0563C1"/>
            <w:u w:val="single"/>
          </w:rPr>
          <w:t>Kapitel zu Kindern, Schule und Sprache</w:t>
        </w:r>
      </w:hyperlink>
      <w:r>
        <w:t>.</w:t>
      </w:r>
    </w:p>
    <w:p w14:paraId="67A9A7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 Understatement und der eigene Humor</w:t>
      </w:r>
    </w:p>
    <w:p w14:paraId="7284D286" w14:textId="77777777" w:rsidR="001F7233" w:rsidRDefault="00000000">
      <w:pPr>
        <w:spacing w:after="140"/>
      </w:pPr>
      <w:r>
        <w:t>„No worries“ und „She’ll be right“ (sinngemäß: „Das wird schon wieder“) sind in Australien weniger Redewendung als Lebensphilosophie. Probleme werden selten dramatisiert, selbst dann nicht, wenn sie es objektiv wären. Ein Understatement, das britische Wurzeln verrät und sich wie ein feines Gegengewicht zur deutschen Neigung anfühlt, jede Herausforderung erst einmal in ihrer vollen Tragweite zu benennen. Ein verstauchter Knöchel wird zu „a bit of a rough trot“ heruntergespielt, eine ausgefallene Klimaanlage bei 38 Grad zu „not ideal“. Wer aus Deutschland kommt und beim ersten Mal glaubt, es handle sich tatsächlich nur um eine Kleinigkeit, lernt schnell, genauer hinzuhören, was hinter der beiläufigen Formulierung steckt.</w:t>
      </w:r>
    </w:p>
    <w:p w14:paraId="6C8D416F" w14:textId="77777777" w:rsidR="001F7233" w:rsidRDefault="00000000">
      <w:pPr>
        <w:spacing w:after="140"/>
      </w:pPr>
      <w:r>
        <w:t>Zu dieser Grundhaltung gehört auch der Humor: viel Selbstironie, viel liebevolles Necken untereinander (auf Englisch manchmal „to have a go at someone“ genannt), das unter Freunden als Zuneigungsbeweis gilt, für Außenstehende aber zunächst schwer von echter Kritik zu unterscheiden ist. Die Grenze verläuft dort, wo aus dem Necken echte Häme wird. Dann hört der Spaß auch für Australier auf. Ein weiteres, oft beschriebenes Muster ist eine Zurückhaltung gegen demonstrativem Erfolg: Wer zu klar mit Leistung oder Besitz prahlt, wird gern eine Nummer kleiner gemacht. Eine Neigung zur Bescheidenheit, die dem deutschen Understatement gar nicht so fremd ist, nur mit mehr Humor verpackt.</w:t>
      </w:r>
    </w:p>
    <w:p w14:paraId="021428C1" w14:textId="77777777" w:rsidR="001F7233" w:rsidRDefault="00000000">
      <w:r>
        <w:rPr>
          <w:b/>
        </w:rPr>
        <w:t xml:space="preserve">MERKE: </w:t>
      </w:r>
    </w:p>
    <w:p w14:paraId="5A6C171A" w14:textId="77777777" w:rsidR="001F7233" w:rsidRDefault="00000000">
      <w:r>
        <w:lastRenderedPageBreak/>
        <w:t>• Understatement ist kein Zeichen dafür, dass ein Problem klein ist, sondern dafür, wie Australier über Probleme sprechen. Nimm „not too bad“ nicht automatisch wörtlich, sondern frage im Zweifel freundlich nach.</w:t>
      </w:r>
    </w:p>
    <w:p w14:paraId="7FBF39FA" w14:textId="77777777" w:rsidR="001F7233" w:rsidRDefault="001F7233">
      <w:pPr>
        <w:spacing w:line="220" w:lineRule="exact"/>
      </w:pPr>
    </w:p>
    <w:p w14:paraId="6620347D" w14:textId="77777777" w:rsidR="001F7233" w:rsidRDefault="00000000">
      <w:pPr>
        <w:spacing w:after="140"/>
      </w:pPr>
      <w:r>
        <w:t>Diese Gelassenheit zeigt sich auch im Umgang mit den klimatischen Risiken des Landes. Die Buschfeuersaison, meist von Spätfrühling bis Ende Sommer, ist ein reales, medial präsentes Thema. Das Extremereignis „Black Summer“ 2019/2020 mit rund 19 bis 24 Millionen Hektar verbrannter Fläche, über 3.000 zerstörten Häusern und mindestens 33 Todesopfern bleibt vielen im Gedächtnis. Trotzdem wird im Alltag selten mit spürbarer Alarmstimmung darüber gesprochen. Ein gepackter Notfallrucksack und ein bekannter Fluchtweg gehören in gefährdeten Regionen für viele Haushalte einfach zur Grundausstattung, ohne dass ständig laut darüber geredet würde. Verwechsle diese Gelassenheit aber nicht mit Sorglosigkeit: Informiere dich über das Risiko deiner Region und nimm offizielle Warnungen ernst, auch wenn der Nachbar dabei bemerkenswert entspannt wirkt.</w:t>
      </w:r>
    </w:p>
    <w:p w14:paraId="7C8A85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Kleidungsstil und die entspannte Bürokratie</w:t>
      </w:r>
    </w:p>
    <w:p w14:paraId="6926493A" w14:textId="77777777" w:rsidR="001F7233" w:rsidRDefault="00000000">
      <w:pPr>
        <w:spacing w:after="140"/>
      </w:pPr>
      <w:r>
        <w:t xml:space="preserve">In vielen australischen Büros gilt „business casual“ auch dort, wo in Deutschland ein Anzug erwartet würde. Flip-Flops heißen in Australien „thongs“ und sind sogar beim Einkaufen oder auf dem Weg zur Bank üblich. Anderswo bedeutet das Wort etwas anderes und kann zu Verwechslungen führen. Weitere Beispiele stehen in Kapitel </w:t>
      </w:r>
      <w:hyperlink w:anchor="k34">
        <w:r w:rsidR="001F7233">
          <w:t>34</w:t>
        </w:r>
      </w:hyperlink>
      <w:r>
        <w:t>.</w:t>
      </w:r>
    </w:p>
    <w:p w14:paraId="7CD42EC7" w14:textId="77777777" w:rsidR="001F7233" w:rsidRDefault="00000000">
      <w:pPr>
        <w:spacing w:after="140"/>
      </w:pPr>
      <w:r>
        <w:lastRenderedPageBreak/>
        <w:t>Dieselbe Gelassenheit gilt oft für Termine: Ein Handwerker mit einem angekündigten Zeitfenster von „irgendwann zwischen 9 und 13 Uhr“ ist keine Ausnahme, sondern eher die Regel und behördengänge dauern gefühlt einen Tick länger, als die Ankündigung vermuten ließ. Beides wird mit derselben „she’ll be right“-Gelassenheit hingenommen, mit der auch sonst auf Verzögerungen reagiert wird.</w:t>
      </w:r>
    </w:p>
    <w:p w14:paraId="73137A08" w14:textId="77777777" w:rsidR="001F7233" w:rsidRDefault="00000000">
      <w:r>
        <w:rPr>
          <w:b/>
        </w:rPr>
        <w:t xml:space="preserve">ACHTUNG: </w:t>
      </w:r>
    </w:p>
    <w:p w14:paraId="4D3D7AEB" w14:textId="77777777" w:rsidR="001F7233" w:rsidRDefault="00000000">
      <w:r>
        <w:t>• Die entspannte Grundhaltung gilt für Wartezeiten und Kleidungsfragen, nicht für Fristen mit rechtlicher Bindung. Visumsauflagen, Steuertermine und Einwanderungsfristen verzeihen kein „she’ll be right“. Hier zählt der Kalender, nicht das Bauchgefühl. Mehr zu Fristen im Einwanderungsprozess im Kapitel zum Antrag und im Kapitel zu den Einwanderungswegen.</w:t>
      </w:r>
    </w:p>
    <w:p w14:paraId="4AA16682" w14:textId="77777777" w:rsidR="001F7233" w:rsidRDefault="001F7233">
      <w:pPr>
        <w:spacing w:line="220" w:lineRule="exact"/>
      </w:pPr>
    </w:p>
    <w:p w14:paraId="2CE65A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Einladungen: BYO, Barbecue und die Sache mit „We should catch up“</w:t>
      </w:r>
    </w:p>
    <w:p w14:paraId="1C2E8377" w14:textId="77777777" w:rsidR="001F7233" w:rsidRDefault="00000000">
      <w:pPr>
        <w:spacing w:after="140"/>
      </w:pPr>
      <w:r>
        <w:rPr>
          <w:i/>
          <w:iCs/>
        </w:rPr>
        <w:t>Das Barbecue, kurz „barbie“, ist die zentrale australische Sozialveranstaltung. Im eigenen Garten, im Park oder am Strand, oft mit öffentlich zugänglichen Grillplätzen, die kostenlos genutzt werden können. Wer eingeladen wird, bringt in aller Regel etwas mit: BYO steht für Bring Your Own und bedeutet meistens eigene Getränke, gelegentlich auch das eigene Fleisch zum Grillen. Das ist kein Geiz des Gastgebers, sondern gelebte Gleichheit: Jeder trägt bei, niemand ist nur Bewirteter.</w:t>
      </w:r>
    </w:p>
    <w:p w14:paraId="3F762494" w14:textId="77777777" w:rsidR="001F7233" w:rsidRDefault="00000000">
      <w:pPr>
        <w:spacing w:after="140"/>
      </w:pPr>
      <w:r>
        <w:t>An der Bar gilt ein ähnliches Prinzip, das „Shout“: In einer Runde Freunde kauft reihum jeder eine Bestellung für alle, statt dass jeder für sich zahlt. Wer eine Runde auslässt, ohne selbst einmal „dran zu sein“, fällt unangenehm auf. Auch hier zählt die stille Erwartung von Gegenseitigkeit mehr als jede ausdrückliche Regel.</w:t>
      </w:r>
    </w:p>
    <w:p w14:paraId="32660C05" w14:textId="77777777" w:rsidR="001F7233" w:rsidRDefault="00000000">
      <w:pPr>
        <w:spacing w:after="140"/>
      </w:pPr>
      <w:r>
        <w:lastRenderedPageBreak/>
        <w:t>Bei Einladungen selbst lohnt Vorsicht mit der wörtlichen Auslegung: „We should catch up sometime“ ist, ganz ähnlich wie im amerikanischen Sprachgebrauch, oft nur eine höfliche Geste und keine konkrete Verabredung. Wer es ernst meint, schlägt einen Tag und einen Ort vor. Umgekehrt sind spontane Einladungen unter Nachbarn und Kollegen häufiger als in Deutschland: Ein „Come round for a barbie on Saturday“ am Donnerstag ist völlig normal und keineswegs unhöflich kurzfristig gemeint.</w:t>
      </w:r>
    </w:p>
    <w:p w14:paraId="0FE7F5E2" w14:textId="77777777" w:rsidR="001F7233" w:rsidRDefault="001F7233">
      <w:pPr>
        <w:spacing w:line="220" w:lineRule="exact"/>
      </w:pPr>
    </w:p>
    <w:p w14:paraId="50D09F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Direktheit trifft Lässigkeit: typische Missverständnisse</w:t>
      </w:r>
    </w:p>
    <w:p w14:paraId="6E7CB373" w14:textId="77777777" w:rsidR="001F7233" w:rsidRDefault="00000000">
      <w:pPr>
        <w:spacing w:after="140"/>
      </w:pPr>
      <w:r>
        <w:t>Die deutsche Gewohnheit, ein Problem beim Namen zu nennen, kommt in Australien leicht härter an als beabsichtigt. „Das funktioniert so nicht“ ist in Deutschland eine Sachaussage. In Australien hört mancher darin eine persönliche Zurechtweisung. Kritik wird lieber verpackt, oft mit einer Frage oder einem beiläufigen Scherz eingeleitet, bevor der eigentliche Punkt kommt. Umgekehrt bedeuten Formulierungen wie „That’s certainly one way of doing it“ oder ein zu freundliches „Yeah, maybe“ nicht automatisch Zustimmung. Manchmal ist genau das Gegenteil gemeint, nur eben höflich verpackt.</w:t>
      </w:r>
    </w:p>
    <w:p w14:paraId="40FD387D" w14:textId="77777777" w:rsidR="001F7233" w:rsidRDefault="00000000">
      <w:pPr>
        <w:spacing w:after="140"/>
      </w:pPr>
      <w:r>
        <w:t>Die Wendungen „yeah, nah“ und „nah, yeah“ können Neuankömmlinge zunächst verwirren. Ersteres bedeutet häufig Nein, das höflich mit Zustimmung eingeleitet wird; Letzteres klingt eher nach einem Ja mit kurzem Zögern. Auch „It’s not the worst idea“ ist meist zurückhaltender als ein klares Lob. Ein schnelles „Sure, sounds good“ kann ebenfalls mehr Nachdenken als Zustimmung bedeuten. Ton und Kontext zählen; wenn du unsicher bist, frag freundlich nach. Das gilt als völlig legitim und wird oft als Zeichen verstanden, dass du aufmerksam zuhörst.</w:t>
      </w:r>
      <w:r/>
    </w:p>
    <w:p w14:paraId="4D6CFB09" w14:textId="77777777" w:rsidR="001F7233" w:rsidRDefault="00000000">
      <w:r>
        <w:rPr>
          <w:b/>
        </w:rPr>
        <w:t xml:space="preserve">ACHTUNG: </w:t>
      </w:r>
    </w:p>
    <w:p w14:paraId="68E76A20" w14:textId="77777777" w:rsidR="001F7233" w:rsidRDefault="00000000">
      <w:r>
        <w:t>• Verlass dich nicht allein auf den Wortlaut, wenn eine Aussage ungewöhnlich vorsichtig oder auffällig freundlich formuliert ist. Der Ton und das, was nicht gesagt wird, tragen in Australien oft mehr Bedeutung als in Deutschland. Im Zweifel eine konkrete Nachfrage stellen, statt die Andeutung zu überinterpretieren oder zu ignorieren.</w:t>
      </w:r>
    </w:p>
    <w:p w14:paraId="10DF3002" w14:textId="77777777" w:rsidR="001F7233" w:rsidRDefault="001F7233">
      <w:pPr>
        <w:spacing w:line="220" w:lineRule="exact"/>
      </w:pPr>
    </w:p>
    <w:p w14:paraId="5D4183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Distanz zur Heimat: mehr als eine Zeitzone</w:t>
      </w:r>
    </w:p>
    <w:p w14:paraId="35518BD8" w14:textId="77777777" w:rsidR="001F7233" w:rsidRDefault="00000000">
      <w:pPr>
        <w:spacing w:after="140"/>
      </w:pPr>
      <w:r>
        <w:t>Frankfurt und Sydney trennen rund 16.479 Kilometer Luftlinie. Es gibt keinen Direktflug; die Gesamtreisezeit mit Umstieg liegt je nach Route, etwa über Singapur, Dubai oder Doha, realistisch bei 21 bis 24 Stunden. Die Zeitverschiebung schwankt zwischen 8 und 10 Stunden, je nachdem, ob und wo gerade Sommer- oder Winterzeit gilt. Beide Länder wechseln zu unterschiedlichen Terminen, was die Kopfrechnung vor jedem Anruf nach Hause auch erschwert.</w:t>
      </w:r>
    </w:p>
    <w:p w14:paraId="146EB00B" w14:textId="77777777" w:rsidR="001F7233" w:rsidRDefault="00000000">
      <w:pPr>
        <w:spacing w:after="140"/>
      </w:pPr>
      <w:r>
        <w:t>Diese Entfernung ist mehr als eine Reisekosten- oder Zeitplanungsfrage. Ein spontanes Wochenende bei den Eltern, wie es in Europas möglich wäre, ist von Australien aus schlicht keine Option, sondern eine mehrtägige Reiseplanung mit entsprechendem Preis. Wichtige Familienereignisse – ein runder Geburtstag, eine Operation, ein Todesfall. Lassen sich nicht eben mal mit dem Auto erreichen. Dieser Faktor wird von vielen Auswanderern nach eigener Beobachtung deutlich unterschätzt, wenn die Entscheidung für Australien fällt und ebenso stark überschätzt, wenn sie längst angekommen sind und sich ein Alltag eingespielt hat, der Videoanrufe und seltene, dafür längere Heimatbesuche zur neuen Normalität macht.</w:t>
      </w:r>
    </w:p>
    <w:p w14:paraId="75644FEA" w14:textId="77777777" w:rsidR="001F7233" w:rsidRDefault="00000000">
      <w:pPr>
        <w:spacing w:after="140"/>
      </w:pPr>
      <w:r>
        <w:lastRenderedPageBreak/>
        <w:t>Was hilft, ist Routine statt Zufall: ein fester Wochentermin für den Videoanruf, der nicht bei jeder Terminüberschneidung verschoben wird und ein realistischer Plan für ein bis zwei längere Heimatbesuche im Jahr, statt auf die Gelegenheit zu warten, die sich über 16.000 Kilometer selten spontan ergibt. Wer das von Anfang an einplant, statt es dem Zufall zu überlassen, erlebt die Distanz als kalkulierbaren Teil des neuen Alltags und nicht als ständige, unausgesprochene Enttäuschung.</w:t>
      </w:r>
    </w:p>
    <w:p w14:paraId="245AAD82" w14:textId="77777777" w:rsidR="001F7233" w:rsidRDefault="00000000">
      <w:r>
        <w:rPr>
          <w:b/>
        </w:rPr>
        <w:t xml:space="preserve">MERKE: </w:t>
      </w:r>
    </w:p>
    <w:p w14:paraId="45BF247A" w14:textId="77777777" w:rsidR="001F7233" w:rsidRDefault="00000000">
      <w:r>
        <w:t>• Anders als bei einem Umzug in Europas ist ein spontaner Kurzbesuch in Deutschland aus Australien keine Option, sondern eine Reise, die Wochen im Voraus geplant wird. Das ist zuerst ein emotionaler Faktor und erst in zweiter Linie eine Kostenfrage. Plane beides bewusst ein, statt es zu verdrängen.</w:t>
      </w:r>
    </w:p>
    <w:p w14:paraId="50E72467" w14:textId="77777777" w:rsidR="001F7233" w:rsidRDefault="001F7233">
      <w:pPr>
        <w:spacing w:line="220" w:lineRule="exact"/>
      </w:pPr>
    </w:p>
    <w:p w14:paraId="4E6C5337" w14:textId="77777777" w:rsidR="001F7233" w:rsidRDefault="001F7233">
      <w:pPr>
        <w:spacing w:line="220" w:lineRule="exact"/>
      </w:pPr>
    </w:p>
    <w:p w14:paraId="2CC14FFB" w14:textId="77777777" w:rsidR="001F7233" w:rsidRDefault="00000000">
      <w:pPr>
        <w:pStyle w:val="Heading3"/>
      </w:pPr>
      <w:r>
        <w:t>Deutschland im Rückblick: Was fehlen könnte – und was nicht unbedingt</w:t>
      </w:r>
    </w:p>
    <w:p w14:paraId="0F261259" w14:textId="77777777" w:rsidR="001F7233" w:rsidRDefault="00000000">
      <w:r>
        <w:t>Viele vermissen deutsches Brot, vertraute Lebensmittel, öffentliche Verkehrsmittel außer der Metropolen und kurze Besuche bei der Familie. Dazu kommen die umgekehrten Jahreszeiten: Weihnachten fällt in den Sommer und ein spontaner Heimflug ist wegen Entfernung und Preis selten. Was dir vielleicht nicht fehlen wird, ist die dunkle Jahreszeit oder ein bestimmter Alltagsrhythmus; das lässt sich nicht vorhersagen. Prüfe die konkrete Gegend auf Nahverkehr, Sommerhitze, UV-Schutz, Feuer- und Überschwemmungsrisiko sowie realistische Reisekosten nach Deutschland.</w:t>
      </w:r>
    </w:p>
    <w:p w14:paraId="429AA2B8" w14:textId="77777777" w:rsidR="001F7233" w:rsidRDefault="00000000">
      <w:r>
        <w:t xml:space="preserve">In Country Towns können Landwirtschaftsschauen, lokaler Footy, Schule, Pub und freiwillige Feuerwehr das soziale Zentrum bilden. Ob mit Footy Australian Rules, Rugby League oder Rugby Union gemeint ist, hängt von Ort und Wettbewerb ab. Nach dem Code zu fragen ist besser als den falschen Verein zu loben. Entfernungen, Hitze und Buschfeuerwarnungen gehören zur praktischen </w:t>
      </w:r>
      <w:r>
        <w:lastRenderedPageBreak/>
        <w:t>Ortskenntnis, auch wenn der Ort selbst klein wirkt. „Bogan“ kann in einer Gruppe selbstironisch verwendet werden, klingt von Außenstehenden aber leicht wie eine Abwertung nach Klasse oder Herkunft. Benutze das Wort nicht als neutrales Synonym für Landbewohner.</w:t>
      </w:r>
    </w:p>
    <w:p w14:paraId="41614423" w14:textId="77777777" w:rsidR="001F7233" w:rsidRDefault="00000000">
      <w:pPr>
        <w:pStyle w:val="Heading3"/>
      </w:pPr>
      <w:r>
        <w:t>Kleinstadt und Land: Country, Footy und Buschfeuer</w:t>
      </w:r>
    </w:p>
    <w:p w14:paraId="4B7FBDA5" w14:textId="77777777" w:rsidR="001F7233" w:rsidRDefault="00000000">
      <w:pPr>
        <w:pStyle w:val="Heading3"/>
      </w:pPr>
      <w:r>
        <w:t>Höflichkeit im Alltag: locker heißt nicht grenzenlos</w:t>
      </w:r>
    </w:p>
    <w:p w14:paraId="7E9B2EFD" w14:textId="77777777" w:rsidR="001F7233" w:rsidRDefault="00000000">
      <w:r>
        <w:t>Vorname, knappe Begrüßung und „no worries“ wirken lässig, bedeuten aber nicht, dass Regeln oder Grenzen fehlen. Frag freundlich und klar; Ironie erst übernehmen, wenn du den Zusammenhang kennst.</w:t>
      </w:r>
    </w:p>
    <w:p w14:paraId="2266AE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Alltagskultur und Umgangsformen</w:t>
      </w:r>
    </w:p>
    <w:p w14:paraId="5832D22C" w14:textId="77777777" w:rsidR="001F7233" w:rsidRDefault="00000000">
      <w:r>
        <w:rPr>
          <w:b/>
        </w:rPr>
        <w:t>Plus: Informeller Umgangston senkt die Hemmschwelle für den ersten Kontakt</w:t>
      </w:r>
    </w:p>
    <w:p w14:paraId="30B5C5F1" w14:textId="77777777" w:rsidR="001F7233" w:rsidRDefault="00000000">
      <w:r>
        <w:rPr>
          <w:b/>
        </w:rPr>
        <w:t xml:space="preserve">Minus: </w:t>
      </w:r>
      <w:r>
        <w:t>„Mate“ zu sein heißt nicht automatisch, Freund zu sein</w:t>
      </w:r>
    </w:p>
    <w:p w14:paraId="48776DDD" w14:textId="77777777" w:rsidR="001F7233" w:rsidRDefault="00000000">
      <w:r>
        <w:rPr>
          <w:b/>
        </w:rPr>
        <w:t>Plus: Entspannte Grundhaltung erleichtert das Ankommen im Alltag</w:t>
      </w:r>
    </w:p>
    <w:p w14:paraId="28BEA3C8" w14:textId="77777777" w:rsidR="001F7233" w:rsidRDefault="00000000">
      <w:r>
        <w:rPr>
          <w:b/>
        </w:rPr>
        <w:t xml:space="preserve">Minus: </w:t>
      </w:r>
      <w:r>
        <w:t>„No worries“ kann echte Probleme unter den Teppich kehren</w:t>
      </w:r>
    </w:p>
    <w:p w14:paraId="349E0A19" w14:textId="77777777" w:rsidR="001F7233" w:rsidRDefault="00000000">
      <w:r>
        <w:rPr>
          <w:b/>
        </w:rPr>
        <w:t>Plus: Small Talk über Wetter und Sport ist überall ein einfacher Einstieg</w:t>
      </w:r>
    </w:p>
    <w:p w14:paraId="2DF61DC6" w14:textId="77777777" w:rsidR="001F7233" w:rsidRDefault="00000000">
      <w:r>
        <w:rPr>
          <w:b/>
        </w:rPr>
        <w:t xml:space="preserve">Minus: </w:t>
      </w:r>
      <w:r>
        <w:t>Persönliche Themen wie Gehalt oder Herkunft bleiben lange tabu</w:t>
      </w:r>
    </w:p>
    <w:p w14:paraId="55E113B7" w14:textId="77777777" w:rsidR="001F7233" w:rsidRDefault="00000000">
      <w:r>
        <w:rPr>
          <w:b/>
        </w:rPr>
        <w:t>Plus: Einladungen sind unkompliziert, BYO senkt die Hürde mitzukommen</w:t>
      </w:r>
    </w:p>
    <w:p w14:paraId="36BE24B4" w14:textId="77777777" w:rsidR="001F7233" w:rsidRDefault="00000000">
      <w:r>
        <w:rPr>
          <w:b/>
        </w:rPr>
        <w:t xml:space="preserve">Minus: </w:t>
      </w:r>
      <w:r>
        <w:t>„We should catch up sometime“ bleibt oft folgenlose Höflichkeit</w:t>
      </w:r>
    </w:p>
    <w:p w14:paraId="3792E356" w14:textId="77777777" w:rsidR="001F7233" w:rsidRDefault="00000000">
      <w:r>
        <w:rPr>
          <w:b/>
        </w:rPr>
        <w:t>Plus: Kritik wird selten mit voller Härte ausgesprochen</w:t>
      </w:r>
    </w:p>
    <w:p w14:paraId="19281AD5" w14:textId="77777777" w:rsidR="001F7233" w:rsidRDefault="00000000">
      <w:r>
        <w:rPr>
          <w:b/>
        </w:rPr>
        <w:t xml:space="preserve">Minus: </w:t>
      </w:r>
      <w:r>
        <w:t>Indirekte Kritik ist für Deutsche schwer zu entschlüsseln</w:t>
      </w:r>
    </w:p>
    <w:p w14:paraId="329A26E2" w14:textId="77777777" w:rsidR="001F7233" w:rsidRDefault="00000000">
      <w:r>
        <w:rPr>
          <w:b/>
        </w:rPr>
        <w:lastRenderedPageBreak/>
        <w:t>Plus: Videoanrufe und seltene, lange Heimatbesuche schaffen eigene Rituale</w:t>
      </w:r>
    </w:p>
    <w:p w14:paraId="5ED28D35" w14:textId="77777777" w:rsidR="001F7233" w:rsidRDefault="00000000">
      <w:r>
        <w:rPr>
          <w:b/>
        </w:rPr>
        <w:t xml:space="preserve">Minus: </w:t>
      </w:r>
      <w:r>
        <w:t>Spontane Kurzbesuche in Deutschland sind praktisch unmöglich</w:t>
      </w:r>
    </w:p>
    <w:p w14:paraId="4E8013AD" w14:textId="77777777" w:rsidR="001F7233" w:rsidRDefault="001F7233">
      <w:pPr>
        <w:spacing w:line="180" w:lineRule="exact"/>
      </w:pPr>
    </w:p>
    <w:p w14:paraId="227FC3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A7B84FA" w14:textId="77777777" w:rsidR="001F7233" w:rsidRDefault="00000000">
      <w:pPr>
        <w:pStyle w:val="ListParagraph"/>
        <w:numPr>
          <w:ilvl w:val="0"/>
          <w:numId w:val="39"/>
        </w:numPr>
        <w:spacing w:after="60"/>
      </w:pPr>
      <w:r>
        <w:t>Vor dem Umzug: Erwartungen an Freundschaft und Nähe realistisch anpassen, spontane Heimatbesuche gedanklich abschreiben.</w:t>
      </w:r>
    </w:p>
    <w:p w14:paraId="0FA93A3F" w14:textId="77777777" w:rsidR="001F7233" w:rsidRDefault="00000000">
      <w:pPr>
        <w:pStyle w:val="ListParagraph"/>
        <w:numPr>
          <w:ilvl w:val="0"/>
          <w:numId w:val="2"/>
        </w:numPr>
        <w:spacing w:after="60"/>
      </w:pPr>
      <w:r>
        <w:t>In den ersten Wochen: Small Talk aktiv üben, Einladungen zu Barbecue oder Bar verbindlich annehmen und selbst aussprechen.</w:t>
      </w:r>
    </w:p>
    <w:p w14:paraId="6A2C4B0A" w14:textId="77777777" w:rsidR="001F7233" w:rsidRDefault="00000000">
      <w:pPr>
        <w:pStyle w:val="ListParagraph"/>
        <w:numPr>
          <w:ilvl w:val="0"/>
          <w:numId w:val="2"/>
        </w:numPr>
        <w:spacing w:after="60"/>
      </w:pPr>
      <w:r>
        <w:t>Laufend: Bei Unsicherheit über den Ton einer Aussage freundlich nachfragen, statt zu spekulieren.</w:t>
      </w:r>
    </w:p>
    <w:p w14:paraId="4047BBC3" w14:textId="77777777" w:rsidR="001F7233" w:rsidRDefault="001F7233">
      <w:pPr>
        <w:spacing w:line="120" w:lineRule="exact"/>
      </w:pPr>
    </w:p>
    <w:p w14:paraId="1AFB0EB8" w14:textId="77777777" w:rsidR="001F7233" w:rsidRDefault="00000000">
      <w:r>
        <w:t>• Erwartungen an Tempo und Tiefe neuer Bekanntschaften realistisch angepasst</w:t>
      </w:r>
    </w:p>
    <w:p w14:paraId="2C706B62" w14:textId="77777777" w:rsidR="001F7233" w:rsidRDefault="00000000">
      <w:r>
        <w:t>• Small-Talk-Themen (Wetter, Sport, Wochenende) parat, Tabuthemen (Gehalt, Politik) gemieden</w:t>
      </w:r>
    </w:p>
    <w:p w14:paraId="6FD44D77" w14:textId="77777777" w:rsidR="001F7233" w:rsidRDefault="00000000">
      <w:r>
        <w:t>• BYO- und Shout-Prinzip bei Einladungen und Barbecues verstanden</w:t>
      </w:r>
    </w:p>
    <w:p w14:paraId="3EACB748" w14:textId="77777777" w:rsidR="001F7233" w:rsidRDefault="00000000">
      <w:r>
        <w:t>• Bei vager Einladung „We should catch up“ selbst einen Tag und Ort vorgeschlagen</w:t>
      </w:r>
    </w:p>
    <w:p w14:paraId="0300121D" w14:textId="77777777" w:rsidR="001F7233" w:rsidRDefault="00000000">
      <w:r>
        <w:t>• Auf „yeah, nah“ und ähnliche Wendungen geachtet, im Zweifel nachgefragt</w:t>
      </w:r>
    </w:p>
    <w:p w14:paraId="34C3848E" w14:textId="77777777" w:rsidR="001F7233" w:rsidRDefault="00000000">
      <w:r>
        <w:t>• Zeitverschiebung zu Deutschland (8 bis 10 Stunden, je nach Sommer-/Winterzeit) für Anrufe notiert</w:t>
      </w:r>
    </w:p>
    <w:p w14:paraId="4BC100E6" w14:textId="77777777" w:rsidR="001F7233" w:rsidRDefault="00000000">
      <w:r>
        <w:t>• Reisezeit und Kosten für einen Heimatbesuch (21 bis 24 Stunden, kein Direktflug) realistisch eingeplant</w:t>
      </w:r>
    </w:p>
    <w:p w14:paraId="464C42B5" w14:textId="77777777" w:rsidR="001F7233" w:rsidRDefault="00000000">
      <w:r>
        <w:t>• Regelmäßige Videoanruf-Termine mit Familie und Freunden in Deutschland verabredet</w:t>
      </w:r>
    </w:p>
    <w:p w14:paraId="76A7FAB5" w14:textId="77777777" w:rsidR="001F7233" w:rsidRDefault="00000000">
      <w:r>
        <w:t>• Vor der Abreise: ein bis zwei Serien oder Filme im australischen Originalton angeschaut, Untertitel auf Englisch umgestellt.</w:t>
      </w:r>
    </w:p>
    <w:p w14:paraId="2549F39B" w14:textId="77777777" w:rsidR="001F7233" w:rsidRDefault="001F7233">
      <w:pPr>
        <w:spacing w:line="220" w:lineRule="exact"/>
      </w:pPr>
    </w:p>
    <w:p w14:paraId="211352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D6060B3" w14:textId="77777777" w:rsidR="001F7233" w:rsidRDefault="00000000">
      <w:pPr>
        <w:pStyle w:val="ListParagraph"/>
        <w:numPr>
          <w:ilvl w:val="0"/>
          <w:numId w:val="1"/>
        </w:numPr>
        <w:spacing w:after="60"/>
      </w:pPr>
      <w:r>
        <w:t xml:space="preserve">SBS Cultural Atlas — Kommunikationsstil und Alltagskultur in Australien: </w:t>
      </w:r>
      <w:hyperlink r:id="rId698">
        <w:r w:rsidR="001F7233">
          <w:rPr>
            <w:color w:val="0563C1"/>
            <w:u w:val="single"/>
          </w:rPr>
          <w:t>culturalatlas.sbs.com.au</w:t>
        </w:r>
      </w:hyperlink>
    </w:p>
    <w:p w14:paraId="756AABBC" w14:textId="77777777" w:rsidR="001F7233" w:rsidRDefault="00000000">
      <w:pPr>
        <w:pStyle w:val="ListParagraph"/>
        <w:numPr>
          <w:ilvl w:val="0"/>
          <w:numId w:val="1"/>
        </w:numPr>
        <w:spacing w:after="60"/>
      </w:pPr>
      <w:r>
        <w:t xml:space="preserve">Deutsche Botschaft Canberra und Generalkonsulate in Australien — Leben vor Ort: </w:t>
      </w:r>
      <w:hyperlink r:id="rId699">
        <w:r w:rsidR="001F7233">
          <w:rPr>
            <w:color w:val="0563C1"/>
            <w:u w:val="single"/>
          </w:rPr>
          <w:t>australien.diplo.de</w:t>
        </w:r>
      </w:hyperlink>
    </w:p>
    <w:p w14:paraId="184B3D1E" w14:textId="77777777" w:rsidR="001F7233" w:rsidRDefault="00000000">
      <w:pPr>
        <w:pStyle w:val="ListParagraph"/>
        <w:numPr>
          <w:ilvl w:val="0"/>
          <w:numId w:val="1"/>
        </w:numPr>
        <w:spacing w:after="60"/>
      </w:pPr>
      <w:r>
        <w:t xml:space="preserve">Fair Work Ombudsman — Umgangsformen und Umgangsregeln am Arbeitsplatz: </w:t>
      </w:r>
      <w:hyperlink r:id="rId700">
        <w:r w:rsidR="001F7233">
          <w:rPr>
            <w:color w:val="0563C1"/>
            <w:u w:val="single"/>
          </w:rPr>
          <w:t>fairwork.gov.au</w:t>
        </w:r>
      </w:hyperlink>
    </w:p>
    <w:p w14:paraId="19745814" w14:textId="77777777" w:rsidR="001F7233" w:rsidRDefault="00000000">
      <w:pPr>
        <w:pStyle w:val="ListParagraph"/>
        <w:numPr>
          <w:ilvl w:val="0"/>
          <w:numId w:val="1"/>
        </w:numPr>
        <w:spacing w:after="60"/>
      </w:pPr>
      <w:r>
        <w:t xml:space="preserve">Tourism Australia — Alltag und Umgangsformen für Neuankömmlinge: </w:t>
      </w:r>
      <w:hyperlink r:id="rId701">
        <w:r w:rsidR="001F7233">
          <w:rPr>
            <w:color w:val="0563C1"/>
            <w:u w:val="single"/>
          </w:rPr>
          <w:t>australia.com</w:t>
        </w:r>
      </w:hyperlink>
    </w:p>
    <w:p w14:paraId="1F63C93D" w14:textId="77777777" w:rsidR="001F7233" w:rsidRDefault="00000000">
      <w:pPr>
        <w:pStyle w:val="ListParagraph"/>
        <w:numPr>
          <w:ilvl w:val="0"/>
          <w:numId w:val="1"/>
        </w:numPr>
        <w:spacing w:after="60"/>
      </w:pPr>
      <w:r>
        <w:t xml:space="preserve">WIRED — „Accent Expert“-Reihe mit Dialektcoach Erik Singer: </w:t>
      </w:r>
      <w:hyperlink r:id="rId702">
        <w:r w:rsidR="001F7233">
          <w:rPr>
            <w:color w:val="0563C1"/>
            <w:u w:val="single"/>
          </w:rPr>
          <w:t>youtube.com/@wired</w:t>
        </w:r>
      </w:hyperlink>
    </w:p>
    <w:p w14:paraId="522BF80F" w14:textId="77777777" w:rsidR="001F7233" w:rsidRDefault="00000000">
      <w:pPr>
        <w:pStyle w:val="ListParagraph"/>
        <w:numPr>
          <w:ilvl w:val="0"/>
          <w:numId w:val="1"/>
        </w:numPr>
        <w:spacing w:after="60"/>
      </w:pPr>
      <w:r>
        <w:t xml:space="preserve">ARD-alpha — Telekolleg Englisch, kostenlose Sprachkurse: </w:t>
      </w:r>
      <w:hyperlink r:id="rId703">
        <w:r w:rsidR="001F7233">
          <w:rPr>
            <w:color w:val="0563C1"/>
            <w:u w:val="single"/>
          </w:rPr>
          <w:t>ardalpha.de</w:t>
        </w:r>
      </w:hyperlink>
    </w:p>
    <w:p w14:paraId="7BD83B8D" w14:textId="77777777" w:rsidR="001F7233" w:rsidRDefault="00000000">
      <w:pPr>
        <w:pStyle w:val="ListParagraph"/>
        <w:numPr>
          <w:ilvl w:val="0"/>
          <w:numId w:val="1"/>
        </w:numPr>
        <w:spacing w:after="60"/>
      </w:pPr>
      <w:r>
        <w:t xml:space="preserve">JustWatch — aktuelle Streaming-Verfügbarkeit in Deutschland prüfen: </w:t>
      </w:r>
      <w:hyperlink r:id="rId704">
        <w:r w:rsidR="001F7233">
          <w:rPr>
            <w:color w:val="0563C1"/>
            <w:u w:val="single"/>
          </w:rPr>
          <w:t>justwatch.de</w:t>
        </w:r>
      </w:hyperlink>
    </w:p>
    <w:p w14:paraId="317183D7" w14:textId="77777777" w:rsidR="001F7233" w:rsidRDefault="001F7233">
      <w:pPr>
        <w:spacing w:line="120" w:lineRule="exact"/>
      </w:pPr>
    </w:p>
    <w:p w14:paraId="6ADB8D12" w14:textId="77777777" w:rsidR="001F7233" w:rsidRDefault="00000000">
      <w:pPr>
        <w:pStyle w:val="ListParagraph"/>
      </w:pPr>
      <w:r>
        <w:t xml:space="preserve">Rowen, B. — Bogan as a Keyword of Contemporary Australia, John Benjamins (2017): </w:t>
      </w:r>
      <w:hyperlink r:id="rId705">
        <w:r w:rsidR="001F7233">
          <w:rPr>
            <w:rStyle w:val="Hyperlink"/>
          </w:rPr>
          <w:t>benjamins.com/catalog/pbns.277.03row</w:t>
        </w:r>
      </w:hyperlink>
    </w:p>
    <w:p w14:paraId="03BFCDB3" w14:textId="77777777" w:rsidR="001F7233" w:rsidRDefault="00000000">
      <w:r>
        <w:t>• 23.09.2026. Die kulturellen Beobachtungen in diesem Kapitel sind allgemeine Tendenzen, keine Statistik. Regionale und individuelle Unterschiede in Australiens sind groß und eine Generation Australier tickt nicht wie die andere. Flugverbindungen, Reisezeiten und Zeitverschiebung ändern sich; prüfe sie vor jeder konkreten Reiseplanung neu.</w:t>
      </w:r>
    </w:p>
    <w:p w14:paraId="7042FDB4" w14:textId="77777777" w:rsidR="001F7233" w:rsidRDefault="001F7233">
      <w:pPr>
        <w:spacing w:line="220" w:lineRule="exact"/>
      </w:pPr>
    </w:p>
    <w:p w14:paraId="550BCCA3" w14:textId="77777777" w:rsidR="001F7233" w:rsidRDefault="00000000">
      <w:pPr>
        <w:pStyle w:val="Heading3"/>
      </w:pPr>
      <w:r>
        <w:t>Kaffee bestellen: Größen, Cappuccino und Trinkgeld</w:t>
      </w:r>
    </w:p>
    <w:p w14:paraId="40B678EF" w14:textId="77777777" w:rsidR="001F7233" w:rsidRDefault="00000000">
      <w:r>
        <w:t xml:space="preserve">Australische Cafés servieren meist Getränke auf Espressobasis. Flat White, Latte und Cappuccino sind geläufig; Tassengröße und Milchschaum unterscheiden sich je nach Café. „Regular“ kann kleiner sein als bei einer US-Kette. Für eine kleinere Tasse frag nach Piccolo </w:t>
      </w:r>
      <w:r>
        <w:lastRenderedPageBreak/>
        <w:t>oder Short Black. Prüfe, ob am Wochenende oder an Feiertagen ein Aufschlag berechnet wird. Trinkgeld ist keine automatisch erwartete Prozentpauschale; bei gutem Service entscheidest du selbst, ob du etwas gibst.</w:t>
      </w:r>
      <w:r>
        <w:br w:type="page"/>
      </w:r>
    </w:p>
    <w:p w14:paraId="334A3BFF" w14:textId="77777777" w:rsidR="001F7233" w:rsidRDefault="00000000">
      <w:pPr>
        <w:pStyle w:val="Heading2"/>
        <w:keepNext/>
        <w:spacing w:line="341" w:lineRule="auto"/>
        <w:jc w:val="center"/>
      </w:pPr>
      <w:bookmarkStart w:id="100" w:name="tau12"/>
      <w:r>
        <w:rPr>
          <w:rFonts w:ascii="Amazon Ember" w:eastAsia="Amazon Ember" w:hAnsi="Amazon Ember" w:cs="Amazon Ember"/>
          <w:color w:val="0000FF"/>
          <w:sz w:val="36"/>
          <w:szCs w:val="36"/>
        </w:rPr>
        <w:lastRenderedPageBreak/>
        <w:t>Australien: Freunde finden und der Kulturschock der großen Distanz</w:t>
      </w:r>
      <w:bookmarkEnd w:id="100"/>
    </w:p>
    <w:p w14:paraId="41EC70F1" w14:textId="77777777" w:rsidR="001F7233" w:rsidRDefault="00000000">
      <w:pPr>
        <w:spacing w:after="140"/>
      </w:pPr>
      <w:r>
        <w:t>„How ya going, mate?“ ruft der Nachbar über den Zaun, während er den Rasen mäht. Etwas, das er hier ganzjährig tut, weil ihm kein Winter eine Pause gönnt. Du überlegst kurz, wie ausführlich die Antwort ausfallen soll und lernst in diesem Moment die erste Lektion des australischen Alltags: Die Frage ist kein echtes Interesse an deinem Befinden, sondern ein Gruß und „Good thanks, yourself?“ reicht vollkommen. Die zweite Lektion kommt meist erst nachts, wenn du im Kopf durchrechnest, wie spät es gerade in Köln oder Hamburg ist und merkst: Freunde finden und Heimweh aushalten sind in Australien zwei Seiten derselben, ziemlich weiten Reise.</w:t>
      </w:r>
    </w:p>
    <w:p w14:paraId="26B59615" w14:textId="77777777" w:rsidR="001F7233" w:rsidRDefault="00000000">
      <w:r>
        <w:rPr>
          <w:b/>
        </w:rPr>
        <w:t xml:space="preserve">KURZ GESAGT: </w:t>
      </w:r>
    </w:p>
    <w:p w14:paraId="1F4B76E0" w14:textId="77777777" w:rsidR="001F7233" w:rsidRDefault="00000000">
      <w:r>
        <w:t>• Australische Freundlichkeit öffnet die erste Tür sehr leicht, sagt aber wenig über eine echte Freundschaft aus. Tiefe entsteht durch Wiederholung, nicht durch das erste nette Gespräch.</w:t>
      </w:r>
    </w:p>
    <w:p w14:paraId="2D1C41A6" w14:textId="77777777" w:rsidR="001F7233" w:rsidRDefault="00000000">
      <w:r>
        <w:t>• Sportvereine, freiwillige Feuerwehr und Katastrophenschutz, Nachbarschaft und Kinder sind die schnellsten Wege zu festen Kontakten.</w:t>
      </w:r>
    </w:p>
    <w:p w14:paraId="300F41B7" w14:textId="77777777" w:rsidR="001F7233" w:rsidRDefault="00000000">
      <w:r>
        <w:t>• Deutsche Vertretungen, Goethe-Institute und deutsche Schulen konzentrieren sich auf Sydney und Melbourne. In anderen Großstädten bleibt vor allem die eigene Initiative.</w:t>
      </w:r>
    </w:p>
    <w:p w14:paraId="5458DD19" w14:textId="77777777" w:rsidR="001F7233" w:rsidRDefault="00000000">
      <w:r>
        <w:t>• Australien liegt für deutsche Verhältnisse ungewöhnlich weit weg: keine Direktflüge, 21 bis 24 Stunden Reisezeit, 8 bis 10 Stunden Zeitverschiebung. Das prägt Heimweh anders als in näher gelegenen Zielländern.</w:t>
      </w:r>
    </w:p>
    <w:p w14:paraId="7026FD31" w14:textId="77777777" w:rsidR="001F7233" w:rsidRDefault="00000000">
      <w:r>
        <w:t>• Die kritischsten Monate sind meist der dritte bis sechste, dazu das erste Weihnachtsfest in Badehose statt am beschneiten Tannenbaum.</w:t>
      </w:r>
    </w:p>
    <w:p w14:paraId="22CC3D55" w14:textId="77777777" w:rsidR="001F7233" w:rsidRDefault="00000000">
      <w:r>
        <w:t>• Wer isoliert lebt oder ernsthaft belastet ist, findet in Australien erreichbare Hilfe, auch auf Deutsch.</w:t>
      </w:r>
    </w:p>
    <w:p w14:paraId="1059BB86" w14:textId="77777777" w:rsidR="001F7233" w:rsidRDefault="001F7233">
      <w:pPr>
        <w:spacing w:line="220" w:lineRule="exact"/>
      </w:pPr>
    </w:p>
    <w:p w14:paraId="5D7BCE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Mateship und Understatement: Wie Australier Nähe zeigen</w:t>
      </w:r>
    </w:p>
    <w:p w14:paraId="71B7C276" w14:textId="77777777" w:rsidR="001F7233" w:rsidRDefault="00000000">
      <w:pPr>
        <w:spacing w:after="140"/>
      </w:pPr>
      <w:r>
        <w:rPr>
          <w:i/>
          <w:iCs/>
        </w:rPr>
        <w:t>Deutsche gelten in Alltagsgesprächen häufig als direkt und sachbezogen. Australier kommunizieren eher entspannt, indirekt und ausgesprochen konfliktscheu. Eine Meinungsverschiedenheit wird gern mit einem Scherz entschärft statt mit einem Widerspruch ausgetragen. Mate (wörtlich „Kumpel“, in Wirklichkeit eine Anrede für praktisch jeden. Kollegen, Verkäuferinnen, gelegentlich sogar den eigenen Hund) signalisiert Zugänglichkeit, nicht Freundschaft. Vornamen sind selbst gegen Vorgesetzten üblich, und wer im Bewerbungsgespräch versehentlich „Mr. Smith“ sagt, erntet eher ein amüsiertes Stirnrunzeln als Respekt.</w:t>
      </w:r>
    </w:p>
    <w:p w14:paraId="31AC2ED7" w14:textId="77777777" w:rsidR="001F7233" w:rsidRDefault="00000000">
      <w:pPr>
        <w:spacing w:after="140"/>
      </w:pPr>
      <w:r>
        <w:t>Verbreiteter Irrtum: Australier reden jeden an und sind so entspannt, da hat man schnell Freunde. Tatsächlich ist genau das die Falle, in die viele Neuankömmlinge laufen: Der erste Kontakt gelingt bemerkenswert leicht, der Weg von dort zur echten Freundschaft ist aber nicht kürzer als in Deutschland. Nur die erste Tür schwingt williger auf. „We should catch up sometime“ ist eine Höflichkeitsformel, kein Termin. Wer daraus einen machen will, braucht wie überall ein konkretes Datum, keinen vagen Wunsch.</w:t>
      </w:r>
    </w:p>
    <w:p w14:paraId="358DBF41" w14:textId="77777777" w:rsidR="001F7233" w:rsidRDefault="00000000">
      <w:pPr>
        <w:spacing w:after="140"/>
      </w:pPr>
      <w:r>
        <w:t>Der britisch geprägte Humor dieses Länder-Teils zeigt sich hier besonders deutlich: Wo ein Deutscher sagen würde „Das war heute chaotisch“, sagt ein Australier eher „Bit of a day, that“ und meint damit womöglich, dass gerade die Küche abgebrannt ist. Wer diese Untertreibung nicht mitbekommt, hält jede Krise für eine Kleinigkeit und wundert sich später, warum niemand um Hilfe gebeten hat. Sicherer Gesprächsstoff für den Anfang sind Wetter, Sport. Vor allem die eigene Lieblingsmannschaft – und der letzte Urlaub. Gehalt, Politik und die eigene Steuererklärung bleiben, ähnlich wie in Deutschland, eher hintenan.</w:t>
      </w:r>
    </w:p>
    <w:p w14:paraId="19EEEF97" w14:textId="77777777" w:rsidR="001F7233" w:rsidRDefault="00000000">
      <w:r>
        <w:rPr>
          <w:b/>
        </w:rPr>
        <w:lastRenderedPageBreak/>
        <w:t xml:space="preserve">MERKE: </w:t>
      </w:r>
    </w:p>
    <w:p w14:paraId="7E6A3890" w14:textId="77777777" w:rsidR="001F7233" w:rsidRDefault="00000000">
      <w:r>
        <w:t>• Ein offenes „G’day“ ist ein Türöffner, keine Einladung ins Wohnzimmer. Nimm die erste Freundlichkeit dankbar an, aber erwarte die eigentliche Freundschaft erst nach mehreren Wiederholungen.</w:t>
      </w:r>
    </w:p>
    <w:p w14:paraId="4C08DBCE" w14:textId="77777777" w:rsidR="001F7233" w:rsidRDefault="001F7233">
      <w:pPr>
        <w:spacing w:line="220" w:lineRule="exact"/>
      </w:pPr>
    </w:p>
    <w:p w14:paraId="0AE55278" w14:textId="77777777" w:rsidR="001F7233" w:rsidRDefault="00000000">
      <w:pPr>
        <w:spacing w:after="140"/>
      </w:pPr>
      <w:r>
        <w:rPr>
          <w:i/>
          <w:iCs/>
        </w:rPr>
        <w:t>Eng damit verwandt ist das Tall Poppy Syndrome (wörtlich „Syndrom der hohen Mohnblume“): Wer zu klar mit Erfolg, Titel oder Gehalt prahlt, wird in Australien nicht bewundert, sondern sozial „gestutzt“. Meist mit einem trockenen Kommentar statt mit offener Kritik. Für deutsche Fachkräfte, die aus einer Kultur kommen, in der der eigene Titel schon auf der Visitenkarte für Respekt sorgt, ist das eine Umstellung: Der Ingenieur, der seinen Doktortitel beim Grillabend beiläufig fallen lässt, erntet eher ein amüsiertes „Ooh, fancy“ als Anerkennung. Wer stattdessen die eigenen Pannen erzählt. Der verkorkste erste Linksverkehr-Versuch, die falsch ausgesprochenen Ortsnamen –, kommt in Australien meist erheblich weiter als mit einer Erfolgsliste.</w:t>
      </w:r>
    </w:p>
    <w:p w14:paraId="1A9976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w14:paraId="0C731CF7" w14:textId="77777777" w:rsidR="001F7233" w:rsidRDefault="00000000">
      <w:pPr>
        <w:spacing w:after="140"/>
      </w:pPr>
      <w:r>
        <w:rPr>
          <w:i/>
          <w:iCs/>
        </w:rPr>
        <w:t xml:space="preserve">Vereinswesen im deutschen Sinn – mit Satzung, Vorstand und Vereinsheim. Ist in Australien selten; stattdessen dominieren Sportclubs, die zugleich soziale Zentren sind. Cricket ist im Sommer (Oktober bis März) überall präsent, im Winter wechselt es je nach Bundesstaat zu Australian Football (AFL, mit Ursprüngen und größter Fangemeinde in Victoria, Western Australia und South Australia) oder Rugby League (NRL, Schwerpunkt New South Wales und Queensland). Netball zieht landesweit vor allem Frauen und Mädchen an Wochenenden auf die Plätze. Wer an der Küste lebt, findet in einem Surf Life Saving Club eine typisch australische Kombination aus Rettungsschwimmer-Ausbildung, Wettkampfsport und Vereinsleben </w:t>
      </w:r>
      <w:r>
        <w:rPr>
          <w:i/>
          <w:iCs/>
        </w:rPr>
        <w:lastRenderedPageBreak/>
        <w:t>am Strand: Mitglieder patrouillieren ehrenamtlich die Strände und feiern danach gemeinsam im Clubhaus.</w:t>
      </w:r>
    </w:p>
    <w:p w14:paraId="372AE72E" w14:textId="77777777" w:rsidR="001F7233" w:rsidRDefault="00000000">
      <w:pPr>
        <w:spacing w:after="140"/>
      </w:pPr>
      <w:r>
        <w:t xml:space="preserve">Eine zweite, sehr australische Tür ist der Katastrophenschutz: Die freiwillige </w:t>
      </w:r>
      <w:r>
        <w:rPr>
          <w:i/>
          <w:iCs/>
        </w:rPr>
        <w:t>Rural Fire Service</w:t>
      </w:r>
      <w:r>
        <w:t xml:space="preserve"> (RFS, ländliche Feuerwehr, in einzelnen Bundesstaaten unter anderem Namen organisiert) und der </w:t>
      </w:r>
      <w:r>
        <w:rPr>
          <w:i/>
          <w:iCs/>
        </w:rPr>
        <w:t>State Emergency Service</w:t>
      </w:r>
      <w:r>
        <w:t xml:space="preserve"> (SES, freiwilliger Katastrophenschutz für Stürme und Fluten) suchen laufend Mitglieder. Wer sich in einer Region mit Buschfeuer- oder Flutrisiko niederlässt (siehe das </w:t>
      </w:r>
      <w:hyperlink w:anchor="tau09">
        <w:r w:rsidR="001F7233">
          <w:rPr>
            <w:color w:val="0563C1"/>
            <w:u w:val="single"/>
          </w:rPr>
          <w:t>Kapitel zu Wohnen und den besten Orten in diesem Teil</w:t>
        </w:r>
      </w:hyperlink>
      <w:r>
        <w:t>), lernt darüber ungewöhnlich schnell Nachbarn kennen, die ohnehin zusammenhalten müssen – eine Freundschaft, die im Ernstfall entsteht, hält oft länger als eine, die am Kaffeetisch begann.</w:t>
      </w:r>
    </w:p>
    <w:p w14:paraId="03F39313" w14:textId="77777777" w:rsidR="001F7233" w:rsidRDefault="00000000">
      <w:pPr>
        <w:spacing w:after="140"/>
      </w:pPr>
      <w:r>
        <w:rPr>
          <w:i/>
          <w:iCs/>
        </w:rPr>
        <w:t>In der Nachbarschaft ersetzt der Nature Strip (der Grünstreifen zwischen Gehweg und Straße, den viele Anwohner gemeinsam pflegen und für spontane Plaudereien nutzen) den deutschen Gartenzaun. Ein informelles „Barbie“ (Barbecue, Grillfest) am Wochenende ist die häufigste Einladung überhaupt und erwartet wenig mehr als eine Flasche Wein oder ein paar Getränke im Gepäck. Für Erwachsene ohne Kinder oder festen Sportverein bieten TAFE-Kurse (Technical and Further Education, die staatliche berufliche Weiterbildung, am ehesten mit der Volkshochschule vergleichbar) günstigen Zugang zu Gleichgesinnten, von Töpfern bis Spanisch. Wer allein und mit befristetem Visum unterwegs ist, findet auch über den Working-Holiday-Kreislauf aus Hostels, Farmarbeit und Backpacker-Touren schnell Bekanntschaften. Nur wechselt diese Gruppe selbst ständig weiter. Sodass feste Freundschaften hier besonders von eigener Beharrlichkeit abhängen.</w:t>
      </w:r>
    </w:p>
    <w:p w14:paraId="325DFEB2" w14:textId="77777777" w:rsidR="001F7233" w:rsidRDefault="00000000">
      <w:pPr>
        <w:spacing w:after="140"/>
      </w:pPr>
      <w:r>
        <w:t xml:space="preserve">Bei der ersten Einladung hilft ein Blick auf die Formel „Bring a plate“ (wörtlich „bring einen Teller mit“), die auf Schulfesten, Nachbarschaftsfeiern und informellen Grillabenden praktisch überall auftaucht: Erwartet wird kein leerer Teller, sondern ein mitgebrachtes Gericht zum Teilen, ähnlich dem deutschen Buffet-Prinzip, nur ohne Absprache, wer was mitbringt. Ein selbst </w:t>
      </w:r>
      <w:r>
        <w:lastRenderedPageBreak/>
        <w:t>gebackener Kuchen oder Salat ist immer richtig. Nachfragen bei der Gastgeberin oder dem Gastgeber räumt jeden Zweifel aus.</w:t>
      </w:r>
    </w:p>
    <w:p w14:paraId="5B00AE61" w14:textId="77777777" w:rsidR="001F7233" w:rsidRDefault="00000000">
      <w:r>
        <w:rPr>
          <w:b/>
        </w:rPr>
        <w:t>„Barbie“ am Nachbarhaus</w:t>
      </w:r>
    </w:p>
    <w:p w14:paraId="442EB686" w14:textId="77777777" w:rsidR="001F7233" w:rsidRDefault="00000000">
      <w:r>
        <w:rPr>
          <w:b/>
        </w:rPr>
        <w:t xml:space="preserve">Was erwartet wird: </w:t>
      </w:r>
      <w:r>
        <w:t>Getränke oder eine Kleinigkeit zum Grillen</w:t>
      </w:r>
    </w:p>
    <w:p w14:paraId="4F1D131D" w14:textId="77777777" w:rsidR="001F7233" w:rsidRDefault="00000000">
      <w:r>
        <w:rPr>
          <w:b/>
        </w:rPr>
        <w:t>„Bring a plate“ (Schulfest, Straßenfest)</w:t>
      </w:r>
    </w:p>
    <w:p w14:paraId="2973109C" w14:textId="77777777" w:rsidR="001F7233" w:rsidRDefault="00000000">
      <w:r>
        <w:rPr>
          <w:b/>
        </w:rPr>
        <w:t xml:space="preserve">Was erwartet wird: </w:t>
      </w:r>
      <w:r>
        <w:t>Ein mitgebrachtes Gericht zum Teilen</w:t>
      </w:r>
    </w:p>
    <w:p w14:paraId="3E50F8AE" w14:textId="77777777" w:rsidR="001F7233" w:rsidRDefault="00000000">
      <w:r>
        <w:rPr>
          <w:b/>
        </w:rPr>
        <w:t>Einladung zum Abendessen</w:t>
      </w:r>
    </w:p>
    <w:p w14:paraId="4360F40B" w14:textId="77777777" w:rsidR="001F7233" w:rsidRDefault="00000000">
      <w:r>
        <w:rPr>
          <w:b/>
        </w:rPr>
        <w:t xml:space="preserve">Was erwartet wird: </w:t>
      </w:r>
      <w:r>
        <w:t>Wein, Dessert oder Blumen für die Gastgeber</w:t>
      </w:r>
    </w:p>
    <w:p w14:paraId="797F12C0" w14:textId="77777777" w:rsidR="001F7233" w:rsidRDefault="001F7233">
      <w:pPr>
        <w:spacing w:line="180" w:lineRule="exact"/>
      </w:pPr>
    </w:p>
    <w:p w14:paraId="1AFF37E7" w14:textId="77777777" w:rsidR="001F7233" w:rsidRDefault="00000000">
      <w:pPr>
        <w:spacing w:after="140"/>
      </w:pPr>
      <w:r>
        <w:rPr>
          <w:i/>
          <w:iCs/>
        </w:rPr>
        <w:t>Selbst der Baumarkt wird in Australien zum sozialen Ort: Vor vielen Filialen der Kette Bunnings steht am Wochenende ein Grillstand, an dem Schulen, Sportvereine oder Feuerwehren Würstchen im Brot (Sausage Sizzle) für den guten Zweck verkaufen. Ein paar Dollar, ein Plausch in der Schlange und plötzlich kennst du den Namen des Vereins, der gerade sammelt. In Städten mit dünner deutscher Infrastruktur wie Perth oder Adelaide (siehe oben) lohnt sich außerdem ein zweiter Blick auf InterNations, ein Netzwerk für Zugewanderte aller Nationen mit lokalen Stammtischen, sowie auf die städtische Freizeitverwaltung (Council), die günstige Kurse und Ligen für Erwachsene anbietet.</w:t>
      </w:r>
    </w:p>
    <w:p w14:paraId="4C105EFA" w14:textId="77777777" w:rsidR="001F7233" w:rsidRDefault="001F7233">
      <w:pPr>
        <w:spacing w:line="220" w:lineRule="exact"/>
      </w:pPr>
    </w:p>
    <w:p w14:paraId="2B18704B" w14:textId="77777777" w:rsidR="001F7233" w:rsidRDefault="00000000">
      <w:pPr>
        <w:pStyle w:val="Heading4"/>
      </w:pPr>
      <w:r>
        <w:t>Malen und Vloggen: den australischen Alltag festhalten</w:t>
      </w:r>
    </w:p>
    <w:p w14:paraId="6398AE0F" w14:textId="77777777" w:rsidR="001F7233" w:rsidRDefault="00000000">
      <w:r>
        <w:t>Ein Skizzenbuch mit Küsten, Eukalyptus, Vorstadthäusern und Menschen im Alltag hilft, den Blick für Unterschiede zu schärfen. Frag bei erkennbaren Porträts um Erlaubnis; behandle Aboriginal- und Torres-Strait-Islander-Geschichten, Orte und kulturelles Wissen nach den Wünschen der jeweiligen Traditional Owners und Gemeinschaften. Ein Vlog muss keine große Produktion sein: ein kurzer Rundgang, ein Einkauf mit datierten Preisen oder eine Erklärung eines Ausdrucks wie „no worries“ reicht. Dreh nicht so, dass Nachbarn, Kinder, Kennzeichen oder dein Zuhause ohne Zustimmung erkennbar werden.</w:t>
      </w:r>
    </w:p>
    <w:p w14:paraId="735A53DB" w14:textId="77777777" w:rsidR="001F7233" w:rsidRDefault="00000000">
      <w:r>
        <w:lastRenderedPageBreak/>
        <w:t xml:space="preserve">Die Regeln für kommerzielle oder gesponserte Aufnahmen hängen vom Bundesstaat und Park ab. In New South Wales brauchen auch monetisierte oder gesponserte Inhalte von Vloggern vor dem Dreh eine Genehmigung; prüfe in anderen Staaten die zuständige Parkverwaltung. Sobald Anzeigen, Affiliate-Links, Sponsoring oder erhaltene Produkte dazukommen, notiere Einnahmen und Sachleistungen und kläre Steuer- sowie Visumfolgen. Quellen: </w:t>
      </w:r>
      <w:hyperlink r:id="rId706">
        <w:r w:rsidR="001F7233">
          <w:rPr>
            <w:color w:val="0563C1"/>
            <w:u w:val="single"/>
          </w:rPr>
          <w:t>NSW: Film- und Fotogenehmigungen</w:t>
        </w:r>
      </w:hyperlink>
      <w:r>
        <w:t xml:space="preserve"> · </w:t>
      </w:r>
      <w:hyperlink r:id="rId707">
        <w:r w:rsidR="001F7233">
          <w:rPr>
            <w:color w:val="0563C1"/>
            <w:u w:val="single"/>
          </w:rPr>
          <w:t>AIATSIS: First Peoples of Australia</w:t>
        </w:r>
      </w:hyperlink>
      <w:r>
        <w:t xml:space="preserve"> · </w:t>
      </w:r>
      <w:hyperlink r:id="rId708">
        <w:r w:rsidR="001F7233">
          <w:rPr>
            <w:color w:val="0563C1"/>
            <w:u w:val="single"/>
          </w:rPr>
          <w:t>ATO: Content-Creator-Steuern</w:t>
        </w:r>
      </w:hyperlink>
    </w:p>
    <w:p w14:paraId="6B4FF3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Konsulate, Goethe-Institut, Landsleute</w:t>
      </w:r>
    </w:p>
    <w:p w14:paraId="7543AB61" w14:textId="77777777" w:rsidR="001F7233" w:rsidRDefault="00000000">
      <w:pPr>
        <w:spacing w:after="140"/>
      </w:pPr>
      <w:r>
        <w:t xml:space="preserve">Wer den direkten Draht zur alten Heimat sucht, findet ihn vor allem in Sydney und Melbourne – anderswo ist er dünn gesät. Das Generalkonsulat Sydney ist konsularisch für New South Wales, Queensland und praktisch ganz Australien außer dem Australian Capital Territory zuständig, dazu für mehrere Pazifikstaaten; die Botschaft in Canberra selbst übernimmt für Privatpersonen keine laufenden Konsulargeschäfte. Das Goethe-Institut Sydney (seit 1974, zuständig für New South Wales, das Australian Capital Territory, Queensland und das Northern Territory) und das Goethe-Institut Melbourne (seit 1972, zuständig für Victoria, Tasmanien, South Australia und Western Australia) bieten Sprachkurse, Filmabende und ein erstes Netzwerk. Wer mit Kindern zieht, findet in Sydney die German International School Sydney (gegründet 1989) und in Melbourne die Deutsche Schule Melbourne – beide zugleich Elternnetzwerk und Schule (mehr im </w:t>
      </w:r>
      <w:hyperlink w:anchor="tau13">
        <w:r w:rsidR="001F7233">
          <w:rPr>
            <w:color w:val="0563C1"/>
            <w:u w:val="single"/>
          </w:rPr>
          <w:t>Kapitel zu Kindern, Schule und Sprache in diesem Teil</w:t>
        </w:r>
      </w:hyperlink>
      <w:r>
        <w:t>). In Perth, Adelaide, Brisbane und Canberra bleiben vor allem ehrenamtliche Konsularvertretungen und lose Stammtische, meist über Facebook- oder Meetup-Gruppen organisiert.</w:t>
      </w:r>
    </w:p>
    <w:p w14:paraId="4012945C" w14:textId="77777777" w:rsidR="001F7233" w:rsidRDefault="00000000">
      <w:r>
        <w:rPr>
          <w:b/>
        </w:rPr>
        <w:t>Sydney</w:t>
      </w:r>
    </w:p>
    <w:p w14:paraId="23D26B75" w14:textId="77777777" w:rsidR="001F7233" w:rsidRDefault="00000000">
      <w:r>
        <w:rPr>
          <w:b/>
        </w:rPr>
        <w:lastRenderedPageBreak/>
        <w:t xml:space="preserve">Konsularische Vertretung: </w:t>
      </w:r>
      <w:r>
        <w:t>Generalkonsulat</w:t>
      </w:r>
    </w:p>
    <w:p w14:paraId="5A713FC5" w14:textId="77777777" w:rsidR="001F7233" w:rsidRDefault="00000000">
      <w:r>
        <w:rPr>
          <w:b/>
        </w:rPr>
        <w:t xml:space="preserve">Goethe-Institut: </w:t>
      </w:r>
      <w:r>
        <w:t>ja, seit 1974</w:t>
      </w:r>
    </w:p>
    <w:p w14:paraId="45A8415B" w14:textId="77777777" w:rsidR="001F7233" w:rsidRDefault="00000000">
      <w:r>
        <w:rPr>
          <w:b/>
        </w:rPr>
        <w:t xml:space="preserve">Deutsche Schule: </w:t>
      </w:r>
      <w:r>
        <w:t>German International School Sydney</w:t>
      </w:r>
    </w:p>
    <w:p w14:paraId="62E02343" w14:textId="77777777" w:rsidR="001F7233" w:rsidRDefault="00000000">
      <w:r>
        <w:rPr>
          <w:b/>
        </w:rPr>
        <w:t>Melbourne</w:t>
      </w:r>
    </w:p>
    <w:p w14:paraId="4BB5AE0F" w14:textId="77777777" w:rsidR="001F7233" w:rsidRDefault="00000000">
      <w:r>
        <w:rPr>
          <w:b/>
        </w:rPr>
        <w:t xml:space="preserve">Konsularische Vertretung: </w:t>
      </w:r>
      <w:r>
        <w:t>über Sydney/Honorarkonsuln</w:t>
      </w:r>
    </w:p>
    <w:p w14:paraId="13E364CC" w14:textId="77777777" w:rsidR="001F7233" w:rsidRDefault="00000000">
      <w:r>
        <w:rPr>
          <w:b/>
        </w:rPr>
        <w:t xml:space="preserve">Goethe-Institut: </w:t>
      </w:r>
      <w:r>
        <w:t>ja, seit 1972</w:t>
      </w:r>
    </w:p>
    <w:p w14:paraId="159E9671" w14:textId="77777777" w:rsidR="001F7233" w:rsidRDefault="00000000">
      <w:r>
        <w:rPr>
          <w:b/>
        </w:rPr>
        <w:t xml:space="preserve">Deutsche Schule: </w:t>
      </w:r>
      <w:r>
        <w:t>Deutsche Schule Melbourne</w:t>
      </w:r>
    </w:p>
    <w:p w14:paraId="7FFE2698" w14:textId="77777777" w:rsidR="001F7233" w:rsidRDefault="00000000">
      <w:r>
        <w:rPr>
          <w:b/>
        </w:rPr>
        <w:t>Canberra</w:t>
      </w:r>
    </w:p>
    <w:p w14:paraId="541B823D" w14:textId="77777777" w:rsidR="001F7233" w:rsidRDefault="00000000">
      <w:r>
        <w:rPr>
          <w:b/>
        </w:rPr>
        <w:t xml:space="preserve">Konsularische Vertretung: </w:t>
      </w:r>
      <w:r>
        <w:t>Botschaft (kein Privatkonsulat)</w:t>
      </w:r>
    </w:p>
    <w:p w14:paraId="3E604317" w14:textId="77777777" w:rsidR="001F7233" w:rsidRDefault="00000000">
      <w:r>
        <w:rPr>
          <w:b/>
        </w:rPr>
        <w:t xml:space="preserve">Goethe-Institut: </w:t>
      </w:r>
      <w:r>
        <w:t>nein</w:t>
      </w:r>
    </w:p>
    <w:p w14:paraId="0DFA9689" w14:textId="77777777" w:rsidR="001F7233" w:rsidRDefault="00000000">
      <w:r>
        <w:rPr>
          <w:b/>
        </w:rPr>
        <w:t>Brisbane, Perth, Adelaide</w:t>
      </w:r>
    </w:p>
    <w:p w14:paraId="616DBCB1" w14:textId="77777777" w:rsidR="001F7233" w:rsidRDefault="00000000">
      <w:r>
        <w:rPr>
          <w:b/>
        </w:rPr>
        <w:t xml:space="preserve">Konsularische Vertretung: </w:t>
      </w:r>
      <w:r>
        <w:t>Honorarkonsuln</w:t>
      </w:r>
    </w:p>
    <w:p w14:paraId="49ECB19C" w14:textId="77777777" w:rsidR="001F7233" w:rsidRDefault="00000000">
      <w:r>
        <w:rPr>
          <w:b/>
        </w:rPr>
        <w:t xml:space="preserve">Goethe-Institut: </w:t>
      </w:r>
      <w:r>
        <w:t>nein (Zuständigkeit Sydney/Melbourne)</w:t>
      </w:r>
    </w:p>
    <w:p w14:paraId="18668950" w14:textId="77777777" w:rsidR="001F7233" w:rsidRDefault="00000000">
      <w:r>
        <w:rPr>
          <w:b/>
        </w:rPr>
        <w:t xml:space="preserve">Deutsche Schule: </w:t>
      </w:r>
      <w:r>
        <w:t>nein</w:t>
      </w:r>
    </w:p>
    <w:p w14:paraId="30AE7B29" w14:textId="77777777" w:rsidR="001F7233" w:rsidRDefault="001F7233">
      <w:pPr>
        <w:spacing w:line="180" w:lineRule="exact"/>
      </w:pPr>
    </w:p>
    <w:p w14:paraId="30B7971B" w14:textId="77777777" w:rsidR="001F7233" w:rsidRDefault="00000000">
      <w:r>
        <w:rPr>
          <w:b/>
        </w:rPr>
        <w:t xml:space="preserve">SPARTIPP: </w:t>
      </w:r>
    </w:p>
    <w:p w14:paraId="0E2CBE07" w14:textId="77777777" w:rsidR="001F7233" w:rsidRDefault="00000000">
      <w:r>
        <w:t>• Suche schon vor dem Umzug nach „Germans in“ plus Zielstadt bei Meetup und Facebook. Landsleute kennen Ärzte, Schulen und Behördenwege aus erster Hand und ersparen dir Monate an Ausprobieren.</w:t>
      </w:r>
    </w:p>
    <w:p w14:paraId="6582D680" w14:textId="77777777" w:rsidR="001F7233" w:rsidRDefault="001F7233">
      <w:pPr>
        <w:spacing w:line="220" w:lineRule="exact"/>
      </w:pPr>
    </w:p>
    <w:p w14:paraId="676BE309" w14:textId="77777777" w:rsidR="001F7233" w:rsidRDefault="00000000">
      <w:pPr>
        <w:spacing w:after="140"/>
      </w:pPr>
      <w:r>
        <w:t>Die Kehrseite ist die deutsche Blase: gemütlich, aber wer nur unter Landsleuten bleibt, übt kein Alltagsenglisch und lernt vom eigentlichen Australien wenig kennen. Plane bewusst, dass mindestens die Hälfte deiner festen Termine unter Englischsprachigen stattfindet.</w:t>
      </w:r>
    </w:p>
    <w:p w14:paraId="30F1B7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4422EE4E" w14:textId="77777777" w:rsidR="001F7233" w:rsidRDefault="00000000">
      <w:pPr>
        <w:spacing w:after="140"/>
      </w:pPr>
      <w:r>
        <w:rPr>
          <w:i/>
          <w:iCs/>
        </w:rPr>
        <w:t xml:space="preserve">Anders als bei manchen US-Visa dürfen Partnerinnen und Partner auf permanenten und den meisten befristeten australischen Visa in aller Regel von Anfang an arbeiten. Das nimmt zumindest den rechtlichen Druck aus der Situation. Trotzdem trifft der Neustart häufig eine Person stärker als die andere: Während der Hauptantragsteller über den neuen Arbeitgeber sofort Kollegen und Struktur hat, muss der </w:t>
      </w:r>
      <w:r>
        <w:rPr>
          <w:i/>
          <w:iCs/>
        </w:rPr>
        <w:lastRenderedPageBreak/>
        <w:t>mitreisende Partner eigene Kontakte, eine eigene Zulassung im Beruf und oft ein neues Netzwerk von null aufbauen. Bei reglementierten Berufen wie der Pflege kommt hinzu, dass die australische Berufszulassung (etwa bei der Australian Health Practitioner Regulation Agency, kurz AHPRA, der passenden Zulassungsstelle für Gesundheitsberufe) einige Monate dauern kann, bevor die eigentliche Stellensuche überhaupt beginnt. Wer diese Wartezeit mit einem Kurs, einem Ehrenamt oder festen Terminen außer der Wohnung überbrückt statt sie nur abzusitzen, baut nebenbei schon das Netzwerk auf, das die spätere Jobsuche erleichtert.</w:t>
      </w:r>
    </w:p>
    <w:p w14:paraId="0B1D10F6" w14:textId="77777777" w:rsidR="001F7233" w:rsidRDefault="00000000">
      <w:r>
        <w:rPr>
          <w:b/>
        </w:rPr>
        <w:t xml:space="preserve">ACHTUNG: </w:t>
      </w:r>
    </w:p>
    <w:p w14:paraId="7520730C" w14:textId="77777777" w:rsidR="001F7233" w:rsidRDefault="00000000">
      <w:r>
        <w:t>• Warte mit dem Netzwerkaufbau nicht, bis die Berufszulassung durch ist. Wer die Wartemonate isoliert zu Hause verbringt, verstärkt genau die Talsohle, die im nächsten Abschnitt beschrieben wird. Ein Kurs oder ein fester Wochentermin wirkt dagegen doppelt: gegen die Einsamkeit und für den späteren Berufseinstieg.</w:t>
      </w:r>
    </w:p>
    <w:p w14:paraId="78EA90B6" w14:textId="77777777" w:rsidR="001F7233" w:rsidRDefault="001F7233">
      <w:pPr>
        <w:spacing w:line="220" w:lineRule="exact"/>
      </w:pPr>
    </w:p>
    <w:p w14:paraId="59BE91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16.000 Kilometer ohne Abkürzung</w:t>
      </w:r>
    </w:p>
    <w:p w14:paraId="7EF2E109" w14:textId="77777777" w:rsidR="001F7233" w:rsidRDefault="00000000">
      <w:pPr>
        <w:spacing w:after="140"/>
      </w:pPr>
      <w:r>
        <w:t xml:space="preserve">Was Australien von den anderen Zielen dieses Buches unterscheidet, ist vor allem die schiere Entfernung. Frankfurt und Sydney trennen rund 16.479 Kilometer Luftlinie und einen Direktflug gibt es nicht: Über Singapur, Dubai oder Doha dauert die Reise inklusive Umstieg realistisch 21 bis 24 Stunden. Ein „kurzer Sprung übers Wochenende nach Hause“ ist damit, nüchtern betrachtet, keine Option, die man ernsthaft erwägt, sondern eher eine Schlafentzugsübung mit Gepäck. Dazu kommt eine Zeitverschiebung von 8 bis 10 Stunden gegen Deutschland, je nachdem, welches der beiden Länder gerade seine eigene Sommer- oder Winterzeit hat: Während in Köln das Frühstücksei noch dampft, geht in Sydney oder Melbourne bereits </w:t>
      </w:r>
      <w:r>
        <w:lastRenderedPageBreak/>
        <w:t>das Licht aus. Ein spontaner Anruf wird so zur logistischen Übung, kein Zufallsprodukt eines freien Abends.</w:t>
      </w:r>
    </w:p>
    <w:p w14:paraId="46AFFF78" w14:textId="77777777" w:rsidR="001F7233" w:rsidRDefault="00000000">
      <w:pPr>
        <w:spacing w:after="140"/>
      </w:pPr>
      <w:r>
        <w:t>Diese Distanz verändert den Charakter des Heimwehs. In näher gelegenen Zielländern bleibt ein Wochenendbesuch theoretisch möglich, selbst wenn ihn kaum jemand tatsächlich bucht. In Australien fällt diese gedankliche Rückfahrkarte ganz weg und ausgerechnet das macht für viele Neuankömmlinge den Unterschied. Wer in der Kulturschock-Talsohle – meist zwischen dem dritten und sechsten Monat. Spontan ein Last-Minute-Ticket kauft, zahlt oft ein Vielfaches des Normalpreises für einen Flug, der wegen Jetlag und Kürze kaum erholsam ist.</w:t>
      </w:r>
    </w:p>
    <w:p w14:paraId="68E87954" w14:textId="77777777" w:rsidR="001F7233" w:rsidRDefault="00000000">
      <w:r>
        <w:rPr>
          <w:b/>
        </w:rPr>
        <w:t xml:space="preserve">ACHTUNG: </w:t>
      </w:r>
    </w:p>
    <w:p w14:paraId="39838A72" w14:textId="77777777" w:rsidR="001F7233" w:rsidRDefault="001F7233">
      <w:pPr>
        <w:spacing w:line="220" w:lineRule="exact"/>
      </w:pPr>
    </w:p>
    <w:p w14:paraId="066305B8" w14:textId="77777777" w:rsidR="001F7233" w:rsidRDefault="00000000">
      <w:pPr>
        <w:spacing w:after="140"/>
      </w:pPr>
      <w:r>
        <w:t>Auch der umgekehrte Fall verdient Vorbereitung: Wird zu Hause jemand plötzlich pflegebedürftig oder passiert ein Notfall, bedeutet die Distanz meist mindestens einen vollen Reisetag, bevor du überhaupt ankommst. Eine Vorsorgevollmacht für eine Person vor Ort in Deutschland und ein grober Plan, wer im Ernstfall organisiert, gehören deshalb früh auf die Liste. Nicht erst, wenn nachts das Telefon klingelt.</w:t>
      </w:r>
    </w:p>
    <w:p w14:paraId="1FDF1034" w14:textId="77777777" w:rsidR="001F7233" w:rsidRDefault="00000000">
      <w:r>
        <w:rPr>
          <w:b/>
        </w:rPr>
        <w:t xml:space="preserve">MERKE: </w:t>
      </w:r>
    </w:p>
    <w:p w14:paraId="4B7D62BF" w14:textId="77777777" w:rsidR="001F7233" w:rsidRDefault="001F7233">
      <w:pPr>
        <w:spacing w:line="220" w:lineRule="exact"/>
      </w:pPr>
    </w:p>
    <w:p w14:paraId="24421AA5" w14: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Gruppen-Chat-App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dann zwei Monate ausfällt.</w:t>
      </w:r>
    </w:p>
    <w:p w14:paraId="1704FC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Heimweh bleibt: Phasen, verkehrte Jahreszeiten, Hilfe</w:t>
      </w:r>
    </w:p>
    <w:p w14:paraId="35686A97" w14:textId="77777777" w:rsidR="001F7233" w:rsidRDefault="00000000">
      <w:pPr>
        <w:spacing w:after="140"/>
      </w:pPr>
      <w:r>
        <w:t>Heimweh folgt auch in Australien einem einigermaßen vorhersehbaren Muster: Einer Anfangseuphorie folgt meist zwischen dem dritten und sechsten Monat eine Talsohle aus Erschöpfung und Zweifeln, bevor sich der Alltag ab etwa einem halben bis einem Jahr normalisiert. Was diese Talsohle in Australien auch würzt, ist die verkehrte Jahreszeit: Weihnachten fällt auf der Südhalbkugel mitten in den Hochsommer, mit Strand, Grillfleisch und Klimaanlage statt Schnee und Glühwein. Für die einen ist das ein hübsches Kuriosum, für andere – gerade im ersten Jahr. Ein weiterer Stich, wenn Fotos vom verschneiten Weihnachtsmarkt zu Hause auf dem Handy aufploppen, während man selbst in Badeshorts am Grill steht.</w:t>
      </w:r>
    </w:p>
    <w:p w14:paraId="01CDEFD0" w14:textId="77777777" w:rsidR="001F7233" w:rsidRDefault="00000000">
      <w:pPr>
        <w:spacing w:after="140"/>
      </w:pPr>
      <w:r>
        <w:t>Wer allein und mit befristetem Visum kommt, erlebt eine andere Form der Isolation als Familien: kein Kollegium, kein Schulnetzwerk, oft ein wechselnder Kreis aus anderen Backpackern, der sich alle paar Wochen neu zusammensetzt. Wer dagegen mit Familie und unbefristetem Visum kommt, findet über Kinder und Arbeitgeber schneller Struktur, trägt aber die Verantwortung für den emotionalen Zustand aller Mitreisenden mit.</w:t>
      </w:r>
    </w:p>
    <w:p w14:paraId="5475A094" w14:textId="77777777" w:rsidR="001F7233" w:rsidRDefault="001F7233">
      <w:pPr>
        <w:spacing w:line="220" w:lineRule="exact"/>
      </w:pPr>
    </w:p>
    <w:p w14:paraId="3F9E3971" w14:textId="77777777" w:rsidR="001F7233" w:rsidRDefault="00000000">
      <w:r>
        <w:rPr>
          <w:b/>
        </w:rPr>
        <w:t xml:space="preserve">ACHTUNG: </w:t>
      </w:r>
    </w:p>
    <w:p w14:paraId="340E6F34" w14:textId="77777777" w:rsidR="001F7233" w:rsidRDefault="00000000">
      <w:r>
        <w:t>• Bei anhaltender Erschöpfung, Schlafproblemen oder dem Gefühl, nicht mehr allein zurechtzukommen, ist professionelle Hilfe kein Zeichen des Scheiterns. Lifeline Australia ist rund um die Uhr unter 13 11 14 erreichbar, kostenlos und auf Englisch. Für ein Gespräch auf Deutsch helfen Online-Verzeichnisse deutschsprachiger Therapeutinnen und Therapeuten oder eine Nachfrage in der deutschen Community vor Ort (siehe oben). Bei akuter Gefahr wählst du 000, den australischen Notruf.</w:t>
      </w:r>
    </w:p>
    <w:p w14:paraId="28CCFED9" w14:textId="77777777" w:rsidR="001F7233" w:rsidRDefault="001F7233">
      <w:pPr>
        <w:spacing w:line="220" w:lineRule="exact"/>
      </w:pPr>
    </w:p>
    <w:p w14:paraId="5B59A6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Freunde finden und der Kulturschock der großen Distanz</w:t>
      </w:r>
    </w:p>
    <w:p w14:paraId="194E6950" w14:textId="77777777" w:rsidR="001F7233" w:rsidRDefault="00000000">
      <w:r>
        <w:rPr>
          <w:b/>
        </w:rPr>
        <w:t>Plus: Kontakt zu Fremden gelingt schnell, Sportvereine und Nachbarschaft sind offene Türen</w:t>
      </w:r>
    </w:p>
    <w:p w14:paraId="702AED83" w14:textId="77777777" w:rsidR="001F7233" w:rsidRDefault="00000000">
      <w:r>
        <w:rPr>
          <w:b/>
        </w:rPr>
        <w:t xml:space="preserve">Minus: </w:t>
      </w:r>
      <w:r>
        <w:t>Schneller Kontakt heißt nicht automatisch tiefe Freundschaft</w:t>
      </w:r>
    </w:p>
    <w:p w14:paraId="39E6B76C" w14:textId="77777777" w:rsidR="001F7233" w:rsidRDefault="00000000">
      <w:r>
        <w:rPr>
          <w:b/>
        </w:rPr>
        <w:t>Plus: Freiwilligenarbeit bei RFS oder SES öffnet ungewöhnlich schnell feste Bindungen</w:t>
      </w:r>
    </w:p>
    <w:p w14:paraId="63177563" w14:textId="77777777" w:rsidR="001F7233" w:rsidRDefault="00000000">
      <w:r>
        <w:rPr>
          <w:b/>
        </w:rPr>
        <w:t xml:space="preserve">Minus: </w:t>
      </w:r>
      <w:r>
        <w:t>Solche Ehrenämter setzen oft Wohnorte mit Buschfeuer- oder Flutrisiko voraus</w:t>
      </w:r>
    </w:p>
    <w:p w14:paraId="15FF37ED" w14:textId="77777777" w:rsidR="001F7233" w:rsidRDefault="00000000">
      <w:r>
        <w:rPr>
          <w:b/>
        </w:rPr>
        <w:t>Plus: Deutsche Community in Sydney und Melbourne gut organisiert</w:t>
      </w:r>
    </w:p>
    <w:p w14:paraId="7B113438" w14:textId="77777777" w:rsidR="001F7233" w:rsidRDefault="00000000">
      <w:r>
        <w:rPr>
          <w:b/>
        </w:rPr>
        <w:t xml:space="preserve">Minus: </w:t>
      </w:r>
      <w:r>
        <w:t>In anderen Großstädten kaum deutsche Infrastruktur</w:t>
      </w:r>
    </w:p>
    <w:p w14:paraId="5E0D403A" w14:textId="77777777" w:rsidR="001F7233" w:rsidRDefault="00000000">
      <w:r>
        <w:rPr>
          <w:b/>
        </w:rPr>
        <w:t>Plus: Videotelefonie hält Kontakt trotz der Distanz aufrecht</w:t>
      </w:r>
    </w:p>
    <w:p w14:paraId="3D65E2E3" w14:textId="77777777" w:rsidR="001F7233" w:rsidRDefault="00000000">
      <w:r>
        <w:rPr>
          <w:b/>
        </w:rPr>
        <w:t xml:space="preserve">Minus: </w:t>
      </w:r>
      <w:r>
        <w:t>Keine Direktflüge, 21 bis 24 Stunden Reisezeit, hohe Preise bei Last-Minute-Buchungen</w:t>
      </w:r>
    </w:p>
    <w:p w14:paraId="08BDF4F0" w14:textId="77777777" w:rsidR="001F7233" w:rsidRDefault="00000000">
      <w:r>
        <w:rPr>
          <w:b/>
        </w:rPr>
        <w:t>Plus: Entspannte, offene Umgangsformen erleichtern erste Kontakte</w:t>
      </w:r>
    </w:p>
    <w:p w14:paraId="7A6A3FD3" w14:textId="77777777" w:rsidR="001F7233" w:rsidRDefault="00000000">
      <w:r>
        <w:rPr>
          <w:b/>
        </w:rPr>
        <w:t xml:space="preserve">Minus: </w:t>
      </w:r>
      <w:r>
        <w:t>Indirekte Kommunikation macht Ablehnung oder echte Not schwer erkennbar</w:t>
      </w:r>
    </w:p>
    <w:p w14:paraId="591F7B09" w14:textId="77777777" w:rsidR="001F7233" w:rsidRDefault="00000000">
      <w:r>
        <w:rPr>
          <w:b/>
        </w:rPr>
        <w:t>Plus: Professionelle Hilfe ist rund um die Uhr erreichbar</w:t>
      </w:r>
    </w:p>
    <w:p w14:paraId="27BFEC00" w14:textId="77777777" w:rsidR="001F7233" w:rsidRDefault="00000000">
      <w:r>
        <w:rPr>
          <w:b/>
        </w:rPr>
        <w:t xml:space="preserve">Minus: </w:t>
      </w:r>
      <w:r>
        <w:t>Große Zeitverschiebung erschwert spontane Nähe im Ernstfall</w:t>
      </w:r>
    </w:p>
    <w:p w14:paraId="08CD8CC7" w14:textId="77777777" w:rsidR="001F7233" w:rsidRDefault="001F7233">
      <w:pPr>
        <w:spacing w:line="180" w:lineRule="exact"/>
      </w:pPr>
    </w:p>
    <w:p w14:paraId="509E5A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5FFE0E9" w14:textId="77777777" w:rsidR="001F7233" w:rsidRDefault="00000000">
      <w:pPr>
        <w:spacing w:after="140"/>
      </w:pPr>
      <w:r>
        <w:t xml:space="preserve">Wähle vor dem Umzug einen Sportverein oder ein Ehrenamt in deiner Zielstadt aus, tritt den passenden Online-Gruppen bei und plane feste Rituale mit der Familie zu Hause trotz Zeitverschiebung ein. Bereite dich außerdem darauf vor, dass Heimatbesuche in </w:t>
      </w:r>
      <w:r>
        <w:lastRenderedPageBreak/>
        <w:t>Australien geplant statt spontan sind und kläre die wichtigsten Notfallfragen, bevor du sie brauchst.</w:t>
      </w:r>
    </w:p>
    <w:p w14:paraId="24643844" w14:textId="77777777" w:rsidR="001F7233" w:rsidRDefault="00000000">
      <w:r>
        <w:t>• Vor dem Umzug einen Sportclub, ein Ehrenamt (RFS, SES, Surf Life Saving) oder eine TAFE-Kursliste der Zielstadt recherchiert.</w:t>
      </w:r>
    </w:p>
    <w:p w14:paraId="33CF5894" w14:textId="77777777" w:rsidR="001F7233" w:rsidRDefault="00000000">
      <w:r>
        <w:t>• Facebook- und Meetup-Gruppen „Germans in [Stadt]“ gesucht und beigetreten</w:t>
      </w:r>
    </w:p>
    <w:p w14:paraId="3485F15F" w14:textId="77777777" w:rsidR="001F7233" w:rsidRDefault="00000000">
      <w:r>
        <w:t>• Zuständiges Generalkonsulat und nächstes Goethe-Institut notiert</w:t>
      </w:r>
    </w:p>
    <w:p w14:paraId="1189878E" w14:textId="77777777" w:rsidR="001F7233" w:rsidRDefault="00000000">
      <w:r>
        <w:t>• Festen Wochentermin für Kontakt nach Deutschland trotz Zeitverschiebung vereinbart</w:t>
      </w:r>
    </w:p>
    <w:p w14:paraId="64221558" w14:textId="77777777" w:rsidR="001F7233" w:rsidRDefault="00000000">
      <w:r>
        <w:t>• Heimatbesuch zu Weihnachten oder größeren Feiertagen früh gebucht, nicht im akuten Tief</w:t>
      </w:r>
    </w:p>
    <w:p w14:paraId="0A99CB1B" w14:textId="77777777" w:rsidR="001F7233" w:rsidRDefault="00000000">
      <w:r>
        <w:t>• Vorsorgevollmacht für eine Person in Deutschland geklärt, bevor ein Notfall eintritt</w:t>
      </w:r>
    </w:p>
    <w:p w14:paraId="49118122" w14:textId="77777777" w:rsidR="001F7233" w:rsidRDefault="00000000">
      <w:r>
        <w:t>• Lifeline (13 11 14) und den Notruf 000 gespeichert</w:t>
      </w:r>
    </w:p>
    <w:p w14:paraId="3F93C347" w14:textId="77777777" w:rsidR="001F7233" w:rsidRDefault="00000000">
      <w:r>
        <w:t>• Vorgenommen, mindestens die Hälfte der festen Termine unter Englischsprachigen zu verbringen</w:t>
      </w:r>
    </w:p>
    <w:p w14:paraId="22B7510A" w14:textId="77777777" w:rsidR="001F7233" w:rsidRDefault="001F7233">
      <w:pPr>
        <w:spacing w:line="220" w:lineRule="exact"/>
      </w:pPr>
    </w:p>
    <w:p w14:paraId="6DACA2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2EBBF52" w14:textId="77777777" w:rsidR="001F7233" w:rsidRDefault="00000000">
      <w:pPr>
        <w:pStyle w:val="ListParagraph"/>
        <w:numPr>
          <w:ilvl w:val="0"/>
          <w:numId w:val="1"/>
        </w:numPr>
        <w:spacing w:after="60"/>
      </w:pPr>
      <w:r>
        <w:t>Deutsche Botschaft Canberra und Generalkonsulat Sydney — Zuständigkeiten, Kontakt (</w:t>
      </w:r>
      <w:hyperlink r:id="rId709">
        <w:r w:rsidR="001F7233">
          <w:rPr>
            <w:color w:val="0563C1"/>
            <w:u w:val="single"/>
          </w:rPr>
          <w:t>australien.diplo.de</w:t>
        </w:r>
      </w:hyperlink>
      <w:r>
        <w:t>)</w:t>
      </w:r>
    </w:p>
    <w:p w14:paraId="7917691A" w14:textId="77777777" w:rsidR="001F7233" w:rsidRDefault="00000000">
      <w:pPr>
        <w:pStyle w:val="ListParagraph"/>
        <w:numPr>
          <w:ilvl w:val="0"/>
          <w:numId w:val="1"/>
        </w:numPr>
        <w:spacing w:after="60"/>
      </w:pPr>
      <w:r>
        <w:t>Goethe-Institut Australien — Standorte Sydney und Melbourne (</w:t>
      </w:r>
      <w:hyperlink r:id="rId710">
        <w:r w:rsidR="001F7233">
          <w:rPr>
            <w:color w:val="0563C1"/>
            <w:u w:val="single"/>
          </w:rPr>
          <w:t>goethe.de/ins/au</w:t>
        </w:r>
      </w:hyperlink>
      <w:r>
        <w:t>)</w:t>
      </w:r>
    </w:p>
    <w:p w14:paraId="1228131E" w14:textId="77777777" w:rsidR="001F7233" w:rsidRDefault="00000000">
      <w:pPr>
        <w:pStyle w:val="ListParagraph"/>
        <w:numPr>
          <w:ilvl w:val="0"/>
          <w:numId w:val="1"/>
        </w:numPr>
        <w:spacing w:after="60"/>
      </w:pPr>
      <w:r>
        <w:t>Lifeline Australia — Krisenhilfe rund um die Uhr (</w:t>
      </w:r>
      <w:hyperlink r:id="rId711">
        <w:r w:rsidR="001F7233">
          <w:rPr>
            <w:color w:val="0563C1"/>
            <w:u w:val="single"/>
          </w:rPr>
          <w:t>lifeline.org.au</w:t>
        </w:r>
      </w:hyperlink>
      <w:r>
        <w:t>)</w:t>
      </w:r>
    </w:p>
    <w:p w14:paraId="2672255D" w14:textId="77777777" w:rsidR="001F7233" w:rsidRDefault="00000000">
      <w:pPr>
        <w:pStyle w:val="ListParagraph"/>
        <w:numPr>
          <w:ilvl w:val="0"/>
          <w:numId w:val="1"/>
        </w:numPr>
        <w:spacing w:after="60"/>
      </w:pPr>
      <w:r>
        <w:t>Surf Life Saving Australia — Clubs und Mitgliedschaft (</w:t>
      </w:r>
      <w:hyperlink r:id="rId712">
        <w:r w:rsidR="001F7233">
          <w:rPr>
            <w:color w:val="0563C1"/>
            <w:u w:val="single"/>
          </w:rPr>
          <w:t>sls.com.au</w:t>
        </w:r>
      </w:hyperlink>
      <w:r>
        <w:t>)</w:t>
      </w:r>
    </w:p>
    <w:p w14:paraId="041034DC" w14:textId="77777777" w:rsidR="001F7233" w:rsidRDefault="00000000">
      <w:pPr>
        <w:pStyle w:val="ListParagraph"/>
        <w:numPr>
          <w:ilvl w:val="0"/>
          <w:numId w:val="1"/>
        </w:numPr>
        <w:spacing w:after="60"/>
      </w:pPr>
      <w:r>
        <w:t>NSW Rural Fire Service und State Emergency Service — freiwillige Mitarbeit (</w:t>
      </w:r>
      <w:hyperlink r:id="rId713">
        <w:r w:rsidR="001F7233">
          <w:rPr>
            <w:color w:val="0563C1"/>
            <w:u w:val="single"/>
          </w:rPr>
          <w:t>rfs.nsw.gov.au</w:t>
        </w:r>
      </w:hyperlink>
      <w:r>
        <w:t xml:space="preserve">, </w:t>
      </w:r>
      <w:hyperlink r:id="rId714">
        <w:r w:rsidR="001F7233">
          <w:rPr>
            <w:color w:val="0563C1"/>
            <w:u w:val="single"/>
          </w:rPr>
          <w:t>ses.nsw.gov.au</w:t>
        </w:r>
      </w:hyperlink>
      <w:r>
        <w:t>)</w:t>
      </w:r>
    </w:p>
    <w:p w14:paraId="7CC887C0" w14:textId="77777777" w:rsidR="001F7233" w:rsidRDefault="001F7233">
      <w:pPr>
        <w:spacing w:line="120" w:lineRule="exact"/>
      </w:pPr>
    </w:p>
    <w:p w14:paraId="340CDAEB" w14:textId="77777777" w:rsidR="001F7233" w:rsidRDefault="00000000">
      <w:r>
        <w:t xml:space="preserve">• Quellen- und Datenstand: September 2026; Redaktionsschluss: Oktober 2026. Diese Angaben ändern sich: Zuständigkeiten von Konsulaten und Goethe-Instituten, Flugverbindungen und -preise </w:t>
      </w:r>
      <w:r>
        <w:lastRenderedPageBreak/>
        <w:t>sowie Kontaktdaten von Hilfsangeboten. Prüfe vor jeder Entscheidung die aktuellen Angaben der genannten Stellen.</w:t>
      </w:r>
    </w:p>
    <w:p w14:paraId="6C37411C" w14:textId="77777777" w:rsidR="001F7233" w:rsidRDefault="001F7233">
      <w:pPr>
        <w:spacing w:line="220" w:lineRule="exact"/>
      </w:pPr>
    </w:p>
    <w:p w14:paraId="1EC9C3EA" w14:textId="77777777" w:rsidR="001F7233" w:rsidRDefault="00000000">
      <w:pPr>
        <w:pStyle w:val="Heading3"/>
      </w:pPr>
      <w:r>
        <w:t>Obdachlosigkeit, Ansprechen auf der Straße und Haustürbesuche</w:t>
      </w:r>
    </w:p>
    <w:p w14:paraId="3D6D9B7C" w14:textId="77777777" w:rsidR="001F7233" w:rsidRDefault="00000000">
      <w:r>
        <w:t xml:space="preserve">In australischen Stadtzentren siehst du vielleicht Menschen, die im Freien schlafen oder um Geld bitten. Wohnungslosigkeit kann durch hohe Wohnkosten, Jobverlust, Krankheit, häusliche Gewalt, Behinderung oder mehrere Belastungen entstehen; sie bedeutet nicht automatisch, dass jemand gefährlich ist. „Hobo“ ist eine veraltete Bezeichnung; respektvoller sind „wohnungslose Menschen“ oder „Menschen ohne sicheren Wohnraum“. Wenn du helfen möchtest, informiere dich beim örtlichen Council, bei der Wohnungslosenhilfe des Bundesstaats oder bei einer Fachstelle. Angebote und Anspruchsvoraussetzungen unterscheiden sich je nach Bundesstaat und Territorium. Achte auf deine Umgebung, gib Menschen Raum und rufe den Notruf bei unmittelbarer Gefahr oder einem medizinischen Notfall. An der Haustür können Religionsgemeinschaften, Wohltätigkeitsorganisationen, Vereine, Schulen mit Spendenaktionen oder Verkäufer werben. Du kannst ablehnen, eine Organisation selbst überprüfen und – sofern vor Ort üblich – ein Schild wie „No Junk Mail/No Canvassers“ nutzen; Regeln hängen von Ort und Art der Ansprache ab. Die Beteiligung an einer Eigentümergemeinschaft, Schule, Glaubensgemeinschaft oder öffentlichen Anhörung ist unabhängig vom Wahlrecht. </w:t>
      </w:r>
      <w:hyperlink r:id="rId715">
        <w:r w:rsidR="001F7233">
          <w:rPr>
            <w:color w:val="0563C1"/>
            <w:u w:val="single"/>
          </w:rPr>
          <w:t>Australian Institute of Health and Welfare: homelessness and services</w:t>
        </w:r>
      </w:hyperlink>
      <w:r>
        <w:br w:type="page"/>
      </w:r>
    </w:p>
    <w:p w14:paraId="30F2B5B8" w14:textId="77777777" w:rsidR="001F7233" w:rsidRDefault="00000000">
      <w:pPr>
        <w:pStyle w:val="Heading2"/>
        <w:keepNext/>
        <w:spacing w:line="341" w:lineRule="auto"/>
        <w:jc w:val="center"/>
      </w:pPr>
      <w:bookmarkStart w:id="101" w:name="tau13"/>
      <w:r>
        <w:rPr>
          <w:rFonts w:ascii="Amazon Ember" w:eastAsia="Amazon Ember" w:hAnsi="Amazon Ember" w:cs="Amazon Ember"/>
          <w:color w:val="0000FF"/>
          <w:sz w:val="36"/>
          <w:szCs w:val="36"/>
        </w:rPr>
        <w:lastRenderedPageBreak/>
        <w:t>Australien: Kinder, Schule und Spracheingewöhnung</w:t>
      </w:r>
      <w:bookmarkEnd w:id="101"/>
    </w:p>
    <w:p w14:paraId="6A322D3B" w14: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w14:paraId="21FE2506" w14:textId="77777777" w:rsidR="001F7233" w:rsidRDefault="00000000">
      <w:r>
        <w:rPr>
          <w:b/>
        </w:rPr>
        <w:t xml:space="preserve">KURZ GESAGT: </w:t>
      </w:r>
    </w:p>
    <w:p w14:paraId="2DDF22EF" w14:textId="77777777" w:rsidR="001F7233" w:rsidRDefault="00000000">
      <w:r>
        <w:t>• Australiens Schuljahr läuft von Ende Januar/Anfang Februar bis Mitte Dezember, in vier Terms mit kurzen Pausen dazwischen. Ein zentraler Unterschied zum deutschen Rhythmus, den du bei der Umzugsplanung nutzen solltest.</w:t>
      </w:r>
    </w:p>
    <w:p w14:paraId="644BF6CD" w14:textId="77777777" w:rsidR="001F7233" w:rsidRDefault="00000000">
      <w:r>
        <w:t>• Primary School dauert meist von Kindergarten/Prep bis Year 6, Secondary School von Year 7 bis Year 12. Jeder Bundesstaat zählt und benennt die Anfangsstufe leicht anders.</w:t>
      </w:r>
    </w:p>
    <w:p w14:paraId="5147F75B" w14:textId="77777777" w:rsidR="001F7233" w:rsidRDefault="00000000">
      <w:r>
        <w:t>• Staatliche Schulen sind für berechtigte Schülerinnen und Schüler gebührenfrei. Für Familien mit befristetem Visum hängen Einschulung und mögliche Gebühren vom Visum und Bundesstaat ab. Private Schulen kosten je nach Schule mehrere Tausend bis über 50.000 AUD im Jahr.</w:t>
      </w:r>
    </w:p>
    <w:p w14:paraId="50E93294" w14:textId="77777777" w:rsidR="001F7233" w:rsidRDefault="00000000">
      <w:r>
        <w:t>• Für die Anmeldung werden Wohnsitz, Alter, Visum-/Aufenthaltsberechtigung und Impfunterlagen geprüft; welche Nachweise und Gebühren gelten, bestimmt der Bundesstaat.</w:t>
      </w:r>
    </w:p>
    <w:p w14:paraId="1D462D69" w14:textId="77777777" w:rsidR="001F7233" w:rsidRDefault="00000000">
      <w:r>
        <w:t>• Sprachförderung (EAL/D) ist an australischen Schulen Standard, nicht die Ausnahme. Kinder lernen meist deutlich schneller Englisch als ihre Eltern.</w:t>
      </w:r>
    </w:p>
    <w:p w14:paraId="2848E039" w14:textId="77777777" w:rsidR="001F7233" w:rsidRDefault="00000000">
      <w:r>
        <w:t>• Deutsche Schulen, Kurse und Vereine gibt es in mehreren Städten. Angebot und Altersgruppen vor dem Umzug für den konkreten Ort aktuell prüfen.</w:t>
      </w:r>
    </w:p>
    <w:p w14:paraId="0ECEC4B3" w14:textId="77777777" w:rsidR="001F7233" w:rsidRDefault="001F7233">
      <w:pPr>
        <w:spacing w:line="220" w:lineRule="exact"/>
      </w:pPr>
    </w:p>
    <w:p w14:paraId="2D5CC0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Primary, Secondary und ein Flickenteppich der Bundesstaaten</w:t>
      </w:r>
    </w:p>
    <w:p w14:paraId="5A490E93" w14:textId="77777777" w:rsidR="001F7233" w:rsidRDefault="00000000">
      <w:pPr>
        <w:spacing w:after="140"/>
      </w:pPr>
      <w:r>
        <w:rPr>
          <w:i/>
          <w:iCs/>
        </w:rPr>
        <w:t>Bildung ist in Australien, ähnlich wie in Deutschland, Ländersache. Hier eben Sache der sechs Bundesstaaten und zwei Territorien, nicht eines Bundesministeriums. Ein nationaler Rahmenlehrplan (Australian Curriculum) sorgt für eine gewisse Einheitlichkeit. Die konkrete Umsetzung, Stufenzählung und Bezeichnung bleiben aber Ländersache. Ein Flickenteppich, an den sich deutsche Eltern erst gewöhnen müssen.</w:t>
      </w:r>
    </w:p>
    <w:p w14:paraId="3FC112BE" w14:textId="77777777" w:rsidR="001F7233" w:rsidRDefault="00000000">
      <w:pPr>
        <w:spacing w:after="140"/>
      </w:pPr>
      <w:r>
        <w:rPr>
          <w:i/>
          <w:iCs/>
        </w:rPr>
        <w:t>Der Aufbau folgt überall demselben Grundmuster: einem freiwilligen, aber weitverbreiteten Vorschuljahr (je nach Bundesstaat Kindergarten, Prep, Foundation oder Reception genannt) mit rund fünf Jahren, gefolgt von der Primary School (Grundschule) bis Year 6 und der Secondary School (weitere Schule) von Year 7 bis Year 12. New South Wales zählt dabei anders als die übrigen Staaten: Dort zählt das Vorschuljahr nicht als eigenes Year, weshalb ein Kind derselben Altersgruppe dort ein Jahr „niedriger“ nummeriert sein kann als etwa in Victoria oder Queensland. Für die Einstufung deines Kindes zählt am Ende ohnehin nicht die Zahl, sondern das Geburtsdatum im Vergleich zum landesweiten Stichtag, den jeder Bundesstaat selbst festlegt.</w:t>
      </w:r>
    </w:p>
    <w:p w14:paraId="6CF8C7BB" w14:textId="77777777" w:rsidR="001F7233" w:rsidRDefault="00000000">
      <w:pPr>
        <w:spacing w:after="140"/>
      </w:pPr>
      <w:r>
        <w:rPr>
          <w:i/>
          <w:iCs/>
        </w:rPr>
        <w:t xml:space="preserve">Den Abschluss der Schulzeit markiert kein bundesweit einheitliches Zeugnis, sondern ein Zertifikat je Bundesstaat: das Higher School Certificate (HSC) in New South Wales, das Victorian Certificate of Education (VCE) in Victoria, das Queensland Certificate of Education (QCE) in Queensland und ähnliche Zertifikate in den übrigen Staaten. Inhaltlich vergleichbar mit dem Abitur, aber ohne dessen bundesweite Einheitlichkeit. Für die Universitätszulassung zählt auch der ATAR (Australian Tertiary Admission Rank), eine Rangzahl zwischen 0 und 99,95, die die Leistung eines Schülers relativ zum gesamten Jahrgang </w:t>
      </w:r>
      <w:r>
        <w:rPr>
          <w:i/>
          <w:iCs/>
        </w:rPr>
        <w:lastRenderedPageBreak/>
        <w:t>ausdrückt. Ein Prinzip, das es in dieser Form in Deutschland nicht gibt und das sich beim ersten Elternabend gern zweimal erklären lässt.</w:t>
      </w:r>
    </w:p>
    <w:p w14:paraId="1F13406E" w14:textId="77777777" w:rsidR="001F7233" w:rsidRDefault="00000000">
      <w:r>
        <w:rPr>
          <w:b/>
        </w:rPr>
        <w:t xml:space="preserve">MERKE: </w:t>
      </w:r>
    </w:p>
    <w:p w14:paraId="409B7A3A" w14:textId="77777777" w:rsidR="001F7233" w:rsidRDefault="00000000">
      <w:r>
        <w:t>• Vergiss die Suche nach „der deutschen Klasse“ als Vergleichsgröße. Wichtiger als die Year-Zahl sind der Stichtag des jeweiligen Bundesstaats und das, was die Schule vor Ort über den Wissensstand deines Kindes sagt.</w:t>
      </w:r>
    </w:p>
    <w:p w14:paraId="27ACDABD" w14:textId="77777777" w:rsidR="001F7233" w:rsidRDefault="001F7233">
      <w:pPr>
        <w:spacing w:line="220" w:lineRule="exact"/>
      </w:pPr>
    </w:p>
    <w:p w14:paraId="2D504C11" w14:textId="77777777" w:rsidR="001F7233" w:rsidRDefault="00000000">
      <w:pPr>
        <w:spacing w:after="140"/>
      </w:pPr>
      <w:r>
        <w:rPr>
          <w:i/>
          <w:iCs/>
        </w:rPr>
        <w:t>Zwei Alltagsdetails überraschen deutsche Familien fast immer: Erstens tragen australische Schulkinder, staatlich wie privat, fast überall eine Schuluniform. Für Grundschulkinder meist ein einfaches Polohemd mit Schullogo und ein Sonnenhut (in vielen Bundesstaaten gilt an heißen Tagen eine strikte „No Hat, No Play“-Regel für die Pausen im Freien), für ältere Jahrgänge oft ein vollständigeres Set inklusive Sportuniform. Die Erstausstattung kostet, je nach Schule, gut und gern ein paar Hundert AUD, ist gebraucht über Second-Hand-Börsen der Schule aber deutlich günstiger zu bekommen. Zweitens ist „kostenlos“ bei staatlichen Schulen mit Einschränkung zu lesen: Der Unterricht selbst ist gebührenfrei, doch die meisten Schulen bitten Eltern jährlich um einen freiwilligen Schulbeitrag (Voluntary Contribution, oft im niedrigen dreistelligen AUD-Bereich) für Materialien, Exkursionen und Ausstattung. Rechtlich freiwillig, sozial aber meist erwartet.</w:t>
      </w:r>
    </w:p>
    <w:p w14:paraId="7C8305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Staatlich, katholisch oder unabhängig: drei Schulwelten</w:t>
      </w:r>
    </w:p>
    <w:p w14:paraId="49897E45" w14:textId="77777777" w:rsidR="001F7233" w:rsidRDefault="00000000">
      <w:pPr>
        <w:spacing w:after="140"/>
      </w:pPr>
      <w:r>
        <w:rPr>
          <w:i/>
          <w:iCs/>
        </w:rPr>
        <w:t xml:space="preserve">Anders als in den USA gibt es in Australien traditionell drei große Schulsektoren nebeneinander und alle drei sind fest im Alltag verankert. Rund 63 % der Kinder besuchen staatliche Public Schools: für berechtigte Schülerinnen und Schüler gebührenfrei und überwiegend konfessionsfrei. Für manche befristete Visa fallen je nach Bundesstaat Gebühren an. Die Aufnahme richtet sich meist nach der Wohnadresse. Ganz ähnlich dem deutschen Prinzip „Schulbezirk </w:t>
      </w:r>
      <w:r>
        <w:rPr>
          <w:i/>
          <w:iCs/>
        </w:rPr>
        <w:lastRenderedPageBreak/>
        <w:t>bestimmt Schule“. Etwa 20 % gehen auf katholische Systemic Schools, die über das jeweilige Bistum organisiert sind und mit rund 4.000 bis 10.000 AUD Schulgeld pro Jahr merklich günstiger bleiben als unabhängige Privatschulen. Ab dem dritten angemeldeten Kind einer Familie entfällt das Schulgeld bei vielen Diözesen. Die restlichen rund 17 % besuchen unabhängige Independent Schools, deren Schulgeld von rund 25.000 AUD bis, an renommierten Schulen der großen Städte, über 50.000 AUD im letzten Schuljahr reicht. Ein Anteil, der in den letzten Jahren spürbar gewachsen ist, während der staatliche Sektor leicht schrumpft.</w:t>
      </w:r>
    </w:p>
    <w:p w14:paraId="3ABE024C" w14:textId="77777777" w:rsidR="001F7233" w:rsidRDefault="00000000">
      <w:r>
        <w:rPr>
          <w:b/>
        </w:rPr>
        <w:t>Public School (staatlich)</w:t>
      </w:r>
    </w:p>
    <w:p w14:paraId="266AE04C" w14:textId="77777777" w:rsidR="001F7233" w:rsidRDefault="00000000">
      <w:r>
        <w:rPr>
          <w:b/>
        </w:rPr>
        <w:t xml:space="preserve">Anteil Schüler: </w:t>
      </w:r>
      <w:r>
        <w:t>ca. 63 %</w:t>
      </w:r>
    </w:p>
    <w:p w14:paraId="6D2B9069" w14:textId="77777777" w:rsidR="001F7233" w:rsidRDefault="00000000">
      <w:r>
        <w:rPr>
          <w:b/>
        </w:rPr>
        <w:t>Kosten pro Jahr: für Berechtigte gebührenfrei; bei bestimmten befristeten Visa können Gebühren anfallen</w:t>
      </w:r>
    </w:p>
    <w:p w14:paraId="3B4FECF4" w14:textId="77777777" w:rsidR="001F7233" w:rsidRDefault="00000000">
      <w:r>
        <w:rPr>
          <w:b/>
        </w:rPr>
        <w:t>Catholic School (katholisch)</w:t>
      </w:r>
    </w:p>
    <w:p w14:paraId="04421A32" w14:textId="77777777" w:rsidR="001F7233" w:rsidRDefault="00000000">
      <w:r>
        <w:rPr>
          <w:b/>
        </w:rPr>
        <w:t xml:space="preserve">Anteil Schüler: </w:t>
      </w:r>
      <w:r>
        <w:t>ca. 20 %</w:t>
      </w:r>
    </w:p>
    <w:p w14:paraId="76F3A390" w14:textId="77777777" w:rsidR="001F7233" w:rsidRDefault="00000000">
      <w:r>
        <w:rPr>
          <w:b/>
        </w:rPr>
        <w:t xml:space="preserve">Kosten pro Jahr: </w:t>
      </w:r>
      <w:r>
        <w:t>ca. 4.000–10.000 AUD</w:t>
      </w:r>
    </w:p>
    <w:p w14:paraId="7BD6BC60" w14:textId="77777777" w:rsidR="001F7233" w:rsidRDefault="00000000">
      <w:r>
        <w:rPr>
          <w:b/>
        </w:rPr>
        <w:t>Independent School (unabhängig)</w:t>
      </w:r>
    </w:p>
    <w:p w14:paraId="7805B2D2" w14:textId="77777777" w:rsidR="001F7233" w:rsidRDefault="00000000">
      <w:r>
        <w:rPr>
          <w:b/>
        </w:rPr>
        <w:t xml:space="preserve">Anteil Schüler: </w:t>
      </w:r>
      <w:r>
        <w:t>ca. 17 %</w:t>
      </w:r>
    </w:p>
    <w:p w14:paraId="0DAA1D8D" w14:textId="77777777" w:rsidR="001F7233" w:rsidRDefault="00000000">
      <w:r>
        <w:rPr>
          <w:b/>
        </w:rPr>
        <w:t xml:space="preserve">Kosten pro Jahr: </w:t>
      </w:r>
      <w:r>
        <w:t>ca. 25.000–55.000 AUD</w:t>
      </w:r>
    </w:p>
    <w:p w14:paraId="523C560E" w14:textId="77777777" w:rsidR="001F7233" w:rsidRDefault="001F7233">
      <w:pPr>
        <w:spacing w:line="180" w:lineRule="exact"/>
      </w:pPr>
    </w:p>
    <w:p w14:paraId="6FBE3AE3" w14:textId="77777777" w:rsidR="001F7233" w:rsidRDefault="00000000">
      <w:pPr>
        <w:spacing w:after="140"/>
      </w:pPr>
      <w:r>
        <w:rPr>
          <w:i/>
          <w:iCs/>
        </w:rPr>
        <w:t>Für die Schulqualität gilt Ähnliches wie anderswo: Privatschulen erzielen im Schnitt bessere ATAR-Ergebnisse, doch ein erheblicher Teil dieses Vorsprungs erklärt sich eher durch die soziale Herkunft der Schülerschaft als durch bessere Lehre. Die besten staatlichen Schulen mit Aufnahmeprüfung (Selective Schools, vor allem in New South Wales) übertreffen renommierte Privatschulen bei den Ergebnissen regelmäßig, und das kostenlos.</w:t>
      </w:r>
    </w:p>
    <w:p w14:paraId="6FE61491" w14:textId="77777777" w:rsidR="001F7233" w:rsidRDefault="00000000">
      <w:r>
        <w:rPr>
          <w:b/>
        </w:rPr>
        <w:t xml:space="preserve">SPARTIPP: </w:t>
      </w:r>
    </w:p>
    <w:p w14:paraId="68AFF37D" w14:textId="77777777" w:rsidR="001F7233" w:rsidRDefault="00000000">
      <w:r>
        <w:t>• Bevor du eine teure Privatschule bezahlst, prüfe zuerst das staatliche Angebot deines Wohnorts. Auch ohne Spitzenplatz auf großen Bewertungsportalen kann die staatliche Schule um die Ecke der katholischen oder unabhängigen Alternative in nichts nachstehen.</w:t>
      </w:r>
    </w:p>
    <w:p w14:paraId="411CE325" w14:textId="77777777" w:rsidR="001F7233" w:rsidRDefault="001F7233">
      <w:pPr>
        <w:spacing w:line="220" w:lineRule="exact"/>
      </w:pPr>
    </w:p>
    <w:p w14:paraId="0C42C9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w14:paraId="7926C910" w14:textId="77777777" w:rsidR="001F7233" w:rsidRDefault="00000000">
      <w:pPr>
        <w:spacing w:after="140"/>
      </w:pPr>
      <w:r>
        <w:rPr>
          <w:i/>
          <w:iCs/>
        </w:rPr>
        <w:t>Für deutsche Familien ist dies wahrscheinlich die wichtigste praktische Erkenntnis dieses Kapitels: Das australische Schuljahr folgt der Südhalbkugel, nicht dem europäischen Rhythmus. Es beginnt Ende Januar oder Anfang Februar (der genaue Zeitpunkt variiert leicht nach Bundesstaat) und endet Mitte Dezember. Mitten im australischen Sommer, während in Deutschland zur gleichen Zeit die Weihnachtsferien laufen. Statt zwei langer Halbjahre mit Sommer- und Winterferien gliedert sich das Jahr in vier Terms von jeweils rund zehn Wochen, unterbrochen von zwei- bis dreiwöchigen Pausen. Die längste Pause liegt zwischen Mitte Dezember und Ende Januar/Anfang Februar und übernimmt damit die Funktion der deutschen Sommerferien – nur eben eine Jahreszeit versetzt.</w:t>
      </w:r>
    </w:p>
    <w:p w14:paraId="5FFC5B81" w14:textId="77777777" w:rsidR="001F7233" w:rsidRDefault="00000000">
      <w:r>
        <w:rPr>
          <w:b/>
        </w:rPr>
        <w:t>Term 1</w:t>
      </w:r>
    </w:p>
    <w:p w14:paraId="6F4F44E5" w14:textId="77777777" w:rsidR="001F7233" w:rsidRDefault="00000000">
      <w:r>
        <w:rPr>
          <w:b/>
        </w:rPr>
        <w:t xml:space="preserve">Ungefährer Zeitraum: </w:t>
      </w:r>
      <w:r>
        <w:t>Ende Januar/Anfang Februar – Ende März/Mitte April</w:t>
      </w:r>
    </w:p>
    <w:p w14:paraId="4F12E7A6" w14:textId="77777777" w:rsidR="001F7233" w:rsidRDefault="00000000">
      <w:r>
        <w:rPr>
          <w:b/>
        </w:rPr>
        <w:t xml:space="preserve">Pause danach: </w:t>
      </w:r>
      <w:r>
        <w:t>ca. 2 Wochen (oft mit Ostern)</w:t>
      </w:r>
    </w:p>
    <w:p w14:paraId="234D98DC" w14:textId="77777777" w:rsidR="001F7233" w:rsidRDefault="00000000">
      <w:r>
        <w:rPr>
          <w:b/>
        </w:rPr>
        <w:t>Term 2</w:t>
      </w:r>
    </w:p>
    <w:p w14:paraId="72EDE352" w14:textId="77777777" w:rsidR="001F7233" w:rsidRDefault="00000000">
      <w:r>
        <w:rPr>
          <w:b/>
        </w:rPr>
        <w:t xml:space="preserve">Ungefährer Zeitraum: </w:t>
      </w:r>
      <w:r>
        <w:t>Ende April – Ende Juni</w:t>
      </w:r>
    </w:p>
    <w:p w14:paraId="2B36B1DC" w14:textId="77777777" w:rsidR="001F7233" w:rsidRDefault="00000000">
      <w:r>
        <w:rPr>
          <w:b/>
        </w:rPr>
        <w:t xml:space="preserve">Pause danach: </w:t>
      </w:r>
      <w:r>
        <w:t>ca. 2 Wochen (Winter)</w:t>
      </w:r>
    </w:p>
    <w:p w14:paraId="6C51FC24" w14:textId="77777777" w:rsidR="001F7233" w:rsidRDefault="00000000">
      <w:r>
        <w:rPr>
          <w:b/>
        </w:rPr>
        <w:t>Term 3</w:t>
      </w:r>
    </w:p>
    <w:p w14:paraId="2042EC43" w14:textId="77777777" w:rsidR="001F7233" w:rsidRDefault="00000000">
      <w:r>
        <w:rPr>
          <w:b/>
        </w:rPr>
        <w:t xml:space="preserve">Ungefährer Zeitraum: </w:t>
      </w:r>
      <w:r>
        <w:t>Mitte Juli – Mitte September</w:t>
      </w:r>
    </w:p>
    <w:p w14:paraId="426E917E" w14:textId="77777777" w:rsidR="001F7233" w:rsidRDefault="00000000">
      <w:r>
        <w:rPr>
          <w:b/>
        </w:rPr>
        <w:t xml:space="preserve">Pause danach: </w:t>
      </w:r>
      <w:r>
        <w:t>ca. 2 Wochen (Frühling)</w:t>
      </w:r>
    </w:p>
    <w:p w14:paraId="26D06FBC" w14:textId="77777777" w:rsidR="001F7233" w:rsidRDefault="00000000">
      <w:r>
        <w:rPr>
          <w:b/>
        </w:rPr>
        <w:t>Term 4</w:t>
      </w:r>
    </w:p>
    <w:p w14:paraId="255B346C" w14:textId="77777777" w:rsidR="001F7233" w:rsidRDefault="00000000">
      <w:r>
        <w:rPr>
          <w:b/>
        </w:rPr>
        <w:t xml:space="preserve">Ungefährer Zeitraum: </w:t>
      </w:r>
      <w:r>
        <w:t>Anfang Oktober – Mitte Dezember</w:t>
      </w:r>
    </w:p>
    <w:p w14:paraId="36F6E4C2" w14:textId="77777777" w:rsidR="001F7233" w:rsidRDefault="00000000">
      <w:r>
        <w:rPr>
          <w:b/>
        </w:rPr>
        <w:t xml:space="preserve">Pause danach: </w:t>
      </w:r>
      <w:r>
        <w:t>ca. 6 Wochen Sommerferien</w:t>
      </w:r>
    </w:p>
    <w:p w14:paraId="38B2B1EE" w14:textId="77777777" w:rsidR="001F7233" w:rsidRDefault="001F7233">
      <w:pPr>
        <w:spacing w:line="180" w:lineRule="exact"/>
      </w:pPr>
    </w:p>
    <w:p w14:paraId="3A60CDEE" w14:textId="77777777" w:rsidR="001F7233" w:rsidRDefault="00000000">
      <w:pPr>
        <w:spacing w:after="140"/>
      </w:pPr>
      <w:r>
        <w:t xml:space="preserve">Die genauen Daten legt jeder Bundesstaat einzeln fest und veröffentlicht sie auf der Website seiner Bildungsbehörde. Sie </w:t>
      </w:r>
      <w:r>
        <w:lastRenderedPageBreak/>
        <w:t>unterscheiden sich von Jahr zu Jahr und zwischen den Staaten um bis zu zwei Wochen.</w:t>
      </w:r>
    </w:p>
    <w:p w14:paraId="2EC8EE77" w14:textId="77777777" w:rsidR="001F7233" w:rsidRDefault="00000000">
      <w:pPr>
        <w:spacing w:after="140"/>
      </w:pPr>
      <w:r>
        <w:t>Für den Umzug selbst bedeutet das doppeltes Rechnen: Wer sein Kind mitten im deutschen Schuljahr, aber zu Beginn eines australischen Terms verpflanzt, erwischt einen vergleichsweise glatten Einstieg. Die neue Klasse startet dann ebenfalls gerade neu oder ist zumindest noch nicht tief in einem Themenblock. Wer dagegen versucht, exakt zum deutschen Schuljahresende im Sommer umzuziehen, landet in Australien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Schuljahr und startet in Australien fast punktgenau mit Term 1 im neuen Jahr.</w:t>
      </w:r>
    </w:p>
    <w:p w14:paraId="6D711E40" w14:textId="77777777" w:rsidR="001F7233" w:rsidRDefault="00000000">
      <w:r>
        <w:rPr>
          <w:b/>
        </w:rPr>
        <w:t xml:space="preserve">ACHTUNG: </w:t>
      </w:r>
    </w:p>
    <w:p w14:paraId="27A260FB" w14:textId="77777777" w:rsidR="001F7233" w:rsidRDefault="00000000">
      <w:r>
        <w:t>• Unterschätze die Wucht dieses Wechsels nicht, nur weil er banal klingt. Kinder, die ihren ersten australischen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w14:paraId="1B6F4E09" w14:textId="77777777" w:rsidR="001F7233" w:rsidRDefault="001F7233">
      <w:pPr>
        <w:spacing w:line="220" w:lineRule="exact"/>
      </w:pPr>
    </w:p>
    <w:p w14:paraId="18116260" w14:textId="77777777" w:rsidR="001F7233" w:rsidRDefault="00000000">
      <w:pPr>
        <w:spacing w:after="140"/>
      </w:pPr>
      <w:r>
        <w:rPr>
          <w:i/>
          <w:iCs/>
        </w:rPr>
        <w:t>Neben dem Termsystem gibt es landesweit standardisierte Tests: NAPLAN (National Assessment Program. Literacy and Numeracy) prüft in Year 3, 5, 7 und 9 die Grundfertigkeiten in Lesen, Schreiben, Sprache und Mathematik. Die Ergebnisse dienen vor allem dem Vergleich zwischen Schulen, nicht der Versetzung des einzelnen Kindes und neu zugewanderte Kinder werden in den ersten Jahren meist mit Rücksicht auf ihre Sprachentwicklung bewertet.</w:t>
      </w:r>
    </w:p>
    <w:p w14:paraId="6DF7AB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Anmeldung: Unterlagen und Ablauf</w:t>
      </w:r>
    </w:p>
    <w:p w14:paraId="51830662" w14:textId="77777777" w:rsidR="001F7233" w:rsidRDefault="00000000">
      <w:pPr>
        <w:spacing w:after="140"/>
      </w:pPr>
      <w:r>
        <w:t>Die Anmeldung an einer staatlichen Schule läuft über die passende Bildungsbehörde des Bundesstaats oder direkt über die Schule vor Ort. Ein bundesweit einheitliches Portal gibt es nicht. Gebraucht werden in aller Regel: ein Altersnachweis (Geburtsurkunde oder Reisepass), ein Wohnsitznachweis (Mietvertrag oder eine Rechnung mit der neuen Adresse), die Visumsdaten deines Kindes sowie ein Nachweis der bisherigen Impfungen. Wie ausführlich Letzterer geprüft wird und welche Formulare außerdem verlangt werden, legt jede Schule oder jeder Bundesstaat im Detail selbst fest. Frage frühzeitig direkt bei der Zielschule nach, statt dich auf Erfahrungsberichte anderer Familien zu verlassen. Zeugnisse der letzten Schuljahre, möglichst mit englischer Übersetzung, helfen der Schule bei der Einstufung, sind aber selten zwingend, weil ohnehin oft ein eigener Einstufungstest oder ein Gespräch mit der Schulleitung stattfindet.</w:t>
      </w:r>
    </w:p>
    <w:p w14:paraId="2A98D052" w14:textId="77777777" w:rsidR="001F7233" w:rsidRDefault="001F7233">
      <w:pPr>
        <w:spacing w:line="220" w:lineRule="exact"/>
      </w:pPr>
    </w:p>
    <w:p w14:paraId="437C90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der Schule: Kinderbetreuung und Randzeiten</w:t>
      </w:r>
    </w:p>
    <w:p w14:paraId="1CCB554D" w14:textId="77777777" w:rsidR="001F7233" w:rsidRDefault="00000000">
      <w:pPr>
        <w:spacing w:after="140"/>
      </w:pPr>
      <w:r>
        <w:rPr>
          <w:i/>
          <w:iCs/>
        </w:rPr>
        <w:t>Für Kinder unter dem Schulalter gibt es, anders als in Deutschland, kein flächendeckendes öffentliches Kita-Netz. Verbreitet sind private oder gemeinnützige Long Day Care-Zentren (ganztägige Kindertagesstätten) und Family Day Care (Kindertagespflege in einem privaten Haushalt). Die Bundesregierung bezuschusst beide Formen über die Child Care Subsidy, deren genaue Höhe von Einkommen, Betreuungsstunden und Betreuungsart abhängt und regelmäßig angepasst wird. Wartelisten für begehrte Zentren in Sydney und Melbourne sind lang. Wer einen Platz zum gewünschten Zeitpunkt braucht, meldet sein Kind am besten schon Monate vor dem eigentlichen Umzug vor.</w:t>
      </w:r>
    </w:p>
    <w:p w14:paraId="3F941C20" w14:textId="77777777" w:rsidR="001F7233" w:rsidRDefault="00000000">
      <w:pPr>
        <w:spacing w:after="140"/>
      </w:pPr>
      <w:r>
        <w:rPr>
          <w:i/>
          <w:iCs/>
        </w:rPr>
        <w:lastRenderedPageBreak/>
        <w:t>Auch nach der Einschulung endet die Betreuung nicht automatisch mit dem Schultag: Die meisten Grundschulen bieten oder vermitteln Outside School Hours Care (OSHC), kostenpflichtige Betreuung vor und nach dem Unterricht sowie in einem Teil der Ferien. Wer beide Elternteile berufstätig hat, bucht OSHC am besten direkt bei der Schulanmeldung mit, statt es erst im laufenden Schuljahr nachzuholen. Begehrte Plätze sind auch hier knapp.</w:t>
      </w:r>
    </w:p>
    <w:p w14:paraId="3007D7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EAL/D und wie Kinder (und Eltern) ankommen</w:t>
      </w:r>
    </w:p>
    <w:p w14:paraId="37E1898F" w14: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Australische Schulen sind darauf eingerichtet: Sprachförderung heißt EAL/D (English as an Additional Language or Dialect, Englisch als Zusatzsprache) und ist an Schulen mit Einwandereranteil eher Regel als Ausnahme, nicht das Sonderprogramm, das man aus Deutschland vielleicht erwartet. Je nach Bundesstaat und Sprachstand bekommt ein Kind zusätzlichen Unterricht in Kleingruppen, direkte Unterstützung im Klassenzimmer oder eine Kombination aus beidem. Die Finanzierung richtet sich nach dem eingeschätzten Sprachniveau und wird nach standardisierten Stufen laufend angepasst. An Schulen mit besonders vielen neu zugewanderten Familien helfen mitunter auch zweisprachige Assistenzkräfte oder Verbindungspersonen zur Familie, die bei Elterngesprächen übersetzen.</w:t>
      </w:r>
    </w:p>
    <w:p w14:paraId="6266F58F" w14:textId="77777777" w:rsidR="001F7233" w:rsidRDefault="00000000">
      <w:pPr>
        <w:spacing w:after="140"/>
      </w:pPr>
      <w:r>
        <w:t xml:space="preserve">Wer über ein Skilled-Visum einwandert, hat die Englischprüfung – meist IELTS, PTE oder TOEFL, etwa 300 bis 400 AUD pro Test – bereits für den Visumantrag abgelegt. Mit einem Working-Holiday-Visum entfällt diese Hürde häufig; die fehlende Prüfungspraxis kann sich im Alltag bemerkbar machen. Details zum Arbeitsweg: </w:t>
      </w:r>
      <w:hyperlink w:anchor="tau03">
        <w:r w:rsidR="001F7233">
          <w:rPr>
            <w:color w:val="0563C1"/>
            <w:u w:val="single"/>
          </w:rPr>
          <w:t>Kapitel zum Arbeitsweg in diesem Teil</w:t>
        </w:r>
      </w:hyperlink>
      <w:r>
        <w:t>.</w:t>
      </w:r>
    </w:p>
    <w:p w14:paraId="22E75B26" w14:textId="77777777" w:rsidR="001F7233" w:rsidRDefault="00000000">
      <w:r>
        <w:rPr>
          <w:b/>
        </w:rPr>
        <w:t xml:space="preserve">ACHTUNG: </w:t>
      </w:r>
    </w:p>
    <w:p w14:paraId="20A07F5F" w14:textId="77777777" w:rsidR="001F7233" w:rsidRDefault="001F7233">
      <w:pPr>
        <w:spacing w:line="220" w:lineRule="exact"/>
      </w:pPr>
    </w:p>
    <w:p w14:paraId="48432CB0" w14:textId="77777777" w:rsidR="001F7233" w:rsidRDefault="00000000">
      <w:pPr>
        <w:spacing w:after="140"/>
      </w:pPr>
      <w:r>
        <w:t xml:space="preserve">Kinder verarbeiten den Sprachwechsel je nach Alter unterschiedlich. Jüngere Grundschulkinder gewöhnen sich oft binnen weniger Monate ein und wechseln schnell ins australische Schulenglisch samt Akzent. Ältere Kinder und Teenager brauchen für Fachsprachen wie Geschichte oder Biologie länger. Auch sozial kann die Sprachlücke schwerer wiegen, weil Freundschaften in diesem Alter stärker über Wortwitz und schnelle Antworten laufen. Unterstützung und Kontakte findest du im </w:t>
      </w:r>
      <w:hyperlink w:anchor="tau12">
        <w:r w:rsidR="001F7233">
          <w:rPr>
            <w:color w:val="0563C1"/>
            <w:u w:val="single"/>
          </w:rPr>
          <w:t>Kapitel zu Freunden und Kulturschock in diesem Teil</w:t>
        </w:r>
      </w:hyperlink>
      <w:r>
        <w:t>.</w:t>
      </w:r>
    </w:p>
    <w:p w14:paraId="54163939" w14:textId="77777777" w:rsidR="001F7233" w:rsidRDefault="00000000">
      <w:pPr>
        <w:spacing w:after="140"/>
      </w:pPr>
      <w:r>
        <w:t>Ein Umzug mitten in den letzten beiden Schuljahren ist besonders heikel. HSC, VCE, QCE und die übrigen Landeszertifikate erstrecken sich jeweils über zwei Jahre. Kurswahl, laufende Bewertungen und ATAR greifen ineinander. Deshalb lässt sich ein begonnenes Jahr 11 oder 12 aus Deutschland selten nahtlos fortsetzen.</w:t>
      </w:r>
    </w:p>
    <w:p w14:paraId="739E1F03" w14:textId="77777777" w:rsidR="001F7233" w:rsidRDefault="00000000">
      <w:r>
        <w:rPr>
          <w:b/>
        </w:rPr>
        <w:t xml:space="preserve">ACHTUNG: </w:t>
      </w:r>
    </w:p>
    <w:p w14:paraId="1418B818" w14:textId="77777777" w:rsidR="001F7233" w:rsidRDefault="00000000">
      <w:r>
        <w:t>Bei Teenagern in den letzten beiden Schuljahren solltest du vor dem Umzug direkt mit der Zielschule sprechen. Falls eine deutsche Auslandsschule infrage kommt, beziehe sie ebenfalls ein. Kläre, ob noch genug Zeit für einen sauberen Abschluss in Australien bleibt oder ob der Umzug nach dem deutschen oder australischen Abschluss besser passt.</w:t>
      </w:r>
      <w:r/>
    </w:p>
    <w:p w14:paraId="135B29E4" w14:textId="77777777" w:rsidR="001F7233" w:rsidRDefault="001F7233">
      <w:pPr>
        <w:spacing w:line="220" w:lineRule="exact"/>
      </w:pPr>
    </w:p>
    <w:p w14:paraId="2B62DA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0A5251D3" w14:textId="77777777" w:rsidR="001F7233" w:rsidRDefault="00000000">
      <w:pPr>
        <w:spacing w:after="140"/>
      </w:pPr>
      <w:r>
        <w:t>Vor dem Umzug hilft altersgerechtes Einhören mehr als Vokabellisten. Kleinkinder (2–5) gewöhnen sich gut an „Bluey“ (Disney+, australisch, sehr einfaches Englisch) oder „Sesame Street“. Dazu einfache Bilderbücher wie „The Very Hungry Caterpillar“. Grundschulkinder (6–9) bleiben bei „Bluey“ und „Paw Patrol“ und wachsen in erste Kapitelbücher hinein, etwa „Diary of a Wimpy Kid“ (viele Bilder, wenig Text pro Seite). Für die Mittelstufe (10–13) eignen sich „Percy Jackson“-Bücher und, falls verfügbar, die klassische australische Serie „Round the Twist“ für echten Alltagsslang. Teenager (14–17) kommen mit „Heartbreak High“ (Netflix-Neuauflage, sehr australischer Jugendslang) näher an das heran, was sie am Schultor tatsächlich hören.</w:t>
      </w:r>
    </w:p>
    <w:p w14:paraId="1319CF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Goethe-Institut, deutsche Schulen, Samstagsschule</w:t>
      </w:r>
    </w:p>
    <w:p w14:paraId="604CE98F" w14:textId="77777777" w:rsidR="001F7233" w:rsidRDefault="00000000">
      <w:r>
        <w:t xml:space="preserve">Auch in Australien kannst du deutsche Sendungen über ARD- und ZDF-Mediatheken sowie deutschsprachige Onlineangebote der DW versuchen. Rechte entscheiden pro Sendung und Land: Die ARD sperrt manche Inhalte außer Deutschlands. ZDFs durchgehende Livestreams sind meist auf Deutschland beschränkt, einzelne „Auslandsstreams“ dagegen weltweit verfügbar. Prüfe die konkrete Sendung vorab. Am Fernseher funktionieren offizielle Smart-TV-Apps, ein Streaming-Stick oder unterstütztes AirPlay/Chromecast; Bluetooth überträgt gewöhnlich nur den Ton. Frage auch beim örtlichen Kabel- oder IPTV-Anbieter nach einem deutschen </w:t>
      </w:r>
      <w:r>
        <w:lastRenderedPageBreak/>
        <w:t>Senderpaket und vergleiche Sender,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01A90C30" w14:textId="77777777" w:rsidR="001F7233" w:rsidRDefault="00000000">
      <w:pPr>
        <w:spacing w:after="140"/>
      </w:pPr>
      <w:r>
        <w:t>Wer möchte, dass die Kinder neben dem australischen Englisch auch ihr Deutsch behalten, findet organisierte Angebote fast nur in den beiden größten Städten. Die German International School Sydney (gegründet 1989, in Terrey Hills) und die Deutsche Schule Melbourne (bilingual, bis Klasse 6, in Fitzroy North) unterrichten nach deutschem und australischem Lehrplan gleichzeitig und kosten, wie andere unabhängige Schulen, deutliches Schulgeld. Dafür bleibt der Anschluss an ein deutsches Zeugnis oder sogar an einen deutschen Abschluss realistisch. In beiden Städten ergänzen die Goethe-Institute (Sydney seit 1974, Melbourne seit 1972) das Angebot mit Sprachkursen auch für Kinder und Jugendliche.</w:t>
      </w:r>
    </w:p>
    <w:p w14:paraId="4D453CDE" w14:textId="77777777" w:rsidR="001F7233" w:rsidRDefault="00000000">
      <w:pPr>
        <w:spacing w:after="140"/>
      </w:pPr>
      <w:r>
        <w:t>Außerhalb von Sydney und Melbourne, etwa in Brisbane, Perth, Adelaide, Canberra oder kleineren Städten, ist organisierte deutsche Sprachförderung dünn gesät oder gar nicht vorhanden. Hier hilft am ehesten Eigeninitiative: feste Vorlesezeiten auf Deutsch, deutschsprachige Hörbücher und Serien, regelmäßige Videoanrufe mit den Großeltern und, wo sich eine Gruppe von Familien findet, eine informelle Samstagsschule in Eigenregie.</w:t>
      </w:r>
    </w:p>
    <w:p w14:paraId="743CE9A9" w14:textId="77777777" w:rsidR="001F7233" w:rsidRDefault="00000000">
      <w:r>
        <w:rPr>
          <w:b/>
        </w:rPr>
        <w:t xml:space="preserve">SPARTIPP: </w:t>
      </w:r>
    </w:p>
    <w:p w14:paraId="5FDCFBF8" w14:textId="77777777" w:rsidR="001F7233" w:rsidRDefault="00000000">
      <w:r>
        <w:lastRenderedPageBreak/>
        <w:t>• Bevor du eine teure deutsche Auslandsschule ins Auge fasst, prüfe, ob dir die Kombination aus kostenloser staatlicher Schule plus konsequent gepflegtem Deutsch zu Hause für deine Ziele reicht. Für die meisten Familien, die nicht dauerhaft zwischen beiden Ländern pendeln wollen, ist das die deutlich günstigere und oft ausreichende Lösung.</w:t>
      </w:r>
    </w:p>
    <w:p w14:paraId="3BBB316F" w14:textId="77777777" w:rsidR="001F7233" w:rsidRDefault="001F7233">
      <w:pPr>
        <w:spacing w:line="220" w:lineRule="exact"/>
      </w:pPr>
    </w:p>
    <w:p w14:paraId="17644F16" w14:textId="77777777" w:rsidR="001F7233" w:rsidRDefault="00000000">
      <w:r>
        <w:t>Ein möglicher didaktischer Vorteil australischer Schulen ist der ausdrückliche Blick über einzelne Fächer hinaus: Der nationale Lehrplan benennt etwa kritisches und kreatives Denken, digitale Kompetenz sowie persönliche, soziale und interkulturelle Fähigkeiten. Die Umsetzung, Fächerwahl und Abschlusswege unterscheiden sich jedoch zwischen Bundesstaaten und Schulen. Frage bei einem Wechsel nach dem tatsächlichen Angebot und der Anrechnung bisheriger Leistungen. Lehrplan: https://www.australiancurriculum.edu.au/help/general-capabilities.</w:t>
      </w:r>
    </w:p>
    <w:p w14:paraId="7E3AB7B6" w14:textId="77777777" w:rsidR="001F7233" w:rsidRDefault="00000000">
      <w:r>
        <w:t>Homeschooling ist möglich, muss aber bei der Bildungsbehörde des jeweiligen Bundesstaats oder Territoriums registriert werden; Programme und Kontrolle sind nicht landesweit einheitlich. Einstiegspunkt mit den passenden Stellen: https://www.servicesaustralia.gov.au/finding-and-enrolling-school-when-raising-kids. Sport findet je nach Schule sowohl im Unterricht als auch über Schulwettkämpfe und lokale Clubs statt. Erkundige dich nach Terminen, Fahrtwegen, Ausrüstung, Gebühren und elterlicher Mithilfe; ein Schulteam ist nicht überall mit dem US-Modell gleichzusetzen.</w:t>
      </w:r>
    </w:p>
    <w:p w14:paraId="2DA6AE37" w14:textId="77777777" w:rsidR="001F7233" w:rsidRDefault="00000000">
      <w:r>
        <w:t>Schlechte Zeugnisse? Bitte um Erklärung der Bewertung, Einstufung nach Fach und Jahrgang sowie getrennte Einschätzung von Englisch und Fachwissen. Bei Lücken kommen Förderung, EAL/D-Unterstützung und Beratung zur Fächerwahl infrage. Spätere Abschlüsse können je nach Bundesstaat auch berufliche VET-Wege einschließen. Frage konkret, welche Voraussetzungen für Abschluss oder Studium fehlen.</w:t>
      </w:r>
    </w:p>
    <w:p w14:paraId="6E763970" w14:textId="77777777" w:rsidR="001F7233" w:rsidRDefault="00000000">
      <w:pPr>
        <w:pStyle w:val="Heading3"/>
      </w:pPr>
      <w:r>
        <w:lastRenderedPageBreak/>
        <w:t>Schlechte Zeugnisse: erst Ursache, dann Weg</w:t>
      </w:r>
    </w:p>
    <w:p w14:paraId="48866623" w14:textId="77777777" w:rsidR="001F7233" w:rsidRDefault="00000000">
      <w:r>
        <w:t>Der australische Lehrplan benennt Fähigkeiten über einzelne Fächer hinaus, darunter kritisches und kreatives Denken, digitale Kompetenz sowie persönliche und soziale Fähigkeiten. Das kann kompetenzorientiertes Lernen stützen; Umsetzung und Abschlusswege unterscheiden sich nach Bundesstaat und Schule. Lehrplan: https://www.australiancurriculum.edu.au/help/general-capabilities.</w:t>
      </w:r>
    </w:p>
    <w:p w14:paraId="67092EA5" w14:textId="77777777" w:rsidR="001F7233" w:rsidRDefault="00000000">
      <w:r>
        <w:t>Homeschooling muss bei der Bildungsbehörde des Bundesstaats oder Territoriums registriert werden; Anforderungen sind nicht landesweit einheitlich. Einstieg zu den passenden Stellen: https://www.servicesaustralia.gov.au/finding-and-enrolling-school-when-raising-kids. Sport läuft je nach Schule über Unterricht, Wettkämpfe und Clubs. Frage nach Fahrtwegen, Gebühren, Ausrüstung und Mithilfe.</w:t>
      </w:r>
    </w:p>
    <w:p w14:paraId="664F59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Kinder, Schule und Spracheingewöhnung</w:t>
      </w:r>
    </w:p>
    <w:p w14:paraId="0D215490" w14:textId="77777777" w:rsidR="001F7233" w:rsidRDefault="00000000">
      <w:r>
        <w:rPr>
          <w:b/>
        </w:rPr>
        <w:t>Plus: Öffentliche Schulen sind kostenlos und ohne Statusprüfung zugänglich</w:t>
      </w:r>
    </w:p>
    <w:p w14:paraId="52B5C246" w14:textId="77777777" w:rsidR="001F7233" w:rsidRDefault="00000000">
      <w:r>
        <w:rPr>
          <w:b/>
        </w:rPr>
        <w:t xml:space="preserve">Minus: </w:t>
      </w:r>
      <w:r>
        <w:t>Ausstattung und Ruf hängen stark von Bundesstaat und Schule ab</w:t>
      </w:r>
    </w:p>
    <w:p w14:paraId="21EAC67B" w14:textId="77777777" w:rsidR="001F7233" w:rsidRDefault="00000000">
      <w:r>
        <w:rPr>
          <w:b/>
        </w:rPr>
        <w:t>Plus: EAL/D-Sprachförderung ist an vielen Schulen Standard, nicht Ausnahme</w:t>
      </w:r>
    </w:p>
    <w:p w14:paraId="46CD285C" w14:textId="77777777" w:rsidR="001F7233" w:rsidRDefault="00000000">
      <w:r>
        <w:rPr>
          <w:b/>
        </w:rPr>
        <w:t xml:space="preserve">Minus: </w:t>
      </w:r>
      <w:r>
        <w:t>Außerhalb Sydney/Melbourne kaum organisierte deutsche Sprachangebote</w:t>
      </w:r>
    </w:p>
    <w:p w14:paraId="47923CCB" w14:textId="77777777" w:rsidR="001F7233" w:rsidRDefault="00000000">
      <w:r>
        <w:rPr>
          <w:b/>
        </w:rPr>
        <w:t>Plus: Umzug lässt sich mit etwas Planung passgenau auf den Term-Start legen</w:t>
      </w:r>
    </w:p>
    <w:p w14:paraId="50331CC0" w14:textId="77777777" w:rsidR="001F7233" w:rsidRDefault="00000000">
      <w:r>
        <w:rPr>
          <w:b/>
        </w:rPr>
        <w:t xml:space="preserve">Minus: </w:t>
      </w:r>
      <w:r>
        <w:t>Schuljahresrhythmus verkehrt zu Deutschland erschwert die Umzugsplanung</w:t>
      </w:r>
    </w:p>
    <w:p w14:paraId="53E2C5E5" w14:textId="77777777" w:rsidR="001F7233" w:rsidRDefault="00000000">
      <w:r>
        <w:rPr>
          <w:b/>
        </w:rPr>
        <w:t>Plus: Kinder gewöhnen sich meist rascher ein als Erwachsene</w:t>
      </w:r>
    </w:p>
    <w:p w14:paraId="3DCEBB5B" w14:textId="77777777" w:rsidR="001F7233" w:rsidRDefault="00000000">
      <w:r>
        <w:rPr>
          <w:b/>
        </w:rPr>
        <w:lastRenderedPageBreak/>
        <w:t xml:space="preserve">Minus: </w:t>
      </w:r>
      <w:r>
        <w:t>Ältere Kinder und Teenager tun sich mit Fachsprache und sozialem Anschluss schwerer</w:t>
      </w:r>
    </w:p>
    <w:p w14:paraId="3EF671BE" w14:textId="77777777" w:rsidR="001F7233" w:rsidRDefault="00000000">
      <w:r>
        <w:rPr>
          <w:b/>
        </w:rPr>
        <w:t>Plus: Drei Schulsektoren bieten echte Wahlmöglichkeit nach Budget</w:t>
      </w:r>
    </w:p>
    <w:p w14:paraId="0F765E24" w14:textId="77777777" w:rsidR="001F7233" w:rsidRDefault="00000000">
      <w:r>
        <w:rPr>
          <w:b/>
        </w:rPr>
        <w:t xml:space="preserve">Minus: </w:t>
      </w:r>
      <w:r>
        <w:t>Renommierte Privatschulen kosten bis über 50.000 AUD im Jahr</w:t>
      </w:r>
    </w:p>
    <w:p w14:paraId="4B0655EE" w14:textId="77777777" w:rsidR="001F7233" w:rsidRDefault="00000000">
      <w:r>
        <w:rPr>
          <w:b/>
        </w:rPr>
        <w:t>Plus: Selective Schools und gute staatliche Schulen erzielen Spitzenleistungen kostenlos</w:t>
      </w:r>
    </w:p>
    <w:p w14:paraId="4D1B76E8" w14:textId="77777777" w:rsidR="001F7233" w:rsidRDefault="00000000">
      <w:r>
        <w:rPr>
          <w:b/>
        </w:rPr>
        <w:t xml:space="preserve">Minus: </w:t>
      </w:r>
      <w:r>
        <w:t>Plätze an guten staatlichen Schulen sind entsprechend begehrt</w:t>
      </w:r>
    </w:p>
    <w:p w14:paraId="31AD8E41" w14:textId="77777777" w:rsidR="001F7233" w:rsidRDefault="001F7233">
      <w:pPr>
        <w:spacing w:line="180" w:lineRule="exact"/>
      </w:pPr>
    </w:p>
    <w:p w14:paraId="6A3723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05EFDC1" w14:textId="77777777" w:rsidR="001F7233" w:rsidRDefault="00000000">
      <w:pPr>
        <w:spacing w:after="140"/>
      </w:pPr>
      <w:r>
        <w:t>Kläre vor dem Umzug den Schulstichtag und die Einstufung deines Kindes beim Zielbundesstaat, lege den Umzugstermin nach Möglichkeit auf einen Termbeginn, sammle Geburtsurkunde, Impfnachweis und übersetzte Zeugnisse und entscheide früh, ob eine deutsche Auslandsschule infrage kommt oder ob dir Deutsch zu Hause reicht.</w:t>
      </w:r>
    </w:p>
    <w:p w14:paraId="3739B147" w14:textId="77777777" w:rsidR="001F7233" w:rsidRDefault="00000000">
      <w:r>
        <w:t>• Zuständigen Bundesstaat-Stichtag für Einschulung und Einstufung erfragt</w:t>
      </w:r>
    </w:p>
    <w:p w14:paraId="3B52B44E" w14:textId="77777777" w:rsidR="001F7233" w:rsidRDefault="00000000">
      <w:r>
        <w:t>• Schultyp entschieden: staatlich, katholisch oder unabhängig, inklusive Kostenvergleich</w:t>
      </w:r>
    </w:p>
    <w:p w14:paraId="6EDBE10F" w14:textId="77777777" w:rsidR="001F7233" w:rsidRDefault="00000000">
      <w:r>
        <w:t>• Umzugstermin nach Möglichkeit auf den Beginn eines Terms gelegt</w:t>
      </w:r>
    </w:p>
    <w:p w14:paraId="0455FCA8" w14:textId="77777777" w:rsidR="001F7233" w:rsidRDefault="00000000">
      <w:r>
        <w:t>• Geburtsurkunde, Reisepass, Impfnachweis und übersetzte Zeugnisse zusammengestellt</w:t>
      </w:r>
    </w:p>
    <w:p w14:paraId="71CA6469" w14:textId="77777777" w:rsidR="001F7233" w:rsidRDefault="00000000">
      <w:r>
        <w:t>• Zielschule direkt nach genauen Anmeldeunterlagen gefragt, nicht nur auf Erfahrungsberichte anderer verlassen</w:t>
      </w:r>
    </w:p>
    <w:p w14:paraId="7C7B16DD" w14:textId="77777777" w:rsidR="001F7233" w:rsidRDefault="00000000">
      <w:r>
        <w:t>• Bei Sprachförderbedarf früh das Gespräch mit der Schule über EAL/D gesucht</w:t>
      </w:r>
    </w:p>
    <w:p w14:paraId="19290CE8" w14:textId="77777777" w:rsidR="001F7233" w:rsidRDefault="00000000">
      <w:r>
        <w:t>• Geprüft, ob eine deutsche Auslandsschule (Sydney, Melbourne) infrage kommt oder ob Deutsch zu Hause organisiert wird.</w:t>
      </w:r>
    </w:p>
    <w:p w14:paraId="56E0D40E" w14:textId="77777777" w:rsidR="001F7233" w:rsidRDefault="00000000">
      <w:r>
        <w:lastRenderedPageBreak/>
        <w:t>• Bei Teenagern zusätzlich Zeit für die soziale Eingewöhnung eingeplant, nicht nur für die Sprache</w:t>
      </w:r>
    </w:p>
    <w:p w14:paraId="0A340AA2" w14:textId="77777777" w:rsidR="001F7233" w:rsidRDefault="001F7233">
      <w:pPr>
        <w:spacing w:line="220" w:lineRule="exact"/>
      </w:pPr>
    </w:p>
    <w:p w14:paraId="0988B1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182F33" w14:textId="77777777" w:rsidR="001F7233" w:rsidRDefault="00000000">
      <w:pPr>
        <w:pStyle w:val="ListParagraph"/>
        <w:numPr>
          <w:ilvl w:val="0"/>
          <w:numId w:val="1"/>
        </w:numPr>
        <w:spacing w:after="60"/>
      </w:pPr>
      <w:r>
        <w:t>Australian Bureau of Statistics — Schulstatistik, Anteile der Schulsektoren (</w:t>
      </w:r>
      <w:hyperlink r:id="rId716">
        <w:r w:rsidR="001F7233">
          <w:rPr>
            <w:color w:val="0563C1"/>
            <w:u w:val="single"/>
          </w:rPr>
          <w:t>abs.gov.au/statistics/people/education/schools</w:t>
        </w:r>
      </w:hyperlink>
      <w:r>
        <w:t>)</w:t>
      </w:r>
    </w:p>
    <w:p w14:paraId="26D79B8F" w14:textId="77777777" w:rsidR="001F7233" w:rsidRDefault="00000000">
      <w:pPr>
        <w:pStyle w:val="ListParagraph"/>
        <w:numPr>
          <w:ilvl w:val="0"/>
          <w:numId w:val="1"/>
        </w:numPr>
        <w:spacing w:after="60"/>
      </w:pPr>
      <w:r>
        <w:t>Australian Curriculum, Assessment and Reporting Authority (ACARA) — Rahmenlehrplan, NAPLAN, EAL/D (</w:t>
      </w:r>
      <w:hyperlink r:id="rId717">
        <w:r w:rsidR="001F7233">
          <w:rPr>
            <w:color w:val="0563C1"/>
            <w:u w:val="single"/>
          </w:rPr>
          <w:t>acara.edu.au</w:t>
        </w:r>
      </w:hyperlink>
      <w:r>
        <w:t>)</w:t>
      </w:r>
    </w:p>
    <w:p w14:paraId="3877833C" w14:textId="77777777" w:rsidR="001F7233" w:rsidRDefault="00000000">
      <w:pPr>
        <w:pStyle w:val="ListParagraph"/>
        <w:numPr>
          <w:ilvl w:val="0"/>
          <w:numId w:val="1"/>
        </w:numPr>
        <w:spacing w:after="60"/>
      </w:pPr>
      <w:r>
        <w:t>Bildungsbehörden der Bundesstaaten, z. B. NSW Department of Education — Term- und Ferientermine (</w:t>
      </w:r>
      <w:hyperlink r:id="rId718">
        <w:r w:rsidR="001F7233">
          <w:rPr>
            <w:color w:val="0563C1"/>
            <w:u w:val="single"/>
          </w:rPr>
          <w:t>education.nsw.gov.au</w:t>
        </w:r>
      </w:hyperlink>
      <w:r>
        <w:t>)</w:t>
      </w:r>
    </w:p>
    <w:p w14:paraId="5BF256CF" w14:textId="77777777" w:rsidR="001F7233" w:rsidRDefault="00000000">
      <w:pPr>
        <w:pStyle w:val="ListParagraph"/>
        <w:numPr>
          <w:ilvl w:val="0"/>
          <w:numId w:val="1"/>
        </w:numPr>
        <w:spacing w:after="60"/>
      </w:pPr>
      <w:r>
        <w:t>Zentralstelle für das Auslandsschulwesen — deutsche Schulen im Ausland (</w:t>
      </w:r>
      <w:hyperlink r:id="rId719">
        <w:r w:rsidR="001F7233">
          <w:rPr>
            <w:color w:val="0563C1"/>
            <w:u w:val="single"/>
          </w:rPr>
          <w:t>auslandsschulwesen.de</w:t>
        </w:r>
      </w:hyperlink>
      <w:r>
        <w:t>)</w:t>
      </w:r>
    </w:p>
    <w:p w14:paraId="7AF91E02" w14:textId="77777777" w:rsidR="001F7233" w:rsidRDefault="00000000">
      <w:pPr>
        <w:pStyle w:val="ListParagraph"/>
        <w:numPr>
          <w:ilvl w:val="0"/>
          <w:numId w:val="1"/>
        </w:numPr>
        <w:spacing w:after="60"/>
      </w:pPr>
      <w:r>
        <w:t>Goethe-Institut Australien — Standorte Sydney und Melbourne (</w:t>
      </w:r>
      <w:hyperlink r:id="rId720">
        <w:r w:rsidR="001F7233">
          <w:rPr>
            <w:color w:val="0563C1"/>
            <w:u w:val="single"/>
          </w:rPr>
          <w:t>goethe.de/ins/au</w:t>
        </w:r>
      </w:hyperlink>
      <w:r>
        <w:t>)</w:t>
      </w:r>
    </w:p>
    <w:p w14:paraId="420138A0" w14:textId="77777777" w:rsidR="001F7233" w:rsidRDefault="00000000">
      <w:pPr>
        <w:pStyle w:val="ListParagraph"/>
        <w:numPr>
          <w:ilvl w:val="0"/>
          <w:numId w:val="1"/>
        </w:numPr>
        <w:spacing w:after="60"/>
      </w:pPr>
      <w:r>
        <w:t>Universities Admissions Centre — Erklärung und Berechnung des ATAR (</w:t>
      </w:r>
      <w:hyperlink r:id="rId721">
        <w:r w:rsidR="001F7233">
          <w:rPr>
            <w:color w:val="0563C1"/>
            <w:u w:val="single"/>
          </w:rPr>
          <w:t>uac.edu.au</w:t>
        </w:r>
      </w:hyperlink>
      <w:r>
        <w:t>)</w:t>
      </w:r>
    </w:p>
    <w:p w14:paraId="43E61C61" w14:textId="77777777" w:rsidR="001F7233" w:rsidRDefault="001F7233">
      <w:pPr>
        <w:spacing w:line="120" w:lineRule="exact"/>
      </w:pPr>
    </w:p>
    <w:p w14:paraId="6DDB8F4D" w14:textId="77777777" w:rsidR="001F7233" w:rsidRDefault="00000000">
      <w:r>
        <w:t>• Quellen- und Datenstand: September 2026; Redaktionsschluss: Oktober 2026. Diese Angaben ändern sich: genaue Term-Termine (jedes Jahr und jeder Bundesstaat neu), Schulgelder der Privatschulen und deutschen Auslandsschulen sowie die Einstufungsregeln der Bundesstaaten. Prüfe vor jeder Entscheidung die aktuellen Angaben der passenden Bildungsbehörde und Zielschule.</w:t>
      </w:r>
    </w:p>
    <w:p w14:paraId="1B15638D" w14:textId="77777777" w:rsidR="001F7233" w:rsidRDefault="00000000">
      <w:pPr>
        <w:spacing w:line="220" w:lineRule="exact"/>
      </w:pPr>
      <w:r>
        <w:br w:type="page"/>
      </w:r>
    </w:p>
    <w:p w14:paraId="1E98E554" w14:textId="77777777" w:rsidR="001F7233" w:rsidRDefault="00000000">
      <w:pPr>
        <w:pStyle w:val="Heading2"/>
        <w:keepNext/>
        <w:spacing w:line="341" w:lineRule="auto"/>
        <w:jc w:val="center"/>
      </w:pPr>
      <w:bookmarkStart w:id="102" w:name="tau14"/>
      <w:r>
        <w:rPr>
          <w:rFonts w:ascii="Amazon Ember" w:eastAsia="Amazon Ember" w:hAnsi="Amazon Ember" w:cs="Amazon Ember"/>
          <w:color w:val="0000FF"/>
          <w:sz w:val="36"/>
          <w:szCs w:val="36"/>
        </w:rPr>
        <w:lastRenderedPageBreak/>
        <w:t>Australien: Arbeitswelt und Jobwechsel</w:t>
      </w:r>
      <w:bookmarkEnd w:id="102"/>
    </w:p>
    <w:p w14:paraId="6AA27778" w14: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w14:paraId="75CE1A05" w14:textId="77777777" w:rsidR="001F7233" w:rsidRDefault="00000000">
      <w:r>
        <w:rPr>
          <w:b/>
        </w:rPr>
        <w:t xml:space="preserve">KURZ GESAGT: </w:t>
      </w:r>
    </w:p>
    <w:p w14:paraId="7EC93370" w14:textId="77777777" w:rsidR="001F7233" w:rsidRDefault="00000000">
      <w:r>
        <w:t>• Der Fair Work Act setzt mit den National Employment Standards bundesweite Mindestansprüche: mindestens vier Wochen bezahlter Jahresurlaub, zehn Tage Krankheits- und Pflegeurlaub, gestaffelte Kündigungsfristen.</w:t>
      </w:r>
    </w:p>
    <w:p w14:paraId="07C7592F" w14:textId="77777777" w:rsidR="001F7233" w:rsidRDefault="00000000">
      <w:r>
        <w:t>• Ein Kündigungsschutz nach deutschem Muster existiert nicht von Anfang an: Der Schutz vor unfairer Kündigung (Unfair Dismissal) greift erst nach sechs Monaten (größere Arbeitgeber) oder zwölf Monaten (Kleinbetriebe unter 15 Beschäftigten).</w:t>
      </w:r>
    </w:p>
    <w:p w14:paraId="05B51F8B" w14:textId="77777777" w:rsidR="001F7233" w:rsidRDefault="00000000">
      <w:r>
        <w:t>• Die Arbeitskultur ist informell und flach: Vornamen bis zur Chefetage, „mate“ für fast jeden und seit 2024/25 sogar ein Recht auf Nichterreichbarkeit außer der Arbeitszeit.</w:t>
      </w:r>
    </w:p>
    <w:p w14:paraId="1087C535" w14:textId="77777777" w:rsidR="001F7233" w:rsidRDefault="00000000">
      <w:r>
        <w:t>• Beim Skilled-Visum Subclass 482 bist du an den sponsernden Arbeitgeber gebunden: Ein Wechsel braucht dessen neue Nominierung, bevor du beim neuen Betrieb anfängst.</w:t>
      </w:r>
    </w:p>
    <w:p w14:paraId="43A52E16" w14:textId="77777777" w:rsidR="001F7233" w:rsidRDefault="00000000">
      <w:r>
        <w:t>• Verlierst du den Job auf dem 482, bleiben seit dem 1. Juli 2024 bis zu 180 Tage am Stück, um einen neuen Sponsor zu finden. Deutlich mehr als die frühere 60-Tage-Regel.</w:t>
      </w:r>
    </w:p>
    <w:p w14:paraId="32E5E5CC" w14:textId="77777777" w:rsidR="001F7233" w:rsidRDefault="00000000">
      <w:r>
        <w:t>• Netzwerken läuft über Empfehlungen und Small Talk. Ein deutsches Arbeitszeugnis kennt hier niemand, gefragt sind Referees (Referenzpersonen).</w:t>
      </w:r>
    </w:p>
    <w:p w14:paraId="38AD9ADA" w14:textId="77777777" w:rsidR="001F7233" w:rsidRDefault="001F7233">
      <w:pPr>
        <w:spacing w:line="220" w:lineRule="exact"/>
      </w:pPr>
    </w:p>
    <w:p w14:paraId="771A6B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Fair Work Act und National Employment Standards: die Grundlage</w:t>
      </w:r>
    </w:p>
    <w:p w14:paraId="4B9D99BA" w14:textId="77777777" w:rsidR="001F7233" w:rsidRDefault="00000000">
      <w:pPr>
        <w:spacing w:after="140"/>
      </w:pPr>
      <w:r>
        <w:t xml:space="preserve">Australisches Arbeitsrecht ist, anders als in Deutschland mit seinem Nebeneinander aus Bundes-, Landes- und Tarifrecht, weitgehend bundeseinheitlich geregelt. Der </w:t>
      </w:r>
      <w:r>
        <w:rPr>
          <w:i/>
          <w:iCs/>
        </w:rPr>
        <w:t>Fair Work Act 2009</w:t>
      </w:r>
      <w:r>
        <w:t xml:space="preserve"> (das zentrale Arbeitsgesetz) gilt für fast alle privaten Arbeitsverhältnisse im Land. Er legt mit den </w:t>
      </w:r>
      <w:r>
        <w:rPr>
          <w:i/>
          <w:iCs/>
        </w:rPr>
        <w:t>National Employment Standards</w:t>
      </w:r>
      <w:r>
        <w:t xml:space="preserve"> (NES, elf gesetzliche Mindestansprüche) eine Untergrenze fest, die kein Vertrag unterschreiten darf: Höchstarbeitszeit, Urlaub, Kündigungsfristen, Elternzeit und mehr.</w:t>
      </w:r>
    </w:p>
    <w:p w14:paraId="781F5EBE" w14:textId="77777777" w:rsidR="001F7233" w:rsidRDefault="00000000">
      <w:pPr>
        <w:spacing w:after="140"/>
      </w:pPr>
      <w:r>
        <w:t xml:space="preserve">Darüber liegen zwei weitere Ebenen. Ein Modern Award (Branchen-Mindeststandard) legt für viele Berufsgruppen Mindestlöhne, Zuschläge und Arbeitszeitregeln fest – vergleichbar einem deutschen Tarifvertrag, nur dass er automatisch für die Branche gilt, nicht nur für Gewerkschaftsmitglieder. Ein Enterprise Agreement (Betriebsvereinbarung) wird zwischen einem einzelnen Arbeitgeber und seiner Belegschaft ausgehandelt und kann die Award-Standards überbieten. Wer keinem Award unterliegt (viele Fach- und Führungskräfte mit hohem Gehalt), verhandelt individuell auf Basis der NES als Fußboden. Zwei Behörden solltest du kennen: die Fair Work Ombudsman (Aufsichts- und Beratungsstelle, prüft Löhne und Bedingungen, </w:t>
      </w:r>
      <w:hyperlink r:id="rId722">
        <w:r w:rsidR="001F7233">
          <w:rPr>
            <w:color w:val="0563C1"/>
            <w:u w:val="single"/>
          </w:rPr>
          <w:t>fairwork.gov.au</w:t>
        </w:r>
      </w:hyperlink>
      <w:r>
        <w:t>) und die Fair Work Commission (Schlichtungsstelle und Arbeitsgericht in einem, entscheidet unter anderem über unfaire Kündigungen).</w:t>
      </w:r>
    </w:p>
    <w:p w14:paraId="6682879F" w14:textId="77777777" w:rsidR="001F7233" w:rsidRDefault="00000000">
      <w:pPr>
        <w:spacing w:after="140"/>
      </w:pPr>
      <w:r>
        <w:rPr>
          <w:i/>
          <w:iCs/>
        </w:rPr>
        <w:t>Ein Betriebsrat nach deutschem Muster existiert nicht. Mitbestimmung läuft, wenn überhaupt, über Gewerkschaften und Enterprise Agreements. Dein Arbeitsvertrag (Employment Contract) sollte Grundgehalt, Wochenstunden, Award- oder Agreement-Zugehörigkeit und Probezeit (Probation Period, meist drei bis sechs Monate) klar benennen. Das meiste andere ergibt sich aus NES und Award, nicht aus dem Vertragstext selbst.</w:t>
      </w:r>
    </w:p>
    <w:p w14:paraId="3899CE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Urlaub, Feiertage und Krankheit</w:t>
      </w:r>
    </w:p>
    <w:p w14:paraId="7F9317DA" w14:textId="77777777" w:rsidR="001F7233" w:rsidRDefault="00000000">
      <w:pPr>
        <w:spacing w:after="140"/>
      </w:pPr>
      <w:r>
        <w:rPr>
          <w:i/>
          <w:iCs/>
        </w:rPr>
        <w:t>Die NES garantieren mindestens vier Wochen bezahlten Jahresurlaub pro Jahr (manche Schichtarbeiter erhalten eine fünfte Woche), der von Beginn an anteilig anwächst und sich ansammelt. Manche Awards zahlen auch einen Urlaubszuschlag (Leave Loading) von häufig 17,5 % auf den Urlaubslohn. Ein kleiner, oft übersehener Bonus. Dazu kommen zehn Tage bezahlter Krankheits- und Pflegeurlaub (Personal/Carer’s Leave) im Jahr, die sich ebenfalls ansammeln und nicht verfallen.</w:t>
      </w:r>
    </w:p>
    <w:p w14:paraId="4906F7DC" w14:textId="77777777" w:rsidR="001F7233" w:rsidRDefault="00000000">
      <w:pPr>
        <w:spacing w:after="140"/>
      </w:pPr>
      <w:r>
        <w:t>Verbreiteter Irrtum: Wer aus Deutschland mindestens 20 gesetzliche Urlaubstage und meist 25 bis 30 tarifliche gewohnt ist, hält vier Wochen für wenig. Rechnerisch stimmt das – vier Wochen sind 20 Arbeitstage bei einer Fünftagewoche –, aber es ist zugleich das gesetzliche Minimum, nicht ein durchschnittlicher Wert wie in den USA. Ein 13. Gehalt gibt es nicht, dafür sind die vier Wochen anders als in vielen US-Bundesstaaten wirklich garantiert.</w:t>
      </w:r>
    </w:p>
    <w:p w14:paraId="2B5FA1E4" w14:textId="77777777" w:rsidR="001F7233" w:rsidRDefault="00000000">
      <w:pPr>
        <w:spacing w:after="140"/>
      </w:pPr>
      <w:r>
        <w:t>Feiertage sind Landessache: Sieben nationale Feiertage (u. a. Neujahr, Australia Day, Karfreitag, Ostermontag, Anzac Day, Weihnachten, zweiter Weihnachtsfeiertag) gelten überall, jeder Bundesstaat und jedes Territorium fügt ein bis drei eigene hinzu. Macht je nach Wohnort neun bis elf Feiertage im Jahr, spürbar weniger als die 9 bis 13 vieler deutscher Bundesländer. Fällt ein Feiertag in deinen Jahresurlaub, wird der Tag als Feiertag und nicht als Urlaubstag gezählt; dein Urlaubskonto bleibt unberührt.</w:t>
      </w:r>
    </w:p>
    <w:p w14:paraId="0ED2820C" w14:textId="77777777" w:rsidR="001F7233" w:rsidRDefault="00000000">
      <w:pPr>
        <w:spacing w:after="140"/>
      </w:pPr>
      <w:r>
        <w:rPr>
          <w:i/>
          <w:iCs/>
        </w:rPr>
        <w:t>Bei befristeter Anstellung als Casual Employee (Aushilfskraft ohne feste Wochenstunden, verbreitet bei Working-Holiday-Jobs) entfallen Urlaubs- und Krankheitsanspruch. Dafür kommt ein Zuschlag von meist 25 % auf den Stundenlohn (Casual Loading) obendrauf. Für Elternzeit gibt es neben einem knappen bundesstaatlichen Programm (Paid Parental Leave) oft zusätzliche, freiwillige Arbeitgeberregelungen. Deutlich schmaler als das deutsche Elterngeld und ein Thema, das sich lohnt, schon im Vorstellungsgespräch anzusprechen.</w:t>
      </w:r>
    </w:p>
    <w:p w14:paraId="3CD3AE26" w14:textId="77777777" w:rsidR="001F7233" w:rsidRDefault="00000000">
      <w:r>
        <w:rPr>
          <w:b/>
        </w:rPr>
        <w:lastRenderedPageBreak/>
        <w:t xml:space="preserve">ACHTUNG: </w:t>
      </w:r>
    </w:p>
    <w:p w14:paraId="1FCCAC97" w14:textId="77777777" w:rsidR="001F7233" w:rsidRDefault="00000000">
      <w:r>
        <w:t>• Vier Wochen Urlaub sind das gesetzliche Minimum, nicht die Norm nach oben. Verhandle bei Führungspositionen oder gefragten Berufen ruhig mehr. Viele Arbeitgeber gewähren es, ohne dass es im Award steht, wenn du danach fragst.</w:t>
      </w:r>
    </w:p>
    <w:p w14:paraId="0A05ECF5" w14:textId="77777777" w:rsidR="001F7233" w:rsidRDefault="001F7233">
      <w:pPr>
        <w:spacing w:line="220" w:lineRule="exact"/>
      </w:pPr>
    </w:p>
    <w:p w14:paraId="20602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Fristen, Unfair Dismissal und Redundancy</w:t>
      </w:r>
    </w:p>
    <w:p w14:paraId="24B0E2D9" w14:textId="77777777" w:rsidR="001F7233" w:rsidRDefault="00000000">
      <w:pPr>
        <w:spacing w:after="140"/>
      </w:pPr>
      <w:r>
        <w:rPr>
          <w:i/>
          <w:iCs/>
        </w:rPr>
        <w:t>Ein Kündigungsschutzgesetz wie in Deutschland, das ab dem ersten Tag nach der Probezeit greift, gibt es nicht. Stattdessen kennt der Fair Work Act den Schutz vor unfairer Kündigung (Unfair Dismissal), aber erst nach einer Mindestbeschäftigungszeit (Minimum Employment Period): sechs Monate bei Arbeitgebern mit 15 oder mehr Beschäftigten, zwölf Monate bei Kleinbetrieben (Small Business, unter 15 Beschäftigten). Bei Kleinbetrieben genügt es zudem, wenn der Arbeitgeber den Small Business Fair Dismissal Code (einen behördlichen Verhaltenskodex für faire Kündigungen) redlich befolgt hat. Dann gilt die Kündigung automatisch als fair.</w:t>
      </w:r>
    </w:p>
    <w:p w14:paraId="30FB62B8" w14:textId="77777777" w:rsidR="001F7233" w:rsidRDefault="00000000">
      <w:pPr>
        <w:spacing w:after="140"/>
      </w:pPr>
      <w:r>
        <w:rPr>
          <w:i/>
          <w:iCs/>
        </w:rPr>
        <w:t>Verbreiteter Irrtum: Man könnte meinen, kleine Betriebe seien in Australien komplett vom Kündigungsschutz ausgenommen, wie das deutsche Kündigungsschutzgesetz Betriebe mit zehn oder weniger Beschäftigten ganz ausnimmt. Tatsächlich ist es umgekehrt gelöst: Der Schutz gilt meist überall, nur die Wartezeit ist beim Kleinbetrieb länger. Wer die Mindestzeit erreicht hat, kann bei der Fair Work Commission binnen 21 Tagen nach der Kündigung Beschwerde einlegen. Eine kurze Frist, die man sich merken sollte. Der Schutz gilt außerdem nur unterhalb einer Einkommensschwelle (High Income Threshold, ab dem 1. Juli 2026: 190.100 AUD im Jahr), außer ein Award oder Agreement deckt die Stelle trotzdem ab.</w:t>
      </w:r>
    </w:p>
    <w:p w14:paraId="3706F60D" w14:textId="77777777" w:rsidR="001F7233" w:rsidRDefault="00000000">
      <w:pPr>
        <w:spacing w:after="140"/>
      </w:pPr>
      <w:r>
        <w:rPr>
          <w:i/>
          <w:iCs/>
        </w:rPr>
        <w:t xml:space="preserve">Die Kündigungsfristen (Notice of Termination) aus den NES sind gestaffelt: eine Woche bei unter einem Jahr Betriebszugehörigkeit, </w:t>
      </w:r>
      <w:r>
        <w:rPr>
          <w:i/>
          <w:iCs/>
        </w:rPr>
        <w:lastRenderedPageBreak/>
        <w:t>zwei Wochen bei ein bis drei Jahren, drei Wochen bei drei bis fünf Jahren, vier Wochen ab fünf Jahren. Wer über 45 ist und mindestens zwei Jahre dabei war, bekommt eine zusätzliche Woche. Bei betriebsbedingter Kündigung (Redundancy) kommt eine gestaffelte Abfindung (Redundancy Pay) hinzu, von vier Wochen ab einem Jahr Betriebszugehörigkeit bis zu 16 Wochen ab neun Jahren. Kleinbetriebe unter 15 Beschäftigten sind davon allerdings befreit. Bei grobem Fehlverhalten (Serious Misconduct, etwa Diebstahl oder Gewalt) kann fristlos gekündigt werden, ohne Frist und ohne Abfindung.</w:t>
      </w:r>
    </w:p>
    <w:p w14:paraId="211A15F5" w14:textId="77777777" w:rsidR="001F7233" w:rsidRDefault="00000000">
      <w:r>
        <w:t>• Dieser Abschnitt ist eine Orientierung, keine Rechtsberatung. Ob eine Kündigung im Einzelfall fair war, welche Frist gilt und ob dein Vertrag von einem Award oder Agreement erfasst ist, prüft im Zweifel ein australischer Arbeitsrechtler oder die kostenlose Beratung der Fair Work Ombudsman.</w:t>
      </w:r>
    </w:p>
    <w:p w14:paraId="00C92B8E" w14:textId="77777777" w:rsidR="001F7233" w:rsidRDefault="001F7233">
      <w:pPr>
        <w:spacing w:line="220" w:lineRule="exact"/>
      </w:pPr>
    </w:p>
    <w:p w14:paraId="409888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das Recht auf Feierabend</w:t>
      </w:r>
    </w:p>
    <w:p w14:paraId="36A668A7" w14:textId="77777777" w:rsidR="001F7233" w:rsidRDefault="00000000">
      <w:pPr>
        <w:spacing w:after="140"/>
      </w:pPr>
      <w:r>
        <w:rPr>
          <w:i/>
          <w:iCs/>
        </w:rPr>
        <w:t>Die NES setzen die Standardwoche für Vollzeit auf 38 Stunden (Ordinary Hours), zuzüglich „angemessener“ Mehrarbeit, wenn betrieblich nötig. Was angemessen ist, hängt von Award, Gesundheit, familiären Pflichten und Ankündigungsfrist ab – im Zweifel darfst du unangemessene Mehrarbeit ablehnen. Überstunden- und Schichtzuschläge regelt meist der jeweilige Award, nicht ein Bundesgesetz.</w:t>
      </w:r>
    </w:p>
    <w:p w14:paraId="2909AF41" w14:textId="77777777" w:rsidR="001F7233" w:rsidRDefault="00000000">
      <w:pPr>
        <w:spacing w:after="140"/>
      </w:pPr>
      <w:r>
        <w:rPr>
          <w:i/>
          <w:iCs/>
        </w:rPr>
        <w:t xml:space="preserve">Seit dem 26. August 2024 gilt für größere Arbeitgeber, seit dem 26. August 2025 auch für Kleinbetriebe ein Recht auf Nichterreichbarkeit (Right to Disconnect): Du darfst Kontaktversuche außer der Arbeitszeit ablehnen, sofern das nicht unangemessen ist. Nach den Kapiteln zu den USA in diesem Buch mag das nach einer Selbstverständlichkeit klingen. Ist es in Australien aber nicht ganz: Das Recht ist neu, viele Arbeitgeber und Beschäftigte kennen die Details </w:t>
      </w:r>
      <w:r>
        <w:rPr>
          <w:i/>
          <w:iCs/>
        </w:rPr>
        <w:lastRenderedPageBreak/>
        <w:t>noch nicht, und „unangemessen“ ist Auslegungssache. Praktisch bleibt es klug, im Team offen zu klären, was von dir nach Feierabend erwartet wird, statt sich auf ein Gesetz zu verlassen, das noch niemand getestet hat.</w:t>
      </w:r>
    </w:p>
    <w:p w14:paraId="73950942" w14:textId="77777777" w:rsidR="001F7233" w:rsidRDefault="00000000">
      <w:r>
        <w:rPr>
          <w:b/>
        </w:rPr>
        <w:t xml:space="preserve">MERKE: </w:t>
      </w:r>
    </w:p>
    <w:p w14:paraId="37910F1B" w14:textId="77777777" w:rsidR="001F7233" w:rsidRDefault="00000000">
      <w:r>
        <w:t>• Dass ein Kollege um fünf den Stift fallen lässt, ist in Australien kein Zeichen von Desinteresse, sondern von Selbstverständlichkeit. Wer selbst länger bleibt, weil es in Deutschland so gehört, wird eher komisch angeschaut als gelobt.</w:t>
      </w:r>
    </w:p>
    <w:p w14:paraId="52FD4876" w14:textId="77777777" w:rsidR="001F7233" w:rsidRDefault="001F7233">
      <w:pPr>
        <w:spacing w:line="220" w:lineRule="exact"/>
      </w:pPr>
    </w:p>
    <w:p w14:paraId="59D1C5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Netzwerken, Umgangston und Bewerbungskultur</w:t>
      </w:r>
    </w:p>
    <w:p w14:paraId="5FA25CD3" w14:textId="77777777" w:rsidR="001F7233" w:rsidRDefault="00000000">
      <w:pPr>
        <w:spacing w:after="140"/>
      </w:pPr>
      <w:r>
        <w:t>Im australischen Büro zählt meist der Vorname, auch beim Geschäftsführer. Der informelle Ton sagt wenig darüber aus, wie verbindlich eine Aussage ist. „Mate“ bleibt oft eine lockere Anrede, und „not a bad effort“ kann bescheidenes Lob sein. Wendungen wie „give it a crack“ ermuntern meist zum Ausprobieren. „keen“ signalisiert Interesse, ist aber noch keine Zusage. „All good“ kann ein Thema abschließen, ohne zu klären, ob eine Aufgabe erledigt ist. Frage deshalb freundlich nach Ergebnis, zuständiger Person und Termin, wenn es darauf ankommt. Ein vages „we need a chat“ ist für sich allein weder formelle Abmahnung noch Visumentscheidung. Bei einem echten Performance-Verfahren zählen schriftliche Kriterien und offizielle Mitteilungen. Sponsorpflichten ergeben sich aus Visum und Nominierung, nicht aus einer Redewendung.</w:t>
      </w:r>
    </w:p>
    <w:p w14:paraId="72CFFB0B" w14:textId="77777777" w:rsidR="001F7233" w:rsidRDefault="00000000">
      <w:r>
        <w:rPr>
          <w:b/>
        </w:rPr>
        <w:t xml:space="preserve">SPARTIPP: </w:t>
      </w:r>
    </w:p>
    <w:p w14:paraId="2FDEC085" w14:textId="77777777" w:rsidR="001F7233" w:rsidRDefault="00000000">
      <w:r>
        <w:t>• Die Fair Work Ombudsman bietet kostenlose telefonische und Online-Beratung zu Löhnen, Verträgen und Kündigungsfristen (</w:t>
      </w:r>
      <w:hyperlink r:id="rId723">
        <w:r w:rsidR="001F7233">
          <w:rPr>
            <w:color w:val="0563C1"/>
            <w:u w:val="single"/>
          </w:rPr>
          <w:t>fairwork.gov.au</w:t>
        </w:r>
      </w:hyperlink>
      <w:r>
        <w:t>, 13 13 94) – bevor du für eine Ersteinschätzung einen Anwalt bezahlst, lohnt sich dieser Anruf.</w:t>
      </w:r>
    </w:p>
    <w:p w14:paraId="0F8C7AF9" w14:textId="77777777" w:rsidR="001F7233" w:rsidRDefault="001F7233">
      <w:pPr>
        <w:spacing w:line="220" w:lineRule="exact"/>
      </w:pPr>
    </w:p>
    <w:p w14:paraId="1B564E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Jobwechsel mit Skilled-Visum: was das Sponsoring bedeutet</w:t>
      </w:r>
    </w:p>
    <w:p w14:paraId="59202F86" w14:textId="77777777" w:rsidR="001F7233" w:rsidRDefault="00000000">
      <w:pPr>
        <w:spacing w:after="140"/>
      </w:pPr>
      <w:r>
        <w:rPr>
          <w:i/>
          <w:iCs/>
        </w:rPr>
        <w:t>Anders beim Skills in Demand Visa (Subclass 482, das gängige arbeitgebergesponserte Visum): Es ist an einen konkreten Arbeitgeber und die nominierte Tätigkeit gebunden (Visumbedingung 8607). Willst du den Arbeitgeber wechseln, muss der neue Betrieb zuerst eine eigene Nominierung bei der Einwanderungsbehörde einreichen. Bleibt der Beruf gleich, brauchst du meist kein komplett neues Visum, darfst beim neuen Arbeitgeber aber erst anfangen, wenn diese Nominierung genehmigt ist. Wer vorher anfängt, verstößt gegen seine Visumbedingungen. Mit Risiko für Visum und den neuen Arbeitgeber gleichermaßen.</w:t>
      </w:r>
    </w:p>
    <w:p w14:paraId="42CC00B2" w14:textId="77777777" w:rsidR="001F7233" w:rsidRDefault="00000000">
      <w:pPr>
        <w:spacing w:after="140"/>
      </w:pPr>
      <w:r>
        <w:rPr>
          <w:i/>
          <w:iCs/>
        </w:rPr>
        <w:t>Verlierst du die Beschäftigung beim 482-Sponsor, ist das seit dem 1. Juli 2024 spürbar entschärft: Früher blieben meist nur 60 Tage, um einen neuen Sponsor zu finden, andernfalls drohte die Ausreise. Seit der Reform darfst du bis zu 180 Tage am Stück ohne aufrechte Sponsoring-Beschäftigung im Land bleiben, insgesamt bis zu 365 Tage über die gesamte Visumlaufzeit verteilt. Ein deutlich größeres Sicherheitsnetz, das dir Zeit für eine gründliche Jobsuche statt einer Panikreaktion gibt. Nach zwei Jahren beim selben 482-Sponsor führt häufig ein Weg über das Employer Nomination Scheme (Subclass 186) zur unbefristeten Aufenthaltserlaubnis. Auch das beendet die Bindung an einen einzelnen Arbeitgeber.</w:t>
      </w:r>
    </w:p>
    <w:p w14:paraId="27437E6A" w14:textId="77777777" w:rsidR="001F7233" w:rsidRDefault="00000000">
      <w:r>
        <w:rPr>
          <w:b/>
        </w:rPr>
        <w:t xml:space="preserve">ACHTUNG: </w:t>
      </w:r>
    </w:p>
    <w:p w14:paraId="63556280" w14:textId="77777777" w:rsidR="001F7233" w:rsidRDefault="00000000">
      <w:r>
        <w:t>• Kündige beim 482 nie, bevor der neue Arbeitgeber die Nominierung eingereicht hat und arbeite nie „auf Zuruf“ schon vorab mit. Kläre außerdem, wer die Nominierungsgebühr und die Skilling-Australians-Fund-Abgabe des neuen Arbeitgebers trägt. Das ist Verhandlungssache, nicht Gesetz.</w:t>
      </w:r>
    </w:p>
    <w:p w14:paraId="5DB0B8F7" w14:textId="77777777" w:rsidR="001F7233" w:rsidRDefault="001F7233">
      <w:pPr>
        <w:spacing w:line="220" w:lineRule="exact"/>
      </w:pPr>
    </w:p>
    <w:p w14:paraId="5FB4CE38" w14:textId="77777777" w:rsidR="001F7233" w:rsidRDefault="001F7233">
      <w:pPr>
        <w:spacing w:line="220" w:lineRule="exact"/>
      </w:pPr>
    </w:p>
    <w:p w14:paraId="365829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 Superannuation und Verhandlung</w:t>
      </w:r>
    </w:p>
    <w:p w14:paraId="6F2FFC88" w14:textId="77777777" w:rsidR="001F7233" w:rsidRDefault="00000000">
      <w:pPr>
        <w:spacing w:after="140"/>
      </w:pPr>
      <w:r>
        <w:rPr>
          <w:i/>
          <w:iCs/>
        </w:rPr>
        <w:t>Stellenanzeigen nennen ein Jahresgehalt „plus Super“. Gemeint ist die Superannuation Guarantee (gesetzliche Pflicht-Altersvorsorge), die der Arbeitgeber auch zum Gehalt in eine Pensionskasse einzahlt, aktuell 12 % des Lohns (Stand ab 1. Juli 2025). Anders als die deutsche gesetzliche Rentenversicherung wird sie nicht vom Bruttolohn abgezogen, sondern kommt on top. Wer aus Gewohnheit nur das Grundgehalt vergleicht, unterschätzt leicht den Wert eines Angebots. Der nationale Mindestlohn liegt ab dem 1. Juli 2026 bei 26,44 AUD pro Stunde oder 1.004,90 AUD für eine 38-Stunden-Woche. Die meisten Fach- und Führungspositionen liegen darüber, orientiert an Award oder Markt.</w:t>
      </w:r>
    </w:p>
    <w:p w14:paraId="1EF7EA2A" w14:textId="77777777" w:rsidR="001F7233" w:rsidRDefault="00000000">
      <w:pPr>
        <w:spacing w:after="140"/>
      </w:pPr>
      <w:r>
        <w:t>Gehaltsverhandlungen sind, ähnlich wie in den USA-Kapiteln dieses Buches beschrieben, üblich und erwartet. Nur eben im typisch australischen Understatement-Ton statt mit US-amerikanischer Direktheit. Frage nach der Gehaltsspanne, bevor du selbst eine Zahl nennst und sprich Zusatzleistungen wie Homeoffice-Tage, zusätzlichen Urlaub oder einen höheren Super-Satz aktiv an. Viele Arbeitgeber haben hier mehr Spielraum als beim Grundgehalt.</w:t>
      </w:r>
    </w:p>
    <w:p w14:paraId="27DF115F" w14:textId="77777777" w:rsidR="001F7233" w:rsidRDefault="00000000">
      <w:r>
        <w:t xml:space="preserve">Der Arbeitgeber prüft fachliche Eignung, Sicherheits- und Lizenzvoraussetzungen, Kommunikation, Zuverlässigkeit und ob du die Aufgaben im Alltag tragen kannst. Bei öffentlichen Stellen stehen oft ausdrücklich Selection Criteria im Verfahren. Beantworte jedes Kriterium mit einem konkreten STAR-Beispiel, nicht mit einer Liste von Adjektiven. Auch im privaten Gespräch helfen kurze Beispiele mit messbarem Ergebnis. Klär, wer im Panel sitzt, ob es Tests oder eine Präsentation gibt und welche Nachweise gebraucht werden. Frag nach Award oder Vertragsgrundlage, Arbeitszeiten, Superannuation auch zum Gehalt und einem möglichen Visumsponsoring. Für Fachberufe sind Registrierung und </w:t>
      </w:r>
      <w:r>
        <w:lastRenderedPageBreak/>
        <w:t>Anerkennung separate Nachweise; ein gutes Interview ersetzt sie nicht.</w:t>
      </w:r>
    </w:p>
    <w:p w14:paraId="33AA2142" w14:textId="77777777" w:rsidR="001F7233" w:rsidRDefault="00000000">
      <w:pPr>
        <w:pStyle w:val="Heading3"/>
      </w:pPr>
      <w:r>
        <w:t>Vorstellungsgespräch: Auswahlkriterien mit Beispielen beantworten</w:t>
      </w:r>
    </w:p>
    <w:p w14:paraId="20CAC036" w14:textId="77777777" w:rsidR="001F7233" w:rsidRDefault="00000000">
      <w:pPr>
        <w:pStyle w:val="Heading3"/>
      </w:pPr>
      <w:bookmarkStart w:id="103" w:name="sponsor_australia"/>
      <w:r>
        <w:t>Arbeitgeber für ein australisches Sponsoring finden</w:t>
      </w:r>
      <w:bookmarkEnd w:id="103"/>
    </w:p>
    <w:p w14:paraId="1D3CAC4A" w14:textId="77777777" w:rsidR="001F7233" w:rsidRDefault="00000000">
      <w:r>
        <w:t xml:space="preserve">Suche nach Berufsbezeichnung plus „482 sponsorship“, „186 sponsorship“ oder „494 sponsorship“. Prüfe danach, ob der Arbeitgeber bereit ist, genau diese Stelle zu nominieren und ob Beruf, Aufgaben, Gehalt und Arbeitsort zum aktuellen Visumweg passen. Die </w:t>
      </w:r>
      <w:hyperlink r:id="rId724">
        <w:r w:rsidR="001F7233">
          <w:rPr>
            <w:color w:val="0563C1"/>
            <w:u w:val="single"/>
          </w:rPr>
          <w:t>Home-Affairs-Übersicht zum Sponsoring</w:t>
        </w:r>
      </w:hyperlink>
      <w:r>
        <w:t xml:space="preserve"> erklärt die Arbeitgeberwege und Pflichten. Eine Anzeige mit dem Wort „sponsorship“ ist noch keine Zusage und ersetzt weder Nominierung noch dein Visum. Zahle keine Gebühr für ein Sponsoring.</w:t>
      </w:r>
    </w:p>
    <w:p w14:paraId="3BAA50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Arbeitswelt und Jobwechsel</w:t>
      </w:r>
    </w:p>
    <w:p w14:paraId="0FCFB849" w14:textId="77777777" w:rsidR="001F7233" w:rsidRDefault="00000000">
      <w:r>
        <w:rPr>
          <w:b/>
        </w:rPr>
        <w:t>Plus: Vier Wochen Urlaub und zehn Tage Krankheitsurlaub sind gesetzlich garantiert</w:t>
      </w:r>
    </w:p>
    <w:p w14:paraId="2EDD7CE5" w14:textId="77777777" w:rsidR="001F7233" w:rsidRDefault="00000000">
      <w:r>
        <w:rPr>
          <w:b/>
        </w:rPr>
        <w:t xml:space="preserve">Minus: </w:t>
      </w:r>
      <w:r>
        <w:t>Kein 13. Gehalt, kein tariflicher Urlaub von 25 bis 30 Tagen wie oft in Deutschland</w:t>
      </w:r>
    </w:p>
    <w:p w14:paraId="020D35C3" w14:textId="77777777" w:rsidR="001F7233" w:rsidRDefault="00000000">
      <w:r>
        <w:rPr>
          <w:b/>
        </w:rPr>
        <w:t>Plus: Flache Hierarchien, entspannter Umgangston, seit 2024/25 ein Recht auf Nichterreichbarkeit</w:t>
      </w:r>
    </w:p>
    <w:p w14:paraId="4FD421C7" w14:textId="77777777" w:rsidR="001F7233" w:rsidRDefault="00000000">
      <w:r>
        <w:rPr>
          <w:b/>
        </w:rPr>
        <w:t xml:space="preserve">Minus: </w:t>
      </w:r>
      <w:r>
        <w:t>Beim 482-Visum bist du an einen einzelnen Arbeitgeber gebunden</w:t>
      </w:r>
    </w:p>
    <w:p w14:paraId="1820A205" w14:textId="77777777" w:rsidR="001F7233" w:rsidRDefault="00000000">
      <w:r>
        <w:rPr>
          <w:b/>
        </w:rPr>
        <w:t>Plus: 180-Tage-Sicherheitsnetz bei Jobverlust seit 1. Juli 2024, früher nur 60 Tage</w:t>
      </w:r>
    </w:p>
    <w:p w14:paraId="36F45250" w14:textId="77777777" w:rsidR="001F7233" w:rsidRDefault="00000000">
      <w:r>
        <w:rPr>
          <w:b/>
        </w:rPr>
        <w:t xml:space="preserve">Minus: </w:t>
      </w:r>
      <w:r>
        <w:t>Unfair-Dismissal-Schutz greift erst nach sechs bis zwölf Monaten</w:t>
      </w:r>
    </w:p>
    <w:p w14:paraId="56069F41" w14:textId="77777777" w:rsidR="001F7233" w:rsidRDefault="00000000">
      <w:r>
        <w:rPr>
          <w:b/>
        </w:rPr>
        <w:t>Plus: Superannuation von 12 % kommt obendrauf zum Gehalt</w:t>
      </w:r>
    </w:p>
    <w:p w14:paraId="5718526F" w14:textId="77777777" w:rsidR="001F7233" w:rsidRDefault="00000000">
      <w:r>
        <w:rPr>
          <w:b/>
        </w:rPr>
        <w:lastRenderedPageBreak/>
        <w:t xml:space="preserve">Minus: </w:t>
      </w:r>
      <w:r>
        <w:t>Ein Arbeitgeberwechsel beim 482 braucht Zeit: neue Nominierung, keine Arbeit vorab</w:t>
      </w:r>
    </w:p>
    <w:p w14:paraId="5B1F53A6" w14:textId="77777777" w:rsidR="001F7233" w:rsidRDefault="00000000">
      <w:r>
        <w:rPr>
          <w:b/>
        </w:rPr>
        <w:t>Plus: Punktebasierte Visa (189/190) machen frei von jeder Arbeitgeberbindung</w:t>
      </w:r>
    </w:p>
    <w:p w14:paraId="5BD8F3A6" w14:textId="77777777" w:rsidR="001F7233" w:rsidRDefault="00000000">
      <w:r>
        <w:rPr>
          <w:b/>
        </w:rPr>
        <w:t xml:space="preserve">Minus: </w:t>
      </w:r>
      <w:r>
        <w:t>Elternzeit- und Familienleistungen sind deutlich schmaler als in Deutschland</w:t>
      </w:r>
    </w:p>
    <w:p w14:paraId="2D081A2C" w14:textId="77777777" w:rsidR="001F7233" w:rsidRDefault="00000000">
      <w:r>
        <w:rPr>
          <w:b/>
        </w:rPr>
        <w:t>Plus: Gehaltsverhandlung ist üblich und wird erwartet</w:t>
      </w:r>
    </w:p>
    <w:p w14:paraId="2AE0CEEC" w14:textId="77777777" w:rsidR="001F7233" w:rsidRDefault="00000000">
      <w:r>
        <w:rPr>
          <w:b/>
        </w:rPr>
        <w:t xml:space="preserve">Minus: </w:t>
      </w:r>
      <w:r>
        <w:t>Feiertage sind mit neun bis elf im Jahr spürbar weniger als in vielen Bundesländern</w:t>
      </w:r>
    </w:p>
    <w:p w14:paraId="0D6EEB69" w14:textId="77777777" w:rsidR="001F7233" w:rsidRDefault="001F7233">
      <w:pPr>
        <w:spacing w:line="180" w:lineRule="exact"/>
      </w:pPr>
    </w:p>
    <w:p w14:paraId="7349CD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4C1E26" w14:textId="77777777" w:rsidR="001F7233" w:rsidRDefault="00000000">
      <w:pPr>
        <w:spacing w:after="140"/>
      </w:pPr>
      <w:r>
        <w:t>Lies deinen Arbeitsvertrag zusammen mit dem zutreffenden Award, bevor du unterschreibst und kläre Urlaubs-, Kündigungs- und Super-Regelungen konkret. Bist du auf einem 482-Visum, plane jeden Arbeitgeberwechsel als Verwaltungsvorgang, nicht als spontane Entscheidung: Nominierung zuerst, Kündigung danach.</w:t>
      </w:r>
    </w:p>
    <w:p w14:paraId="102D7B17" w14:textId="77777777" w:rsidR="001F7233" w:rsidRDefault="00000000">
      <w:r>
        <w:t>• Prüfen, ob ein Modern Award oder Enterprise Agreement für deine Stelle gilt und dessen Mindestbedingungen mit dem Vertrag vergleichen.</w:t>
      </w:r>
    </w:p>
    <w:p w14:paraId="3BD7C865" w14:textId="77777777" w:rsidR="001F7233" w:rsidRDefault="00000000">
      <w:r>
        <w:t>• Urlaubs-, Krankheits- und Kündigungsregelungen im Vertrag genau klären, nicht nur „nach NES“ akzeptieren.</w:t>
      </w:r>
    </w:p>
    <w:p w14:paraId="602F9684" w14:textId="77777777" w:rsidR="001F7233" w:rsidRDefault="00000000">
      <w:r>
        <w:t>• Bei Vertragsende: eigene Betriebszugehörigkeit und die geltende Mindestbeschäftigungszeit für Unfair-Dismissal-Schutz kennen.</w:t>
      </w:r>
    </w:p>
    <w:p w14:paraId="1CAE3F44" w14:textId="77777777" w:rsidR="001F7233" w:rsidRDefault="00000000">
      <w:r>
        <w:t>• Auf dem 482-Visum: vor jedem Arbeitgeberwechsel die neue Nominierung abwarten, nie vorher anfangen.</w:t>
      </w:r>
    </w:p>
    <w:p w14:paraId="63BDCA19" w14:textId="77777777" w:rsidR="001F7233" w:rsidRDefault="00000000">
      <w:r>
        <w:t>• Bei Jobverlust auf dem 482: die 180-Tage-Frist und den 365-Tage-Gesamtrahmen im Kalender notieren.</w:t>
      </w:r>
    </w:p>
    <w:p w14:paraId="02FF1C58" w14:textId="77777777" w:rsidR="001F7233" w:rsidRDefault="00000000">
      <w:r>
        <w:t>• Super-Satz und Einzahlung im Gehaltszettel regelmäßig kontrollieren (myGov-Konto verknüpfen).</w:t>
      </w:r>
    </w:p>
    <w:p w14:paraId="0FEF07BB" w14:textId="77777777" w:rsidR="001F7233" w:rsidRDefault="00000000">
      <w:r>
        <w:t>• Zwei bis drei Referees vorbereiten und um Erlaubnis fragen, bevor du sie angibst.</w:t>
      </w:r>
    </w:p>
    <w:p w14:paraId="60084768" w14:textId="77777777" w:rsidR="001F7233" w:rsidRDefault="00000000">
      <w:r>
        <w:lastRenderedPageBreak/>
        <w:t>• Bei Unsicherheiten kostenlos bei der Fair Work Ombudsman anrufen (13 13 94).</w:t>
      </w:r>
    </w:p>
    <w:p w14:paraId="38A853A6" w14:textId="77777777" w:rsidR="001F7233" w:rsidRDefault="001F7233">
      <w:pPr>
        <w:spacing w:line="220" w:lineRule="exact"/>
      </w:pPr>
    </w:p>
    <w:p w14:paraId="2C9DCC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CB11E32" w14:textId="77777777" w:rsidR="001F7233" w:rsidRDefault="00000000">
      <w:pPr>
        <w:pStyle w:val="ListParagraph"/>
        <w:numPr>
          <w:ilvl w:val="0"/>
          <w:numId w:val="1"/>
        </w:numPr>
        <w:spacing w:after="60"/>
      </w:pPr>
      <w:r>
        <w:t xml:space="preserve">Fair Work Ombudsman – National Employment Standards, Kündigungsfristen, Urlaub: </w:t>
      </w:r>
      <w:hyperlink r:id="rId725">
        <w:r w:rsidR="001F7233">
          <w:rPr>
            <w:color w:val="0563C1"/>
            <w:u w:val="single"/>
          </w:rPr>
          <w:t>fairwork.gov.au</w:t>
        </w:r>
      </w:hyperlink>
    </w:p>
    <w:p w14:paraId="71E03C6D" w14:textId="77777777" w:rsidR="001F7233" w:rsidRDefault="00000000">
      <w:pPr>
        <w:pStyle w:val="ListParagraph"/>
        <w:numPr>
          <w:ilvl w:val="0"/>
          <w:numId w:val="1"/>
        </w:numPr>
        <w:spacing w:after="60"/>
      </w:pPr>
      <w:r>
        <w:t xml:space="preserve">Fair Work Commission – Unfair Dismissal, Mindestlohn, High Income Threshold: </w:t>
      </w:r>
      <w:hyperlink r:id="rId726">
        <w:r w:rsidR="001F7233">
          <w:rPr>
            <w:color w:val="0563C1"/>
            <w:u w:val="single"/>
          </w:rPr>
          <w:t>fwc.gov.au</w:t>
        </w:r>
      </w:hyperlink>
    </w:p>
    <w:p w14:paraId="427B20C0" w14:textId="77777777" w:rsidR="001F7233" w:rsidRDefault="00000000">
      <w:pPr>
        <w:pStyle w:val="ListParagraph"/>
        <w:numPr>
          <w:ilvl w:val="0"/>
          <w:numId w:val="1"/>
        </w:numPr>
        <w:spacing w:after="60"/>
      </w:pPr>
      <w:r>
        <w:t xml:space="preserve">Department of Home Affairs – Skills in Demand Visa (482), Wechsel des Arbeitgebers: </w:t>
      </w:r>
      <w:hyperlink r:id="rId727">
        <w:r w:rsidR="001F7233">
          <w:rPr>
            <w:color w:val="0563C1"/>
            <w:u w:val="single"/>
          </w:rPr>
          <w:t>immi.homeaffairs.gov.au/visas/getting-a-visa/visa-listing/skills-in-demand-visa-subclass-482</w:t>
        </w:r>
      </w:hyperlink>
    </w:p>
    <w:p w14:paraId="08A44909" w14:textId="77777777" w:rsidR="001F7233" w:rsidRDefault="00000000">
      <w:pPr>
        <w:pStyle w:val="ListParagraph"/>
        <w:numPr>
          <w:ilvl w:val="0"/>
          <w:numId w:val="1"/>
        </w:numPr>
        <w:spacing w:after="60"/>
      </w:pPr>
      <w:r>
        <w:t xml:space="preserve">Australian Taxation Office – Superannuation Guarantee: </w:t>
      </w:r>
      <w:hyperlink r:id="rId728">
        <w:r w:rsidR="001F7233">
          <w:rPr>
            <w:color w:val="0563C1"/>
            <w:u w:val="single"/>
          </w:rPr>
          <w:t>ato.gov.au/super</w:t>
        </w:r>
      </w:hyperlink>
    </w:p>
    <w:p w14:paraId="2192853C" w14:textId="77777777" w:rsidR="001F7233" w:rsidRDefault="00000000">
      <w:pPr>
        <w:pStyle w:val="ListParagraph"/>
        <w:numPr>
          <w:ilvl w:val="0"/>
          <w:numId w:val="1"/>
        </w:numPr>
        <w:spacing w:after="60"/>
      </w:pPr>
      <w:r>
        <w:t xml:space="preserve">Fair Work Ombudsman – Right to Disconnect: </w:t>
      </w:r>
      <w:hyperlink r:id="rId729">
        <w:r w:rsidR="001F7233">
          <w:rPr>
            <w:color w:val="0563C1"/>
            <w:u w:val="single"/>
          </w:rPr>
          <w:t>fairwork.gov.au/employment-conditions/right-to-disconnect</w:t>
        </w:r>
      </w:hyperlink>
    </w:p>
    <w:p w14:paraId="0D0E13A9" w14:textId="77777777" w:rsidR="001F7233" w:rsidRDefault="001F7233">
      <w:pPr>
        <w:spacing w:line="120" w:lineRule="exact"/>
      </w:pPr>
    </w:p>
    <w:p w14:paraId="7014EB18" w14:textId="77777777" w:rsidR="001F7233" w:rsidRDefault="00000000">
      <w:pPr>
        <w:pStyle w:val="ListParagraph"/>
      </w:pPr>
      <w:r>
        <w:t xml:space="preserve">Workforce Australia — Prepare for a job interview; STAR method: </w:t>
      </w:r>
      <w:hyperlink r:id="rId730">
        <w:r w:rsidR="001F7233">
          <w:rPr>
            <w:rStyle w:val="Hyperlink"/>
          </w:rPr>
          <w:t>workforceaustralia.gov.au/individuals/coaching/job-applications/job-interviews</w:t>
        </w:r>
      </w:hyperlink>
    </w:p>
    <w:p w14:paraId="6D8BFA77" w14:textId="77777777" w:rsidR="001F7233" w:rsidRDefault="00000000">
      <w:r>
        <w:t xml:space="preserve">• 23.09.2026. Diese Angaben ändern sich schnell: Mindestlohn und Super-Satz werden jeweils zum 1. Juli angepasst, die Einkommensschwelle für Unfair-Dismissal-Schutz ebenso, und die Umsetzung des Rechts auf Nichterreichbarkeit ist noch jung und wenig erprobt. Prüfe vor jeder Entscheidung </w:t>
      </w:r>
      <w:hyperlink r:id="rId731">
        <w:r w:rsidR="001F7233">
          <w:rPr>
            <w:color w:val="0563C1"/>
            <w:u w:val="single"/>
          </w:rPr>
          <w:t>fairwork.gov.au</w:t>
        </w:r>
      </w:hyperlink>
      <w:r>
        <w:t xml:space="preserve"> und </w:t>
      </w:r>
      <w:hyperlink r:id="rId732">
        <w:r w:rsidR="001F7233">
          <w:rPr>
            <w:color w:val="0563C1"/>
            <w:u w:val="single"/>
          </w:rPr>
          <w:t>immi.homeaffairs.gov.au</w:t>
        </w:r>
      </w:hyperlink>
      <w:r>
        <w:t>.</w:t>
      </w:r>
    </w:p>
    <w:p w14:paraId="2E14A616" w14:textId="77777777" w:rsidR="001F7233" w:rsidRDefault="00000000">
      <w:pPr>
        <w:spacing w:line="220" w:lineRule="exact"/>
      </w:pPr>
      <w:r>
        <w:br w:type="page"/>
      </w:r>
    </w:p>
    <w:p w14:paraId="69346166" w14:textId="77777777" w:rsidR="001F7233" w:rsidRDefault="00000000">
      <w:pPr>
        <w:pStyle w:val="Heading2"/>
        <w:keepNext/>
        <w:spacing w:line="341" w:lineRule="auto"/>
        <w:jc w:val="center"/>
      </w:pPr>
      <w:bookmarkStart w:id="104" w:name="tau15"/>
      <w:r>
        <w:rPr>
          <w:rFonts w:ascii="Amazon Ember" w:eastAsia="Amazon Ember" w:hAnsi="Amazon Ember" w:cs="Amazon Ember"/>
          <w:color w:val="0000FF"/>
          <w:sz w:val="36"/>
          <w:szCs w:val="36"/>
        </w:rPr>
        <w:lastRenderedPageBreak/>
        <w:t>Australien: Recht, Sicherheit und Polizeikontakt</w:t>
      </w:r>
      <w:bookmarkEnd w:id="104"/>
    </w:p>
    <w:p w14:paraId="198963DE" w14:textId="77777777" w:rsidR="001F7233" w:rsidRDefault="00000000">
      <w:r>
        <w:rPr>
          <w:b/>
        </w:rPr>
        <w:t xml:space="preserve">KURZ GESAGT: </w:t>
      </w:r>
    </w:p>
    <w:p w14:paraId="46C8FF02" w14:textId="77777777" w:rsidR="001F7233" w:rsidRDefault="00000000">
      <w:r>
        <w:t>• Verdachtsunabhängige Alkohol- und Drogenkontrollen im Straßenverkehr (Random Breath Testing, RBT und random Drug Testing, RDT) sind in ganz Australien Routine. Anders, als du es aus Deutschland gewohnt bist.</w:t>
      </w:r>
    </w:p>
    <w:p w14:paraId="27EBD4E2" w14:textId="77777777" w:rsidR="001F7233" w:rsidRDefault="00000000">
      <w:r>
        <w:t>• Ab 18 Jahren musst du bei einer Kontrolle Namen und Adresse nennen, mehr nicht. Eine Durchsuchung ohne Verdacht oder richterlichen Beschluss darfst du höflich ablehnen.</w:t>
      </w:r>
    </w:p>
    <w:p w14:paraId="1D529DD2" w14:textId="77777777" w:rsidR="001F7233" w:rsidRDefault="00000000">
      <w:r>
        <w:t>• Waffenrecht: seit 1996 eines der strengsten der Welt. „Selbstverteidigung“ ist ausdrücklich kein anerkannter Grund für eine Waffenlizenz.</w:t>
      </w:r>
    </w:p>
    <w:p w14:paraId="057D5237" w14:textId="77777777" w:rsidR="001F7233" w:rsidRDefault="00000000">
      <w:r>
        <w:t>• Cannabis bleibt in sechs der acht Bundesstaaten und Territorien illegal. Nur die Hauptstadtregion ACT erlaubt geringe Mengen zum Eigenbedarf, Südaustralien und das Northern Territory ahnden einen Ersttäter meist nur mit einem Bußgeld statt einer Anklage.</w:t>
      </w:r>
    </w:p>
    <w:p w14:paraId="33C7C20D" w14:textId="77777777" w:rsidR="001F7233" w:rsidRDefault="00000000">
      <w:r>
        <w:t>• Auch mit ärztlichem Rezept für medizinisches Cannabis bleibt Autofahren mit nachweisbarem THC im Speichel in fast allen Bundesstaaten strafbar.</w:t>
      </w:r>
    </w:p>
    <w:p w14:paraId="116C3DCC" w14:textId="77777777" w:rsidR="001F7233" w:rsidRDefault="00000000">
      <w:r>
        <w:t>• Buschbrand- und Zyklonsaison verlangen einen eigenen Vorsorgeplan: Warnstufen kennen, Fluchtweg kennen, Versicherung rechtzeitig prüfen.</w:t>
      </w:r>
    </w:p>
    <w:p w14:paraId="008B831F" w14:textId="77777777" w:rsidR="001F7233" w:rsidRDefault="001F7233">
      <w:pPr>
        <w:spacing w:line="220" w:lineRule="exact"/>
      </w:pPr>
    </w:p>
    <w:p w14:paraId="0331DE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in Kürze</w:t>
      </w:r>
    </w:p>
    <w:p w14:paraId="2B3A74B1" w14:textId="77777777" w:rsidR="001F7233" w:rsidRDefault="00000000">
      <w:pPr>
        <w:spacing w:after="140"/>
      </w:pPr>
      <w:r>
        <w:rPr>
          <w:i/>
          <w:iCs/>
        </w:rPr>
        <w:t xml:space="preserve">Australien folgt wie Großbritannien dem Common Law (Fallrecht, das stark auf Präzedenzfällen und Richterrecht aufbaut, anders als das deutsche kodifizierte Recht). Acht Bundesstaaten und Territorien erlassen ihr eigenes Straf-, Verkehrs- und Polizeirecht. Der Bund (Commonwealth) ist vor allem für Einwanderung, Zoll, Steuern und </w:t>
      </w:r>
      <w:r>
        <w:rPr>
          <w:i/>
          <w:iCs/>
        </w:rPr>
        <w:lastRenderedPageBreak/>
        <w:t>einige Bundesdelikte wie Terrorismus zuständig. Kleinere Delikte verhandelt das Magistrates Court oder Local Court, schwerere das District oder County Court, die schwersten das Supreme Court jedes Bundesstaats. Oberste Instanz für das gesamte Land ist der High Court of Australia in Canberra. Bei schwereren Anklagen hast du wie in Deutschland Anspruch auf ein Verfahren vor Geschworenen (Jury). Für dich als Neuankömmling heißt das vor allem: Was in Sydney gilt, muss in Perth nicht identisch sein. Bei allem, was über die im Folgenden beschriebenen bundesweiten Grundsätze hinausgeht, lohnt ein Blick auf die Website der passenden Landespolizei oder Landesregierung.</w:t>
      </w:r>
    </w:p>
    <w:p w14:paraId="7C9B7795" w14:textId="77777777" w:rsidR="001F7233" w:rsidRDefault="00000000">
      <w:pPr>
        <w:pStyle w:val="Heading4"/>
      </w:pPr>
      <w:r>
        <w:t>Betrugsanrufe und Dating-Profile: lokal melden</w:t>
      </w:r>
    </w:p>
    <w:p w14:paraId="73479968" w14:textId="77777777" w:rsidR="001F7233" w:rsidRDefault="00000000">
      <w:r>
        <w:t xml:space="preserve">In Australien kann die angezeigte Rufnummer gefälscht sein. Gib am Telefon keine Codes, Bankdaten oder Geld heraus; ruf die Organisation über eine selbst gefundene offizielle Nummer zurück. Melde Betrugsversuche Scamwatch. Bei Identitätsdiebstahl unterstützt IDCARE; Beschwerden über irreführende Caller-ID kannst du der ACMA melden. Das Do Not Call Register betrifft Werbeanrufe und stoppt Scams nicht zuverlässig. Quellen: </w:t>
      </w:r>
      <w:hyperlink r:id="rId733">
        <w:r w:rsidR="001F7233">
          <w:rPr>
            <w:color w:val="0563C1"/>
            <w:u w:val="single"/>
          </w:rPr>
          <w:t>ACMA: Caller-ID-Betrug</w:t>
        </w:r>
      </w:hyperlink>
      <w:r>
        <w:t xml:space="preserve"> | </w:t>
      </w:r>
      <w:hyperlink r:id="rId734">
        <w:r w:rsidR="001F7233">
          <w:rPr>
            <w:color w:val="0563C1"/>
            <w:u w:val="single"/>
          </w:rPr>
          <w:t>Scamwatch: Beziehungsschwindel</w:t>
        </w:r>
      </w:hyperlink>
    </w:p>
    <w:p w14:paraId="1CD520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Verkehrskontrollen und Zufallstests</w:t>
      </w:r>
    </w:p>
    <w:p w14:paraId="3740E9EB" w14:textId="77777777" w:rsidR="001F7233" w:rsidRDefault="00000000">
      <w:r>
        <w:rPr>
          <w:b/>
        </w:rPr>
        <w:t xml:space="preserve">ACHTUNG: </w:t>
      </w:r>
    </w:p>
    <w:p w14:paraId="505AA859" w14:textId="77777777" w:rsidR="001F7233" w:rsidRDefault="00000000">
      <w:r>
        <w:t>• Eine Verweigerung des Tests wird in aller Regel genauso hart geahndet wie ein positives Ergebnis. Anders als in Deutschland, wo der erste Atemalkoholtest freiwillig ist und die Polizei bei Verweigerung eine Blutprobe anordnen muss, ist die Teilnahme an RBT und RDT in Australien verpflichtend.</w:t>
      </w:r>
    </w:p>
    <w:p w14:paraId="40F93F37" w14:textId="77777777" w:rsidR="001F7233" w:rsidRDefault="001F7233">
      <w:pPr>
        <w:spacing w:line="220" w:lineRule="exact"/>
      </w:pPr>
    </w:p>
    <w:p w14:paraId="34FAF580" w14:textId="77777777" w:rsidR="001F7233" w:rsidRDefault="00000000">
      <w:pPr>
        <w:spacing w:after="140"/>
      </w:pPr>
      <w:r>
        <w:t xml:space="preserve">Bei einem positiven Ergebnis drohen, je nach gemessenem Wert und Bundesstaat, eine sofortige vorläufige Führerscheinsperre direkt am Straßenrand und ein späterer Gerichtstermin. Widersprich in dem </w:t>
      </w:r>
      <w:r>
        <w:lastRenderedPageBreak/>
        <w:t>Moment nicht der Kontrolle selbst. Ob sie rechtmäßig war, klärst du im Zweifel später vor Gericht, nicht an der Fahrertür.</w:t>
      </w:r>
    </w:p>
    <w:p w14:paraId="1AA905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w14:paraId="61372785" w14:textId="77777777" w:rsidR="001F7233" w:rsidRDefault="00000000">
      <w:pPr>
        <w:spacing w:after="140"/>
      </w:pPr>
      <w:r>
        <w:t>Polizeibeamte dürfen dich nicht willkürlich nach deinen Papieren fragen. Dafür braucht es einen konkreten Verdacht oder eine gesetzliche Grundlage wie eben die Verkehrskontrolle. Ab 18 Jahren musst du auf Verlangen Namen und Adresse nennen. Unter 18 reicht die Altersangabe, mit dem Recht, dass ein Elternteil oder Anwalt bei einer Befragung dabei ist. Außerdem gilt ein allgemeines Schweigerecht: Du musst dich nicht selbst belasten. Eine Wohnungs- oder Fahrzeugdurchsuchung ohne konkreten Verdacht oder richterlichen Beschluss darfst du höflich verweigern („I do not consent to a search.“). Wehre dich nie körperlich, sondern lass die Ablehnung im Zweifel vor Gericht klären. Das Filmen einer Polizeikontrolle in der Öffentlichkeit ist meist erlaubt, solange du die Diensthandlung nicht behinderst. Ein Beamter darf dein Aufnahmegerät nicht allein deshalb konfiszieren, weil du filmst, kann das Filmen aber untersagen, wenn es den Einsatz stört. Diese Grundsätze gelten im Kern bundesweit ähnlich, die Details unterscheiden sich zwischen den acht Bundesstaaten und Territorien. Im Zweifel hilft ein australischer Anwalt schneller weiter als eine allgemeine Regel aus diesem Buch.</w:t>
      </w:r>
    </w:p>
    <w:p w14:paraId="1BF3F34F" w14:textId="77777777" w:rsidR="001F7233" w:rsidRDefault="00000000">
      <w:r>
        <w:rPr>
          <w:b/>
        </w:rPr>
        <w:t xml:space="preserve">MERKE: </w:t>
      </w:r>
    </w:p>
    <w:p w14:paraId="78C9D6F1" w14:textId="77777777" w:rsidR="001F7233" w:rsidRDefault="00000000">
      <w:r>
        <w:t xml:space="preserve">• Australien: Polizeikontrollen und Befragungen folgen dem Recht des Bundesstaats oder Territoriums. Bleib ruhig, frage nach dem Grund und ob du festgehalten wirst; nenne verlangte Angaben, aber lüge nicht. Bei einem möglichen Vorwurf bitte vor einer Aussage um Rechtsrat. Verkehrsdelikte und einzelne gesetzliche Auskunftspflichten sind Ausnahmen. Hinweise von Legal Aid NSW und Victoria Legal Aid zeigen die örtlichen Rechte und Grenzen. </w:t>
      </w:r>
      <w:hyperlink r:id="rId735">
        <w:r w:rsidR="001F7233">
          <w:rPr>
            <w:color w:val="0563C1"/>
            <w:u w:val="single"/>
          </w:rPr>
          <w:t>Legal Aid NSW</w:t>
        </w:r>
      </w:hyperlink>
      <w:r>
        <w:t xml:space="preserve">; </w:t>
      </w:r>
      <w:hyperlink r:id="rId736">
        <w:r w:rsidR="001F7233">
          <w:rPr>
            <w:color w:val="0563C1"/>
            <w:u w:val="single"/>
          </w:rPr>
          <w:t>Victoria Legal Aid</w:t>
        </w:r>
      </w:hyperlink>
      <w:r>
        <w:t>.</w:t>
      </w:r>
    </w:p>
    <w:p w14:paraId="7247D30F" w14:textId="77777777" w:rsidR="001F7233" w:rsidRDefault="001F7233">
      <w:pPr>
        <w:spacing w:line="220" w:lineRule="exact"/>
      </w:pPr>
    </w:p>
    <w:p w14:paraId="4878DBDD" w14:textId="77777777" w:rsidR="001F7233" w:rsidRDefault="00000000">
      <w:pPr>
        <w:spacing w:after="140"/>
      </w:pPr>
      <w:r>
        <w:lastRenderedPageBreak/>
        <w:t>Bei einer Festnahme hast du das Recht, einen Anwalt zu kontaktieren und als deutscher Staatsangehöriger auch das Recht, mit einem Konsularbeamten zu sprechen. Verlange das ausdrücklich, automatisch angeboten wird es nicht überall. Sprichst du kein ausreichendes Englisch, steht dir bei einer polizeilichen Befragung ein Dolmetscher zu. Nenne wie in jedem Rechtssystem nur Namen, Adresse und den Wunsch nach einem Anwalt. Mehr nicht, bis dieser da ist.</w:t>
      </w:r>
    </w:p>
    <w:p w14:paraId="5F977909" w14:textId="77777777" w:rsidR="001F7233" w:rsidRDefault="001F7233">
      <w:pPr>
        <w:spacing w:line="220" w:lineRule="exact"/>
      </w:pPr>
    </w:p>
    <w:p w14:paraId="510B40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sachlich betrachtet</w:t>
      </w:r>
    </w:p>
    <w:p w14:paraId="37BA818E" w14:textId="77777777" w:rsidR="001F7233" w:rsidRDefault="00000000">
      <w:pPr>
        <w:spacing w:after="140"/>
      </w:pPr>
      <w:r>
        <w:t xml:space="preserve">Australiens Großstädte gehören im internationalen Vergleich zu den sichereren, was schwere Gewaltkriminalität angeht. Innerhalb einer Stadt schwankt die Lage aber oft stärker als zwischen ganzen Städten – ein Großteil der Vorfälle konzentriert sich auf wenige Straßenzüge. Pauschalurteile über „gefährliche Vorstädte“ helfen dir deshalb wenig; konkrete Kriterien schon. Die Landespolizeien veröffentlichen für die meisten Bundesstaaten öffentlich einsehbare Kriminalitätskarten, mit denen sich ein konkretes Viertel vor der Wohnungssuche prüfen lässt (mehr zur Wohnortwahl im </w:t>
      </w:r>
      <w:hyperlink w:anchor="tau09">
        <w:r w:rsidR="001F7233">
          <w:rPr>
            <w:color w:val="0563C1"/>
            <w:u w:val="single"/>
          </w:rPr>
          <w:t>Kapitel zum Wohnen in diesem Teil</w:t>
        </w:r>
      </w:hyperlink>
      <w:r>
        <w:t>).</w:t>
      </w:r>
    </w:p>
    <w:p w14:paraId="0908F91C" w14:textId="77777777" w:rsidR="001F7233" w:rsidRDefault="00000000">
      <w:pPr>
        <w:spacing w:after="140"/>
      </w:pPr>
      <w:r>
        <w:t>Häufiger als Gewaltverbrechen sind Eigentumsdelikte: Einbrüche in unbewohnte Unterkünfte, Diebstahl aus unverschlossenen Autos, gelegentlich Fahrraddiebstahl rund um Bahnhöfe und Universitäten. Lass Wertsachen nicht sichtbar im Auto liegen und schließe auch für kurze Wege dein Fahrrad ab. Einfache Gewohnheiten, die den Unterschied machen. Bei einem akuten Vorfall wählst du den Notruf 000, sonst meldest du dich online oder telefonisch bei der örtlichen Polizei. Für eine Schadensmeldung bei der Versicherung brauchst du fast immer die Fallnummer der Anzeige.</w:t>
      </w:r>
    </w:p>
    <w:p w14:paraId="384956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eines der strengsten der Welt</w:t>
      </w:r>
    </w:p>
    <w:p w14:paraId="70866B37" w14:textId="77777777" w:rsidR="001F7233" w:rsidRDefault="00000000">
      <w:pPr>
        <w:spacing w:after="140"/>
      </w:pPr>
      <w:r>
        <w:rPr>
          <w:i/>
          <w:iCs/>
        </w:rPr>
        <w:t>Nach dem Massaker von Port Arthur 1996 einigten sich Bund und Bundesstaaten auf das National Firearms Agreement (NFA, das nationale Waffenabkommen). Seither gilt Australiens Waffenrecht als eines der striktesten der westlichen Welt. Waffenbesitz ist darin ausdrücklich ein bedingtes Privileg, kein Grundrecht. Für jede Lizenz brauchst du einen anerkannten „Genuine Reason“ (triftigen Grund): Mitgliedschaft in einem Sportschützenverein, Jagd mit Zustimmung des Grundeigentümers oder berufliche Notwendigkeit, etwa Schädlingsbekämpfung auf einer Farm. Dazu kommen ein verpflichtender Sicherheitskurs, eine Prüfung der persönlichen Eignung, 28 Tage Wartezeit je Kaufgenehmigung und eine gesonderte Erlaubnis für jeden einzelnen Waffenkauf. Bei einer Gewaltverurteilung oder einer häuslichen-Gewalt-Schutzanordnung in den letzten fünf Jahren wird die Lizenz automatisch verweigert oder entzogen.</w:t>
      </w:r>
    </w:p>
    <w:p w14:paraId="6FCC1D54" w14:textId="77777777" w:rsidR="001F7233" w:rsidRDefault="00000000">
      <w:r>
        <w:rPr>
          <w:b/>
        </w:rPr>
        <w:t xml:space="preserve">ACHTUNG: </w:t>
      </w:r>
    </w:p>
    <w:p w14:paraId="048E2591" w14:textId="77777777" w:rsidR="001F7233" w:rsidRDefault="00000000">
      <w:r>
        <w:t>• Verbreiteter Irrtum, besonders bei Neuankömmlingen mit US-Vergleichshorizont: Waffenbesitz „zur Selbstverteidigung“ sei zumindest eingeschränkt möglich. Tatsächlich ist persönliche Selbstverteidigung in Australien überhaupt kein anerkannter Grund für eine Waffenlizenz. Ein zentraler Unterschied zu vielen US-Bundesstaaten.</w:t>
      </w:r>
    </w:p>
    <w:p w14:paraId="5C43DD80" w14:textId="77777777" w:rsidR="001F7233" w:rsidRDefault="001F7233">
      <w:pPr>
        <w:spacing w:line="220" w:lineRule="exact"/>
      </w:pPr>
    </w:p>
    <w:p w14:paraId="32956FB0" w14:textId="77777777" w:rsidR="001F7233" w:rsidRDefault="00000000">
      <w:pPr>
        <w:spacing w:after="140"/>
      </w:pPr>
      <w:r>
        <w:t>Das NFA unterteilt Waffen auch in fünf Kategorien mit gestaffelten Anforderungen, von wenig restriktiven Luftgewehren bis zu streng eingestuften halbautomatischen Waffen, die privaten Haltern in aller Regel verwehrt bleiben. Wer eine Lizenz besitzt, muss Waffe und Munition getrennt und verschlossen aufbewahren, meist in einem eigens dafür vorgesehenen Tresor. Kontrollen durch die Polizei sind möglich.</w:t>
      </w:r>
    </w:p>
    <w:p w14:paraId="29EA73E7" w14:textId="77777777" w:rsidR="001F7233" w:rsidRDefault="00000000">
      <w:pPr>
        <w:spacing w:after="140"/>
      </w:pPr>
      <w:r>
        <w:lastRenderedPageBreak/>
        <w:t>Für dich als Neuankömmling bedeutet das in der Praxis: Waffenbesitz spielt im Alltag kaum eine Rolle. Fasse fremde Waffen nicht ohne Weiteres an und leihe keine aus, selbst wenn Bekannte sie dir beim Farmbesuch oder auf der Jagd anbieten. Ohne eigene Lizenz kann das rechtliche Folgen haben. Aus Deutschland solltest du ohnehin keine Waffen mitbringen; die Einfuhr unterliegt eigenen, strengen Bestimmungen.</w:t>
      </w:r>
    </w:p>
    <w:p w14:paraId="226D2A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ein Flickenteppich zwischen den Bundesstaaten</w:t>
      </w:r>
    </w:p>
    <w:p w14:paraId="5113AC6B" w14:textId="77777777" w:rsidR="001F7233" w:rsidRDefault="00000000">
      <w:pPr>
        <w:spacing w:after="140"/>
      </w:pPr>
      <w:r>
        <w:rPr>
          <w:i/>
          <w:iCs/>
        </w:rPr>
        <w:t>Medizinisches Cannabis ist bundesweit seit 2016 legal, verschrieben über die Arzneimittelbehörde TGA (Therapeutic Goods Administration). Beim Freizeitkonsum dagegen entscheidet jeder Bundesstaat für sich, und die Unterschiede sind erheblich. In New South Wales, Victoria, Queensland, Western Australia und Tasmanien bleibt Besitz und Konsum strafbar. Die Hauptstadtregion Australian Capital Territory (ACT, das Gebiet rund um Canberra) hat 2020 als erste und bislang einzige Jurisdiktion den Eigenbedarf entkriminalisiert: Erwachsene dürfen dort bis zu 50 Gramm getrocknetes Cannabis besitzen und bis zu zwei Pflanzen pro Person, höchstens vier je Haushalt, zum Privatgebrauch anbauen. Südaustralien und das Northern Territory verfolgen einen Mittelweg über ein Verwaltungsverfahren: Ein Ersttäter mit geringer Menge erhält meist nur ein Bußgeld statt einer strafrechtlichen Anklage, größere Mengen oder wiederholte Verstöße landen trotzdem vor Gericht.</w:t>
      </w:r>
    </w:p>
    <w:p w14:paraId="7ACA702A" w14:textId="77777777" w:rsidR="001F7233" w:rsidRDefault="00000000">
      <w:r>
        <w:rPr>
          <w:b/>
        </w:rPr>
        <w:t xml:space="preserve">ACHTUNG: </w:t>
      </w:r>
    </w:p>
    <w:p w14:paraId="433DFFA8" w14:textId="77777777" w:rsidR="001F7233" w:rsidRDefault="00000000">
      <w:r>
        <w:t xml:space="preserve">• Das ACT-Gesetz löst einen bis heute ungelösten Rechtskonflikt aus: Cannabisbesitz bleibt nach dem Bundesstrafrecht (Commonwealth Criminal Code) meist strafbar, auch in der ACT. In der Praxis verfolgen weder die örtliche Polizei noch die australische Bundespolizei Eigenbedarfsfälle nach Bundesrecht. Rechtlich zuletzt </w:t>
      </w:r>
      <w:r>
        <w:lastRenderedPageBreak/>
        <w:t>geklärt ist die Frage aber nicht. Verlass dich also nicht darauf, dass „legal in der ACT“ automatisch „überall in Australien unproblematisch“ bedeutet.</w:t>
      </w:r>
    </w:p>
    <w:p w14:paraId="3C85A85F" w14:textId="77777777" w:rsidR="001F7233" w:rsidRDefault="001F7233">
      <w:pPr>
        <w:spacing w:line="220" w:lineRule="exact"/>
      </w:pPr>
    </w:p>
    <w:p w14:paraId="6E992444" w14:textId="77777777" w:rsidR="001F7233" w:rsidRDefault="00000000">
      <w:pPr>
        <w:spacing w:after="140"/>
      </w:pPr>
      <w:r>
        <w:rPr>
          <w:i/>
          <w:iCs/>
        </w:rPr>
        <w:t>Südaustralien nutzt dafür ein eigenes Verwaltungsverfahren, die Cannabis Expiation Notice (vergleichbar einem Verwarnungsgeld statt einer Anklage). Das Northern Territory kennt ein ähnliches System unter anderem Namen. Beide gelten nur für kleine Mengen und Ersttäter – wer erwischt wird, weil er weiterverkauft oder größere Mengen anbaut, landet auch dort vor Gericht.</w:t>
      </w:r>
    </w:p>
    <w:p w14:paraId="04114A28" w14:textId="77777777" w:rsidR="001F7233" w:rsidRDefault="00000000">
      <w:r>
        <w:rPr>
          <w:b/>
        </w:rPr>
        <w:t xml:space="preserve">ACHTUNG: </w:t>
      </w:r>
    </w:p>
    <w:p w14:paraId="265680FA" w14:textId="77777777" w:rsidR="001F7233" w:rsidRDefault="00000000">
      <w:r>
        <w:t>• Auch CBD-Öl und andere Hanfprodukte, die in Deutschland frei erhältlich sind, fallen bei der Einreise unter die australischen Einfuhrbestimmungen für Cannabisprodukte und können vom Zoll (Australian Border Force) beschlagnahmt werden, wenn keine gültige Einfuhrgenehmigung oder ärztliche Verschreibung vorliegt. Nimm solche Produkte im Zweifel gar nicht erst mit.</w:t>
      </w:r>
    </w:p>
    <w:p w14:paraId="5F9EC33F" w14:textId="77777777" w:rsidR="001F7233" w:rsidRDefault="001F7233">
      <w:pPr>
        <w:spacing w:line="220" w:lineRule="exact"/>
      </w:pPr>
    </w:p>
    <w:p w14:paraId="68B52C37" w14:textId="77777777" w:rsidR="001F7233" w:rsidRDefault="00000000">
      <w:pPr>
        <w:spacing w:after="140"/>
      </w:pPr>
      <w:r>
        <w:t>Verbreiteter Irrtum ist außerdem, ein ärztliches Rezept für medizinisches Cannabis schütze automatisch beim Autofahren. Das Gegenteil ist der Fall: In praktisch allen Bundesstaaten ist es strafbar, mit nachweisbarem THC im Speichel zu fahren, unabhängig von einer Beeinträchtigung und unabhängig vom Rezept, weil der Roadside-Test nur die Anwesenheit von THC misst, nicht die Fahrtüchtigkeit. New South Wales hat im September 2026 eine Gesetzesreform verabschiedet, die medizinischen Patienten unterhalb eines Laborgrenzwerts eine Ausnahme einräumen soll. Sie war zum Schreibzeitpunkt noch nicht in Kraft. Victoria erlaubt Richtern inzwischen einen gewissen Ermessensspielraum beim Führerscheinentzug, wenn Beeinträchtigung ausgeschlossen ist und ein gültiges Rezept vorliegt. Strafbar bleibt das Fahren mit THC im Blut aber auch dort. Wer aus medizinischen Gründen Cannabis nimmt und regelmäßig Auto fährt, sollte sich vor Ort rechtlich beraten lassen, bevor er sich hinters Steuer setzt.</w:t>
      </w:r>
    </w:p>
    <w:p w14:paraId="096E1C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Naturgefahren: Buschbrände und Zyklone</w:t>
      </w:r>
    </w:p>
    <w:p w14:paraId="603A429B" w14:textId="77777777" w:rsidR="001F7233" w:rsidRDefault="00000000">
      <w:pPr>
        <w:spacing w:after="140"/>
      </w:pPr>
      <w:r>
        <w:rPr>
          <w:i/>
          <w:iCs/>
        </w:rPr>
        <w:t>Was in Deutschland allenfalls Extremwetter im Nachrichtenrand ist, gehört in weiten Teilen Australiens zur jährlichen Planung: Buschbrandsaison, meist Spätfrühling bis Ende Sommer, regional unterschiedlich und im tropischen Norden auch die Zyklonsaison vom 1. November bis 30. April. Das Australian Fire Danger Rating System (AFDRS) warnt in vier Stufen: „Moderate“ (an diesen Tagen ist Zeit für Vorbereitung, kein akutes Risiko), „High“, „Extreme“ (dein Notfallplan wird jetzt aktiviert) und „Catastrophic“ (die Feuerwehr kann den Brand wohl nicht kontrollieren; Evakuieren ist die sicherste Option). Zyklone werden in fünf Kategorien eingeteilt, gestaffelt nach Windstärke. Ab Kategorie 3 gelten sie als „schwer“ (severe). Das Referenzereignis „Black Summer“ 2019/2020 zeigt das Ausmaß, das ein Extremjahr erreichen kann: 19 bis 24,3 Millionen Hektar verbrannt, mehr als 3.000 zerstörte Häuser, mindestens 33 Todesfälle und ein versicherter Schaden von rund 2,4 Milliarden AUD. Das ist kein jährlich wiederkehrendes Regelereignis, aber eine reale Größenordnung, die zeigt, warum Vorsorge hier ernster genommen wird als in Deutschland.</w:t>
      </w:r>
    </w:p>
    <w:p w14:paraId="361A109F" w14:textId="77777777" w:rsidR="001F7233" w:rsidRDefault="001F7233">
      <w:pPr>
        <w:spacing w:line="220" w:lineRule="exact"/>
      </w:pPr>
    </w:p>
    <w:p w14:paraId="20FC75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und Versicherung</w:t>
      </w:r>
    </w:p>
    <w:p w14:paraId="10295D1B" w14:textId="77777777" w:rsidR="001F7233" w:rsidRDefault="00000000">
      <w:pPr>
        <w:spacing w:after="140"/>
      </w:pPr>
      <w:r>
        <w:rPr>
          <w:i/>
          <w:iCs/>
        </w:rPr>
        <w:t xml:space="preserve">Installiere die Warn-App oder abonniere die Website der passenden Landesbehörde für deinen Wohnort (etwa das Rural Fire Service in New South Wales, die Country Fire Authority in Victoria oder die Feuerwehrbehörde in Queensland) sowie das bundesweite Telefon- und SMS-Warnsystem Emergency Alert. In Zyklongebieten verfolgst du außerdem die Warnungen des Wetterdienstes Bureau of Meteorology. Ein Notfallplan gehört in jeden Haushalt in einer gefährdeten Region: ein Sammelpunkt für die Familie, eine Kontaktperson außer der </w:t>
      </w:r>
      <w:r>
        <w:rPr>
          <w:i/>
          <w:iCs/>
        </w:rPr>
        <w:lastRenderedPageBreak/>
        <w:t>Region, ein Notvorrat mit Wasser, Medikamenten, Taschenlampe und Bargeld sowie digitale Kopien wichtiger Dokumente. Die Faustregel der Feuerwehrbehörden lautet: An Tagen der Stufe „Extreme“ oder „Catastrophic“ ist frühzeitiges Verlassen der Region die sichere Wahl, nicht das Abwarten vor Ort.</w:t>
      </w:r>
    </w:p>
    <w:p w14:paraId="1DE58909" w14:textId="77777777" w:rsidR="001F7233" w:rsidRDefault="00000000">
      <w:r>
        <w:rPr>
          <w:b/>
        </w:rPr>
        <w:t xml:space="preserve">SPARTIPP: </w:t>
      </w:r>
    </w:p>
    <w:p w14:paraId="09C6E8E7" w14:textId="77777777" w:rsidR="001F7233" w:rsidRDefault="00000000">
      <w:r>
        <w:t>• Prüfe deine Haus- oder Hausratversicherung genau, bevor du in eine buschbrand- oder zyklongefährdete Gegend ziehst. Ob Flut-, Sturmflut- und Buschbrandschäden eingeschlossen sind, unterscheidet sich deutlich zwischen Anbietern und Policen und prämien oder Selbstbehalte fallen in besonders gefährdeten Gebieten oft spürbar höher aus. Ein Vergleich vor Vertragsabschluss lohnt sich mehr als der übliche Blick auf den günstigsten Tarif.</w:t>
      </w:r>
    </w:p>
    <w:p w14:paraId="2EE19619" w14:textId="77777777" w:rsidR="001F7233" w:rsidRDefault="001F7233">
      <w:pPr>
        <w:spacing w:line="220" w:lineRule="exact"/>
      </w:pPr>
    </w:p>
    <w:p w14:paraId="1F480F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2A765AFD" w14:textId="77777777" w:rsidR="001F7233" w:rsidRDefault="00000000">
      <w:pPr>
        <w:spacing w:after="140"/>
      </w:pPr>
      <w:r>
        <w:rPr>
          <w:i/>
          <w:iCs/>
        </w:rPr>
        <w:t>Deutschland unterhält die Botschaft in Canberra und ein Generalkonsulat in Sydney. In mehreren Großstädten, darunter Melbourne, helfen auch ehrenamtliche Honorarkonsuln bei kleineren Formalitäten. Bei Festnahme, schwerer Erkrankung oder Verlust der Papiere unterstützen sie mit Kontakten zu Anwälten und Angehörigen und stellen im Notfall einen Reiseausweis als Passersatz aus. Anwaltskosten, Kautionen oder ein Eingreifen ins Verfahren selbst übernehmen sie nicht. Trage dich außerdem in die Krisenvorsorgeliste Elefand des Auswärtigen Amts ein. Damit dich die Botschaft im Krisenfall erreichen kann.</w:t>
      </w:r>
    </w:p>
    <w:p w14:paraId="198D59A7" w14:textId="77777777" w:rsidR="001F7233" w:rsidRDefault="00000000">
      <w:r>
        <w:t>• Dieses Kapitel gibt eine Orientierung zu Recht und Sicherheit in Australien. Es ersetzt keine Rechtsberatung. Polizeirecht, Waffenrecht und Cannabis-Recht unterscheiden sich im Detail zwischen den acht Bundesstaaten und Territorien und ändern sich, wie das Beispiel der Fahrregeln für medizinisches Cannabis zeigt, auch kurzfristig. Lass dich im Einzelfall von einem australischen Anwalt beraten.</w:t>
      </w:r>
    </w:p>
    <w:p w14:paraId="5EB528EB" w14:textId="77777777" w:rsidR="001F7233" w:rsidRDefault="001F7233">
      <w:pPr>
        <w:spacing w:line="220" w:lineRule="exact"/>
      </w:pPr>
    </w:p>
    <w:p w14:paraId="66EFA3A0" w14:textId="77777777" w:rsidR="001F7233" w:rsidRDefault="00000000">
      <w:r>
        <w:t>Australien hat die Todesstrafe abgeschafft; sie ist weder Bundes- noch einzelstaatliche Strafe. Auch bei einer Auslieferung in ein Todesstrafenrisiko sind Menschenrechtsgarantien relevant. Rechtsrahmen: https://www.ag.gov.au/rights-and-protections/human-rights-and-anti-discrimination/human-rights-scrutiny/public-sector-guidance-sheets/right-life.</w:t>
      </w:r>
    </w:p>
    <w:p w14:paraId="12650C51" w14:textId="77777777" w:rsidR="001F7233" w:rsidRDefault="00000000">
      <w:pPr>
        <w:pStyle w:val="Heading3"/>
      </w:pPr>
      <w:r>
        <w:t>Todesstrafe: wichtiger Rechtsunterschied</w:t>
      </w:r>
    </w:p>
    <w:p w14:paraId="4996351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Recht, Sicherheit und Polizeikontakt</w:t>
      </w:r>
    </w:p>
    <w:p w14:paraId="227EF5D7" w14:textId="77777777" w:rsidR="001F7233" w:rsidRDefault="00000000">
      <w:r>
        <w:rPr>
          <w:b/>
        </w:rPr>
        <w:t>Plus: Verdachtsunabhängige Kontrollen senken nachweislich Unfallzahlen im Straßenverkehr</w:t>
      </w:r>
    </w:p>
    <w:p w14:paraId="7BAA0E12" w14:textId="77777777" w:rsidR="001F7233" w:rsidRDefault="00000000">
      <w:r>
        <w:rPr>
          <w:b/>
        </w:rPr>
        <w:t xml:space="preserve">Minus: </w:t>
      </w:r>
      <w:r>
        <w:t>Zufallstests wirken auf Neuankömmlinge zunächst befremdlich und einschüchternd</w:t>
      </w:r>
    </w:p>
    <w:p w14:paraId="45EAC7FE" w14:textId="77777777" w:rsidR="001F7233" w:rsidRDefault="00000000">
      <w:r>
        <w:rPr>
          <w:b/>
        </w:rPr>
        <w:t>Plus: Striktes Waffenrecht bedeutet vergleichsweise wenig Waffengewalt im Alltag</w:t>
      </w:r>
    </w:p>
    <w:p w14:paraId="5B073410" w14:textId="77777777" w:rsidR="001F7233" w:rsidRDefault="00000000">
      <w:r>
        <w:rPr>
          <w:b/>
        </w:rPr>
        <w:t xml:space="preserve">Minus: </w:t>
      </w:r>
      <w:r>
        <w:t>Wer aus Ländern mit liberalerem Waffenrecht kommt, muss umdenken</w:t>
      </w:r>
    </w:p>
    <w:p w14:paraId="3E652D05" w14:textId="77777777" w:rsidR="001F7233" w:rsidRDefault="00000000">
      <w:r>
        <w:rPr>
          <w:b/>
        </w:rPr>
        <w:t>Plus: Klares, bundesweit bekanntes Warnstufensystem bei Buschbränden</w:t>
      </w:r>
    </w:p>
    <w:p w14:paraId="4A7CDF2C" w14:textId="77777777" w:rsidR="001F7233" w:rsidRDefault="00000000">
      <w:r>
        <w:rPr>
          <w:b/>
        </w:rPr>
        <w:t xml:space="preserve">Minus: </w:t>
      </w:r>
      <w:r>
        <w:t>Buschbrand- und Zyklonrisiko ist für viele Regionen real, nicht nur theoretisch</w:t>
      </w:r>
    </w:p>
    <w:p w14:paraId="338A8A54" w14:textId="77777777" w:rsidR="001F7233" w:rsidRDefault="00000000">
      <w:r>
        <w:rPr>
          <w:b/>
        </w:rPr>
        <w:t>Plus: Grundrechte bei Polizeikontakt (Schweigen, Anwalt) gelten für alle im Land</w:t>
      </w:r>
    </w:p>
    <w:p w14:paraId="64E98F35" w14:textId="77777777" w:rsidR="001F7233" w:rsidRDefault="00000000">
      <w:r>
        <w:rPr>
          <w:b/>
        </w:rPr>
        <w:t xml:space="preserve">Minus: </w:t>
      </w:r>
      <w:r>
        <w:t>Cannabis-Recht ist ein Flickenteppich, der schnell zur Falle wird</w:t>
      </w:r>
    </w:p>
    <w:p w14:paraId="6F27C429" w14:textId="77777777" w:rsidR="001F7233" w:rsidRDefault="00000000">
      <w:r>
        <w:rPr>
          <w:b/>
        </w:rPr>
        <w:t>Plus: Medizinisches Cannabis ist bundesweit legal zugänglich</w:t>
      </w:r>
    </w:p>
    <w:p w14:paraId="639D45EA" w14:textId="77777777" w:rsidR="001F7233" w:rsidRDefault="00000000">
      <w:r>
        <w:rPr>
          <w:b/>
        </w:rPr>
        <w:t xml:space="preserve">Minus: </w:t>
      </w:r>
      <w:r>
        <w:t>Auch mit Rezept bleibt Autofahren mit THC im Blut fast überall strafbar</w:t>
      </w:r>
    </w:p>
    <w:p w14:paraId="239006F0" w14:textId="77777777" w:rsidR="001F7233" w:rsidRDefault="001F7233">
      <w:pPr>
        <w:spacing w:line="180" w:lineRule="exact"/>
      </w:pPr>
    </w:p>
    <w:p w14:paraId="6766F2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736CB711" w14:textId="77777777" w:rsidR="001F7233" w:rsidRDefault="00000000">
      <w:pPr>
        <w:spacing w:after="140"/>
      </w:pPr>
      <w:r>
        <w:rPr>
          <w:i/>
          <w:iCs/>
        </w:rPr>
        <w:t>Gewöhne dich frühzeitig an das Prinzip der verdachtsunabhängigen Verkehrskontrolle. Damit dich der erste Booze Bus nicht aus der Fassung bringt. Kläre für deinen konkreten Wohnort, wie die örtliche Polizei und Feuerbehörde heißen, installiere die passenden Warn-Apps und leg einen Notfallplan an, bevor die erste Buschbrand- oder Zyklonsaison beginnt. Cannabis meidest du am besten unabhängig vom jeweiligen Bundesstaat, solange du dir über die genaue Rechtslage nicht sicher bist. Das gilt besonders für das Autofahren.</w:t>
      </w:r>
    </w:p>
    <w:p w14:paraId="2CB80CD9" w14:textId="77777777" w:rsidR="001F7233" w:rsidRDefault="00000000">
      <w:r>
        <w:t>• Verhalten bei Random Breath/Drug Testing mit der Familie einmal durchgesprochen</w:t>
      </w:r>
    </w:p>
    <w:p w14:paraId="2BD1BC79" w14:textId="77777777" w:rsidR="001F7233" w:rsidRDefault="00000000">
      <w:r>
        <w:t>• Grundrechte bei Polizeikontakt gekannt: Namen und Adresse nennen, sonst schweigen dürfen, Durchsuchung ohne Verdacht ablehnen dürfen</w:t>
      </w:r>
    </w:p>
    <w:p w14:paraId="2838270E" w14:textId="77777777" w:rsidR="001F7233" w:rsidRDefault="00000000">
      <w:r>
        <w:t>• Geprüft, ob am Wohnort Waffenbesitz überhaupt relevant wird – meist nicht</w:t>
      </w:r>
    </w:p>
    <w:p w14:paraId="0D3F074D" w14:textId="77777777" w:rsidR="001F7233" w:rsidRDefault="00000000">
      <w:r>
        <w:t>• Cannabis-Rechtslage des eigenen Bundesstaats nachgeschlagen, statt sich auf Hörensagen zu verlassen</w:t>
      </w:r>
    </w:p>
    <w:p w14:paraId="4607C5D3" w14:textId="77777777" w:rsidR="001F7233" w:rsidRDefault="00000000">
      <w:r>
        <w:t>• Bei ärztlich verordnetem Cannabis: Fahrregeln des eigenen Bundesstaats vorab mit einem Anwalt geklärt</w:t>
      </w:r>
    </w:p>
    <w:p w14:paraId="333D19FA" w14:textId="77777777" w:rsidR="001F7233" w:rsidRDefault="00000000">
      <w:r>
        <w:t>• Warn-App der zuständigen Landesfeuerbehörde installiert und Emergency Alert aktiviert</w:t>
      </w:r>
    </w:p>
    <w:p w14:paraId="4A1A5BFE" w14:textId="77777777" w:rsidR="001F7233" w:rsidRDefault="00000000">
      <w:r>
        <w:t>• Notfallplan mit Sammelpunkt, Notvorrat und externer Kontaktperson erstellt</w:t>
      </w:r>
    </w:p>
    <w:p w14:paraId="704806BF" w14:textId="77777777" w:rsidR="001F7233" w:rsidRDefault="00000000">
      <w:r>
        <w:t>• Haus- oder Hausratversicherung auf Flut-, Sturmflut- und Buschbrandschutz geprüft</w:t>
      </w:r>
    </w:p>
    <w:p w14:paraId="1637C7AC" w14:textId="77777777" w:rsidR="001F7233" w:rsidRDefault="00000000">
      <w:r>
        <w:t>• Nummer der deutschen Auslandsvertretung für Notfälle gespeichert und in die Krisenvorsorgeliste Elefand eingetragen</w:t>
      </w:r>
    </w:p>
    <w:p w14:paraId="74F3D5BE" w14:textId="77777777" w:rsidR="001F7233" w:rsidRDefault="001F7233">
      <w:pPr>
        <w:spacing w:line="220" w:lineRule="exact"/>
      </w:pPr>
    </w:p>
    <w:p w14:paraId="495BC6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60CA77AE" w14:textId="77777777" w:rsidR="001F7233" w:rsidRDefault="001F7233">
      <w:pPr>
        <w:pStyle w:val="ListParagraph"/>
        <w:numPr>
          <w:ilvl w:val="0"/>
          <w:numId w:val="1"/>
        </w:numPr>
        <w:spacing w:after="60"/>
      </w:pPr>
      <w:hyperlink r:id="rId737">
        <w:r>
          <w:rPr>
            <w:color w:val="0563C1"/>
            <w:u w:val="single"/>
          </w:rPr>
          <w:t>afdrs.com.au</w:t>
        </w:r>
      </w:hyperlink>
      <w:r>
        <w:t xml:space="preserve"> – Australian Fire Danger Rating System, Warnstufen</w:t>
      </w:r>
    </w:p>
    <w:p w14:paraId="525E3191" w14:textId="77777777" w:rsidR="001F7233" w:rsidRDefault="001F7233">
      <w:pPr>
        <w:pStyle w:val="ListParagraph"/>
        <w:numPr>
          <w:ilvl w:val="0"/>
          <w:numId w:val="1"/>
        </w:numPr>
        <w:spacing w:after="60"/>
      </w:pPr>
      <w:hyperlink r:id="rId738">
        <w:r>
          <w:rPr>
            <w:color w:val="0563C1"/>
            <w:u w:val="single"/>
          </w:rPr>
          <w:t>bom.gov.au</w:t>
        </w:r>
      </w:hyperlink>
      <w:r>
        <w:t xml:space="preserve"> – Bureau of Meteorology, Wetter- und Zyklonwarnungen</w:t>
      </w:r>
    </w:p>
    <w:p w14:paraId="02A05BF9" w14:textId="77777777" w:rsidR="001F7233" w:rsidRDefault="001F7233">
      <w:pPr>
        <w:pStyle w:val="ListParagraph"/>
        <w:numPr>
          <w:ilvl w:val="0"/>
          <w:numId w:val="1"/>
        </w:numPr>
        <w:spacing w:after="60"/>
      </w:pPr>
      <w:hyperlink r:id="rId739">
        <w:r>
          <w:rPr>
            <w:color w:val="0563C1"/>
            <w:u w:val="single"/>
          </w:rPr>
          <w:t>rfs.nsw.gov.au</w:t>
        </w:r>
      </w:hyperlink>
      <w:r>
        <w:t xml:space="preserve"> / </w:t>
      </w:r>
      <w:hyperlink r:id="rId740">
        <w:r>
          <w:rPr>
            <w:color w:val="0563C1"/>
            <w:u w:val="single"/>
          </w:rPr>
          <w:t>cfa.vic.gov.au</w:t>
        </w:r>
      </w:hyperlink>
      <w:r>
        <w:t xml:space="preserve"> – Landesfeuerwehrbehörden New South Wales und Victoria</w:t>
      </w:r>
    </w:p>
    <w:p w14:paraId="5CF52032" w14:textId="77777777" w:rsidR="001F7233" w:rsidRDefault="001F7233">
      <w:pPr>
        <w:pStyle w:val="ListParagraph"/>
        <w:numPr>
          <w:ilvl w:val="0"/>
          <w:numId w:val="1"/>
        </w:numPr>
        <w:spacing w:after="60"/>
      </w:pPr>
      <w:hyperlink r:id="rId741">
        <w:r>
          <w:rPr>
            <w:color w:val="0563C1"/>
            <w:u w:val="single"/>
          </w:rPr>
          <w:t>health.gov.au</w:t>
        </w:r>
      </w:hyperlink>
      <w:r>
        <w:t xml:space="preserve"> / </w:t>
      </w:r>
      <w:hyperlink r:id="rId742">
        <w:r>
          <w:rPr>
            <w:color w:val="0563C1"/>
            <w:u w:val="single"/>
          </w:rPr>
          <w:t>tga.gov.au</w:t>
        </w:r>
      </w:hyperlink>
      <w:r>
        <w:t xml:space="preserve"> – medizinisches Cannabis, Zulassung und Verschreibung</w:t>
      </w:r>
    </w:p>
    <w:p w14:paraId="42E0F59C" w14:textId="77777777" w:rsidR="001F7233" w:rsidRDefault="001F7233">
      <w:pPr>
        <w:pStyle w:val="ListParagraph"/>
        <w:numPr>
          <w:ilvl w:val="0"/>
          <w:numId w:val="1"/>
        </w:numPr>
        <w:spacing w:after="60"/>
      </w:pPr>
      <w:hyperlink r:id="rId743">
        <w:r>
          <w:rPr>
            <w:color w:val="0563C1"/>
            <w:u w:val="single"/>
          </w:rPr>
          <w:t>legislation.act.gov.au</w:t>
        </w:r>
      </w:hyperlink>
      <w:r>
        <w:t xml:space="preserve"> – Cannabis-Recht in der Australian Capital Territory</w:t>
      </w:r>
    </w:p>
    <w:p w14:paraId="4B3B2B2D" w14:textId="77777777" w:rsidR="001F7233" w:rsidRDefault="001F7233">
      <w:pPr>
        <w:pStyle w:val="ListParagraph"/>
        <w:numPr>
          <w:ilvl w:val="0"/>
          <w:numId w:val="1"/>
        </w:numPr>
        <w:spacing w:after="60"/>
      </w:pPr>
      <w:hyperlink r:id="rId744">
        <w:r>
          <w:rPr>
            <w:color w:val="0563C1"/>
            <w:u w:val="single"/>
          </w:rPr>
          <w:t>acic.gov.au</w:t>
        </w:r>
      </w:hyperlink>
      <w:r>
        <w:t xml:space="preserve"> – National Firearms Agreement 1996</w:t>
      </w:r>
    </w:p>
    <w:p w14:paraId="37F43E75" w14:textId="77777777" w:rsidR="001F7233" w:rsidRDefault="001F7233">
      <w:pPr>
        <w:pStyle w:val="ListParagraph"/>
        <w:numPr>
          <w:ilvl w:val="0"/>
          <w:numId w:val="1"/>
        </w:numPr>
        <w:spacing w:after="60"/>
      </w:pPr>
      <w:hyperlink r:id="rId745">
        <w:r>
          <w:rPr>
            <w:color w:val="0563C1"/>
            <w:u w:val="single"/>
          </w:rPr>
          <w:t>transport.nsw.gov.au</w:t>
        </w:r>
      </w:hyperlink>
      <w:r>
        <w:t xml:space="preserve"> – Alkohol- und Drogenkontrollen im Straßenverkehr</w:t>
      </w:r>
    </w:p>
    <w:p w14:paraId="300CD191" w14:textId="77777777" w:rsidR="001F7233" w:rsidRDefault="001F7233">
      <w:pPr>
        <w:pStyle w:val="ListParagraph"/>
        <w:numPr>
          <w:ilvl w:val="0"/>
          <w:numId w:val="1"/>
        </w:numPr>
        <w:spacing w:after="60"/>
      </w:pPr>
      <w:hyperlink r:id="rId746">
        <w:r>
          <w:rPr>
            <w:color w:val="0563C1"/>
            <w:u w:val="single"/>
          </w:rPr>
          <w:t>germany.info</w:t>
        </w:r>
      </w:hyperlink>
      <w:r>
        <w:t xml:space="preserve"> – konsularische Hilfe für Deutsche in Australien</w:t>
      </w:r>
    </w:p>
    <w:p w14:paraId="76D070F4" w14:textId="77777777" w:rsidR="001F7233" w:rsidRDefault="001F7233">
      <w:pPr>
        <w:spacing w:line="120" w:lineRule="exact"/>
      </w:pPr>
    </w:p>
    <w:p w14:paraId="358A3335" w14:textId="77777777" w:rsidR="001F7233" w:rsidRDefault="00000000">
      <w:r>
        <w:t>• Quellen- und Datenstand: September 2026; Redaktionsschluss: Oktober 2026. Schnell ändern sich: die Fahrregeln für medizinisches Cannabis (NSW-Reform verabschiedet, aber noch nicht in Kraft. Weitere Bundesstaaten könnten folgen), Details des Polizeirechts je Bundesstaat sowie die jährliche Buschbrand- und Zyklonlage. Prüfe vor jeder Entscheidung die aktuellen Seiten der passenden Landesbehörden.</w:t>
      </w:r>
    </w:p>
    <w:p w14:paraId="11DB47C2" w14:textId="77777777" w:rsidR="001F7233" w:rsidRDefault="001F7233">
      <w:pPr>
        <w:spacing w:line="220" w:lineRule="exact"/>
      </w:pPr>
    </w:p>
    <w:p w14:paraId="245C863D" w14:textId="77777777" w:rsidR="001F7233" w:rsidRDefault="00000000">
      <w:pPr>
        <w:pStyle w:val="Heading3"/>
      </w:pPr>
      <w:r>
        <w:t>Waffen und Selbstschutz</w:t>
      </w:r>
    </w:p>
    <w:p w14:paraId="0C96A4CF" w14:textId="77777777" w:rsidR="001F7233" w:rsidRDefault="00000000">
      <w:r>
        <w:t xml:space="preserve">Eine Waffe ist für den normalen Alltag nicht erforderlich. Das Waffenrecht wird von Bund sowie Bundesstaaten und Territorien geregelt; die örtliche Polizei verwaltet üblicherweise Lizenzen. Einfuhrgenehmigung, Lizenz, zugelassener Zweck und sichere Aufbewahrung sind getrennte Prüfungen. Kläre sie vor Kauf oder Mitnahme bei der zuständigen State-/Territory-Polizei und beim </w:t>
      </w:r>
      <w:r>
        <w:lastRenderedPageBreak/>
        <w:t xml:space="preserve">Bund. Für gewöhnliche Sicherheit sind geprüfte Schlösser, Beleuchtung, Rauch- und CO-Melder und ein Notfallplan die ersten Schritte. </w:t>
      </w:r>
      <w:hyperlink r:id="rId747">
        <w:r w:rsidR="001F7233">
          <w:rPr>
            <w:color w:val="0563C1"/>
            <w:u w:val="single"/>
          </w:rPr>
          <w:t>Australian Home Affairs: Firearms</w:t>
        </w:r>
      </w:hyperlink>
    </w:p>
    <w:p w14:paraId="0A3D5A17" w14:textId="77777777" w:rsidR="001F7233" w:rsidRDefault="00000000">
      <w:pPr>
        <w:pStyle w:val="Heading3"/>
      </w:pPr>
      <w:r>
        <w:t>Wildtiere, Haustiere und Alltagssicherheit</w:t>
      </w:r>
    </w:p>
    <w:p w14:paraId="6EB5E35E" w14:textId="77777777" w:rsidR="001F7233" w:rsidRDefault="00000000">
      <w:r>
        <w:t xml:space="preserve">Kängurus und andere Wildtiere können vor allem auf Straßen gefährlich werden; Schlangen und einige andere Tiere verlangen Abstand statt eines eigenen Fang- oder Abwehrversuchs. Fahre in ausgewiesenen Wildtiergebieten vorsichtig, besonders bei Dämmerung und nachts. Halte Hunde von Wildtieren fern und sichere Haustiere, Futter und Abfall. Bei einem Biss oder Stich rufe den örtlichen Notruf und befolge die offiziellen Erste-Hilfe-Anweisungen; nähere dich keinem verletzten Tier. </w:t>
      </w:r>
      <w:hyperlink r:id="rId748">
        <w:r w:rsidR="001F7233">
          <w:rPr>
            <w:color w:val="0563C1"/>
            <w:u w:val="single"/>
          </w:rPr>
          <w:t>Parks ACT: Umgang mit Wildtieren</w:t>
        </w:r>
      </w:hyperlink>
    </w:p>
    <w:p w14:paraId="52E08422" w14:textId="77777777" w:rsidR="001F7233" w:rsidRDefault="00000000">
      <w:pPr>
        <w:pStyle w:val="Heading3"/>
      </w:pPr>
      <w:r>
        <w:t>Coast Guard, Seenotrettung und Strandwachen</w:t>
      </w:r>
    </w:p>
    <w:p w14:paraId="0A39F747" w14:textId="77777777" w:rsidR="001F7233" w:rsidRDefault="00000000">
      <w:r>
        <w:t xml:space="preserve">AMSA koordiniert die maritime Suche und Rettung. In Australien gilt bei Lebensgefahr 000; für maritime Suche und Rettung gibt es außerdem die 24-Stunden-Hotline 1800 641 792. Beach lifesavers und lifeguards sind eine andere, teils örtliche oder saisonale Strandaufsicht. Suche eine patrouillierte Stelle und schwimme zwischen den rot-gelben Flaggen; nicht alle Strände werden bewacht. Prüfe den aktuellen Strandstatus und beaufsichtige Kinder direkt. </w:t>
      </w:r>
      <w:hyperlink r:id="rId749">
        <w:r w:rsidR="001F7233">
          <w:rPr>
            <w:color w:val="0563C1"/>
            <w:u w:val="single"/>
          </w:rPr>
          <w:t>AMSA: Seenotrettung</w:t>
        </w:r>
      </w:hyperlink>
      <w:r>
        <w:t xml:space="preserve"> </w:t>
      </w:r>
      <w:hyperlink r:id="rId750">
        <w:r w:rsidR="001F7233">
          <w:rPr>
            <w:color w:val="0563C1"/>
            <w:u w:val="single"/>
          </w:rPr>
          <w:t>Surf Life Saving Queensland: Flaggen und Sicherheit</w:t>
        </w:r>
      </w:hyperlink>
      <w:r>
        <w:br w:type="page"/>
      </w:r>
    </w:p>
    <w:p w14:paraId="6CD019FC" w14:textId="77777777" w:rsidR="001F7233" w:rsidRDefault="00000000">
      <w:pPr>
        <w:pStyle w:val="Heading2"/>
        <w:keepNext/>
        <w:spacing w:line="341" w:lineRule="auto"/>
        <w:jc w:val="center"/>
      </w:pPr>
      <w:bookmarkStart w:id="105" w:name="tau16"/>
      <w:r>
        <w:rPr>
          <w:rFonts w:ascii="Amazon Ember" w:eastAsia="Amazon Ember" w:hAnsi="Amazon Ember" w:cs="Amazon Ember"/>
          <w:color w:val="0000FF"/>
          <w:sz w:val="36"/>
          <w:szCs w:val="36"/>
        </w:rPr>
        <w:lastRenderedPageBreak/>
        <w:t>Australien: Staatsbürgerschaft und Steuerresidenz</w:t>
      </w:r>
      <w:bookmarkEnd w:id="105"/>
    </w:p>
    <w:p w14:paraId="0681C56C" w14:textId="77777777" w:rsidR="001F7233" w:rsidRDefault="00000000">
      <w:r>
        <w:rPr>
          <w:b/>
        </w:rPr>
        <w:t xml:space="preserve">KURZ GESAGT: </w:t>
      </w:r>
    </w:p>
    <w:p w14:paraId="3B7F70DD" w14:textId="77777777" w:rsidR="001F7233" w:rsidRDefault="00000000">
      <w:r>
        <w:t>• Staatsbürgerschaft setzt meist vier Jahre rechtmäßigen Aufenthalt unmittelbar vor Antragstellung voraus, davon die letzten zwölf Monate als Permanent Resident (PR). Zwei getrennte Abwesenheitsgrenzen gelten gleichzeitig.</w:t>
      </w:r>
    </w:p>
    <w:p w14:paraId="2319A3B5" w14:textId="77777777" w:rsidR="001F7233" w:rsidRDefault="00000000">
      <w:r>
        <w:t>• Citizenship Test: 20 Fragen, mindestens 15 richtig (75 %) UND alle fünf Pflichtfragen zu „Australian Values“ korrekt. Befreiung von Test und Sprachnachweis ab 60 Jahren, das persönliche Interview bleibt aber Pflicht.</w:t>
      </w:r>
    </w:p>
    <w:p w14:paraId="29AA0CEE" w14:textId="77777777" w:rsidR="001F7233" w:rsidRDefault="00000000">
      <w:r>
        <w:t>• Gebühr 595 AUD (seit 1. Juli 2026); realistische Gesamtdauer von der Einreise bis zum Pass vier bis acht Jahre, je nachdem, über welchen Weg der PR-Status erreicht wurde.</w:t>
      </w:r>
    </w:p>
    <w:p w14:paraId="7BBEC672" w14:textId="77777777" w:rsidR="001F7233" w:rsidRDefault="00000000">
      <w:r>
        <w:t>• Doppelte Staatsbürgerschaft ist seit 2002 (Australien) und seit dem 27. Juni 2024 (Deutschland) für beide Seiten unproblematisch. Für Einbürgerungen vor diesem Datum kann die alte, strengere deutsche Rechtslage noch nachwirken.</w:t>
      </w:r>
    </w:p>
    <w:p w14:paraId="60D00843" w14:textId="77777777" w:rsidR="001F7233" w:rsidRDefault="00000000">
      <w:r>
        <w:t>• Verbreiteter Irrtum: Australien besteuert nach Steuerwohnsitz, nicht nach Pass. Anders als die USA gibt es keine an die Staatsbürgerschaft gekoppelte, lebenslange Steuerpflicht und keine Exit Tax beim Verzicht auf die australische Staatsbürgerschaft.</w:t>
      </w:r>
    </w:p>
    <w:p w14:paraId="27D9CE21" w14:textId="77777777" w:rsidR="001F7233" w:rsidRDefault="001F7233">
      <w:pPr>
        <w:spacing w:line="220" w:lineRule="exact"/>
      </w:pPr>
    </w:p>
    <w:p w14:paraId="69C58F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5B0C9426" w14:textId="77777777" w:rsidR="001F7233" w:rsidRDefault="00000000">
      <w:r>
        <w:rPr>
          <w:b/>
        </w:rPr>
        <w:t>Direkt mit PR-Visum (z. B. Subclass 189)</w:t>
      </w:r>
    </w:p>
    <w:p w14:paraId="0C9C4DC6" w14:textId="77777777" w:rsidR="001F7233" w:rsidRDefault="00000000">
      <w:r>
        <w:rPr>
          <w:b/>
        </w:rPr>
        <w:t xml:space="preserve">Realistische Gesamtdauer Einreise → Antrag: </w:t>
      </w:r>
      <w:r>
        <w:t>ca. 4–5 Jahre</w:t>
      </w:r>
    </w:p>
    <w:p w14:paraId="636061D8" w14:textId="77777777" w:rsidR="001F7233" w:rsidRDefault="00000000">
      <w:r>
        <w:rPr>
          <w:b/>
        </w:rPr>
        <w:t>Befristetes Arbeitgeber-Visum → PR-Übergang</w:t>
      </w:r>
    </w:p>
    <w:p w14:paraId="03968F29" w14:textId="77777777" w:rsidR="001F7233" w:rsidRDefault="00000000">
      <w:r>
        <w:rPr>
          <w:b/>
        </w:rPr>
        <w:t xml:space="preserve">Realistische Gesamtdauer Einreise → Antrag: </w:t>
      </w:r>
      <w:r>
        <w:t>ca. 6–8 Jahre</w:t>
      </w:r>
    </w:p>
    <w:p w14:paraId="41FEDCC1" w14:textId="77777777" w:rsidR="001F7233" w:rsidRDefault="001F7233">
      <w:pPr>
        <w:spacing w:line="180" w:lineRule="exact"/>
      </w:pPr>
    </w:p>
    <w:p w14:paraId="6967AF2E" w14:textId="77777777" w:rsidR="001F7233" w:rsidRDefault="00000000">
      <w:pPr>
        <w:spacing w:after="140"/>
      </w:pPr>
      <w:r>
        <w:rPr>
          <w:i/>
          <w:iCs/>
        </w:rPr>
        <w:lastRenderedPageBreak/>
        <w:t>Der Weg über ein befristetes Arbeitgeber-Visum (Temporary Skill Shortage Visa, Subclass 482) führt seit einer Regeländerung schon nach zwei statt zuvor drei Jahren Sponsoring zum Employer Nomination Scheme-Visum (Subclass 186), der permanenten Stufe. Diese Verkürzung betrifft aber nur den Zugang zum PR-Antrag selbst. Die anschließende Bearbeitung dieses Antrags dauert nach aktuellen Zahlen oft noch einmal 13 bis 22 Monate und erst danach beginnt die für die Staatsbürgerschaft entscheidende 12-Monats-PR-Uhr zu laufen. Wer die Zwei-Jahres-Verkürzung mit der Staatsbürgerschafts-Frist verwechselt, plant seinen Zeitplan leicht zu optimistisch.</w:t>
      </w:r>
    </w:p>
    <w:p w14:paraId="49B854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zwei Grenzen gleichzeitig</w:t>
      </w:r>
    </w:p>
    <w:p w14:paraId="3F7F1B7F" w14:textId="77777777" w:rsidR="001F7233" w:rsidRDefault="00000000">
      <w:pPr>
        <w:spacing w:after="140"/>
      </w:pPr>
      <w:r>
        <w:t>Die formale Voraussetzung klingt einfach: vier Jahre rechtmäßiger Aufenthalt unmittelbar vor der Antragstellung, davon die letzten zwölf Monate als PR. Der Teufel steckt in zwei unabhängigen Abwesenheitsgrenzen, die beide gleichzeitig eingehalten werden müssen: höchstens zwölf Monate Gesamtabwesenheit über die gesamten vier Jahre und auch höchstens 90 Tage Abwesenheit in den letzten zwölf Monaten vor Antragstellung. Beide Grenzen sind voneinander unabhängig – eine Familie kann die 12-Monats-Gesamtgrenze locker einhalten und trotzdem an der 90-Tage-Grenze scheitern, wenn mehrere kürzere Heimatbesuche ins letzte Jahr fallen.</w:t>
      </w:r>
    </w:p>
    <w:p w14:paraId="0A4EBDDE" w14:textId="77777777" w:rsidR="001F7233" w:rsidRDefault="00000000">
      <w:r>
        <w:rPr>
          <w:b/>
        </w:rPr>
        <w:t xml:space="preserve">ACHTUNG: </w:t>
      </w:r>
    </w:p>
    <w:p w14:paraId="09D6A240" w14:textId="77777777" w:rsidR="001F7233" w:rsidRDefault="00000000">
      <w:r>
        <w:t>• Der häufigste Fehler ist, nur die große Zahl im Kopf zu behalten und die 90-Tage-Grenze im letzten Jahr vor Antragstellung zu übersehen. Mehrere kurze Deutschlandbesuche summieren sich schneller, als man denkt. Nutze vor der Antragstellung den offiziellen Residence Calculator der Einwanderungsbehörde, um beide Grenzen sauber zu prüfen.</w:t>
      </w:r>
    </w:p>
    <w:p w14:paraId="0A1B385C" w14:textId="77777777" w:rsidR="001F7233" w:rsidRDefault="001F7233">
      <w:pPr>
        <w:spacing w:line="220" w:lineRule="exact"/>
      </w:pPr>
    </w:p>
    <w:p w14:paraId="514DE35C" w14:textId="77777777" w:rsidR="001F7233" w:rsidRDefault="00000000">
      <w:pPr>
        <w:spacing w:after="140"/>
      </w:pPr>
      <w:r>
        <w:lastRenderedPageBreak/>
        <w:t>Ein zweiter, oft übersehener Punkt betrifft nicht die Staatsbürgerschaft, sondern den PR-Status selbst: Ein permanentes Visum trägt meist nur für die ersten fünf Jahre eine gültige Reiseberechtigung (</w:t>
      </w:r>
      <w:r>
        <w:rPr>
          <w:i/>
          <w:iCs/>
        </w:rPr>
        <w:t>Travel Facility</w:t>
      </w:r>
      <w:r>
        <w:t>). Danach brauchst du, solange du noch nicht eingebürgert bist, ein eigenes Anschlussvisum (</w:t>
      </w:r>
      <w:r>
        <w:rPr>
          <w:i/>
          <w:iCs/>
        </w:rPr>
        <w:t>Resident Return Visa</w:t>
      </w:r>
      <w:r>
        <w:t>), um als PR weiterhin problemlos aus- und wieder einzureisen. Wer das übersieht, riskiert an der Grenze unangenehme Rückfragen, auch wenn der PR-Status im Inland selbst davon unberührt bleibt.</w:t>
      </w:r>
    </w:p>
    <w:p w14:paraId="34181445" w14:textId="77777777" w:rsidR="001F7233" w:rsidRDefault="001F7233">
      <w:pPr>
        <w:spacing w:line="220" w:lineRule="exact"/>
      </w:pPr>
    </w:p>
    <w:p w14:paraId="1ACE58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Citizenship Test und die Zeremonie</w:t>
      </w:r>
    </w:p>
    <w:p w14:paraId="79208B39" w14:textId="77777777" w:rsidR="001F7233" w:rsidRDefault="00000000">
      <w:pPr>
        <w:spacing w:after="140"/>
      </w:pPr>
      <w:r>
        <w:rPr>
          <w:i/>
          <w:iCs/>
        </w:rPr>
        <w:t>Der Staatskundetest (Citizenship Test) besteht aus 20 Multiple-Choice-Fragen zu australischer Geschichte, Regierungssystem und gesellschaftlichen Werten, Bearbeitungszeit 45 Minuten. Bestehen erfordert zwei Dinge gleichzeitig: mindestens 15 von 20 Fragen richtig (75 %) und auch alle 5 Pflichtfragen zu den „Australian Values“ korrekt beantwortet. Fällt der Test durch, ist ein kostenloser Wiederholungstermin möglich. Ab 60 Jahren am Tag der Antragstellung entfällt der Test vollständig, ebenso der gesonderte Englischnachweis. Das persönliche Interview zur Prüfung von Aufenthalt und Charakter bleibt trotzdem Pflicht. Einen eigenständigen Sprachtest kennt Australien anders als Kanada nicht. Wer den englischsprachigen Staatskundetest besteht, gilt automatisch als ausreichend sprachkundig.</w:t>
      </w:r>
    </w:p>
    <w:p w14:paraId="708A06AF" w14:textId="77777777" w:rsidR="001F7233" w:rsidRDefault="00000000">
      <w:pPr>
        <w:spacing w:after="140"/>
      </w:pPr>
      <w:r>
        <w:rPr>
          <w:i/>
          <w:iCs/>
        </w:rPr>
        <w:t>Nach der Genehmigung folgt die Einbürgerungszeremonie, das Pledge of Commitment (in zwei Fassungen, mit oder ohne Gottesbezug), geleitet von einem dazu berechtigten Presiding Officer, meist dem Bürgermeister der Gemeinde. Erst mit dem gesprochenen Bekenntnis bist du formal Staatsbürger.</w:t>
      </w:r>
    </w:p>
    <w:p w14:paraId="7A2F66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mehr als eine Formalität</w:t>
      </w:r>
    </w:p>
    <w:p w14:paraId="078A9098" w14:textId="77777777" w:rsidR="001F7233" w:rsidRDefault="00000000">
      <w:pPr>
        <w:spacing w:after="140"/>
      </w:pPr>
      <w:r>
        <w:rPr>
          <w:i/>
          <w:iCs/>
        </w:rPr>
        <w:t>Neben Aufenthalt und Test prüft die Einwanderungsbehörde Home Affairs bei jedem Antragsteller ab 18 Jahren die charakterliche Eignung (Good Character) und gleicht dabei alle bisherigen Visumanträge auf Widersprüche ab. Nach Auswertungen australischer Kanzleien führen erstaunlich oft vermeintliche Bagatellen zu Ablehnungen: nicht offengelegte, auch länger zurückliegende Vorstrafen, Ungereimtheiten zu früheren Visa-Angaben oder familiäre Gewaltschutzanordnungen, bei denen Home Affairs kaum Toleranz zeigt. Gib deshalb bei jedem Antrag – auch dem allerersten Visumantrag Jahre zuvor. Wirklich jede Vorstrafe an, selbst wenn sie dir in Deutschland geringfügig erscheint. Im Zweifel prüft die Behörde ohnehin nach.</w:t>
      </w:r>
    </w:p>
    <w:p w14:paraId="69D9DC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w14:paraId="65E841D0" w14:textId="77777777" w:rsidR="001F7233" w:rsidRDefault="00000000">
      <w:pPr>
        <w:spacing w:after="140"/>
      </w:pPr>
      <w:r>
        <w:t>Die Antragsgebühr für Erwachsene liegt seit dem 1. Juli 2026 bei 595 AUD und deckt Antrag, Test und Zeremonie ab; eine erneute Testrunde kostet nichts extra. Die Bearbeitung selbst geht oft zügig. Rund die Hälfte der Anträge ist innerhalb von 60 Tagen entschieden –, doch die für dich spürbare Gesamtstrecke ist eine andere: Von Antragstellung bis zur tatsächlichen Zeremonie vergehen im Median etwa acht Monate, bei neun von zehn Anträgen bis zu 13 Monate. Plane diese Wartezeit realistisch ein, etwa wenn du auf den australischen Pass für eine bestimmte Reise oder berufliche Gelegenheit angewiesen bist.</w:t>
      </w:r>
    </w:p>
    <w:p w14:paraId="1A31BAD5" w14:textId="77777777" w:rsidR="001F7233" w:rsidRDefault="00000000">
      <w:pPr>
        <w:spacing w:after="140"/>
      </w:pPr>
      <w:r>
        <w:rPr>
          <w:i/>
          <w:iCs/>
        </w:rPr>
        <w:t xml:space="preserve">Der Ablauf gliedert sich in vier Schritte: Zuerst stellst du den Antrag online über das ImmiAccount-Portal und lädst Nachweise zu Aufenthalt, Identität und falls nötig Vorstrafen hoch. Danach folgen Staatskundetest und persönliches Interview, meist an einem Termin. Nach der Genehmigung lädt dich Home Affairs zur Pledge-Zeremonie </w:t>
      </w:r>
      <w:r>
        <w:rPr>
          <w:i/>
          <w:iCs/>
        </w:rPr>
        <w:lastRenderedPageBreak/>
        <w:t>ein, oft im Rahmen einer gemeinsamen Feier der Gemeinde mit mehreren anderen neuen Staatsbürgern. Erst danach beantragst du den australischen Reisepass separat beim Passport Office.</w:t>
      </w:r>
    </w:p>
    <w:p w14:paraId="00D930EF" w14:textId="77777777" w:rsidR="001F7233" w:rsidRDefault="00000000">
      <w:r>
        <w:rPr>
          <w:b/>
        </w:rPr>
        <w:t xml:space="preserve">SPARTIPP: </w:t>
      </w:r>
    </w:p>
    <w:p w14:paraId="2736F31A" w14:textId="77777777" w:rsidR="001F7233" w:rsidRDefault="00000000">
      <w:r>
        <w:t>• Ein Anwalt ist für den Einbürgerungsantrag nicht vorgeschrieben. Bei einer sauberen Aktenlage ohne Vorstrafen oder Lücken im Reiseprotokoll lässt sich der Antrag in aller Regel gut in Eigenregie stellen. Anwaltliche Hilfe lohnt sich vor allem, wenn Vorstrafen, ungeklärte frühere Visa-Angaben oder komplizierte Auslandsaufenthalte im Spiel sind.</w:t>
      </w:r>
    </w:p>
    <w:p w14:paraId="021901B8" w14:textId="77777777" w:rsidR="001F7233" w:rsidRDefault="001F7233">
      <w:pPr>
        <w:spacing w:line="220" w:lineRule="exact"/>
      </w:pPr>
    </w:p>
    <w:p w14:paraId="1463A3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Australien und Deutschland</w:t>
      </w:r>
    </w:p>
    <w:p w14:paraId="4D876203" w14:textId="77777777" w:rsidR="001F7233" w:rsidRDefault="00000000">
      <w:pPr>
        <w:spacing w:after="140"/>
      </w:pPr>
      <w:r>
        <w:t>Australien erkennt Mehrstaatigkeit seit 2002 uneingeschränkt an. Ein Verzicht auf die deutsche Staatsangehörigkeit wird für die australische Einbürgerung nicht verlangt.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Australier wird, behält die deutsche Staatsangehörigkeit automatisch, ganz ohne die früher nötige Beibehaltungsgenehmigung.</w:t>
      </w:r>
    </w:p>
    <w:p w14:paraId="5DC7DBE0" w14:textId="77777777" w:rsidR="001F7233" w:rsidRDefault="00000000">
      <w:r>
        <w:rPr>
          <w:b/>
        </w:rPr>
        <w:t xml:space="preserve">ACHTUNG: </w:t>
      </w:r>
    </w:p>
    <w:p w14:paraId="574B0D2B" w14:textId="77777777" w:rsidR="001F7233" w:rsidRDefault="00000000">
      <w:r>
        <w:t>• Die Reform wirkt nicht rückwirkend. Wer sich vor dem 27. Juni 2024 in Australien einbürgern ließ, ohne vorher eine Beibehaltungsgenehmigung eingeholt zu haben, hat die deutsche Staatsangehörigkeit nach damaliger Rechtslage verloren – dieser Verlust bleibt bestehen. Betroffene sollten eine individuelle Prüfung beim passenden deutschen Generalkonsulat vornehmen lassen, vor allem wenn sie schon länger in Australien leben.</w:t>
      </w:r>
    </w:p>
    <w:p w14:paraId="754520EE" w14:textId="77777777" w:rsidR="001F7233" w:rsidRDefault="001F7233">
      <w:pPr>
        <w:spacing w:line="220" w:lineRule="exact"/>
      </w:pPr>
    </w:p>
    <w:p w14:paraId="780D4364" w14:textId="77777777" w:rsidR="001F7233" w:rsidRDefault="00000000">
      <w:pPr>
        <w:spacing w:after="140"/>
      </w:pPr>
      <w:r>
        <w:t>Vor der Reform musste, wer die deutsche Staatsangehörigkeit trotz einer Einbürgerung im Ausland behalten wollte, vorab eine Beibehaltungsgenehmigung beim Bundesverwaltungsamt beantragen. Ein eigenes, oft langwieriges Verfahren mit Ermessensspielraum der Behörde. Seit dem 27. Juni 2024 entfällt dieser Schritt für alle künftigen Einbürgerungen ersatzlos: Die deutsche Staatsangehörigkeit bleibt automatisch erhalten, ganz ohne Antrag.</w:t>
      </w:r>
    </w:p>
    <w:p w14:paraId="2FDF5A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geboren in Australien oder im Ausland</w:t>
      </w:r>
    </w:p>
    <w:p w14:paraId="26914EC6" w14:textId="77777777" w:rsidR="001F7233" w:rsidRDefault="00000000">
      <w:pPr>
        <w:spacing w:after="140"/>
      </w:pPr>
      <w:r>
        <w:rPr>
          <w:i/>
          <w:iCs/>
        </w:rPr>
        <w:t>Für Kinder gilt in Australien, anders als etwa in Kanada, kein unbedingtes Geburtsortsprinzip. Ein in Australien geborenes Kind wird nur dann automatisch Staatsbürger, wenn zum Geburtszeitpunkt mindestens ein Elternteil australischer Staatsbürger oder Permanent Resident ist. Ist das nicht der Fall, wird das Kind erst mit dem zehnten Geburtstag automatisch Staatsbürger. Wenn, es hat die gesamten ersten zehn Lebensjahre gewöhnlich in Australien gelebt. Wird ein Kind im Ausland geboren, etwa bei einem Deutschlandbesuch und ist ein Elternteil bereits australischer Staatsbürger, lässt sich die Staatsbürgerschaft über Citizenship by Descent registrieren (Gebühr 370 AUD für das erste Kind, 150 AUD je weiteres Geschwisterkind). Ohne diese Registrierung entsteht sie nicht automatisch. Die deutsche Seite bleibt davon unberührt: Ein Kind mit einem deutschen Elternteil ist unabhängig vom Geburtsort von Geburt an deutsch.</w:t>
      </w:r>
    </w:p>
    <w:p w14:paraId="2F87D0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086618FF" w14:textId="77777777" w:rsidR="001F7233" w:rsidRDefault="00000000">
      <w:pPr>
        <w:spacing w:after="140"/>
      </w:pPr>
      <w:r>
        <w:t xml:space="preserve">Hier liegt der wichtigste Unterschied zur US-Regelung, die viele Auswanderer verunsichert, sobald sie zum ersten Mal davon hören: </w:t>
      </w:r>
      <w:r>
        <w:lastRenderedPageBreak/>
        <w:t>Die australische Finanzbehörde ATO (</w:t>
      </w:r>
      <w:r>
        <w:rPr>
          <w:i/>
          <w:iCs/>
        </w:rPr>
        <w:t>Australian Taxation Office</w:t>
      </w:r>
      <w:r>
        <w:t>) besteuert nach Steuerwohnsitz (</w:t>
      </w:r>
      <w:r>
        <w:rPr>
          <w:i/>
          <w:iCs/>
        </w:rPr>
        <w:t>Residency</w:t>
      </w:r>
      <w:r>
        <w:t xml:space="preserve">), nicht nach Staatsangehörigkeit. Wer als </w:t>
      </w:r>
      <w:r>
        <w:rPr>
          <w:i/>
          <w:iCs/>
        </w:rPr>
        <w:t>Tax Resident</w:t>
      </w:r>
      <w:r>
        <w:t xml:space="preserve"> gilt – die genauen Kriterien wie der Wohnsitz- und der 183-Tage-Test sind ein eigenes, komplexes Thema und im </w:t>
      </w:r>
      <w:hyperlink w:anchor="tau07">
        <w:r w:rsidR="001F7233">
          <w:rPr>
            <w:color w:val="0563C1"/>
            <w:u w:val="single"/>
          </w:rPr>
          <w:t>Kapitel zu Steuer-ID, Bank und Kredit in diesem Teil</w:t>
        </w:r>
      </w:hyperlink>
      <w:r>
        <w:t xml:space="preserve"> ausführlicher erklärt –, versteuert sein weltweites Einkommen in Australien, unabhängig davon, welchen Pass er trägt. Wer diese Kriterien nicht mehr erfüllt, etwa weil Wohnsitz, Familie und Lebensmittelpunkt zurück nach Deutschland verlagert wurden, gilt als </w:t>
      </w:r>
      <w:r>
        <w:rPr>
          <w:i/>
          <w:iCs/>
        </w:rPr>
        <w:t>Foreign Resident</w:t>
      </w:r>
      <w:r>
        <w:t xml:space="preserve"> und zahlt nur noch auf australische Quelleneinkünfte Steuern – auch dann, wenn er weiterhin den australischen Pass besitzt.</w:t>
      </w:r>
    </w:p>
    <w:p w14:paraId="4FD99167" w14:textId="77777777" w:rsidR="001F7233" w:rsidRDefault="00000000">
      <w:pPr>
        <w:spacing w:after="140"/>
      </w:pPr>
      <w:r>
        <w:t xml:space="preserve">Ob du als Tax Resident giltst, entscheidet die ATO anhand mehrerer Tests. Keiner davon ist allein ausschlaggebend. Dazu zählen der Domicile Test (liegt dein rechtlicher Wohnsitz in Australien und hast du keinen dauerhaften Wohnsitz anderswo aufgebaut?), der 183-Day Test (mehr als 183 Tage Aufenthalt innerhalb eines Steuerjahres) und für Beschäftigte im öffentlichen Dienst ein eigener Test zur Mitgliedschaft im staatlichen Pensionssystem. Details zu diesen Tests stehen im </w:t>
      </w:r>
      <w:r>
        <w:rPr>
          <w:i/>
          <w:iCs/>
        </w:rPr>
      </w:r>
      <w:r/>
      <w:r>
        <w:rPr>
          <w:i/>
          <w:iCs/>
        </w:rPr>
      </w:r>
      <w:r/>
      <w:hyperlink w:anchor="tau07">
        <w:r w:rsidR="001F7233">
          <w:rPr>
            <w:color w:val="0563C1"/>
            <w:u w:val="single"/>
          </w:rPr>
          <w:t>Kapitel zu Steuer-ID, Bank und Kredit in diesem Teil</w:t>
        </w:r>
      </w:hyperlink>
      <w:r/>
      <w:r>
        <w:t>.</w:t>
      </w:r>
    </w:p>
    <w:p w14:paraId="68AC010B" w14: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Das lässt sich im Teil zu den USA in diesem Buch nachlesen. In Australien gibt es dieses Konstrukt nicht: Der Verzicht auf die australische Staatsbürgerschaft selbst kostet nur eine Verwaltungsgebühr, keine gesonderte Steuer. Wer als Steuerresident auswandert und die Wohnsitzkriterien aufgibt, kann dadurch zwar steuerliche Folgen für sein Vermögen haben. Das betrifft dann aber jeden, der die steuerliche Ansässigkeit beendet, unabhängig davon, ob er den Pass behält oder abgibt. Das ist eine Frage des Steuerwohnsitzes, keine Frage der Staatsangehörigkeit.</w:t>
      </w:r>
    </w:p>
    <w:p w14:paraId="29B10107" w14:textId="77777777" w:rsidR="001F7233" w:rsidRDefault="00000000">
      <w:r>
        <w:rPr>
          <w:b/>
        </w:rPr>
        <w:lastRenderedPageBreak/>
        <w:t xml:space="preserve">MERKE: </w:t>
      </w:r>
    </w:p>
    <w:p w14:paraId="068130F4" w14:textId="77777777" w:rsidR="001F7233" w:rsidRDefault="00000000">
      <w:r>
        <w:t>• Der australische Pass hat keine steuerlichen Nebenwirkungen. Was zählt, ist immer, wo du tatsächlich lebst. Nicht, welchen Ausweis du dabei in der Tasche trägst.</w:t>
      </w:r>
    </w:p>
    <w:p w14:paraId="253FB817" w14:textId="77777777" w:rsidR="001F7233" w:rsidRDefault="001F7233">
      <w:pPr>
        <w:spacing w:line="220" w:lineRule="exact"/>
      </w:pPr>
    </w:p>
    <w:p w14:paraId="18860DB8" w14:textId="77777777" w:rsidR="001F7233" w:rsidRDefault="001F7233">
      <w:pPr>
        <w:spacing w:line="220" w:lineRule="exact"/>
      </w:pPr>
    </w:p>
    <w:p w14:paraId="69C90AA2" w14:textId="77777777" w:rsidR="001F7233" w:rsidRDefault="00000000">
      <w:r>
        <w:t>• Dieses Kapitel erklärt den Weg zur Staatsbürgerschaft und das Grundprinzip der australischen Steuerresidenz. Es ersetzt keine Rechts- oder Steuerberatung. Ob du im Einzelfall als Tax Resident giltst, wie sich ein Wegzug aus Australien konkret auswirkt und wie das Doppelbesteuerungsabkommen mit deutschem Einkommen, Vermögen oder der gesetzlichen Rente umgeht, hängt von Details ab. Lass das von einer australischen Steuerfachperson prüfen, die sich mit einer deutschen abstimmt.</w:t>
      </w:r>
    </w:p>
    <w:p w14:paraId="60A9CAEE" w14:textId="77777777" w:rsidR="001F7233" w:rsidRDefault="001F7233">
      <w:pPr>
        <w:spacing w:line="220" w:lineRule="exact"/>
      </w:pPr>
    </w:p>
    <w:p w14:paraId="6CDB03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Staatsbürgerschaft und Steuerresidenz</w:t>
      </w:r>
    </w:p>
    <w:p w14:paraId="292B96D2" w14:textId="77777777" w:rsidR="001F7233" w:rsidRDefault="00000000">
      <w:r>
        <w:rPr>
          <w:b/>
        </w:rPr>
        <w:t>Plus: Kein Zwang zur Aufgabe der deutschen Staatsangehörigkeit</w:t>
      </w:r>
    </w:p>
    <w:p w14:paraId="0845C771" w14:textId="77777777" w:rsidR="001F7233" w:rsidRDefault="00000000">
      <w:r>
        <w:rPr>
          <w:b/>
        </w:rPr>
        <w:t xml:space="preserve">Minus: </w:t>
      </w:r>
      <w:r>
        <w:t>Zwei unabhängige Abwesenheitsgrenzen sind leicht zu übersehen</w:t>
      </w:r>
    </w:p>
    <w:p w14:paraId="7800E2A9" w14:textId="77777777" w:rsidR="001F7233" w:rsidRDefault="00000000">
      <w:r>
        <w:rPr>
          <w:b/>
        </w:rPr>
        <w:t>Plus: Kein eigenständiger Sprachtest, der Staatskundetest genügt</w:t>
      </w:r>
    </w:p>
    <w:p w14:paraId="55045877" w14:textId="77777777" w:rsidR="001F7233" w:rsidRDefault="00000000">
      <w:r>
        <w:rPr>
          <w:b/>
        </w:rPr>
        <w:t xml:space="preserve">Minus: </w:t>
      </w:r>
      <w:r>
        <w:t>Staatskundetest verlangt zusätzlich 100 % bei den Werte-Pflichtfragen</w:t>
      </w:r>
    </w:p>
    <w:p w14:paraId="22C2BCCD" w14:textId="77777777" w:rsidR="001F7233" w:rsidRDefault="00000000">
      <w:r>
        <w:rPr>
          <w:b/>
        </w:rPr>
        <w:t>Plus: Steuerpflicht endet mit dem Steuerwohnsitz, nicht mit dem Pass</w:t>
      </w:r>
    </w:p>
    <w:p w14:paraId="23D1C9B5" w14:textId="77777777" w:rsidR="001F7233" w:rsidRDefault="00000000">
      <w:r>
        <w:rPr>
          <w:b/>
        </w:rPr>
        <w:t xml:space="preserve">Minus: </w:t>
      </w:r>
      <w:r>
        <w:t>Gesamtdauer bis zum Pass real oft 6 bis 8 Jahre, nicht 4</w:t>
      </w:r>
    </w:p>
    <w:p w14:paraId="4233F84D" w14:textId="77777777" w:rsidR="001F7233" w:rsidRDefault="00000000">
      <w:r>
        <w:rPr>
          <w:b/>
        </w:rPr>
        <w:t>Plus: Keine Exit Tax beim Verzicht auf die Staatsbürgerschaft</w:t>
      </w:r>
    </w:p>
    <w:p w14:paraId="5EC969C1" w14:textId="77777777" w:rsidR="001F7233" w:rsidRDefault="00000000">
      <w:r>
        <w:rPr>
          <w:b/>
        </w:rPr>
        <w:t xml:space="preserve">Minus: </w:t>
      </w:r>
      <w:r>
        <w:t>Wartezeit bis zur Zeremonie kann 8 bis 13 Monate betragen</w:t>
      </w:r>
    </w:p>
    <w:p w14:paraId="6FEAEB66" w14:textId="77777777" w:rsidR="001F7233" w:rsidRDefault="00000000">
      <w:r>
        <w:rPr>
          <w:b/>
        </w:rPr>
        <w:t>Plus: Altersbefreiung vom Test erleichtert älteren Einwanderern den Weg</w:t>
      </w:r>
    </w:p>
    <w:p w14:paraId="2255A38A" w14:textId="77777777" w:rsidR="001F7233" w:rsidRDefault="00000000">
      <w:r>
        <w:rPr>
          <w:b/>
        </w:rPr>
        <w:lastRenderedPageBreak/>
        <w:t xml:space="preserve">Minus: </w:t>
      </w:r>
      <w:r>
        <w:t>Reform von 2024 wirkt nicht rückwirkend für ältere Einbürgerungsfälle</w:t>
      </w:r>
    </w:p>
    <w:p w14:paraId="4A6FA5CC" w14:textId="77777777" w:rsidR="001F7233" w:rsidRDefault="001F7233">
      <w:pPr>
        <w:spacing w:line="180" w:lineRule="exact"/>
      </w:pPr>
    </w:p>
    <w:p w14:paraId="383853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3EB581D" w14:textId="77777777" w:rsidR="001F7233" w:rsidRDefault="00000000">
      <w:pPr>
        <w:spacing w:after="140"/>
      </w:pPr>
      <w:r>
        <w:t>Rechne früh aus, über welchen Weg du realistisch den PR-Status erreichst, denn davon hängt die gesamte weitere Zeitachse ab. Nutze rechtzeitig vor dem Antrag den offiziellen Residence Calculator, um beide Abwesenheitsgrenzen zu prüfen, nicht nur die große 4-Jahres-Zahl. Lerne für den Staatskundetest gezielt die Werte-Fragen mit und rechne die Wartezeit bis zur Zeremonie realistisch in deine Pläne ein. Bei der Steuerresidenz gilt: Sprich frühzeitig mit einer Steuerfachperson, sobald du regelmäßig deutsches Einkommen neben dem australischen hast. Das betrifft dich unabhängig davon, ob du je einbürgern willst.</w:t>
      </w:r>
    </w:p>
    <w:p w14:paraId="56A03A55" w14:textId="77777777" w:rsidR="001F7233" w:rsidRDefault="00000000">
      <w:r>
        <w:t>• Eigenen Einstiegsweg (direktes PR-Visum oder Übergang vom befristeten Visum) und realistische Gesamtdauer bis zum Antrag eingeschätzt.</w:t>
      </w:r>
    </w:p>
    <w:p w14:paraId="5BEABB00" w14:textId="77777777" w:rsidR="001F7233" w:rsidRDefault="00000000">
      <w:r>
        <w:t>• Residence Calculator genutzt, um beide Abwesenheitsgrenzen (12 Monate/4 Jahre und 90 Tage/letzte 12 Monate) zu prüfen</w:t>
      </w:r>
    </w:p>
    <w:p w14:paraId="5714CCF6" w14:textId="77777777" w:rsidR="001F7233" w:rsidRDefault="00000000">
      <w:r>
        <w:t>• Reiseprotokoll aller Auslandsaufenthalte seit Beginn des PR-Status geführt</w:t>
      </w:r>
    </w:p>
    <w:p w14:paraId="5407CAAA" w14:textId="77777777" w:rsidR="001F7233" w:rsidRDefault="00000000">
      <w:r>
        <w:t>• Staatskundetest vorbereitet, insbesondere die fünf Pflichtfragen zu „Australian Values“</w:t>
      </w:r>
    </w:p>
    <w:p w14:paraId="49F6B8AB" w14:textId="77777777" w:rsidR="001F7233" w:rsidRDefault="00000000">
      <w:r>
        <w:t>• Alle Vorstrafen und Ungereimtheiten zu früheren Visa-Angaben vollständig offengelegt</w:t>
      </w:r>
    </w:p>
    <w:p w14:paraId="19175AF4" w14:textId="77777777" w:rsidR="001F7233" w:rsidRDefault="00000000">
      <w:r>
        <w:t>• Bei im Ausland geborenen Kindern: Citizenship by Descent rechtzeitig registriert</w:t>
      </w:r>
    </w:p>
    <w:p w14:paraId="30090C85" w14:textId="77777777" w:rsidR="001F7233" w:rsidRDefault="00000000">
      <w:r>
        <w:t>• Bei Antragstellung ab 60 Jahren die Befreiung von Test und Sprachnachweis geprüft</w:t>
      </w:r>
    </w:p>
    <w:p w14:paraId="663227E6" w14:textId="77777777" w:rsidR="001F7233" w:rsidRDefault="00000000">
      <w:r>
        <w:t>• Wartezeit bis zur Zeremonie (median acht, bis zu 13 Monate) in eigene Pläne eingerechnet</w:t>
      </w:r>
    </w:p>
    <w:p w14:paraId="2D319DBD" w14:textId="77777777" w:rsidR="001F7233" w:rsidRDefault="00000000">
      <w:r>
        <w:lastRenderedPageBreak/>
        <w:t>• Bei Einbürgerung vor dem 27. Juni 2024: eigenen Fall zur deutschen Staatsangehörigkeit beim Generalkonsulat prüfen lassen</w:t>
      </w:r>
    </w:p>
    <w:p w14:paraId="637D26D0" w14:textId="77777777" w:rsidR="001F7233" w:rsidRDefault="00000000">
      <w:r>
        <w:t>• Eigenen steuerlichen Status (Tax Resident oder Foreign Resident) mit einer Steuerfachperson geklärt</w:t>
      </w:r>
    </w:p>
    <w:p w14:paraId="5346DA85" w14:textId="77777777" w:rsidR="001F7233" w:rsidRDefault="00000000">
      <w:r>
        <w:t>• Deutsches Nebeneinkommen (Miete, Freelance-Aufträge, Kapitalerträge) auf australische Meldepflicht geprüft</w:t>
      </w:r>
    </w:p>
    <w:p w14:paraId="6039FBCD" w14:textId="77777777" w:rsidR="001F7233" w:rsidRDefault="001F7233">
      <w:pPr>
        <w:spacing w:line="220" w:lineRule="exact"/>
      </w:pPr>
    </w:p>
    <w:p w14:paraId="2B7DDF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6EE97E1" w14:textId="77777777" w:rsidR="001F7233" w:rsidRDefault="001F7233">
      <w:pPr>
        <w:pStyle w:val="ListParagraph"/>
        <w:numPr>
          <w:ilvl w:val="0"/>
          <w:numId w:val="1"/>
        </w:numPr>
        <w:spacing w:after="60"/>
      </w:pPr>
      <w:hyperlink r:id="rId751">
        <w:r>
          <w:rPr>
            <w:color w:val="0563C1"/>
            <w:u w:val="single"/>
          </w:rPr>
          <w:t>homeaffairs.gov.au</w:t>
        </w:r>
      </w:hyperlink>
      <w:r>
        <w:t xml:space="preserve"> – Citizenship by Conferral: Voraussetzungen, Test, Gebühren, Residence Calculator</w:t>
      </w:r>
    </w:p>
    <w:p w14:paraId="5A4542D7" w14:textId="77777777" w:rsidR="001F7233" w:rsidRDefault="001F7233">
      <w:pPr>
        <w:pStyle w:val="ListParagraph"/>
        <w:numPr>
          <w:ilvl w:val="0"/>
          <w:numId w:val="1"/>
        </w:numPr>
        <w:spacing w:after="60"/>
      </w:pPr>
      <w:hyperlink r:id="rId752">
        <w:r>
          <w:rPr>
            <w:color w:val="0563C1"/>
            <w:u w:val="single"/>
          </w:rPr>
          <w:t>ato.gov.au</w:t>
        </w:r>
      </w:hyperlink>
      <w:r>
        <w:t xml:space="preserve"> – Your tax residency, Foreign and worldwide income</w:t>
      </w:r>
    </w:p>
    <w:p w14:paraId="2E222379" w14:textId="77777777" w:rsidR="001F7233" w:rsidRDefault="001F7233">
      <w:pPr>
        <w:pStyle w:val="ListParagraph"/>
        <w:numPr>
          <w:ilvl w:val="0"/>
          <w:numId w:val="1"/>
        </w:numPr>
        <w:spacing w:after="60"/>
      </w:pPr>
      <w:hyperlink r:id="rId753">
        <w:r>
          <w:rPr>
            <w:color w:val="0563C1"/>
            <w:u w:val="single"/>
          </w:rPr>
          <w:t>bmi.bund.de</w:t>
        </w:r>
      </w:hyperlink>
      <w:r>
        <w:t xml:space="preserve"> – Staatsangehörigkeitsrecht, Reform 2024</w:t>
      </w:r>
    </w:p>
    <w:p w14:paraId="6EB7ABFA" w14:textId="77777777" w:rsidR="001F7233" w:rsidRDefault="001F7233">
      <w:pPr>
        <w:pStyle w:val="ListParagraph"/>
        <w:numPr>
          <w:ilvl w:val="0"/>
          <w:numId w:val="1"/>
        </w:numPr>
        <w:spacing w:after="60"/>
      </w:pPr>
      <w:hyperlink r:id="rId754">
        <w:r>
          <w:rPr>
            <w:color w:val="0563C1"/>
            <w:u w:val="single"/>
          </w:rPr>
          <w:t>auswaertiges-amt.de</w:t>
        </w:r>
      </w:hyperlink>
      <w:r>
        <w:t xml:space="preserve"> / </w:t>
      </w:r>
      <w:hyperlink r:id="rId755">
        <w:r>
          <w:rPr>
            <w:color w:val="0563C1"/>
            <w:u w:val="single"/>
          </w:rPr>
          <w:t>germany.info</w:t>
        </w:r>
      </w:hyperlink>
      <w:r>
        <w:t xml:space="preserve"> – Doppelte Staatsangehörigkeit, Beratung durch Auslandsvertretungen</w:t>
      </w:r>
    </w:p>
    <w:p w14:paraId="174D798D" w14:textId="77777777" w:rsidR="001F7233" w:rsidRDefault="001F7233">
      <w:pPr>
        <w:spacing w:line="120" w:lineRule="exact"/>
      </w:pPr>
    </w:p>
    <w:p w14:paraId="123CE713" w14:textId="77777777" w:rsidR="001F7233" w:rsidRDefault="00000000">
      <w:r>
        <w:t>• Quellen- und Datenstand: September 2026; Redaktionsschluss: Oktober 2026. Schnell ändern sich: die Einbürgerungsgebühr (jährliche Anpassung jeweils zum 1. Juli), Bearbeitungs- und Wartezeiten bis zur Zeremonie sowie Detailfragen der Steuerresidenz-Tests. Prüfe vor jeder Entscheidung die aktuellen Seiten von Home Affairs und ATO.</w:t>
      </w:r>
    </w:p>
    <w:p w14:paraId="45797701" w14:textId="77777777" w:rsidR="001F7233" w:rsidRDefault="001F7233">
      <w:pPr>
        <w:spacing w:line="220" w:lineRule="exact"/>
      </w:pPr>
    </w:p>
    <w:p w14:paraId="5FD7368E" w14:textId="77777777" w:rsidR="001F7233" w:rsidRDefault="00000000">
      <w:r>
        <w:br w:type="page"/>
      </w:r>
    </w:p>
    <w:p w14:paraId="5E54D394" w14:textId="77777777" w:rsidR="001F7233" w:rsidRDefault="00000000">
      <w:pPr>
        <w:pStyle w:val="Heading1"/>
        <w:keepNext/>
        <w:spacing w:line="341" w:lineRule="auto"/>
        <w:jc w:val="center"/>
      </w:pPr>
      <w:bookmarkStart w:id="106" w:name="PathKanada"/>
      <w:r>
        <w:rPr>
          <w:rFonts w:ascii="Amazon Ember" w:eastAsia="Amazon Ember" w:hAnsi="Amazon Ember" w:cs="Amazon Ember"/>
          <w:color w:val="0000FF"/>
        </w:rPr>
        <w:lastRenderedPageBreak/>
        <w:t>TEIL KANADA — Nahe dran, trotzdem anders</w:t>
      </w:r>
      <w:bookmarkEnd w:id="106"/>
    </w:p>
    <w:p w14:paraId="7745C77A" w14:textId="77777777" w:rsidR="001F7233" w:rsidRDefault="00000000">
      <w:pPr>
        <w:pStyle w:val="Heading3"/>
      </w:pPr>
      <w:r>
        <w:t>Kanada gewählt? Dein direkter Lesepfad</w:t>
      </w:r>
    </w:p>
    <w:p w14:paraId="4B02970B" w14:textId="77777777" w:rsidR="001F7233" w:rsidRDefault="00000000">
      <w:pPr>
        <w:spacing w:after="45"/>
        <w:ind w:left="300"/>
      </w:pPr>
      <w:r>
        <w:t xml:space="preserve">Wenn Kanada feststeht, starte mit </w:t>
      </w:r>
      <w:hyperlink w:anchor="tka02">
        <w:r w:rsidR="001F7233">
          <w:rPr>
            <w:color w:val="0563C1"/>
            <w:u w:val="single"/>
          </w:rPr>
          <w:t>den Einwanderungswegen</w:t>
        </w:r>
      </w:hyperlink>
      <w:r>
        <w:t>. Bei einem Jobangebot lies den</w:t>
      </w:r>
      <w:hyperlink w:anchor="tka03">
        <w:r w:rsidR="001F7233">
          <w:rPr>
            <w:color w:val="0563C1"/>
            <w:u w:val="single"/>
          </w:rPr>
          <w:t xml:space="preserve"> Arbeitsweg</w:t>
        </w:r>
      </w:hyperlink>
      <w:r>
        <w:t>; bei einem reglementierten Beruf zuerst</w:t>
      </w:r>
      <w:hyperlink w:anchor="tka03a">
        <w:r w:rsidR="001F7233">
          <w:rPr>
            <w:color w:val="0563C1"/>
            <w:u w:val="single"/>
          </w:rPr>
          <w:t xml:space="preserve"> die Anerkennung</w:t>
        </w:r>
      </w:hyperlink>
      <w:r>
        <w:t>. Öffne</w:t>
      </w:r>
      <w:hyperlink w:anchor="tka04">
        <w:r w:rsidR="001F7233">
          <w:rPr>
            <w:color w:val="0563C1"/>
            <w:u w:val="single"/>
          </w:rPr>
          <w:t xml:space="preserve"> Familie und Ruhestand</w:t>
        </w:r>
      </w:hyperlink>
      <w:r>
        <w:t xml:space="preserve"> nur, wenn das auf dich zutrifft. Dann folgt </w:t>
      </w:r>
      <w:hyperlink w:anchor="tka05">
        <w:r w:rsidR="001F7233">
          <w:rPr>
            <w:color w:val="0563C1"/>
            <w:u w:val="single"/>
          </w:rPr>
          <w:t>Antrag und Kosten</w:t>
        </w:r>
      </w:hyperlink>
      <w:r>
        <w:t>.</w:t>
      </w:r>
    </w:p>
    <w:p w14:paraId="3D69676C"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ka03a">
        <w:r w:rsidR="001F7233">
          <w:rPr>
            <w:color w:val="0563C1"/>
            <w:u w:val="single"/>
          </w:rPr>
          <w:t>Anerkennung deutscher Berufsabschlüsse</w:t>
        </w:r>
      </w:hyperlink>
      <w:r>
        <w:t xml:space="preserve">. Eine ECA für das Visum ersetzt keine Provinzlizenz. </w:t>
      </w:r>
      <w:hyperlink w:anchor="tka06">
        <w:r w:rsidR="001F7233">
          <w:rPr>
            <w:color w:val="0563C1"/>
            <w:u w:val="single"/>
          </w:rPr>
          <w:t>Ankunft</w:t>
        </w:r>
      </w:hyperlink>
      <w:r>
        <w:t xml:space="preserve"> erklärt die Regeln für Haustiere und Container. Nach der Landung: </w:t>
      </w:r>
      <w:hyperlink w:anchor="tka07">
        <w:r w:rsidR="001F7233">
          <w:rPr>
            <w:color w:val="0563C1"/>
            <w:u w:val="single"/>
          </w:rPr>
          <w:t>SIN, Steuer und Bank</w:t>
        </w:r>
      </w:hyperlink>
      <w:r>
        <w:t xml:space="preserve"> → </w:t>
      </w:r>
      <w:hyperlink w:anchor="tka08">
        <w:r w:rsidR="001F7233">
          <w:rPr>
            <w:color w:val="0563C1"/>
            <w:u w:val="single"/>
          </w:rPr>
          <w:t>Gesundheit</w:t>
        </w:r>
      </w:hyperlink>
      <w:r>
        <w:t xml:space="preserve"> → </w:t>
      </w:r>
      <w:hyperlink w:anchor="tka09">
        <w:r w:rsidR="001F7233">
          <w:rPr>
            <w:color w:val="0563C1"/>
            <w:u w:val="single"/>
          </w:rPr>
          <w:t>Wohnen</w:t>
        </w:r>
      </w:hyperlink>
      <w:r>
        <w:t xml:space="preserve"> → </w:t>
      </w:r>
      <w:hyperlink w:anchor="tka10">
        <w:r w:rsidR="001F7233">
          <w:rPr>
            <w:color w:val="0563C1"/>
            <w:u w:val="single"/>
          </w:rPr>
          <w:t>Führerschein und Mobilität</w:t>
        </w:r>
      </w:hyperlink>
      <w:r>
        <w:t xml:space="preserve">. Für den Berufsalltag: </w:t>
      </w:r>
      <w:hyperlink w:anchor="tka14">
        <w:r w:rsidR="001F7233">
          <w:rPr>
            <w:color w:val="0563C1"/>
            <w:u w:val="single"/>
          </w:rPr>
          <w:t>Arbeitswelt</w:t>
        </w:r>
      </w:hyperlink>
      <w:r>
        <w:t>.</w:t>
      </w:r>
    </w:p>
    <w:p w14:paraId="0FB17FB1" w14:textId="77777777" w:rsidR="001F7233" w:rsidRDefault="00000000">
      <w:r>
        <w:br w:type="page"/>
      </w:r>
    </w:p>
    <w:p w14:paraId="277C5A88" w14:textId="77777777" w:rsidR="001F7233" w:rsidRDefault="00000000">
      <w:pPr>
        <w:pStyle w:val="Heading2"/>
        <w:keepNext/>
        <w:spacing w:line="341" w:lineRule="auto"/>
        <w:jc w:val="center"/>
      </w:pPr>
      <w:bookmarkStart w:id="107" w:name="tka01"/>
      <w:r>
        <w:rPr>
          <w:rFonts w:ascii="Amazon Ember" w:eastAsia="Amazon Ember" w:hAnsi="Amazon Ember" w:cs="Amazon Ember"/>
          <w:color w:val="0000FF"/>
          <w:sz w:val="36"/>
          <w:szCs w:val="36"/>
        </w:rPr>
        <w:lastRenderedPageBreak/>
        <w:t>Kanada: Die ehrliche Bilanz</w:t>
      </w:r>
      <w:bookmarkEnd w:id="107"/>
    </w:p>
    <w:p w14:paraId="68A9D3D8" w14:textId="77777777" w:rsidR="001F7233" w:rsidRDefault="00000000">
      <w:r>
        <w:rPr>
          <w:b/>
        </w:rPr>
        <w:t xml:space="preserve">KURZ GESAGT: </w:t>
      </w:r>
    </w:p>
    <w:p w14:paraId="5630E766" w14:textId="77777777" w:rsidR="001F7233" w:rsidRDefault="00000000">
      <w:r>
        <w:t>• Der OECD-Steuerkeil zeigt Kanada bei rund 32,0 % (Durchschnittsverdiener, 2024), Deutschland bei rund 49,3 % (2025), aber die Provinz entscheidet mit: Ontario und Alberta liegen beim kombinierten Spitzensteuersatz mehr als 15 Prozentpunkte auseinander.</w:t>
      </w:r>
    </w:p>
    <w:p w14:paraId="2D2A1D68" w14:textId="77777777" w:rsidR="001F7233" w:rsidRDefault="00000000">
      <w:r>
        <w:t>• Die Gesundheitsversorgung ist überall in Kanada öffentlich und universell, aber provinziell organisiert: Ontario kennt keine Wartefrist für Neuankömmlinge, British Columbia und Québec verlangen rund drei Monate ohne Deckung.</w:t>
      </w:r>
    </w:p>
    <w:p w14:paraId="43B6E118" w14:textId="77777777" w:rsidR="001F7233" w:rsidRDefault="00000000">
      <w:r>
        <w:t>• Der Canada Pension Plan (CPP) ersetzt die gesetzliche Rente nur teilweise: 5,95 % vom Bruttolohn zahlt jede Seite, gedeckelt auf ein Jahreseinkommen von 74.600 CAD. Deutlich schlanker als das deutsche Umlagesystem.</w:t>
      </w:r>
    </w:p>
    <w:p w14:paraId="59E6260A" w14:textId="77777777" w:rsidR="001F7233" w:rsidRDefault="00000000">
      <w:r>
        <w:t>• Schon der Antrag kostet: Eine vierköpfige Familie zahlt für die permanente Aufenthaltserlaubnis über Express Entry schnell über 3.700 CAD an reinen Behördengebühren, bevor der erste Lohn fließt.</w:t>
      </w:r>
    </w:p>
    <w:p w14:paraId="6D4E430B" w14:textId="77777777" w:rsidR="001F7233" w:rsidRDefault="00000000">
      <w:r>
        <w:t>• Am stärksten überzeugt Kanada mit der Nähe zu Deutschland: Toronto ist in rund acht Stunden erreichbar, ohne die extreme Zeitverschiebung, die Australien oder Neuseeland mit sich bringen.</w:t>
      </w:r>
    </w:p>
    <w:p w14:paraId="6E6EEF09" w14:textId="77777777" w:rsidR="001F7233" w:rsidRDefault="001F7233">
      <w:pPr>
        <w:spacing w:line="220" w:lineRule="exact"/>
      </w:pPr>
    </w:p>
    <w:p w14:paraId="30D517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die Rolle der Provinz</w:t>
      </w:r>
    </w:p>
    <w:p w14:paraId="79FE9365" w14:textId="77777777" w:rsidR="001F7233" w:rsidRDefault="00000000">
      <w:pPr>
        <w:spacing w:after="140"/>
      </w:pPr>
      <w:r>
        <w:rPr>
          <w:i/>
          <w:iCs/>
        </w:rPr>
        <w:t xml:space="preserve">Wer zum ersten Mal ein kanadisches Gehaltsangebot neben die eigene deutsche Abrechnung legt, sieht fast immer eine höhere Bruttozahl. Was am Ende auf dem Konto bleibt, hängt aber von zwei Ebenen ab, die es in Deutschland so nicht gibt: der Bundessteuer und, oben drauf, der Steuer der jeweiligen Provinz. Der OECD-Steuerkeil (Tax Wedge, das Verhältnis aus Einkommensteuer plus Arbeitnehmer- und </w:t>
      </w:r>
      <w:r>
        <w:rPr>
          <w:i/>
          <w:iCs/>
        </w:rPr>
        <w:lastRenderedPageBreak/>
        <w:t>Arbeitgeberabgaben abzüglich Familienleistungen zu den gesamten Arbeitskosten) lag für einen kinderlosen Durchschnittsverdiener 2024 in Kanada bei 32,0 %, in Deutschland 2025 bei 49,3 %. Der Abstand ist real. Die 32,0 % sind aber ein Landesdurchschnitt, der die großen Unterschiede zwischen den Provinzen verdeckt.</w:t>
      </w:r>
    </w:p>
    <w:p w14:paraId="366982ED" w14:textId="77777777" w:rsidR="001F7233" w:rsidRDefault="00000000">
      <w:r>
        <w:rPr>
          <w:b/>
        </w:rPr>
        <w:t xml:space="preserve">SPARTIPP: </w:t>
      </w:r>
    </w:p>
    <w:p w14:paraId="08D0940B" w14:textId="77777777" w:rsidR="001F7233" w:rsidRDefault="00000000">
      <w:r>
        <w:t>• Vergleiche bei mehreren Jobangeboten aus verschiedenen Provinzen nie nur das Bruttogehalt. Rechne Bundessteuer, Provinzsteuer und – bei Ontario – die Surtax mit ein und ziehe die Verbrauchssteuer für den Alltag ab. Zwischen Alberta und Ontario oder Québec kann das bei gleichem Bruttogehalt mehrere Tausend CAD im Jahr ausmachen.</w:t>
      </w:r>
    </w:p>
    <w:p w14:paraId="44CC2A96" w14:textId="77777777" w:rsidR="001F7233" w:rsidRDefault="001F7233">
      <w:pPr>
        <w:spacing w:line="220" w:lineRule="exact"/>
      </w:pPr>
    </w:p>
    <w:p w14:paraId="678A85FF" w14:textId="77777777" w:rsidR="001F7233" w:rsidRDefault="00000000">
      <w:pPr>
        <w:spacing w:after="140"/>
      </w:pPr>
      <w:r>
        <w:rPr>
          <w:i/>
          <w:iCs/>
        </w:rPr>
        <w:t>Die zweite, oft übersehene Ebene ist die Verbrauchssteuer. Die bundesweite Goods and Services Tax (GST, die kanadische Mehrwertsteuer) liegt einheitlich bei 5 %. Fünf Provinzen erheben daneben eine harmonisierte Steuer (HST), die beides zusammenfasst: Ontario 13 %, Neubraunschweig, Neufundland &amp; Labrador und Prince Edward Island je 15 %, Nova Scotia 14 %. Andere verlangen GST plus separate Provinzsteuer: British Columbia 12 % (5 % GST + 7 % PST), Manitoba ebenfalls 12 %, Saskatchewan 11 %, Québec sogar 14,975 %. Alberta gehört neben den drei Territorien zu den wenigen Gebieten mit nur der 5 % GST, ganz ohne Provinzsteuer auf Einkäufe. Wer zwischen Toronto und Calgary wählt, zahlt also nicht nur bei der Einkommensteuer einen unterschiedlichen Betrag. Auch bei jedem Einkauf fällt ein merklich unterschiedlicher Aufschlag an.</w:t>
      </w:r>
    </w:p>
    <w:p w14:paraId="484368BE" w14:textId="77777777" w:rsidR="001F7233" w:rsidRDefault="00000000">
      <w:r>
        <w:rPr>
          <w:b/>
        </w:rPr>
        <w:t xml:space="preserve">ACHTUNG: </w:t>
      </w:r>
    </w:p>
    <w:p w14:paraId="5D162A72" w14:textId="77777777" w:rsidR="001F7233" w:rsidRDefault="00000000">
      <w:r>
        <w:t xml:space="preserve">• Die Steuersätze oben gelten für steuerlich Ansässige. Kanada besteuert nach Wohnsitz (Residency), nicht nach Staatsangehörigkeit oder Visumstyp. Sobald du einen gewöhnlichen Wohnsitz in Kanada begründest, musst du dein Weltjahreseinkommen versteuern. Im Gegenzug bleibt vor diesem Zeitpunkt erzieltes Auslandseinkommen in Kanada steuerfrei. Wer diesen Zeitpunkt falsch einschätzt oder die erste Steuererklärung als </w:t>
      </w:r>
      <w:r>
        <w:lastRenderedPageBreak/>
        <w:t>Neuankömmling verpasst, verschenkt unter anderem den Anspruch auf die Verbrauchssteuer-Gutschrift.</w:t>
      </w:r>
    </w:p>
    <w:p w14:paraId="3667470F" w14:textId="77777777" w:rsidR="001F7233" w:rsidRDefault="001F7233">
      <w:pPr>
        <w:spacing w:line="220" w:lineRule="exact"/>
      </w:pPr>
    </w:p>
    <w:p w14:paraId="331DD6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Toronto und Vancouver im Vergleich</w:t>
      </w:r>
    </w:p>
    <w:p w14:paraId="1AC09418" w14:textId="77777777" w:rsidR="001F7233" w:rsidRDefault="00000000">
      <w:pPr>
        <w:spacing w:after="140"/>
      </w:pPr>
      <w:r>
        <w:t xml:space="preserve">Diese Durchschnittszahl verdeckt allerdings, wie ungleich Wohnraum in beiden Städten verteilt ist. Der Mietindex bildet laufende Mieten ab, nicht die Kaufpreise für Eigentum. Eigentum ist in Toronto und vor allem in Vancouver traditionell teurer, als der Mietvergleich vermuten lässt. Wer kaufen statt mieten will, sollte das getrennt recherchieren. Das </w:t>
      </w:r>
      <w:hyperlink w:anchor="tka09">
        <w:r w:rsidR="001F7233">
          <w:rPr>
            <w:color w:val="0563C1"/>
            <w:u w:val="single"/>
          </w:rPr>
          <w:t>Kapitel zum Wohnen in diesem Teil</w:t>
        </w:r>
      </w:hyperlink>
      <w:r>
        <w:t xml:space="preserve"> geht darauf im Detail ein.</w:t>
      </w:r>
    </w:p>
    <w:p w14:paraId="68FE24DF" w14:textId="77777777" w:rsidR="001F7233" w:rsidRDefault="00000000">
      <w:r>
        <w:rPr>
          <w:b/>
        </w:rPr>
        <w:t xml:space="preserve">MERKE: </w:t>
      </w:r>
    </w:p>
    <w:p w14:paraId="78D97C24" w14:textId="77777777" w:rsidR="001F7233" w:rsidRDefault="001F7233">
      <w:pPr>
        <w:spacing w:line="220" w:lineRule="exact"/>
      </w:pPr>
    </w:p>
    <w:p w14:paraId="4A7C57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ein Rahmengesetz, dreizehn Systeme</w:t>
      </w:r>
    </w:p>
    <w:p w14:paraId="1F47149E" w14:textId="77777777" w:rsidR="001F7233" w:rsidRDefault="00000000">
      <w:pPr>
        <w:spacing w:after="140"/>
      </w:pPr>
      <w:r>
        <w:rPr>
          <w:i/>
          <w:iCs/>
        </w:rPr>
        <w:t>Verbreiteter Irrtum: Kanada habe, ähnlich wie Großbritannien mit seinem staatlichen Gesundheitsdienst, ein einziges nationales Gesundheitssystem. Tatsächlich schreibt der Canada Health Act (das Rahmengesetz für die öffentliche Gesundheitsversorgung) nur Mindeststandards vor. Organisiert und verwaltet wird die Versorgung von den 13 Provinzen und Territorien einzeln, jede mit eigener Anmeldung, eigenen Fristen und eigenem Leistungskatalog. Was als „medizinisch notwendig“ gilt und damit kostenfrei abgedeckt ist, entscheidet jede Provinz für sich. Zahnbehandlung, verschreibungspflichtige Medikamente außer des Krankenhauses, Sehhilfen und Physiotherapie sind so gut wie nirgends automatisch mitversichert.</w:t>
      </w:r>
    </w:p>
    <w:p w14:paraId="04EEB73C" w14:textId="77777777" w:rsidR="001F7233" w:rsidRDefault="00000000">
      <w:pPr>
        <w:spacing w:after="140"/>
      </w:pPr>
      <w:r>
        <w:lastRenderedPageBreak/>
        <w:t>Für Neuankömmlinge zählt vor allem eine Zahl: die Wartefrist bis zur Aufnahme in den Provinzplan. Ontario (OHIP) hat seine frühere Drei-Monats-Wartefrist bereits 2020 abgeschafft. Deckung gilt dort ab Antragstellung, die Karte selbst dauert rund vier bis sechs Wochen bis zur Zustellung. British Columbia (MSP) und, laut mehreren Quellen, Québec (RAMQ) verlangen dagegen weiterhin rund drei Monate ohne Deckung. In British Columbia konkret: den Rest des Ankunftsmonats plus zwei weitere volle Kalendermonate. Auch Manitoba und Neufundland &amp; Labrador sollen laut Sekundärquellen eine Wartefrist kennen, während Alberta und Saskatchewan als praktisch wartefristfrei gelten. Diese Details solltest du vor dem Umzug direkt bei der jeweiligen Provinz bestätigen, da sie sich ändern können und hier nicht für jede Provinz einzeln primärquellen-geprüft sind.</w:t>
      </w:r>
    </w:p>
    <w:p w14:paraId="54F8375C" w14:textId="77777777" w:rsidR="001F7233" w:rsidRDefault="00000000">
      <w:r>
        <w:rPr>
          <w:b/>
        </w:rPr>
        <w:t xml:space="preserve">ACHTUNG: </w:t>
      </w:r>
    </w:p>
    <w:p w14:paraId="5170B7F6" w14:textId="77777777" w:rsidR="001F7233" w:rsidRDefault="00000000">
      <w:r>
        <w:t>• Wer nach British Columbia oder Québec zieht, sollte für die Wartezeit eine private Übergangskrankenversicherung abschließen. Kostenrahmen grob 100 bis 200 CAD pro Person und Monat, je nach Anbieter und Deckungsumfang. Ein Unfall oder eine Diagnose in dieser Lücke kann sonst schnell mehrere Tausend CAD kosten, die keine Provinz übernimmt.</w:t>
      </w:r>
    </w:p>
    <w:p w14:paraId="6C4E35A7" w14:textId="77777777" w:rsidR="001F7233" w:rsidRDefault="001F7233">
      <w:pPr>
        <w:spacing w:line="220" w:lineRule="exact"/>
      </w:pPr>
    </w:p>
    <w:p w14:paraId="0F6D26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Canada Pension Plan statt gesetzlicher Rente</w:t>
      </w:r>
    </w:p>
    <w:p w14:paraId="697D2075" w14:textId="77777777" w:rsidR="001F7233" w:rsidRDefault="00000000">
      <w:pPr>
        <w:spacing w:after="140"/>
      </w:pPr>
      <w:r>
        <w:rPr>
          <w:i/>
          <w:iCs/>
        </w:rPr>
        <w:t xml:space="preserve">Kanada kennt keine umlagefinanzierte Rentenversicherung nach deutschem Vorbild, sondern den Canada Pension Plan (CPP, die bundesweite gesetzliche Altersvorsorge. Québec betreibt mit dem Québec Pension Plan ein eigenes, paralleles System). Arbeitnehmer und Arbeitgeber zahlen 2026 je 5,95 % des Bruttolohns bis zu einer Beitragsbemessungsgrenze (Year’s Maximum Pensionable Earnings, YMPE) von 74.600 CAD, abzüglich eines Grundfreibetrags von 3.500 </w:t>
      </w:r>
      <w:r>
        <w:rPr>
          <w:i/>
          <w:iCs/>
        </w:rPr>
        <w:lastRenderedPageBreak/>
        <w:t>CAD. Das macht maximal 4.230,45 CAD je Seite. Seit einigen Jahren kommt eine zweite Stufe hinzu, CPP2: auch 4 % auf Einkommen zwischen der YMPE und einer zweiten Grenze (Year’s Additional Maximum Pensionable Earnings, YAMPE) von 85.000 CAD, maximal 416 CAD je Seite. Wer selbstständig ist, zahlt beide Anteile allein – 11,9 % plus 8 % CPP2.</w:t>
      </w:r>
    </w:p>
    <w:p w14:paraId="005307F7" w14:textId="77777777" w:rsidR="001F7233" w:rsidRDefault="00000000">
      <w:pPr>
        <w:spacing w:after="140"/>
      </w:pPr>
      <w:r>
        <w:rPr>
          <w:i/>
          <w:iCs/>
        </w:rPr>
        <w:t>Verglichen mit der deutschen gesetzlichen Rentenversicherung ist der CPP schlanker. Ein Bruchteil des Bruttolohns fließt hinein, gedeckelt auf ein mittleres Einkommen, ohne die umfassende Absicherung von Erwerbsminderung und Hinterbliebenen im deutschen Umfang. Wer mehr fürs Alter zurücklegen will, tut das meist ergänzend über einen Registered Retirement Savings Plan (RRSP, ein steuerbegünstigtes individuelles Vorsorgekonto) oder einen betrieblichen Pensionsplan des Arbeitgebers.</w:t>
      </w:r>
    </w:p>
    <w:p w14:paraId="0C6551F2" w14:textId="77777777" w:rsidR="001F7233" w:rsidRDefault="00000000">
      <w:r>
        <w:rPr>
          <w:b/>
        </w:rPr>
        <w:t xml:space="preserve">MERKE: </w:t>
      </w:r>
    </w:p>
    <w:p w14:paraId="260561C5" w14:textId="77777777" w:rsidR="001F7233" w:rsidRDefault="00000000">
      <w:r>
        <w:t>• Der CPP ist kein Ersatz für die deutsche Rente, sondern eine schlankere Ergänzung dazu. Ob ein Sozialversicherungsabkommen deutsche und kanadische Zeiten zusammenzählt, sagt die Deutsche Rentenversicherung für den aktuellen Stand. Die gemeinsame deutsche Liste vor dem Abflug steht im Kapitel Deutschland vor dem Abflug. Der kanadische CPP selbst bleibt in diesem Kapitel.</w:t>
      </w:r>
    </w:p>
    <w:p w14:paraId="378494E7" w14:textId="77777777" w:rsidR="001F7233" w:rsidRDefault="001F7233">
      <w:pPr>
        <w:spacing w:line="220" w:lineRule="exact"/>
      </w:pPr>
    </w:p>
    <w:p w14:paraId="745144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6CBA543F" w14:textId="77777777" w:rsidR="001F7233" w:rsidRDefault="001F7233">
      <w:pPr>
        <w:spacing w:line="220" w:lineRule="exact"/>
      </w:pPr>
    </w:p>
    <w:p w14:paraId="433EE8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CAD messen lässt</w:t>
      </w:r>
    </w:p>
    <w:p w14:paraId="5F6A5AD4" w14:textId="77777777" w:rsidR="001F7233" w:rsidRDefault="00000000">
      <w:pPr>
        <w:spacing w:after="140"/>
      </w:pPr>
      <w:r>
        <w:t xml:space="preserve">Verglichen mit Australien oder Neuseeland ist der größte Pluspunkt Kanadas schnell benannt: die Entfernung. Toronto ist von Frankfurt aus in rund acht Stunden erreichbar, Vancouver in rund zehneinhalb Stunden über etwa 8.050 Kilometer Luftlinie. Beides mit Direktflugverbindungen, wie sie Sydney oder Auckland von </w:t>
      </w:r>
      <w:r>
        <w:lastRenderedPageBreak/>
        <w:t>Deutschland aus nicht bieten. Die Zeitverschiebung liegt, ähnlich wie bei den USA, bei rund sechs Stunden an der Ostküste bis neun Stunden an der Westküste. Das ist spürbar, aber ohne die fast vollständige Tag-Nacht-Umkehr, mit der sich Auswanderer nach Neuseeland arrangieren müssen. Ein Wochenendbesuch bei den Eltern in Deutschland ist von Toronto aus anstrengend, aber machbar. Von Sydney aus ist er praktisch ausgeschlossen.</w:t>
      </w:r>
    </w:p>
    <w:p w14:paraId="0E2B592D" w14:textId="77777777" w:rsidR="001F7233" w:rsidRDefault="00000000">
      <w:pPr>
        <w:spacing w:after="140"/>
      </w:pPr>
      <w:r>
        <w:t>In Kanada lebten 2021 rund 126.500 Personen mit deutscher Staatsangehörigkeit oder Herkunft, dazu fast 3 Millionen Menschen mit ganzer oder teilweiser deutscher Abstammung über mehrere Generationen. Das ist eine der größeren deutschstämmigen Communitys unter den vier Zielländern dieses Buches. Was diese Zahlen nicht zeigen: kanadische Winter. Wer aus Deutschland kommt, unterschätzt regelmäßig, wie lang und wie kalt die kalte Jahreszeit in weiten Teilen Kanadas ausfällt. Dieser Faktor schlägt sich in keiner Steuertabelle nieder, prägt aber jeden Alltag mehrere Monate im Jahr.</w:t>
      </w:r>
    </w:p>
    <w:p w14:paraId="3008C4E0" w14:textId="77777777" w:rsidR="001F7233" w:rsidRDefault="00000000">
      <w:pPr>
        <w:spacing w:after="140"/>
      </w:pPr>
      <w:r>
        <w:t>Sowohl Deutschland als auch Kanada erlauben die doppelte Staatsangehörigkeit ausdrücklich: Seit der deutschen Reform vom 27. Juni 2024 führt eine kanadische Einbürgerung nicht mehr automatisch zum Verlust des deutschen Passes. Ein Punkt, der noch vor wenigen Jahren deutlich komplizierter war.</w:t>
      </w:r>
    </w:p>
    <w:p w14:paraId="5B75A1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4AC8AE62" w14:textId="77777777" w:rsidR="001F7233" w:rsidRDefault="00000000">
      <w:pPr>
        <w:spacing w:after="140"/>
      </w:pPr>
      <w:r>
        <w:t>Am stärksten profitiert von der kanadischen Rechnung, wer einen guten CRS-Score mitbringt. Gutes Englisch oder Französisch, einen anerkennungsfähigen Abschluss, einige Jahre Berufserfahrung und Wert auf einen von Anfang an unbefristeten Status legt. Anders als Australiens Punktetest kennt das CRS keine feste Alters-Ausschlussgrenze. Die Alterspunkte sinken aber mit steigendem Alter erheblich. Wer weit jenseits der 40 ist, sollte das bei der eigenen Punkterechnung realistisch einkalkulieren, nicht erst nach dem ECA-Antrag entdecken.</w:t>
      </w:r>
    </w:p>
    <w:p w14:paraId="0FD6D074" w14:textId="77777777" w:rsidR="001F7233" w:rsidRDefault="001F7233">
      <w:pPr>
        <w:spacing w:line="220" w:lineRule="exact"/>
      </w:pPr>
    </w:p>
    <w:p w14:paraId="3F07A65E" w14:textId="77777777" w:rsidR="001F7233" w:rsidRDefault="00000000">
      <w:pPr>
        <w:spacing w:after="140"/>
      </w:pPr>
      <w:r>
        <w:t>Kritischer wird die Bilanz für alle, die auf schnelle, spontane Familienbesuche angewiesen sind. Auch wenn Kanada hier merklich besser abschneidet als Australien oder Neuseeland. Das Gleiche gilt für alle mit pflegebedürftigen Eltern in Deutschland oder für alle, die finanziell wenig Puffer für mehrere Tausend CAD Vorlaufkosten haben. Wer außerdem stark auf eine deutschlandähnliche Rundumabsicherung durch die gesetzliche Rente setzt, sollte den CPP realistisch einordnen. Er ergänzt private und betriebliche Vorsorge, ersetzt sie aber nicht.</w:t>
      </w:r>
    </w:p>
    <w:p w14:paraId="23862E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Die ehrliche Bilanz</w:t>
      </w:r>
    </w:p>
    <w:p w14:paraId="6DBD5ED5" w14:textId="77777777" w:rsidR="001F7233" w:rsidRDefault="00000000">
      <w:r>
        <w:rPr>
          <w:b/>
        </w:rPr>
        <w:t>Plus: Niedrigerer Steuerkeil als Deutschland (32,0 % vs. 49,3 %)</w:t>
      </w:r>
    </w:p>
    <w:p w14:paraId="14EC09B7" w14:textId="77777777" w:rsidR="001F7233" w:rsidRDefault="00000000">
      <w:r>
        <w:rPr>
          <w:b/>
        </w:rPr>
        <w:t xml:space="preserve">Minus: </w:t>
      </w:r>
      <w:r>
        <w:t>Steuerlast hängt stark von der gewählten Provinz ab</w:t>
      </w:r>
    </w:p>
    <w:p w14:paraId="3E3D8088" w14:textId="77777777" w:rsidR="001F7233" w:rsidRDefault="00000000">
      <w:r>
        <w:rPr>
          <w:b/>
        </w:rPr>
        <w:t>Plus: Toronto und Vancouver bei Lebenshaltungskosten unter München</w:t>
      </w:r>
    </w:p>
    <w:p w14:paraId="5878AD15" w14:textId="77777777" w:rsidR="001F7233" w:rsidRDefault="00000000">
      <w:r>
        <w:rPr>
          <w:b/>
        </w:rPr>
        <w:t xml:space="preserve">Minus: </w:t>
      </w:r>
      <w:r>
        <w:t>Immobilienkaufpreise liegen über dem Mietindex</w:t>
      </w:r>
    </w:p>
    <w:p w14:paraId="2894EA01" w14:textId="77777777" w:rsidR="001F7233" w:rsidRDefault="00000000">
      <w:r>
        <w:rPr>
          <w:b/>
        </w:rPr>
        <w:t>Plus: Universelles Gesundheitssystem, in mehreren Provinzen ohne Wartefrist</w:t>
      </w:r>
    </w:p>
    <w:p w14:paraId="73E1E700" w14:textId="77777777" w:rsidR="001F7233" w:rsidRDefault="00000000">
      <w:r>
        <w:rPr>
          <w:b/>
        </w:rPr>
        <w:t xml:space="preserve">Minus: </w:t>
      </w:r>
      <w:r>
        <w:t>In British Columbia und Québec rund drei Monate Deckungslücke</w:t>
      </w:r>
    </w:p>
    <w:p w14:paraId="3C67E582" w14:textId="77777777" w:rsidR="001F7233" w:rsidRDefault="00000000">
      <w:r>
        <w:rPr>
          <w:b/>
        </w:rPr>
        <w:t>Plus: CPP gilt ab dem ersten Gehalt, unabhängig vom Aufenthaltsstatus</w:t>
      </w:r>
    </w:p>
    <w:p w14:paraId="78DC8577" w14:textId="77777777" w:rsidR="001F7233" w:rsidRDefault="00000000">
      <w:r>
        <w:rPr>
          <w:b/>
        </w:rPr>
        <w:t xml:space="preserve">Minus: </w:t>
      </w:r>
      <w:r>
        <w:t>CPP ersetzt die deutsche Rente nur teilweise</w:t>
      </w:r>
    </w:p>
    <w:p w14:paraId="3EF90CE2" w14:textId="77777777" w:rsidR="001F7233" w:rsidRDefault="00000000">
      <w:r>
        <w:rPr>
          <w:b/>
        </w:rPr>
        <w:t>Plus: Direktflüge und moderate Zeitverschiebung erleichtern Familienbesuche</w:t>
      </w:r>
    </w:p>
    <w:p w14:paraId="73700E3E" w14:textId="77777777" w:rsidR="001F7233" w:rsidRDefault="00000000">
      <w:r>
        <w:rPr>
          <w:b/>
        </w:rPr>
        <w:t xml:space="preserve">Minus: </w:t>
      </w:r>
      <w:r>
        <w:t>Vorlaufkosten von mehreren Tausend CAD schon vor dem ersten Gehalt</w:t>
      </w:r>
    </w:p>
    <w:p w14:paraId="2CDF600E" w14:textId="77777777" w:rsidR="001F7233" w:rsidRDefault="00000000">
      <w:r>
        <w:rPr>
          <w:b/>
        </w:rPr>
        <w:t>Plus: Doppelte Staatsangehörigkeit ausdrücklich erlaubt</w:t>
      </w:r>
    </w:p>
    <w:p w14:paraId="1074B28F" w14:textId="77777777" w:rsidR="001F7233" w:rsidRDefault="00000000">
      <w:r>
        <w:rPr>
          <w:b/>
        </w:rPr>
        <w:t xml:space="preserve">Minus: </w:t>
      </w:r>
      <w:r>
        <w:t>Lange, kalte Winter in weiten Teilen des Landes</w:t>
      </w:r>
    </w:p>
    <w:p w14:paraId="67F2D7A3" w14:textId="77777777" w:rsidR="001F7233" w:rsidRDefault="001F7233">
      <w:pPr>
        <w:spacing w:line="180" w:lineRule="exact"/>
      </w:pPr>
    </w:p>
    <w:p w14:paraId="6A4771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51CE2AA2" w14:textId="77777777" w:rsidR="001F7233" w:rsidRDefault="00000000">
      <w:pPr>
        <w:spacing w:after="140"/>
      </w:pPr>
      <w:r>
        <w:t xml:space="preserve">Rechne, bevor du dich entscheidest, mit deinen eigenen Zahlen: Trage dein voraussichtliches Bruttogehalt in die Bundes- und die jeweilige Provinzsteuerstaffel ein, ziehe die Verbrauchssteuer für den Alltag ab und vergleiche das Ergebnis mit deiner heutigen deutschen Nettoabrechnung, nicht mit dem Bruttogehalt. Kläre parallel, welche Provinz überhaupt zu deinem Berufsfeld passt. Das </w:t>
      </w:r>
      <w:hyperlink w:anchor="tka02">
        <w:r w:rsidR="001F7233">
          <w:rPr>
            <w:color w:val="0563C1"/>
            <w:u w:val="single"/>
          </w:rPr>
          <w:t>nächste Kapitel dieses Teils</w:t>
        </w:r>
      </w:hyperlink>
      <w:r>
        <w:t xml:space="preserve"> zeigt die einzelnen Einwanderungswege im Detail, das Kapitel zum Wohnen die Unterschiede zwischen den Städten. Plane außerdem die Vorlaufkosten – PR-Gebühren oder Visum, Sprachtest, Bildungsanerkennung, Führungszeugnisse – als eigenen Posten ein, getrennt vom eigentlichen Umzugsbudget.</w:t>
      </w:r>
    </w:p>
    <w:p w14:paraId="6D466DC7" w14:textId="77777777" w:rsidR="001F7233" w:rsidRDefault="00000000">
      <w:r>
        <w:t>• Eigenes Bruttogehalt in Bundes- und Provinzsteuerstaffel eingetragen und mit der deutschen Nettoabrechnung verglichen</w:t>
      </w:r>
    </w:p>
    <w:p w14:paraId="41EE5ED5" w14:textId="77777777" w:rsidR="001F7233" w:rsidRDefault="00000000">
      <w:r>
        <w:t>• Verbrauchssteuer der Zielprovinz (GST allein oder GST plus HST/PST) in die Alltagsrechnung einbezogen</w:t>
      </w:r>
    </w:p>
    <w:p w14:paraId="70B8EED0" w14:textId="77777777" w:rsidR="001F7233" w:rsidRDefault="00000000">
      <w:r>
        <w:t>• Geprüft, welche Provinz oder Provinzen für den eigenen Beruf und Lebensstil infrage kommen</w:t>
      </w:r>
    </w:p>
    <w:p w14:paraId="01AE8ED0" w14:textId="77777777" w:rsidR="001F7233" w:rsidRDefault="00000000">
      <w:r>
        <w:t>• Wartefrist der provinziellen Krankenversicherung am Zielort geklärt, ggf. private Übergangsversicherung eingeplant</w:t>
      </w:r>
    </w:p>
    <w:p w14:paraId="20A96EBF" w14:textId="77777777" w:rsidR="001F7233" w:rsidRDefault="00000000">
      <w:r>
        <w:t>• Vorlaufkosten für PR-Antrag oder Arbeitsvisum, Sprachtest und Bildungsanerkennung überschlägig zusammengerechnet</w:t>
      </w:r>
    </w:p>
    <w:p w14:paraId="1F0A5D2C" w14:textId="77777777" w:rsidR="001F7233" w:rsidRDefault="00000000">
      <w:r>
        <w:t>• Überlegt, wie der CPP im Vergleich zur deutschen Rente einzuordnen ist und ob zusätzliche private Vorsorge sinnvoll ist.</w:t>
      </w:r>
    </w:p>
    <w:p w14:paraId="6BA52BE9" w14:textId="77777777" w:rsidR="001F7233" w:rsidRDefault="001F7233">
      <w:pPr>
        <w:spacing w:line="220" w:lineRule="exact"/>
      </w:pPr>
    </w:p>
    <w:p w14:paraId="3A927C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0AE3361" w14:textId="77777777" w:rsidR="001F7233" w:rsidRDefault="00000000">
      <w:pPr>
        <w:pStyle w:val="ListParagraph"/>
        <w:numPr>
          <w:ilvl w:val="0"/>
          <w:numId w:val="1"/>
        </w:numPr>
        <w:spacing w:after="60"/>
      </w:pPr>
      <w:r>
        <w:t>Canada Revenue Agency — Einkommensteuersätze Bund und CPP-Beitragssätze (</w:t>
      </w:r>
      <w:hyperlink r:id="rId756">
        <w:r w:rsidR="001F7233">
          <w:rPr>
            <w:color w:val="0563C1"/>
            <w:u w:val="single"/>
          </w:rPr>
          <w:t>canada.ca/en/revenue-agency</w:t>
        </w:r>
      </w:hyperlink>
      <w:r>
        <w:t>)</w:t>
      </w:r>
    </w:p>
    <w:p w14:paraId="55F5C13E" w14:textId="77777777" w:rsidR="001F7233" w:rsidRDefault="00000000">
      <w:pPr>
        <w:pStyle w:val="ListParagraph"/>
        <w:numPr>
          <w:ilvl w:val="0"/>
          <w:numId w:val="1"/>
        </w:numPr>
        <w:spacing w:after="60"/>
      </w:pPr>
      <w:r>
        <w:t>Province of British Columbia — Einkommensteuersätze und MSP-Wartefrist (</w:t>
      </w:r>
      <w:hyperlink r:id="rId757">
        <w:r w:rsidR="001F7233">
          <w:rPr>
            <w:color w:val="0563C1"/>
            <w:u w:val="single"/>
          </w:rPr>
          <w:t>gov.bc.ca</w:t>
        </w:r>
      </w:hyperlink>
      <w:r>
        <w:t>)</w:t>
      </w:r>
    </w:p>
    <w:p w14:paraId="5003396B" w14:textId="77777777" w:rsidR="001F7233" w:rsidRDefault="001F7233">
      <w:pPr>
        <w:pStyle w:val="ListParagraph"/>
        <w:numPr>
          <w:ilvl w:val="0"/>
          <w:numId w:val="1"/>
        </w:numPr>
        <w:spacing w:after="60"/>
      </w:pPr>
      <w:hyperlink r:id="rId758">
        <w:r>
          <w:rPr>
            <w:color w:val="0563C1"/>
            <w:u w:val="single"/>
          </w:rPr>
          <w:t>taxtips.ca</w:t>
        </w:r>
      </w:hyperlink>
      <w:r>
        <w:t xml:space="preserve"> — Ontario-Steuersätze und Verkaufssteuern je Provinz (</w:t>
      </w:r>
      <w:hyperlink r:id="rId759">
        <w:r>
          <w:rPr>
            <w:color w:val="0563C1"/>
            <w:u w:val="single"/>
          </w:rPr>
          <w:t>taxtips.ca</w:t>
        </w:r>
      </w:hyperlink>
      <w:r>
        <w:t>)</w:t>
      </w:r>
    </w:p>
    <w:p w14:paraId="26BEAC2B" w14:textId="77777777" w:rsidR="001F7233" w:rsidRDefault="00000000">
      <w:pPr>
        <w:pStyle w:val="ListParagraph"/>
        <w:numPr>
          <w:ilvl w:val="0"/>
          <w:numId w:val="1"/>
        </w:numPr>
        <w:spacing w:after="60"/>
      </w:pPr>
      <w:r>
        <w:t>IRCC — Gebühren für Permanent Residence, Arbeitsvisum und Biometrie (</w:t>
      </w:r>
      <w:hyperlink r:id="rId760">
        <w:r w:rsidR="001F7233">
          <w:rPr>
            <w:color w:val="0563C1"/>
            <w:u w:val="single"/>
          </w:rPr>
          <w:t>ircc.canada.ca/english/information/fees</w:t>
        </w:r>
      </w:hyperlink>
      <w:r>
        <w:t>)</w:t>
      </w:r>
    </w:p>
    <w:p w14:paraId="7BDFAF7B" w14:textId="77777777" w:rsidR="001F7233" w:rsidRDefault="00000000">
      <w:pPr>
        <w:pStyle w:val="ListParagraph"/>
        <w:numPr>
          <w:ilvl w:val="0"/>
          <w:numId w:val="1"/>
        </w:numPr>
        <w:spacing w:after="60"/>
      </w:pPr>
      <w:r>
        <w:t>OECD — Taxing Wages, Steuerkeil-Vergleich (</w:t>
      </w:r>
      <w:hyperlink r:id="rId761">
        <w:r w:rsidR="001F7233">
          <w:rPr>
            <w:color w:val="0563C1"/>
            <w:u w:val="single"/>
          </w:rPr>
          <w:t>oecd.org</w:t>
        </w:r>
      </w:hyperlink>
      <w:r>
        <w:t>)</w:t>
      </w:r>
    </w:p>
    <w:p w14:paraId="4F5BF4EC" w14:textId="77777777" w:rsidR="001F7233" w:rsidRDefault="00000000">
      <w:pPr>
        <w:pStyle w:val="ListParagraph"/>
        <w:numPr>
          <w:ilvl w:val="0"/>
          <w:numId w:val="1"/>
        </w:numPr>
        <w:spacing w:after="60"/>
      </w:pPr>
      <w:r>
        <w:t>Numbeo — Lebenshaltungskosten im Städtevergleich (</w:t>
      </w:r>
      <w:hyperlink r:id="rId762">
        <w:r w:rsidR="001F7233">
          <w:rPr>
            <w:color w:val="0563C1"/>
            <w:u w:val="single"/>
          </w:rPr>
          <w:t>numbeo.com</w:t>
        </w:r>
      </w:hyperlink>
      <w:r>
        <w:t>)</w:t>
      </w:r>
    </w:p>
    <w:p w14:paraId="15CFE9AA" w14:textId="77777777" w:rsidR="001F7233" w:rsidRDefault="001F7233">
      <w:pPr>
        <w:spacing w:line="120" w:lineRule="exact"/>
      </w:pPr>
    </w:p>
    <w:p w14:paraId="6443CFC2" w14:textId="77777777" w:rsidR="001F7233" w:rsidRDefault="00000000">
      <w:r>
        <w:t xml:space="preserve">• 23.09.2026. Steuersätze, Freibeträge und CPP-Grenzwerte werden jährlich angepasst, IRCC-Gebühren wurden zuletzt zum 30.04.2026 erhöht, und einzelne Provinz-Wartefristen bei der Krankenversicherung sind nicht für jede Provinz einzeln primärquellen-geprüft. Prüfe vor jeder Entscheidung die aktuellen Werte auf </w:t>
      </w:r>
      <w:hyperlink r:id="rId763">
        <w:r w:rsidR="001F7233">
          <w:rPr>
            <w:color w:val="0563C1"/>
            <w:u w:val="single"/>
          </w:rPr>
          <w:t>canada.ca</w:t>
        </w:r>
      </w:hyperlink>
      <w:r>
        <w:t xml:space="preserve"> und der Website deiner Zielprovinz.</w:t>
      </w:r>
    </w:p>
    <w:p w14:paraId="18863DBD" w14:textId="77777777" w:rsidR="001F7233" w:rsidRDefault="00000000">
      <w:pPr>
        <w:spacing w:line="220" w:lineRule="exact"/>
      </w:pPr>
      <w:r>
        <w:br w:type="page"/>
      </w:r>
    </w:p>
    <w:p w14:paraId="70FB4397" w14:textId="77777777" w:rsidR="001F7233" w:rsidRDefault="00000000">
      <w:pPr>
        <w:pStyle w:val="Heading2"/>
        <w:keepNext/>
        <w:spacing w:line="341" w:lineRule="auto"/>
        <w:jc w:val="center"/>
      </w:pPr>
      <w:bookmarkStart w:id="108" w:name="tka02"/>
      <w:r>
        <w:rPr>
          <w:rFonts w:ascii="Amazon Ember" w:eastAsia="Amazon Ember" w:hAnsi="Amazon Ember" w:cs="Amazon Ember"/>
          <w:color w:val="0000FF"/>
          <w:sz w:val="36"/>
          <w:szCs w:val="36"/>
        </w:rPr>
        <w:lastRenderedPageBreak/>
        <w:t>Kanada: Wege der Einwanderung</w:t>
      </w:r>
      <w:bookmarkEnd w:id="108"/>
    </w:p>
    <w:p w14:paraId="725CE014" w14:textId="77777777" w:rsidR="001F7233" w:rsidRDefault="00000000">
      <w:r>
        <w:rPr>
          <w:b/>
        </w:rPr>
        <w:t xml:space="preserve">KURZ GESAGT: </w:t>
      </w:r>
    </w:p>
    <w:p w14:paraId="700D5294" w14:textId="77777777" w:rsidR="001F7233" w:rsidRDefault="00000000">
      <w:r>
        <w:t>• Kanada öffnet sich für Deutsche vor allem über zwei Prinzipien: das bundesweite Punktesystem Express Entry (FSW, CEC, FST) und die Provincial Nominee Programs (PNP) der einzelnen Provinzen. Daneben das Arbeitgeber-Sponsoring über ein Arbeitsvisum.</w:t>
      </w:r>
    </w:p>
    <w:p w14:paraId="4A25E696" w14:textId="77777777" w:rsidR="001F7233" w:rsidRDefault="00000000">
      <w:r>
        <w:t>• Arbeitsvisa teilen sich in zwei Schienen: LMIA-pflichtig (der Arbeitgeber muss einen Arbeitsmarkttest bestehen) und LMIA-frei (mehr als 50 Ausnahmekategorien, etwa konzerninterne Transfers oder Handelsabkommen).</w:t>
      </w:r>
    </w:p>
    <w:p w14:paraId="2B0BD4D9" w14:textId="77777777" w:rsidR="001F7233" w:rsidRDefault="00000000">
      <w:r>
        <w:t>• Ein Study Permit mit anschließendem Post-Graduation Work Permit (PGWP) ist selbst kein Daueraufenthaltsweg, aber für viele der Umweg, über den die Canadian Experience Class oder ein Arbeitgeber-Sponsoring erst erreichbar wird.</w:t>
      </w:r>
    </w:p>
    <w:p w14:paraId="7FF13FD3" w14:textId="77777777" w:rsidR="001F7233" w:rsidRDefault="00000000">
      <w:r>
        <w:t>• Das Start-up Visa ist seit dem 1. Januar 2026 für neue Anträge pausiert.</w:t>
      </w:r>
    </w:p>
    <w:p w14:paraId="652A8E4A" w14:textId="77777777" w:rsidR="001F7233" w:rsidRDefault="00000000">
      <w:r>
        <w:t>• Welcher Weg passt, hängt weniger vom Wunschort ab als von Sprachniveau, Berufserfahrung, vorhandenem Jobangebot und der Frage, wie viel Bindung an einen einzelnen Arbeitgeber du in Kauf nehmen willst.</w:t>
      </w:r>
    </w:p>
    <w:p w14:paraId="2CA1AAD7" w14:textId="77777777" w:rsidR="001F7233" w:rsidRDefault="001F7233">
      <w:pPr>
        <w:spacing w:line="220" w:lineRule="exact"/>
      </w:pPr>
    </w:p>
    <w:p w14:paraId="5123BA8B" w14:textId="77777777" w:rsidR="001F7233" w:rsidRDefault="001F7233">
      <w:pPr>
        <w:keepLines/>
        <w:spacing w:before="160" w:after="40"/>
        <w:jc w:val="center"/>
      </w:pPr>
    </w:p>
    <w:p w14:paraId="62B8486D" w14:textId="77777777" w:rsidR="001F7233" w:rsidRDefault="00000000">
      <w:pPr>
        <w:keepLines/>
        <w:spacing w:after="200"/>
        <w:jc w:val="center"/>
      </w:pPr>
      <w:r>
        <w:t>Schaubild 7. Kanada: Express Entry von der Berechtigung bis zur Entscheidung.</w:t>
      </w:r>
    </w:p>
    <w:p w14:paraId="52BF66F2" w14:textId="77777777" w:rsidR="001F7233" w:rsidRDefault="00000000">
      <w:r>
        <w:rPr>
          <w:noProof/>
        </w:rPr>
        <w:lastRenderedPageBreak/>
        <w:drawing>
          <wp:inline distT="0" distB="0" distL="0" distR="0" wp14:anchorId="382C6F7B" wp14:editId="1BBDA019">
            <wp:extent cx="4114800" cy="2880360"/>
            <wp:effectExtent l="0" t="0" r="0" b="0"/>
            <wp:docPr id="7" name="Schaubild 6" descr="Kanada: Express Entry von der Berechtigung bis zur Entschei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haubild 6" descr="Kanada: Express Entry von der Berechtigung bis zur Entscheidung"/>
                    <pic:cNvPicPr>
                      <a:picLocks noChangeAspect="1" noChangeArrowheads="1"/>
                    </pic:cNvPicPr>
                  </pic:nvPicPr>
                  <pic:blipFill>
                    <a:blip r:embed="rId764"/>
                    <a:stretch>
                      <a:fillRect/>
                    </a:stretch>
                  </pic:blipFill>
                  <pic:spPr bwMode="auto">
                    <a:xfrm>
                      <a:off x="0" y="0"/>
                      <a:ext cx="4114800" cy="2880360"/>
                    </a:xfrm>
                    <a:prstGeom prst="rect">
                      <a:avLst/>
                    </a:prstGeom>
                    <a:noFill/>
                  </pic:spPr>
                </pic:pic>
              </a:graphicData>
            </a:graphic>
          </wp:inline>
        </w:drawing>
      </w:r>
    </w:p>
    <w:p w14:paraId="13DD3A98"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Zwei Systeme nebeneinander: Punkte oder Arbeitgeber</w:t>
      </w:r>
    </w:p>
    <w:p w14:paraId="291D832E" w14:textId="77777777" w:rsidR="001F7233" w:rsidRDefault="00000000">
      <w:pPr>
        <w:spacing w:after="140"/>
      </w:pPr>
      <w:r>
        <w:rPr>
          <w:i/>
          <w:iCs/>
        </w:rPr>
        <w:t>Kanadas System für befristete Arbeit trennt sich meist in zwei Schienen. Das Temporary Foreign Worker Program (TFWP, das arbeitsmarktgeprüfte Programm) verlangt vom kanadischen Arbeitgeber vorab eine positive Labour Market Impact Assessment (LMIA, der Arbeitsmarkttest durch Employment and Social Development Canada, ESDC). Diese ist der Nachweis, dass keine Kanadier oder bereits ansässigen Personen für die Stelle verfügbar sind. Das International Mobility Program (IMP) befreit von dieser Pflicht, wenn die Stelle einen breiteren wirtschaftlichen, kulturellen oder reziproken Nutzen für Kanada hat. IRCC stellt das Arbeitsvisum dann direkt aus, ohne ESDC-Beteiligung.</w:t>
      </w:r>
    </w:p>
    <w:p w14:paraId="6C3E4AC2" w14:textId="77777777" w:rsidR="001F7233" w:rsidRDefault="00000000">
      <w:pPr>
        <w:spacing w:after="140"/>
      </w:pPr>
      <w:r>
        <w:rPr>
          <w:i/>
          <w:iCs/>
        </w:rPr>
        <w:t xml:space="preserve">Für den Daueraufenthalt gilt eine zweite, davon unabhängige Unterscheidung: das bundesweite Punktesystem Express Entry gegen den Provincial Nominee Programs (PNP). Bei Express Entry bewirbst </w:t>
      </w:r>
      <w:r>
        <w:rPr>
          <w:i/>
          <w:iCs/>
        </w:rPr>
        <w:lastRenderedPageBreak/>
        <w:t>du dich selbst, ohne dass zwingend ein Arbeitgeber zusagen muss. Du brauchst nur einen ausreichenden Punktestand im Comprehensive Ranking System (CRS, die Punkteskala, nach der IRCC Kandidatenprofile im Bewerberpool rangiert). Beim PNP nominiert dich stattdessen eine einzelne Provinz oder ein Territorium für die permanente Aufenthaltserlaubnis, meist mit eigenen, engeren Kriterien und oft an eine Zusage gekoppelt, in dieser Provinz zu leben. Für Deutsche ohne bereits vorhandenes Jobangebot ist Express Entry meist den ersten Blick wert. Wer schon ein Angebot in der Tasche hat, kann direkt zum Arbeitgeberweg oder einer arbeitgebergebundenen PNP-Kategorie springen.</w:t>
      </w:r>
    </w:p>
    <w:p w14:paraId="2CC6E6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FSW, CEC und FST im Überblick</w:t>
      </w:r>
    </w:p>
    <w:p w14:paraId="65864179" w14:textId="77777777" w:rsidR="001F7233" w:rsidRDefault="00000000">
      <w:pPr>
        <w:spacing w:after="140"/>
      </w:pPr>
      <w:r>
        <w:rPr>
          <w:i/>
          <w:iCs/>
        </w:rPr>
        <w:t>Express Entry verwaltet drei Bundesprogramme über dieselbe Plattform und dieselbe CRS-Punkteskala. Der Federal Skilled Worker-Weg (FSW, die allgemeine Facharbeitereinwanderung ohne Kanada-Bezug) verlangt mindestens ein Jahr durchgehende Berufserfahrung in den letzten zehn Jahren und ein Sprachniveau von mindestens Canadian Language Benchmark (CLB) 7 in allen vier Fertigkeiten. Dazu kommen eine anerkannte Bildungsbewertung (Educational Credential Assessment, ECA, für ausländische Abschlüsse) und auch mindestens 67 von 100 Punkten in einem eigenen, vom CRS getrennten Zulassungsraster (Sprache, Bildung, Berufserfahrung, Alter, Jobangebot, Anpassungsfähigkeit). Die Canadian Experience Class (CEC) richtet sich dagegen an alle, die bereits mindestens ein Jahr qualifiziert in Kanada gearbeitet haben. Etwa nach einem Studium mit anschließendem PGWP. Sie verlangt ein niedrigeres Sprachminimum (CLB 7 oder 5, je nach Berufskategorie) und keine ECA. Der Federal Skilled Trades-Weg (FST) schließlich richtet sich an Handwerksberufe mit Jobangebot oder kanadischem Qualifikationszertifikat.</w:t>
      </w:r>
    </w:p>
    <w:p w14:paraId="6A8AB1E5" w14:textId="77777777" w:rsidR="001F7233" w:rsidRDefault="00000000">
      <w:pPr>
        <w:spacing w:after="140"/>
      </w:pPr>
      <w:r>
        <w:rPr>
          <w:i/>
          <w:iCs/>
        </w:rPr>
        <w:lastRenderedPageBreak/>
        <w:t>Wer die Eignungshürde nimmt, wird in den Bewerberpool aufgenommen und nach CRS-Score gerankt. Maximal erreichbar sind 1.200 Punkte, verteilt auf Kernfaktoren wie Alter, Ausbildung, Sprachtest und Berufserfahrung sowie Zusatzfaktoren wie eine PNP-Nominierung oder einen kanadischen Studienabschluss. Bei ausreichendem Score folgt eine Einladung zur Antragstellung (Invitation to Apply, ITA). Die Einladungsgrenzen schwanken 2026 stark: Allgemeine Runden lagen meist zwischen 480 und 530 Punkten, CEC-spezifische Runden zwischen 507 und 521. Seit 2026 kommen zehn kategoriebasierte Ziehungen hinzu – etwa für Französischkenntnisse, Gesundheitsberufe, MINT-Berufe oder Handwerk. Bei diesen liegen die Cutoffs teils deutlich niedriger: Die Kategorie Gesundheit und Soziales lud im September 2026 bereits bei 475 Punkten ein, die Kategorie für Ärzte mit kanadischer Erfahrung sogar schon ab rund 170 bis 200 Punkten. Wer in einem dieser Berufsfelder arbeitet, sollte die kategoriebasierten Runden gezielt im Blick behalten, nicht nur die allgemeinen.</w:t>
      </w:r>
    </w:p>
    <w:p w14:paraId="65D79074" w14:textId="77777777" w:rsidR="001F7233" w:rsidRDefault="00000000">
      <w:r>
        <w:rPr>
          <w:b/>
        </w:rPr>
        <w:t xml:space="preserve">ACHTUNG: </w:t>
      </w:r>
    </w:p>
    <w:p w14:paraId="19CDB26C" w14:textId="77777777" w:rsidR="001F7233" w:rsidRDefault="00000000">
      <w:r>
        <w:t>• Seit dem 25. März 2025 bringt ein bestehendes Jobangebot im CRS keine Zusatzpunkte mehr. Viele ältere Ratgeber im Internet haben diese Änderung noch nicht nachvollzogen. Ein Jobangebot bleibt wertvoll, weil es oft den Weg über die Canadian Experience Class oder ein Arbeitgeber-Sponsoring eröffnet, hebt aber den CRS-Score selbst nicht mehr an.</w:t>
      </w:r>
    </w:p>
    <w:p w14:paraId="03428B84" w14:textId="77777777" w:rsidR="001F7233" w:rsidRDefault="001F7233">
      <w:pPr>
        <w:spacing w:line="220" w:lineRule="exact"/>
      </w:pPr>
    </w:p>
    <w:p w14:paraId="2AEEF5DC" w14:textId="77777777" w:rsidR="001F7233" w:rsidRDefault="00000000">
      <w:r>
        <w:rPr>
          <w:b/>
        </w:rPr>
        <w:t xml:space="preserve">MERKE: </w:t>
      </w:r>
    </w:p>
    <w:p w14:paraId="2C5AC787" w14:textId="77777777" w:rsidR="001F7233" w:rsidRDefault="00000000">
      <w:r>
        <w:t>• Der CRS ist kein Ja-Nein-Filter, sondern eine laufende Rangliste im Bewerberpool. Ein hoher Score erhöht die Chance auf eine Einladung, garantiert sie aber nicht. Die Cutoffs schwanken von Runde zu Runde, je nachdem, wie viele Profile mit welchem Score gerade im Pool stehen.</w:t>
      </w:r>
    </w:p>
    <w:p w14:paraId="31A53EEA" w14:textId="77777777" w:rsidR="001F7233" w:rsidRDefault="001F7233">
      <w:pPr>
        <w:spacing w:line="220" w:lineRule="exact"/>
      </w:pPr>
    </w:p>
    <w:p w14:paraId="2B6B6BAE" w14:textId="77777777" w:rsidR="001F7233" w:rsidRDefault="001F7233">
      <w:pPr>
        <w:spacing w:line="220" w:lineRule="exact"/>
      </w:pPr>
    </w:p>
    <w:p w14:paraId="530EAF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Provincial Nominee Program: Einwanderung über die Provinz</w:t>
      </w:r>
    </w:p>
    <w:p w14:paraId="756CD1CB" w14:textId="77777777" w:rsidR="001F7233" w:rsidRDefault="00000000">
      <w:pPr>
        <w:spacing w:after="140"/>
      </w:pPr>
      <w:r>
        <w:rPr>
          <w:i/>
          <w:iCs/>
        </w:rPr>
        <w:t>Wer im CRS knapp unter den Bundes-Cutoffs liegt oder einen konkreten regionalen Bezug hat, findet im Provincial Nominee Program (PNP) oft den schnelleren Weg. Jede Provinz und jedes Territorium außer Québec, das mit Arrima ein eigenständiges, komplett separates System betreibt, nominiert eigenständig Kandidaten. IRCC trifft am Ende trotzdem die finale Entscheidung über Zulässigkeit, Gesundheit und Sicherheit. Eine Nominierung ist also keine PR-Garantie, bringt aber im Express-Entry-verknüpften Fall zusätzliche CRS-Punkte und senkt damit faktisch die Hürde. Für 2026 plant IRCC 91.500 PNP-Landungen, ein Anstieg von 66 % gegen dem vorherigen Planungsstand. Das PNP ist damit der zweitgrößte Wirtschaftskanal nach den Bundesprogrammen.</w:t>
      </w:r>
    </w:p>
    <w:p w14:paraId="6AB959D8" w14:textId="77777777" w:rsidR="001F7233" w:rsidRDefault="00000000">
      <w:pPr>
        <w:spacing w:after="140"/>
      </w:pPr>
      <w:r>
        <w:t>Die Ausgestaltung unterscheidet sich stark. Ontario (OINP) hat sein System 2026 vereinfacht und acht frühere Programmlinien durch einen neuen, arbeitgebergeführten Weg ersetzt. Die Antragsgebühr hängt vom Wohnort des Arbeitgebers ab: 1.500 CAD außer des Greater Toronto Area (GTA), 2.000 CAD in des GTA. Ein Express-Entry-verknüpfter Fall kostet deshalb samt der Bundesgebühren von rund 1.675 CAD insgesamt etwa 3.175 CAD außer und 3.675 CAD in des GTA, vor Sprachtest, Bildungsanerkennung und Führungszeugnissen. British Columbia (BC PNP) erhebt für Anträge eine Gebühr von 1.750 CAD. Alberta (AAIP), Manitoba (MPNP), Saskatchewan (SINP) und die Atlantikprovinzen betreiben eigene, teils Express-Entry-verknüpfte, teils eigenständige Ströme mit jeweils eigenen Zielberufslisten und eigenen Fristen. Wer eine bestimmte Provinz ins Auge fasst, sollte deren aktuelles Programm gezielt und einzeln prüfen, da sich die Details laufend ändern und in diesem Überblick nicht erschöpfend behandelt werden können.</w:t>
      </w:r>
    </w:p>
    <w:p w14:paraId="63B8B278" w14:textId="77777777" w:rsidR="001F7233" w:rsidRDefault="00000000">
      <w:r>
        <w:rPr>
          <w:b/>
        </w:rPr>
        <w:t xml:space="preserve">ACHTUNG: </w:t>
      </w:r>
    </w:p>
    <w:p w14:paraId="3FA3A13A" w14:textId="77777777" w:rsidR="001F7233" w:rsidRDefault="00000000">
      <w:r>
        <w:lastRenderedPageBreak/>
        <w:t>• Eine PNP-Nominierung bindet dich in aller Regel an eine Wohnsitzpflicht in der nominierenden Provinz, meist für die ersten Jahre. Wer diese Bindung nicht will, sollte prüfen, ob der eigene Score auch ohne Nominierung für eine Bundes-Einladung reicht.</w:t>
      </w:r>
    </w:p>
    <w:p w14:paraId="036CFCAD" w14:textId="77777777" w:rsidR="001F7233" w:rsidRDefault="001F7233">
      <w:pPr>
        <w:spacing w:line="220" w:lineRule="exact"/>
      </w:pPr>
    </w:p>
    <w:p w14:paraId="07261AB8" w14:textId="77777777" w:rsidR="001F7233" w:rsidRDefault="00000000">
      <w:pPr>
        <w:pStyle w:val="Heading3"/>
        <w:keepNext/>
        <w:spacing w:line="341" w:lineRule="auto"/>
        <w:jc w:val="center"/>
      </w:pPr>
      <w:bookmarkStart w:id="109" w:name="idx_LMIA"/>
      <w:r>
        <w:rPr>
          <w:rFonts w:ascii="Amazon Ember" w:eastAsia="Amazon Ember" w:hAnsi="Amazon Ember" w:cs="Amazon Ember"/>
          <w:color w:val="0000FF"/>
          <w:sz w:val="36"/>
          <w:szCs w:val="36"/>
        </w:rPr>
        <w:t>Arbeitgeber-Sponsoring: LMIA-pflichtig und LMIA-frei</w:t>
      </w:r>
      <w:bookmarkEnd w:id="109"/>
    </w:p>
    <w:p w14:paraId="5BDBBC37" w14:textId="77777777" w:rsidR="001F7233" w:rsidRDefault="00000000">
      <w:pPr>
        <w:spacing w:after="140"/>
      </w:pPr>
      <w:r>
        <w:rPr>
          <w:i/>
          <w:iCs/>
        </w:rPr>
        <w:t>Das International Mobility Program befreit von der LMIA-Pflicht in über 50 Ausnahmekategorien: Handelsabkommen mit Mobilitätskapitel (etwa CETA mit der EU, relevant für bestimmte Berufsgruppen aus Deutschland), konzerninterne Transfers (Intra-Company Transfer, ICT) und Fälle von „erheblichem Nutzen“ für Kanada. Praktisch relevant sind außerdem für Studierende und Ehepartner der Post-Graduation Work Permit und offene Arbeitsvisa für mitreisende Partner bestimmter Hauptantragsteller. Seit Februar 2026 prüft IRCC die ICT-Kategorie strenger: Die Muttergesellschaft muss inzwischen Umsatz erzielende Geschäftstätigkeit in mindestens zwei Ländern nachweisen. Eine reine kanadische Neugründung reicht nicht mehr.</w:t>
      </w:r>
    </w:p>
    <w:p w14:paraId="17D06CBD" w14:textId="77777777" w:rsidR="001F7233" w:rsidRDefault="00000000">
      <w:r>
        <w:t>• Dieses Kapitel erklärt Regeln und Praxis, ersetzt aber keine Beratung durch eine registrierte kanadische Einwanderungsberaterin, einen Einwanderungsberater (Regulated Canadian Immigration Consultant, RCIC) oder eine Anwältin oder einen Anwalt für kanadisches Einwanderungsrecht.</w:t>
      </w:r>
    </w:p>
    <w:p w14:paraId="31E85193" w14:textId="77777777" w:rsidR="001F7233" w:rsidRDefault="001F7233">
      <w:pPr>
        <w:spacing w:line="220" w:lineRule="exact"/>
      </w:pPr>
    </w:p>
    <w:p w14:paraId="388E2FBF" w14:textId="77777777" w:rsidR="001F7233" w:rsidRDefault="00000000">
      <w:pPr>
        <w:spacing w:after="140"/>
      </w:pPr>
      <w:r>
        <w:t>Der Vorteil des Arbeitgeberwegs liegt in den niedrigen persönlichen Vorabkosten und dem Wegfall des Punktetests. Der Preis ist die Bindung: Ein LMIA-basiertes Arbeitsvisum ist an die konkrete Stelle gekoppelt. Ein Arbeitgeberwechsel bedeutet in aller Regel ein neues Verfahren. Wer von dort aus die permanente Aufenthaltserlaubnis anstrebt, braucht meist auch kanadische Berufserfahrung für die Canadian Experience Class oder eine passende PNP-Kategorie.</w:t>
      </w:r>
    </w:p>
    <w:p w14:paraId="41CA86D5" w14:textId="77777777" w:rsidR="001F7233" w:rsidRDefault="001F7233">
      <w:pPr>
        <w:spacing w:line="220" w:lineRule="exact"/>
      </w:pPr>
    </w:p>
    <w:p w14:paraId="11A36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Study Permit und PGWP: der Umweg über den Studienabschluss</w:t>
      </w:r>
    </w:p>
    <w:p w14:paraId="44DBB049" w14:textId="77777777" w:rsidR="001F7233" w:rsidRDefault="00000000">
      <w:pPr>
        <w:spacing w:after="140"/>
      </w:pPr>
      <w:r>
        <w:rPr>
          <w:i/>
          <w:iCs/>
        </w:rPr>
        <w:t>Ein Study Permit (das kanadische Studienvisum) führt nicht direkt zum Daueraufenthalt, öffnet aber zwei Türen zugleich: einen kanadischen Abschluss, der die Eignung für die Canadian Experience Class erst schafft, und häufig den ersten Kontakt zu einem künftigen Arbeitgeber. Die Gebühr liegt bei 150 CAD. Der veröffentlichte Servicestandard beträgt rund 60 Tage bei Antragstellung außerhalb Kanadas beziehungsweise 120 Tage bei Antragstellung innerhalb Kanadas. Ob der beschleunigte Student Direct Stream (rund 20 Tage) auch für deinen Fall gilt, prüfst du bei der zuständigen Behörde.</w:t>
      </w:r>
    </w:p>
    <w:p w14:paraId="3B06BA22" w14:textId="77777777" w:rsidR="001F7233" w:rsidRDefault="00000000">
      <w:pPr>
        <w:spacing w:after="140"/>
      </w:pPr>
      <w:r>
        <w:rPr>
          <w:i/>
          <w:iCs/>
        </w:rPr>
        <w:t>Nach dem Abschluss folgt für die meisten der Post-Graduation Work Permit (PGWP, das befristete Arbeitsvisum für Hochschulabsolventen), Gebühr insgesamt 255 CAD. Er erlaubt befristetes Arbeiten in Kanada und damit das Sammeln der kanadischen Berufserfahrung, die die Canadian Experience Class voraussetzt. Seit einer Reform 2025 ist die Liste der PGWP-berechtigten Studienfächer bei nicht-akademischen Programmen (Diplom, Zertifikat) auf 1.107 anerkannte Programme eingegrenzt und für 2026 eingefroren. Bachelor-, Master- und Promotionsabschlüsse öffentlicher Hochschulen sind von dieser Feld-Einschränkung meist ausgenommen.</w:t>
      </w:r>
    </w:p>
    <w:p w14:paraId="0C1F8D7C" w14:textId="77777777" w:rsidR="001F7233" w:rsidRDefault="00000000">
      <w:r>
        <w:rPr>
          <w:b/>
        </w:rPr>
        <w:t xml:space="preserve">SPARTIPP: </w:t>
      </w:r>
    </w:p>
    <w:p w14:paraId="31838D70" w14:textId="77777777" w:rsidR="001F7233" w:rsidRDefault="00000000">
      <w:r>
        <w:t>• Wer sich für den Studienweg entscheidet, sollte schon bei der Programmwahl prüfen, ob das Fach auf der PGWP-Berechtigungsliste steht. Ein nicht-berechtigtes Diplomprogramm kann sich später als teure Sackgasse erweisen, weil der Weg zur kanadischen Berufserfahrung dann fehlt.</w:t>
      </w:r>
    </w:p>
    <w:p w14:paraId="1ED5CECB" w14:textId="77777777" w:rsidR="001F7233" w:rsidRDefault="001F7233">
      <w:pPr>
        <w:spacing w:line="220" w:lineRule="exact"/>
      </w:pPr>
    </w:p>
    <w:p w14:paraId="0B6AF1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Start-up Visa und Familiennachzug – kurz gestreift</w:t>
      </w:r>
    </w:p>
    <w:p w14:paraId="20C74376" w14:textId="77777777" w:rsidR="001F7233" w:rsidRDefault="00000000">
      <w:pPr>
        <w:spacing w:after="140"/>
      </w:pPr>
      <w:r>
        <w:t xml:space="preserve">Das </w:t>
      </w:r>
      <w:r>
        <w:rPr>
          <w:i/>
          <w:iCs/>
        </w:rPr>
        <w:t>Start-up Visa</w:t>
      </w:r>
      <w:r>
        <w:t xml:space="preserve"> (der Weg für Unternehmensgründer mit Unterstützung einer designierten Organisation) ist seit dem 1. Januar 2026 für neue Anträge pausiert. Nur Antragsteller mit einem gültigen Commitment Certificate aus 2025 konnten ihren Antrag noch bis zum 30. Juni 2026 einreichen. Ob und in welcher Form das Programm wieder öffnet, war zum Zeitpunkt dieses Kapitels offen. Familiennachzug – etwa für Ehepartner ohne eigenen gefragten Beruf oder für Eltern und Großeltern – folgt einer eigenen Logik mit eigenen Einkommensschwellen und ist hier nur gestreift. Das </w:t>
      </w:r>
      <w:hyperlink w:anchor="tka04">
        <w:r w:rsidR="001F7233">
          <w:rPr>
            <w:color w:val="0563C1"/>
            <w:u w:val="single"/>
          </w:rPr>
          <w:t>Kapitel zu Familie, Partner, Investor- und Sonderwegen in diesem Teil</w:t>
        </w:r>
      </w:hyperlink>
      <w:r>
        <w:t xml:space="preserve"> geht darauf im Detail ein.</w:t>
      </w:r>
    </w:p>
    <w:p w14:paraId="1773BA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4DD0D42F" w14:textId="77777777" w:rsidR="001F7233" w:rsidRDefault="00000000">
      <w:pPr>
        <w:spacing w:after="140"/>
      </w:pPr>
      <w:r>
        <w:t>Wer die Wege in diesem Kapitel zum ersten Mal vergleicht, tappt erfahrungsgemäß in ähnliche Fallen:</w:t>
      </w:r>
    </w:p>
    <w:p w14:paraId="5F68E6E3" w14:textId="77777777" w:rsidR="001F7233" w:rsidRDefault="00000000">
      <w:pPr>
        <w:pStyle w:val="ListParagraph"/>
        <w:numPr>
          <w:ilvl w:val="0"/>
          <w:numId w:val="1"/>
        </w:numPr>
        <w:spacing w:after="60"/>
      </w:pPr>
      <w:r>
        <w:t>Verbreiteter Irrtum: Ein deutscher Hochschulabschluss werde für Express Entry automatisch anerkannt. Tatsächlich verlangt der FSW-Weg fast immer eine eigene, kostenpflichtige Bildungsbewertung (ECA) durch eine anerkannte Organisation. Das deutsche Diplom ist dafür der Ausgangspunkt, nicht der Nachweis selbst.</w:t>
      </w:r>
    </w:p>
    <w:p w14:paraId="566E8E2C" w14:textId="77777777" w:rsidR="001F7233" w:rsidRDefault="00000000">
      <w:pPr>
        <w:pStyle w:val="ListParagraph"/>
        <w:numPr>
          <w:ilvl w:val="0"/>
          <w:numId w:val="1"/>
        </w:numPr>
        <w:spacing w:after="60"/>
      </w:pPr>
      <w:r>
        <w:t>Die gesetzliche Mindestpunktzahl von 67 im FSW-Zulassungsraster wird mit einer realistischen Einladungschance im CRS verwechselt. Das sind zwei unterschiedliche Punktesysteme mit unterschiedlichen Schwellen.</w:t>
      </w:r>
    </w:p>
    <w:p w14:paraId="6A51038D" w14:textId="77777777" w:rsidR="001F7233" w:rsidRDefault="00000000">
      <w:pPr>
        <w:pStyle w:val="ListParagraph"/>
        <w:numPr>
          <w:ilvl w:val="0"/>
          <w:numId w:val="1"/>
        </w:numPr>
        <w:spacing w:after="60"/>
      </w:pPr>
      <w:r>
        <w:t xml:space="preserve">LMIA-pflichtig und LMIA-frei werden verwechselt – wer ein Jobangebot hat, sollte früh klären, in welche Kategorie die Stelle </w:t>
      </w:r>
      <w:r>
        <w:lastRenderedPageBreak/>
        <w:t>fällt, weil sich Kosten und Bearbeitungsdauer stark unterscheiden.</w:t>
      </w:r>
    </w:p>
    <w:p w14:paraId="410222B2" w14:textId="77777777" w:rsidR="001F7233" w:rsidRDefault="00000000">
      <w:pPr>
        <w:pStyle w:val="ListParagraph"/>
        <w:numPr>
          <w:ilvl w:val="0"/>
          <w:numId w:val="1"/>
        </w:numPr>
        <w:spacing w:after="60"/>
      </w:pPr>
      <w:r>
        <w:t>Die eTA für Besuchsreisen wird mit einer Arbeitsberechtigung verwechselt. Sie erlaubt Tourismus und Transit, aber weder Arbeit noch Studium.</w:t>
      </w:r>
    </w:p>
    <w:p w14:paraId="09F9E4C7" w14:textId="77777777" w:rsidR="001F7233" w:rsidRDefault="00000000">
      <w:pPr>
        <w:pStyle w:val="ListParagraph"/>
        <w:numPr>
          <w:ilvl w:val="0"/>
          <w:numId w:val="1"/>
        </w:numPr>
        <w:spacing w:after="60"/>
      </w:pPr>
      <w:r>
        <w:t>Die Bearbeitungszeit wird unterschätzt, weil Online-Angaben oft nur die IRCC-Bearbeitung nach Einladung zeigen, nicht die Monate für Sprachtest, ECA und Dokumentenbeschaffung davor.</w:t>
      </w:r>
    </w:p>
    <w:p w14:paraId="52CA5F2A" w14:textId="77777777" w:rsidR="001F7233" w:rsidRDefault="00000000">
      <w:pPr>
        <w:pStyle w:val="ListParagraph"/>
        <w:numPr>
          <w:ilvl w:val="0"/>
          <w:numId w:val="1"/>
        </w:numPr>
        <w:spacing w:after="60"/>
      </w:pPr>
      <w:r>
        <w:t>Der Sprachtest wird zu spät oder mit der falschen Erwartung gebucht: CELPIP rechnet eins zu eins in die Canadian Language Benchmark um, während IELTS je Fertigkeit unterschiedlich gestaffelte Bänder hat. Zwei Bewerber mit „gutem Englisch“ können so unterschiedliche CLB-Stufen erreichen.</w:t>
      </w:r>
    </w:p>
    <w:p w14:paraId="38B1A2ED" w14:textId="77777777" w:rsidR="001F7233" w:rsidRDefault="001F7233">
      <w:pPr>
        <w:spacing w:line="120" w:lineRule="exact"/>
      </w:pPr>
    </w:p>
    <w:p w14:paraId="11C441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3118730C" w14:textId="77777777" w:rsidR="001F7233" w:rsidRDefault="00000000">
      <w:pPr>
        <w:spacing w:after="140"/>
      </w:pPr>
      <w:r>
        <w:t>Die Entscheidung ist selten eine reine Punkterechnung. Wer eine Familie mitnimmt, gewichtet Planbarkeit und einen von Anfang an unbefristeten Status oft höher als Geschwindigkeit und bevorzugt Express Entry, notfalls mit PNP-Unterstützung. Wer alleinstehend ist und ein konkretes Jobangebot hat, kommt über den Arbeitgeberweg oft schneller ins Land. Dafür nimmt er die Bindung an den Betrieb in Kauf. Die folgende Übersicht ersetzt keine individuelle Rechnung, zeigt aber, wo die meisten Deutschen typischerweise landen:</w:t>
      </w:r>
    </w:p>
    <w:p w14:paraId="12026E1A" w14:textId="77777777" w:rsidR="001F7233" w:rsidRDefault="00000000">
      <w:r>
        <w:rPr>
          <w:b/>
        </w:rPr>
        <w:t>Beruf in einer aktuellen Kategorie (etwa Gesundheit, Handwerk, Bildung) oder gutes Französisch, kein Jobangebot</w:t>
      </w:r>
    </w:p>
    <w:p w14:paraId="02468DA7" w14:textId="77777777" w:rsidR="001F7233" w:rsidRDefault="00000000">
      <w:r>
        <w:rPr>
          <w:b/>
        </w:rPr>
        <w:t xml:space="preserve">Meist passender Weg: </w:t>
      </w:r>
      <w:r>
        <w:t>Express Entry (FSW) über eine Kategorie-Runde</w:t>
      </w:r>
    </w:p>
    <w:p w14:paraId="67B4E79A" w14:textId="77777777" w:rsidR="001F7233" w:rsidRDefault="00000000">
      <w:r>
        <w:rPr>
          <w:b/>
        </w:rPr>
        <w:t>Guter CRS-Score, aber keine passende Kategorie</w:t>
      </w:r>
    </w:p>
    <w:p w14:paraId="2225F809" w14:textId="77777777" w:rsidR="001F7233" w:rsidRDefault="00000000">
      <w:r>
        <w:rPr>
          <w:b/>
        </w:rPr>
        <w:t xml:space="preserve">Meist passender Weg: </w:t>
      </w:r>
      <w:r>
        <w:t>Express Entry plus Provinznominierung (PNP)</w:t>
      </w:r>
    </w:p>
    <w:p w14:paraId="25A929C4" w14:textId="77777777" w:rsidR="001F7233" w:rsidRDefault="00000000">
      <w:r>
        <w:rPr>
          <w:b/>
        </w:rPr>
        <w:t>Score knapp unter dem Cutoff, Bereitschaft zu Wohnsitzbindung</w:t>
      </w:r>
    </w:p>
    <w:p w14:paraId="65B41C64" w14:textId="77777777" w:rsidR="001F7233" w:rsidRDefault="00000000">
      <w:r>
        <w:rPr>
          <w:b/>
        </w:rPr>
        <w:t xml:space="preserve">Meist passender Weg: </w:t>
      </w:r>
      <w:r>
        <w:t>Provincial Nominee Program</w:t>
      </w:r>
    </w:p>
    <w:p w14:paraId="49B22083" w14:textId="77777777" w:rsidR="001F7233" w:rsidRDefault="00000000">
      <w:r>
        <w:rPr>
          <w:b/>
        </w:rPr>
        <w:lastRenderedPageBreak/>
        <w:t>Bereits ein Jahr qualifiziert in Kanada gearbeitet (z. B. nach PGWP)</w:t>
      </w:r>
    </w:p>
    <w:p w14:paraId="519628EA" w14:textId="77777777" w:rsidR="001F7233" w:rsidRDefault="00000000">
      <w:r>
        <w:rPr>
          <w:b/>
        </w:rPr>
        <w:t xml:space="preserve">Meist passender Weg: </w:t>
      </w:r>
      <w:r>
        <w:t>Canadian Experience Class</w:t>
      </w:r>
    </w:p>
    <w:p w14:paraId="08AC855C" w14:textId="77777777" w:rsidR="001F7233" w:rsidRDefault="00000000">
      <w:r>
        <w:rPr>
          <w:b/>
        </w:rPr>
        <w:t>Konkretes Jobangebot eines kanadischen Arbeitgebers liegt vor</w:t>
      </w:r>
    </w:p>
    <w:p w14:paraId="5D84C08F" w14:textId="77777777" w:rsidR="001F7233" w:rsidRDefault="00000000">
      <w:r>
        <w:rPr>
          <w:b/>
        </w:rPr>
        <w:t xml:space="preserve">Meist passender Weg: </w:t>
      </w:r>
      <w:r>
        <w:t>LMIA-pflichtiges oder LMIA-freies Arbeitsvisum</w:t>
      </w:r>
    </w:p>
    <w:p w14:paraId="48DC193F" w14:textId="77777777" w:rsidR="001F7233" w:rsidRDefault="00000000">
      <w:r>
        <w:rPr>
          <w:b/>
        </w:rPr>
        <w:t>Punktzahl oder Abschluss reichen noch nicht</w:t>
      </w:r>
    </w:p>
    <w:p w14:paraId="3EC163EC" w14:textId="77777777" w:rsidR="001F7233" w:rsidRDefault="00000000">
      <w:r>
        <w:rPr>
          <w:b/>
        </w:rPr>
        <w:t xml:space="preserve">Meist passender Weg: </w:t>
      </w:r>
      <w:r>
        <w:t>Study Permit als Zwischenschritt</w:t>
      </w:r>
    </w:p>
    <w:p w14:paraId="1C232D01" w14:textId="77777777" w:rsidR="001F7233" w:rsidRDefault="00000000">
      <w:r>
        <w:rPr>
          <w:b/>
        </w:rPr>
        <w:t>Unternehmensidee mit Unterstützung einer designierten Organisation</w:t>
      </w:r>
    </w:p>
    <w:p w14:paraId="0C8231CB" w14:textId="77777777" w:rsidR="001F7233" w:rsidRDefault="00000000">
      <w:r>
        <w:rPr>
          <w:b/>
        </w:rPr>
        <w:t xml:space="preserve">Meist passender Weg: </w:t>
      </w:r>
      <w:r>
        <w:t>Start-up Visa (derzeit pausiert, siehe oben)</w:t>
      </w:r>
    </w:p>
    <w:p w14:paraId="79BCF596" w14:textId="77777777" w:rsidR="001F7233" w:rsidRDefault="00000000">
      <w:r>
        <w:rPr>
          <w:b/>
        </w:rPr>
        <w:t>Kein eigener gefragter Beruf, aber Familienangehörige mit Status in Kanada</w:t>
      </w:r>
    </w:p>
    <w:p w14:paraId="61266836" w14:textId="77777777" w:rsidR="001F7233" w:rsidRDefault="00000000">
      <w:r>
        <w:rPr>
          <w:b/>
        </w:rPr>
        <w:t xml:space="preserve">Meist passender Weg: </w:t>
      </w:r>
      <w:r>
        <w:t>siehe Kapitel zu Familie, Investor und Ruhestand in diesem Teil</w:t>
      </w:r>
    </w:p>
    <w:p w14:paraId="1978CF0A" w14:textId="77777777" w:rsidR="001F7233" w:rsidRDefault="001F7233">
      <w:pPr>
        <w:spacing w:line="180" w:lineRule="exact"/>
      </w:pPr>
    </w:p>
    <w:p w14:paraId="4AAB69EE" w14:textId="77777777" w:rsidR="001F7233" w:rsidRDefault="00000000">
      <w:r>
        <w:rPr>
          <w:b/>
        </w:rPr>
        <w:t xml:space="preserve">ACHTUNG: </w:t>
      </w:r>
    </w:p>
    <w:p w14:paraId="2D0BAB40" w14:textId="77777777" w:rsidR="001F7233" w:rsidRDefault="00000000">
      <w:r>
        <w:t>• Diese Zuordnung ist eine grobe Orientierung, keine Garantie. CRS-Cutoffs, PNP-Kriterien und Berufslisten ändern sich mehrfach im Jahr. Prüfe jede Zahl vor einer Kündigung in Deutschland direkt bei IRCC.</w:t>
      </w:r>
    </w:p>
    <w:p w14:paraId="33B57D48" w14:textId="77777777" w:rsidR="001F7233" w:rsidRDefault="001F7233">
      <w:pPr>
        <w:spacing w:line="220" w:lineRule="exact"/>
      </w:pPr>
    </w:p>
    <w:p w14:paraId="5494147D" w14:textId="77777777" w:rsidR="001F7233" w:rsidRDefault="00000000">
      <w:pPr>
        <w:pStyle w:val="Heading3"/>
      </w:pPr>
      <w:bookmarkStart w:id="110" w:name="idx_CRS_score"/>
      <w:r>
        <w:t>CRS-Score: Rang im Pool, nicht Berufszulassung</w:t>
      </w:r>
      <w:bookmarkEnd w:id="110"/>
    </w:p>
    <w:p w14:paraId="4FE2D760" w14:textId="77777777" w:rsidR="001F7233" w:rsidRDefault="00000000">
      <w:r>
        <w:t>CRS heißt Comprehensive Ranking System. Es bewertet Express-Entry-Profile bis 1.200 Punkte und reiht Kandidaten nach Alter, Ausbildung, Englisch/Französisch, kanadischer Berufserfahrung, Partnerfaktoren, übertragbaren Fähigkeiten und Zusatzpunkten. Seit 25. März 2025 gibt es keine CRS-Punkte mehr allein für ein Jobangebot. Einzelne Programme können es dennoch verlangen. Einladungsgrenzen ändern sich mit Runde, Kategorie und Pool. Bei Gleichstand zählt der Zeitstempel. Der 67/100-Punkte-Test des Federal Skilled Worker Program ist ein separater Eingangstest, nicht der CRS-Score. IRCC-Rechner und aktuelle Ziehungen verwenden.</w:t>
      </w:r>
    </w:p>
    <w:p w14:paraId="4C6D61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Wege der Einwanderung</w:t>
      </w:r>
    </w:p>
    <w:p w14:paraId="1B3508DC" w14:textId="77777777" w:rsidR="001F7233" w:rsidRDefault="00000000">
      <w:r>
        <w:rPr>
          <w:b/>
        </w:rPr>
        <w:t>Plus: Mehrere parallele Wege erhöhen die Gesamtchance</w:t>
      </w:r>
    </w:p>
    <w:p w14:paraId="5CA1A4C8" w14:textId="77777777" w:rsidR="001F7233" w:rsidRDefault="00000000">
      <w:r>
        <w:rPr>
          <w:b/>
        </w:rPr>
        <w:t xml:space="preserve">Minus: </w:t>
      </w:r>
      <w:r>
        <w:t>Für die meisten Wege sind Sprachniveau oder ECA Voraussetzung</w:t>
      </w:r>
    </w:p>
    <w:p w14:paraId="403B63B9" w14:textId="77777777" w:rsidR="001F7233" w:rsidRDefault="00000000">
      <w:r>
        <w:rPr>
          <w:b/>
        </w:rPr>
        <w:t>Plus: CRS ist transparent und selbst überschlagbar</w:t>
      </w:r>
    </w:p>
    <w:p w14:paraId="416D8C98" w14:textId="77777777" w:rsidR="001F7233" w:rsidRDefault="00000000">
      <w:r>
        <w:rPr>
          <w:b/>
        </w:rPr>
        <w:t xml:space="preserve">Minus: </w:t>
      </w:r>
      <w:r>
        <w:t>Cutoffs schwanken von Runde zu Runde</w:t>
      </w:r>
    </w:p>
    <w:p w14:paraId="22B77BA3" w14:textId="77777777" w:rsidR="001F7233" w:rsidRDefault="00000000">
      <w:r>
        <w:rPr>
          <w:b/>
        </w:rPr>
        <w:t>Plus: Arbeitgeber-Sponsoring umgeht den Punktetest komplett</w:t>
      </w:r>
    </w:p>
    <w:p w14:paraId="740EDC93" w14:textId="77777777" w:rsidR="001F7233" w:rsidRDefault="00000000">
      <w:r>
        <w:rPr>
          <w:b/>
        </w:rPr>
        <w:t xml:space="preserve">Minus: </w:t>
      </w:r>
      <w:r>
        <w:t>LMIA-pflichtige Visa binden dich an einen einzelnen Betrieb</w:t>
      </w:r>
    </w:p>
    <w:p w14:paraId="7930F4BA" w14:textId="77777777" w:rsidR="001F7233" w:rsidRDefault="00000000">
      <w:r>
        <w:rPr>
          <w:b/>
        </w:rPr>
        <w:t>Plus: PGWP eröffnet zusätzliche Punkte über kanadische Erfahrung</w:t>
      </w:r>
    </w:p>
    <w:p w14:paraId="66297130" w14:textId="77777777" w:rsidR="001F7233" w:rsidRDefault="00000000">
      <w:r>
        <w:rPr>
          <w:b/>
        </w:rPr>
        <w:t xml:space="preserve">Minus: </w:t>
      </w:r>
      <w:r>
        <w:t>Studienweg ist zeit- und kostenintensiv ohne Jobgarantie</w:t>
      </w:r>
    </w:p>
    <w:p w14:paraId="5EE834BF" w14:textId="77777777" w:rsidR="001F7233" w:rsidRDefault="00000000">
      <w:r>
        <w:rPr>
          <w:b/>
        </w:rPr>
        <w:t>Plus: Keine feste Alters-Ausschlussgrenze wie in Australien</w:t>
      </w:r>
    </w:p>
    <w:p w14:paraId="0D3C7C53" w14:textId="77777777" w:rsidR="001F7233" w:rsidRDefault="00000000">
      <w:r>
        <w:rPr>
          <w:b/>
        </w:rPr>
        <w:t xml:space="preserve">Minus: </w:t>
      </w:r>
      <w:r>
        <w:t>Start-up Visa seit 2026 für Neuanträge pausiert</w:t>
      </w:r>
    </w:p>
    <w:p w14:paraId="647A3612" w14:textId="77777777" w:rsidR="001F7233" w:rsidRDefault="00000000">
      <w:r>
        <w:rPr>
          <w:b/>
        </w:rPr>
        <w:t>Plus: PNP erhöht die Chance bei knappem CRS-Score</w:t>
      </w:r>
    </w:p>
    <w:p w14:paraId="3F793A0A" w14:textId="77777777" w:rsidR="001F7233" w:rsidRDefault="00000000">
      <w:r>
        <w:rPr>
          <w:b/>
        </w:rPr>
        <w:t xml:space="preserve">Minus: </w:t>
      </w:r>
      <w:r>
        <w:t>PNP bindet meist an eine Wohnsitzpflicht in der Provinz</w:t>
      </w:r>
    </w:p>
    <w:p w14:paraId="28B461E2" w14:textId="77777777" w:rsidR="001F7233" w:rsidRDefault="001F7233">
      <w:pPr>
        <w:spacing w:line="180" w:lineRule="exact"/>
      </w:pPr>
    </w:p>
    <w:p w14:paraId="2B1BE3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7E751DF" w14:textId="77777777" w:rsidR="001F7233" w:rsidRDefault="00000000">
      <w:pPr>
        <w:spacing w:after="140"/>
      </w:pPr>
      <w:r>
        <w:t>Beginne mit einer ehrlichen Bestandsaufnahme: Sprachniveau, Berufserfahrung, vorhandenes oder fehlendes Jobangebot, gewünschte Provinz. Prüfe, ob dein Beruf und Abschluss für eine Bildungsbewertung und den CRS überhaupt geeignet sind. Ohne das lohnt sich die Detailarbeit an der Punktzahl kaum. Erst danach lohnt sich die Suche nach einem sponsernden Arbeitgeber oder die Vertiefung einer bestimmten PNP-Kategorie, die die folgenden Kapitel dieses Teils zeigen. Wer sich zwischen zwei Wegen nicht entscheiden kann, verliert selten Zeit, wenn er beide parallel vorbereitet. Ein begonnenes Express-Entry-Profil verfällt nicht, nur weil am Ende doch ein Jobangebot den Ausschlag gibt.</w:t>
      </w:r>
    </w:p>
    <w:p w14:paraId="303CC303" w14:textId="77777777" w:rsidR="001F7233" w:rsidRDefault="00000000">
      <w:pPr>
        <w:spacing w:after="140"/>
      </w:pPr>
      <w:r>
        <w:lastRenderedPageBreak/>
        <w:t xml:space="preserve">Die eigentliche Antragstellung läuft für praktisch alle Wege in diesem Kapitel gleich ab: online über das IRCC-Kundenkonto, ohne Beteiligung einer deutschen Botschaft oder eines Konsulats. Biometrische Daten – Fingerabdrücke und Foto – gibst du nach Aufforderung durch IRCC beim </w:t>
      </w:r>
      <w:r>
        <w:rPr>
          <w:i/>
          <w:iCs/>
        </w:rPr>
        <w:t>Visa Application Centre</w:t>
      </w:r>
      <w:r>
        <w:t xml:space="preserve"> in Berlin ab, das der Dienstleister VFS Global im Auftrag der kanadischen Regierung betreibt. Das ist ein reiner Verwaltungsschritt, kein Ersatz für die eigentliche Antragsprüfung, die immer bei IRCC in Kanada liegt.</w:t>
      </w:r>
    </w:p>
    <w:p w14:paraId="26120C41" w14:textId="77777777" w:rsidR="001F7233" w:rsidRDefault="00000000">
      <w:r>
        <w:t>• Sprachtest (IELTS, CELPIP oder für Französisch TEF/TCF) gebucht oder Ergebnis vorliegend</w:t>
      </w:r>
    </w:p>
    <w:p w14:paraId="1D6CDC01" w14:textId="77777777" w:rsidR="001F7233" w:rsidRDefault="00000000">
      <w:r>
        <w:t>• Geprüft, ob eine Bildungsbewertung (ECA) für den eigenen Abschluss nötig ist</w:t>
      </w:r>
    </w:p>
    <w:p w14:paraId="7440C34A" w14:textId="77777777" w:rsidR="001F7233" w:rsidRDefault="00000000">
      <w:r>
        <w:t>• Eigenen CRS-Score überschlägig berechnet und mit aktuellen Einladungsgrenzen verglichen</w:t>
      </w:r>
    </w:p>
    <w:p w14:paraId="7390DF2C" w14:textId="77777777" w:rsidR="001F7233" w:rsidRDefault="00000000">
      <w:r>
        <w:t>• Geprüft, ob eine kategoriebasierte Express-Entry-Ziehung für den eigenen Beruf infrage kommt</w:t>
      </w:r>
    </w:p>
    <w:p w14:paraId="17CE8D67" w14:textId="77777777" w:rsidR="001F7233" w:rsidRDefault="00000000">
      <w:r>
        <w:t>• PNP-Programme der bevorzugten Provinz oder Provinzen auf aktuelle Kriterien geprüft</w:t>
      </w:r>
    </w:p>
    <w:p w14:paraId="6A1369FA" w14:textId="77777777" w:rsidR="001F7233" w:rsidRDefault="00000000">
      <w:r>
        <w:t>• Falls Jobangebot vorhanden: geklärt, ob die Stelle LMIA-pflichtig oder LMIA-frei ist</w:t>
      </w:r>
    </w:p>
    <w:p w14:paraId="05D5998E" w14:textId="77777777" w:rsidR="001F7233" w:rsidRDefault="00000000">
      <w:r>
        <w:t>• Kapitel zu Familie, Investor und Ruhestand in diesem Teil gelesen, falls kein eigener gefragter Beruf vorliegt</w:t>
      </w:r>
    </w:p>
    <w:p w14:paraId="6E70881E" w14:textId="77777777" w:rsidR="001F7233" w:rsidRDefault="00000000">
      <w:r>
        <w:t>• Aktuelle Gebühren, Cutoffs und Bearbeitungszeiten direkt bei IRCC geprüft</w:t>
      </w:r>
    </w:p>
    <w:p w14:paraId="6E22D531" w14:textId="77777777" w:rsidR="001F7233" w:rsidRDefault="001F7233">
      <w:pPr>
        <w:spacing w:line="220" w:lineRule="exact"/>
      </w:pPr>
    </w:p>
    <w:p w14:paraId="4959A1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E83567F" w14:textId="77777777" w:rsidR="001F7233" w:rsidRDefault="00000000">
      <w:pPr>
        <w:pStyle w:val="ListParagraph"/>
        <w:numPr>
          <w:ilvl w:val="0"/>
          <w:numId w:val="1"/>
        </w:numPr>
        <w:spacing w:after="60"/>
      </w:pPr>
      <w:r>
        <w:t>IRCC — Express Entry, CRS und Einladungsrunden (</w:t>
      </w:r>
      <w:hyperlink r:id="rId765">
        <w:r w:rsidR="001F7233">
          <w:rPr>
            <w:color w:val="0563C1"/>
            <w:u w:val="single"/>
          </w:rPr>
          <w:t>canada.ca/en/immigration-refugees-citizenship</w:t>
        </w:r>
      </w:hyperlink>
      <w:r>
        <w:t>)</w:t>
      </w:r>
    </w:p>
    <w:p w14:paraId="5F9A0E84" w14:textId="77777777" w:rsidR="001F7233" w:rsidRDefault="00000000">
      <w:pPr>
        <w:pStyle w:val="ListParagraph"/>
        <w:numPr>
          <w:ilvl w:val="0"/>
          <w:numId w:val="1"/>
        </w:numPr>
        <w:spacing w:after="60"/>
      </w:pPr>
      <w:r>
        <w:t>IRCC — Provincial Nominee Program, Übersicht je Provinz (</w:t>
      </w:r>
      <w:hyperlink r:id="rId766">
        <w:r w:rsidR="001F7233">
          <w:rPr>
            <w:color w:val="0563C1"/>
            <w:u w:val="single"/>
          </w:rPr>
          <w:t>canada.ca</w:t>
        </w:r>
      </w:hyperlink>
      <w:r>
        <w:t>, Suche: provincial-nominees)</w:t>
      </w:r>
    </w:p>
    <w:p w14:paraId="342BC9A0" w14:textId="77777777" w:rsidR="001F7233" w:rsidRDefault="00000000">
      <w:pPr>
        <w:pStyle w:val="ListParagraph"/>
        <w:numPr>
          <w:ilvl w:val="0"/>
          <w:numId w:val="1"/>
        </w:numPr>
        <w:spacing w:after="60"/>
      </w:pPr>
      <w:r>
        <w:lastRenderedPageBreak/>
        <w:t>IRCC — Gebühren für Visa, PR und Biometrie (</w:t>
      </w:r>
      <w:hyperlink r:id="rId767">
        <w:r w:rsidR="001F7233">
          <w:rPr>
            <w:color w:val="0563C1"/>
            <w:u w:val="single"/>
          </w:rPr>
          <w:t>ircc.canada.ca/english/information/fees</w:t>
        </w:r>
      </w:hyperlink>
      <w:r>
        <w:t>)</w:t>
      </w:r>
    </w:p>
    <w:p w14:paraId="0EE2D9A4" w14:textId="77777777" w:rsidR="001F7233" w:rsidRDefault="00000000">
      <w:pPr>
        <w:pStyle w:val="ListParagraph"/>
        <w:numPr>
          <w:ilvl w:val="0"/>
          <w:numId w:val="1"/>
        </w:numPr>
        <w:spacing w:after="60"/>
      </w:pPr>
      <w:r>
        <w:t>ESDC — Labour Market Impact Assessment, Gebühren und Bearbeitungszeiten (</w:t>
      </w:r>
      <w:hyperlink r:id="rId768">
        <w:r w:rsidR="001F7233">
          <w:rPr>
            <w:color w:val="0563C1"/>
            <w:u w:val="single"/>
          </w:rPr>
          <w:t>canada.ca/en/employment-social-development</w:t>
        </w:r>
      </w:hyperlink>
      <w:r>
        <w:t>)</w:t>
      </w:r>
    </w:p>
    <w:p w14:paraId="2FC42C3D" w14:textId="77777777" w:rsidR="001F7233" w:rsidRDefault="00000000">
      <w:pPr>
        <w:pStyle w:val="ListParagraph"/>
        <w:numPr>
          <w:ilvl w:val="0"/>
          <w:numId w:val="1"/>
        </w:numPr>
        <w:spacing w:after="60"/>
      </w:pPr>
      <w:r>
        <w:t>IRCC — Study Permit und Post-Graduation Work Permit (</w:t>
      </w:r>
      <w:hyperlink r:id="rId769">
        <w:r w:rsidR="001F7233">
          <w:rPr>
            <w:color w:val="0563C1"/>
            <w:u w:val="single"/>
          </w:rPr>
          <w:t>canada.ca</w:t>
        </w:r>
      </w:hyperlink>
      <w:r>
        <w:t>, Suche: study-permit, post-graduation-work-permit)</w:t>
      </w:r>
    </w:p>
    <w:p w14:paraId="13E1FAD4" w14:textId="77777777" w:rsidR="001F7233" w:rsidRDefault="00000000">
      <w:pPr>
        <w:pStyle w:val="ListParagraph"/>
        <w:numPr>
          <w:ilvl w:val="0"/>
          <w:numId w:val="1"/>
        </w:numPr>
        <w:spacing w:after="60"/>
      </w:pPr>
      <w:r>
        <w:t>IRCC — Start-up Visa Program (</w:t>
      </w:r>
      <w:hyperlink r:id="rId770">
        <w:r w:rsidR="001F7233">
          <w:rPr>
            <w:color w:val="0563C1"/>
            <w:u w:val="single"/>
          </w:rPr>
          <w:t>canada.ca</w:t>
        </w:r>
      </w:hyperlink>
      <w:r>
        <w:t>, Suche: start-visa)</w:t>
      </w:r>
    </w:p>
    <w:p w14:paraId="5F60423F" w14:textId="77777777" w:rsidR="001F7233" w:rsidRDefault="001F7233">
      <w:pPr>
        <w:spacing w:line="120" w:lineRule="exact"/>
      </w:pPr>
    </w:p>
    <w:p w14:paraId="0ADA63AD" w14:textId="77777777" w:rsidR="001F7233" w:rsidRDefault="00000000">
      <w:pPr>
        <w:pStyle w:val="ListParagraph"/>
      </w:pPr>
      <w:r>
        <w:t xml:space="preserve">IRCC — CRS criteria, calculator and invitation rounds: </w:t>
      </w:r>
      <w:hyperlink r:id="rId771">
        <w:r w:rsidR="001F7233">
          <w:rPr>
            <w:rStyle w:val="Hyperlink"/>
          </w:rPr>
          <w:t>canada.ca/en/immigration-refugees-citizenship/services/immigrate-canada/express-entry/check-score/crs-criteria.html</w:t>
        </w:r>
      </w:hyperlink>
    </w:p>
    <w:p w14:paraId="772E8FD4" w14:textId="77777777" w:rsidR="001F7233" w:rsidRDefault="00000000">
      <w:r>
        <w:t xml:space="preserve">• 23.09.2026. Diese Angaben ändern sich schnell: CRS-Cutoffs jeder Express-Entry-Runde, PNP-Kriterien und -Gebühren je Provinz, LMIA-Bearbeitungszeiten und die Regeln zum pausierten Start-up Visa. Prüfe vor jeder Entscheidung die aktuellen Werte direkt auf </w:t>
      </w:r>
      <w:hyperlink r:id="rId772">
        <w:r w:rsidR="001F7233">
          <w:rPr>
            <w:color w:val="0563C1"/>
            <w:u w:val="single"/>
          </w:rPr>
          <w:t>canada.ca/ircc</w:t>
        </w:r>
      </w:hyperlink>
      <w:r>
        <w:t>.</w:t>
      </w:r>
    </w:p>
    <w:p w14:paraId="5050A9C2" w14:textId="77777777" w:rsidR="001F7233" w:rsidRDefault="00000000">
      <w:pPr>
        <w:spacing w:line="220" w:lineRule="exact"/>
      </w:pPr>
      <w:r>
        <w:br w:type="page"/>
      </w:r>
    </w:p>
    <w:p w14:paraId="418D4720" w14:textId="77777777" w:rsidR="001F7233" w:rsidRDefault="00000000">
      <w:pPr>
        <w:pStyle w:val="Heading2"/>
        <w:keepNext/>
        <w:spacing w:line="341" w:lineRule="auto"/>
        <w:jc w:val="center"/>
      </w:pPr>
      <w:bookmarkStart w:id="111" w:name="tka03"/>
      <w:r>
        <w:rPr>
          <w:rFonts w:ascii="Amazon Ember" w:eastAsia="Amazon Ember" w:hAnsi="Amazon Ember" w:cs="Amazon Ember"/>
          <w:color w:val="0000FF"/>
          <w:sz w:val="36"/>
          <w:szCs w:val="36"/>
        </w:rPr>
        <w:lastRenderedPageBreak/>
        <w:t>Kanada: Der Arbeitsweg im Detail</w:t>
      </w:r>
      <w:bookmarkEnd w:id="111"/>
    </w:p>
    <w:p w14:paraId="63EE73AF" w14:textId="77777777" w:rsidR="001F7233" w:rsidRDefault="00000000">
      <w:pPr>
        <w:spacing w:after="140"/>
      </w:pPr>
      <w:r>
        <w:rPr>
          <w:i/>
          <w:iCs/>
        </w:rPr>
        <w:t>Kanadas Einwanderungssystem hat einen Charme, den man erst zu schätzen lernt, wenn man ihn selbst durchlebt: Es sagt dir, in nackten Zahlen, wie begehrenswert du gerade bist. Wer ein Profil bei Express Entry (dem Online-Bewerbersystem für die wirtschaftliche Einwanderung nach Kanada) anlegt, bekommt einen Punktwert. Danach verbringt man überraschend viele Abende damit, die Einladungsrunden der Einwanderungsbehörde IRCC zu aktualisieren, in der stillen Hoffnung, der eigene Marktwert sei über Nacht gestiegen. Die gute Nachricht: Anders als bei den meisten Lotterien lässt sich der eigene Score tatsächlich verbessern. Die weniger gute: Wie viel das am Ende bringt, hängt auch davon ab, welche Kategorie gerade Konjunktur hat und die wechselt schneller, als mancher Sprachtest gültig bleibt.</w:t>
      </w:r>
    </w:p>
    <w:p w14:paraId="4DD8F157" w14:textId="77777777" w:rsidR="001F7233" w:rsidRDefault="00000000">
      <w:r>
        <w:rPr>
          <w:b/>
        </w:rPr>
        <w:t xml:space="preserve">KURZ GESAGT: </w:t>
      </w:r>
    </w:p>
    <w:p w14:paraId="16AF7E9C" w14:textId="77777777" w:rsidR="001F7233" w:rsidRDefault="00000000">
      <w:r>
        <w:t>• Express Entry bündelt drei Bundesprogramme (FSW, CEC, FST) und viele Provinzströme in einem Punktesystem. Ein ausreichender Score bringt eine Einladung zum PR-Antrag (Invitation to Apply, ITA, Einladung zur Antragstellung).</w:t>
      </w:r>
    </w:p>
    <w:p w14:paraId="6598DEA4" w14:textId="77777777" w:rsidR="001F7233" w:rsidRDefault="00000000">
      <w:r>
        <w:t>Der Comprehensive Ranking System-Score (CRS) ordnet geeignete Profile in der jeweiligen Einladungsrunde; er garantiert keine Einladung.</w:t>
      </w:r>
    </w:p>
    <w:p w14:paraId="34A22DB8" w14:textId="77777777" w:rsidR="001F7233" w:rsidRDefault="00000000">
      <w:r>
        <w:t>• Das Provincial Nominee Program (PNP, das provinzielle Nominierungsprogramm) ist der zweitgrößte Weg zur Permanent Residence (PR, der unbefristete Aufenthaltsstatus Kanadas). Jede Provinz setzt eigene Regeln, eine Nominierung bringt 600 CRS-Punkte extra.</w:t>
      </w:r>
    </w:p>
    <w:p w14:paraId="4CC0B426" w14:textId="77777777" w:rsidR="001F7233" w:rsidRDefault="00000000">
      <w:r>
        <w:t>• Ontario und British Columbia zeigen beispielhaft, wie unterschiedlich – und wie unterschiedlich teuer – die Provinzverfahren ablaufen.</w:t>
      </w:r>
    </w:p>
    <w:p w14:paraId="17CBFA83" w14:textId="77777777" w:rsidR="001F7233" w:rsidRDefault="00000000">
      <w:r>
        <w:t xml:space="preserve">• Für deutsche Fachkräfte mit soliden Englischkenntnissen, anerkanntem Abschluss und gefragtem Beruf ist Express Entry real </w:t>
      </w:r>
      <w:r>
        <w:lastRenderedPageBreak/>
        <w:t>erreichbar. Ganz ohne Jobangebot oder Kanada-Bezug wird es eher zur Geduldsprobe.</w:t>
      </w:r>
    </w:p>
    <w:p w14:paraId="07562BDD" w14:textId="77777777" w:rsidR="001F7233" w:rsidRDefault="00000000">
      <w:r>
        <w:t xml:space="preserve">• Zahlen und Cutoffs ändern sich laufend: Prüfe vor jeder Entscheidung die aktuellen Werte auf </w:t>
      </w:r>
      <w:hyperlink r:id="rId773">
        <w:r w:rsidR="001F7233">
          <w:rPr>
            <w:color w:val="0563C1"/>
            <w:u w:val="single"/>
          </w:rPr>
          <w:t>canada.ca</w:t>
        </w:r>
      </w:hyperlink>
      <w:r>
        <w:t>.</w:t>
      </w:r>
    </w:p>
    <w:p w14:paraId="0FDD8093" w14:textId="77777777" w:rsidR="001F7233" w:rsidRDefault="001F7233">
      <w:pPr>
        <w:spacing w:line="220" w:lineRule="exact"/>
      </w:pPr>
    </w:p>
    <w:p w14:paraId="3F9A3F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drei Programme, ein Profil</w:t>
      </w:r>
    </w:p>
    <w:p w14:paraId="1B7853E9" w14:textId="77777777" w:rsidR="001F7233" w:rsidRDefault="00000000">
      <w:pPr>
        <w:spacing w:after="140"/>
      </w:pPr>
      <w:r>
        <w:rPr>
          <w:i/>
          <w:iCs/>
        </w:rPr>
        <w:t>Express Entry</w:t>
      </w:r>
      <w:r>
        <w:t xml:space="preserve"> ist kein eigenes Visum, sondern das Verwaltungssystem, über das Kanada drei Bundesprogramme sowie die meisten provinziellen Nominierungen abwickelt. Du legst ein Online-Profil an, das System berechnet daraus deinen CRS-Score. In regelmäßigen Runden lädt IRCC die am höchsten platzierten Profile einer bestimmten Gruppe zur Antragstellung auf die PR ein: eines Programms, einer Kategorie oder der Provinznominierten. Bis dahin ist nichts davon eine Zusage. Dein Profil ist eher eine Bewerbung im Wartezimmer als ein Vertrag.</w:t>
      </w:r>
    </w:p>
    <w:p w14:paraId="7237E231" w14:textId="77777777" w:rsidR="001F7233" w:rsidRDefault="00000000">
      <w:pPr>
        <w:spacing w:after="140"/>
      </w:pPr>
      <w:r>
        <w:rPr>
          <w:i/>
          <w:iCs/>
        </w:rPr>
        <w:t xml:space="preserve">Drei Programme laufen darüber. Der Federal Skilled Worker-Weg (FSW) ist die Standardtür für alle, die noch keine kanadische Berufserfahrung haben. Also der typische Fall für jemanden, der direkt aus Deutschland bewirbt. Voraussetzung sind mindestens ein Jahr durchgehende Vollzeit-Berufserfahrung in den letzten zehn Jahren in einem Beruf der Klassifikation National Occupational Classification (NOC, das kanadische Berufsklassifikationssystem, gestaffelt nach Training, Education, Experience and Responsibilities, TEER, den Anforderungsstufen 0 bis 5) der Stufen 0 bis 3. Dazu kommt ein Sprachniveau von mindestens Canadian Language Benchmark (CLB) 7 in allen vier Fertigkeiten sowie bei ausländischen Abschlüssen eine Educational Credential Assessment (ECA, eine amtlich anerkannte Abschlussbewertung). Auch musst du vor jeder CRS-Berechnung ein eigenes 67-von-100-Punkte-Raster bestehen (Sprache max. 28, Bildung max. 25, Berufserfahrung max. 15, Alter max. 12, vorliegendes </w:t>
      </w:r>
      <w:r>
        <w:rPr>
          <w:i/>
          <w:iCs/>
        </w:rPr>
        <w:lastRenderedPageBreak/>
        <w:t>Jobangebot max. 10, Anpassungsfähigkeit max. 10). Das ist eine Zulässigkeitshürde, keine Rangliste.</w:t>
      </w:r>
    </w:p>
    <w:p w14:paraId="64ED55C1" w14:textId="77777777" w:rsidR="001F7233" w:rsidRDefault="00000000">
      <w:pPr>
        <w:spacing w:after="140"/>
      </w:pPr>
      <w:r>
        <w:rPr>
          <w:i/>
          <w:iCs/>
        </w:rPr>
        <w:t>Die Canadian Experience Class (CEC) verlangt dagegen mindestens ein Jahr qualifizierte Berufserfahrung in Kanada in der letzten drei Jahre. Dafür braucht sie kein zwingendes ECA und nur ein niedrigeres Sprachniveau für einfachere Berufe (CLB 7 für TEER 0/1, CLB 5 für TEER 2/3). Sie ist für Neuankömmlinge aus Deutschland kein Einstiegsweg, sondern ein Anschlussweg, nachdem du bereits mit einem Arbeitsvisum in Kanada gearbeitet hast. Der dritte Weg, Federal Skilled Trades (FST), richtet sich an Handwerksberufe mit Jobangebot oder kanadischem Befähigungsnachweis und spielt für die meisten Ingenieurs- und Wissenschaftsberufe kaum eine Rolle.</w:t>
      </w:r>
    </w:p>
    <w:p w14:paraId="7FFFB2F0" w14:textId="77777777" w:rsidR="001F7233" w:rsidRDefault="00000000">
      <w:pPr>
        <w:spacing w:after="140"/>
      </w:pPr>
      <w:r>
        <w:t>Der Vergleich mit Deutschland hilft beim Einordnen. Die Blaue Karte EU verlangt einen anerkannten Abschluss, ein Jobangebot und ein Mindestgehalt, aber kein Rennen gegen andere Bewerber um eine begrenzte Zahl an Einladungen. Express Entry dagegen ist ein echter Wettbewerb: Du trittst nicht nur gegen eine Behörde an, sondern gegen den gesamten Bewerberpool. Dein Profil bleibt zwölf Monate gültig und wird bei jeder Runde neu einsortiert, ohne dass du selbst etwas tun musst. Das ändert sich erst, wenn sich deine Angaben ändern (neuer Sprachtest, neuer Job, ein weiteres Lebensjahr, das gegen dich zählt).</w:t>
      </w:r>
    </w:p>
    <w:p w14:paraId="0F809B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Umweg über ein Arbeitsvisum: TFWP und IMP</w:t>
      </w:r>
    </w:p>
    <w:p w14:paraId="53DEF51B" w14:textId="77777777" w:rsidR="001F7233" w:rsidRDefault="00000000">
      <w:pPr>
        <w:spacing w:after="140"/>
      </w:pPr>
      <w:r>
        <w:t xml:space="preserve">Nicht jeder Weg nach Kanada führt zuerst über Express Entry. Wer schneller einreisen will oder noch nicht genug CRS-Punkte hat, kann über ein befristetes Arbeitsvisum vorgehen und sich die kanadische Erfahrung später für die Canadian Experience Class oder eine Provinznominierung anrechnen lassen. Kanada trennt befristete Arbeitserlaubnisse in zwei Schienen. Das Temporary Foreign Worker Program (TFWP) verlangt vom kanadischen Arbeitgeber </w:t>
      </w:r>
      <w:r>
        <w:lastRenderedPageBreak/>
        <w:t xml:space="preserve">vorab eine positive Labour Market Impact Assessment (LMIA, eine Arbeitsmarktprüfung). Das ist der behördliche Nachweis, dass keine Kanadierin, kein Kanadier und keine bereits im Land lebende Person für die Stelle verfügbar ist. Die LMIA-Gebühr trägt der Arbeitgeber. Den Betrag und die aktuelle Bearbeitungsrichtung nennt IRCC auf </w:t>
      </w:r>
      <w:hyperlink r:id="rId774">
        <w:r w:rsidR="001F7233">
          <w:rPr>
            <w:color w:val="0563C1"/>
            <w:u w:val="single"/>
          </w:rPr>
          <w:t>canada.ca</w:t>
        </w:r>
      </w:hyperlink>
      <w:r>
        <w:t>, bevor jemand zahlt.</w:t>
      </w:r>
    </w:p>
    <w:p w14:paraId="2B6DFE8D" w14:textId="77777777" w:rsidR="001F7233" w:rsidRDefault="00000000">
      <w:pPr>
        <w:spacing w:after="140"/>
      </w:pPr>
      <w:r>
        <w:rPr>
          <w:i/>
          <w:iCs/>
        </w:rPr>
        <w:t>Das International Mobility Program (IMP) befreit von dieser Pflicht, wenn die Stelle einen breiteren wirtschaftlichen, kulturellen oder reziproken Nutzen für Kanada hat. Für deutsche Bewerberinnen und Bewerber ist hier vor allem eine Kategorie interessant: Das Handelsabkommen CETA (das Freihandelsabkommen zwischen der EU und Kanada) erlaubt bestimmten Berufsgruppen. Etwa in Management- oder Spezialistenfunktionen – ein LMIA-freies Arbeitsvisum. Voraussetzung ist, dass die Bedingungen des Abkommens erfüllt sind. Auch konzerninterne Versetzungen (Intra-Company Transfer, ICT) laufen über das IMP, ebenso das Post-Graduation Work Permit für Absolventinnen und Absolventen kanadischer Hochschulen.</w:t>
      </w:r>
    </w:p>
    <w:p w14:paraId="35CB36B9" w14:textId="77777777" w:rsidR="001F7233" w:rsidRDefault="00000000">
      <w:pPr>
        <w:spacing w:after="140"/>
      </w:pPr>
      <w:r>
        <w:t>Seit Februar 2026 prüft IRCC einige dieser LMIA-freien Kategorien deutlich strenger: Bei konzerninternen Versetzungen muss die Muttergesellschaft inzwischen eine umsatzerzielende Geschäftstätigkeit in mindestens zwei Ländern nachweisen. Eine reine kanadische Neugründung ohne bestehendes Auslandsgeschäft qualifiziert nicht mehr. Die Gebühr für das Arbeitsvisum und den Zuschlag für ein offenes Visum liest du auf der IRCC-Gebührenseite, bevor du zahlst.</w:t>
      </w:r>
    </w:p>
    <w:p w14:paraId="4FFF2655" w14:textId="77777777" w:rsidR="001F7233" w:rsidRDefault="00000000">
      <w:r>
        <w:rPr>
          <w:b/>
        </w:rPr>
        <w:t xml:space="preserve">ACHTUNG: </w:t>
      </w:r>
    </w:p>
    <w:p w14:paraId="0A6E5D87" w14:textId="77777777" w:rsidR="001F7233" w:rsidRDefault="00000000">
      <w:r>
        <w:t>• Ein Arbeitsvisum über TFWP oder IMP ist immer befristet und meist an einen einzigen Arbeitgeber gebunden. Es ersetzt keinen PR-Antrag. Wer nicht rechtzeitig einen Anschlussweg einleitet (CEC, Provinznominierung, eine neue Express-Entry-Runde), muss Kanada nach Ablauf des Visums wieder verlassen.</w:t>
      </w:r>
    </w:p>
    <w:p w14:paraId="4706C4EE" w14:textId="77777777" w:rsidR="001F7233" w:rsidRDefault="001F7233">
      <w:pPr>
        <w:spacing w:line="220" w:lineRule="exact"/>
      </w:pPr>
    </w:p>
    <w:p w14:paraId="69BDC3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CRS-Score: was wirklich zählt</w:t>
      </w:r>
    </w:p>
    <w:p w14:paraId="300EDFBB" w14:textId="77777777" w:rsidR="001F7233" w:rsidRDefault="00000000">
      <w:pPr>
        <w:spacing w:after="140"/>
      </w:pPr>
      <w:r>
        <w:t>Der CRS-Score summiert vier Blöcke. Die Kern-Humankapitalfaktoren (Alter, Bildungsniveau, Sprachkenntnisse, kanadische Berufserfahrung) bringen mit Partner bis zu 460 Punkte, ohne Partner bis zu 500. Bewirbst du dich mit Ehepartner oder Lebenspartner, kommen dessen Bildungs-, Sprach- und Erfahrungswerte in einem eigenen, kleineren Block hinzu. Ein dritter Block, die Skill-Transferability-Kombinationen (etwa Sprache plus Bildung oder Sprache plus Auslandserfahrung), kann bis zu 100 weitere Punkte liefern. Maximal sind 1.200 Punkte erreichbar. Real bewegen sich die meisten Profile deutscher Fachkräfte irgendwo zwischen 350 und 480, abhängig vor allem von Alter, Sprache und Bildungsniveau.</w:t>
      </w:r>
    </w:p>
    <w:p w14:paraId="45A9CD7E" w14:textId="77777777" w:rsidR="001F7233" w:rsidRDefault="00000000">
      <w:pPr>
        <w:spacing w:after="140"/>
      </w:pPr>
      <w:r>
        <w:t>Den größten Sprung bringen die Zusatzpunkte: eine Nominierung durch eine Provinz (plus 600 Punkte, praktisch eine Einladungsgarantie), gute Französischkenntnisse, ein in Kanada erworbener Studienabschluss oder ein Geschwisterteil mit kanadischer Staatsbürgerschaft oder PR-Status, das in Kanada lebt. Ein bloßes Jobangebot bringt dagegen seit einer Regeländerung vom 25. März 2025 im CRS selbst keine Zusatzpunkte mehr. Wertvoll bleibt es trotzdem, weil es andere Wege wie die Canadian Experience Class oder ein Arbeitgeber-Sponsoring eröffnet. Wer keinen dieser Zusatzpunkte mitbringt, ist auf einen guten Grundscore angewiesen. Der hängt stärker vom Alter ab, als viele erwarten: Die volle Alterspunktzahl gibt es nur bis Anfang 30, danach sinkt sie schrittweise.</w:t>
      </w:r>
    </w:p>
    <w:p w14:paraId="1E3D3C55" w14:textId="77777777" w:rsidR="001F7233" w:rsidRDefault="00000000">
      <w:pPr>
        <w:spacing w:after="140"/>
      </w:pPr>
      <w:r>
        <w:t xml:space="preserve">Die Skill-Transferability-Kombinationen belohnen vor allem eine seltene Mischung: hohe Sprachkenntnisse zusammen mit einem hohen Bildungsabschluss oder hohe Sprachkenntnisse zusammen mit ausländischer Berufserfahrung. Wer beides mitbringt – etwa CLB 9 in allen vier Fertigkeiten und einen Master –, schöpft diesen Block eher aus als jemand mit nur einem starken Faktor. Für die meisten </w:t>
      </w:r>
      <w:r>
        <w:lastRenderedPageBreak/>
        <w:t>deutschen Bewerberinnen und Bewerber ohne Kanada-Bezug ist genau dieser Block oft der entscheidende Hebel. Er entscheidet zwischen einem knapp nicht ausreichenden und einem soliden Score.</w:t>
      </w:r>
    </w:p>
    <w:p w14:paraId="2E404F63" w14:textId="77777777" w:rsidR="001F7233" w:rsidRDefault="00000000">
      <w:r>
        <w:rPr>
          <w:b/>
        </w:rPr>
        <w:t xml:space="preserve">SPARTIPP: </w:t>
      </w:r>
    </w:p>
    <w:p w14:paraId="74325FE1" w14:textId="77777777" w:rsidR="001F7233" w:rsidRDefault="00000000">
      <w:r>
        <w:t>• Wähle den Sprachtest strategisch. CELPIP-General rechnet eins zu eins in CLB-Stufen um (CELPIP 7 in einer Fertigkeit ergibt CLB 7 in eben dieser Fertigkeit), planbar und ohne Überraschungen. IELTS General Training staffelt dagegen pro Fertigkeit unterschiedlich: Ein Hörverstehen von 6,5 kann bereits CLB 7 ergeben, ein Leseverständnis von 6,5 dagegen erst CLB 8 verlangen. Wer knapp an einer Schwelle liegt, sollte beide Testformate vergleichen, bevor er einen bucht. Ein zweiter Testtermin kostet mehr Zeit und Geld als ein Blick in die Umrechnungstabelle vorher.</w:t>
      </w:r>
    </w:p>
    <w:p w14:paraId="4B952F8D" w14:textId="77777777" w:rsidR="001F7233" w:rsidRDefault="001F7233">
      <w:pPr>
        <w:spacing w:line="220" w:lineRule="exact"/>
      </w:pPr>
    </w:p>
    <w:p w14:paraId="354E14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Verlauf 2026: Cutoffs und Kategorien</w:t>
      </w:r>
    </w:p>
    <w:p w14:paraId="0F86C197" w14:textId="77777777" w:rsidR="001F7233" w:rsidRDefault="00000000">
      <w:pPr>
        <w:spacing w:after="140"/>
      </w:pPr>
      <w:r>
        <w:t>Seit 2023 veranstaltet IRCC neben den breiten „All-Program“-Runden auch gezielte Ziehungen für gefragte Berufsfelder. Für 2026 waren zehn Kategorien vorgesehen: Französisch; Gesundheit und Soziales; MINT (Wissenschaft, Technik, Ingenieurwesen, Mathematik); Handwerk; Bildung; Transport; Ärztinnen und Ärzte mit kanadischer Erfahrung; Senior Manager mit kanadischer Erfahrung; Forschende mit kanadischer Erfahrung; qualifizierte Militärangehörige.</w:t>
      </w:r>
    </w:p>
    <w:p w14:paraId="3FBD7561" w14:textId="77777777" w:rsidR="001F7233" w:rsidRDefault="00000000">
      <w:pPr>
        <w:spacing w:after="140"/>
      </w:pPr>
      <w:r>
        <w:t>Der Unterschied ist erheblich:</w:t>
      </w:r>
    </w:p>
    <w:p w14:paraId="624CD491" w14:textId="77777777" w:rsidR="001F7233" w:rsidRDefault="00000000">
      <w:r>
        <w:rPr>
          <w:b/>
        </w:rPr>
        <w:t>Allgemeine Runden (alle Programme)</w:t>
      </w:r>
    </w:p>
    <w:p w14:paraId="38839FB5" w14:textId="77777777" w:rsidR="001F7233" w:rsidRDefault="00000000">
      <w:r>
        <w:rPr>
          <w:b/>
        </w:rPr>
        <w:t xml:space="preserve">CRS-Cutoff 2026: </w:t>
      </w:r>
      <w:r>
        <w:t>keine Runde 2026</w:t>
      </w:r>
    </w:p>
    <w:p w14:paraId="2C92C536" w14:textId="77777777" w:rsidR="001F7233" w:rsidRDefault="00000000">
      <w:r>
        <w:rPr>
          <w:b/>
        </w:rPr>
        <w:lastRenderedPageBreak/>
        <w:t xml:space="preserve">Beispielrunde: </w:t>
      </w:r>
      <w:r>
        <w:t>zuletzt 23.04.2024: 529</w:t>
      </w:r>
    </w:p>
    <w:p w14:paraId="15A47605" w14:textId="77777777" w:rsidR="001F7233" w:rsidRDefault="00000000">
      <w:r>
        <w:rPr>
          <w:b/>
        </w:rPr>
        <w:t>Provinznominierte (PNP)</w:t>
      </w:r>
    </w:p>
    <w:p w14:paraId="615069A4" w14:textId="77777777" w:rsidR="001F7233" w:rsidRDefault="00000000">
      <w:r>
        <w:rPr>
          <w:b/>
        </w:rPr>
        <w:t xml:space="preserve">CRS-Cutoff 2026: </w:t>
      </w:r>
      <w:r>
        <w:t>725–734</w:t>
      </w:r>
    </w:p>
    <w:p w14:paraId="64F1B1E3" w14:textId="77777777" w:rsidR="001F7233" w:rsidRDefault="00000000">
      <w:r>
        <w:rPr>
          <w:b/>
        </w:rPr>
        <w:t xml:space="preserve">Beispielrunde: </w:t>
      </w:r>
      <w:r>
        <w:t>28.09.2026: 725</w:t>
      </w:r>
    </w:p>
    <w:p w14:paraId="27422E3A" w14:textId="77777777" w:rsidR="001F7233" w:rsidRDefault="00000000">
      <w:r>
        <w:rPr>
          <w:b/>
        </w:rPr>
        <w:t>CEC</w:t>
      </w:r>
    </w:p>
    <w:p w14:paraId="30F43BF7" w14:textId="77777777" w:rsidR="001F7233" w:rsidRDefault="00000000">
      <w:r>
        <w:rPr>
          <w:b/>
        </w:rPr>
        <w:t xml:space="preserve">CRS-Cutoff 2026: </w:t>
      </w:r>
      <w:r>
        <w:t>507–521</w:t>
      </w:r>
    </w:p>
    <w:p w14:paraId="24AD44DB" w14:textId="77777777" w:rsidR="001F7233" w:rsidRDefault="00000000">
      <w:r>
        <w:rPr>
          <w:b/>
        </w:rPr>
        <w:t xml:space="preserve">Beispielrunde: </w:t>
      </w:r>
      <w:r>
        <w:t>15.09.2026: 519</w:t>
      </w:r>
    </w:p>
    <w:p w14:paraId="26373C09" w14:textId="77777777" w:rsidR="001F7233" w:rsidRDefault="00000000">
      <w:r>
        <w:rPr>
          <w:b/>
        </w:rPr>
        <w:t>Gesundheit/Soziales</w:t>
      </w:r>
    </w:p>
    <w:p w14:paraId="3006DAC5" w14:textId="77777777" w:rsidR="001F7233" w:rsidRDefault="00000000">
      <w:r>
        <w:rPr>
          <w:b/>
        </w:rPr>
        <w:t xml:space="preserve">CRS-Cutoff 2026: </w:t>
      </w:r>
      <w:r>
        <w:t>ca. 475</w:t>
      </w:r>
    </w:p>
    <w:p w14:paraId="12038592" w14:textId="77777777" w:rsidR="001F7233" w:rsidRDefault="00000000">
      <w:r>
        <w:rPr>
          <w:b/>
        </w:rPr>
        <w:t xml:space="preserve">Beispielrunde: </w:t>
      </w:r>
      <w:r>
        <w:t>04.09.2026: 3.500 Einladungen</w:t>
      </w:r>
    </w:p>
    <w:p w14:paraId="2C27E8E3" w14:textId="77777777" w:rsidR="001F7233" w:rsidRDefault="00000000">
      <w:r>
        <w:rPr>
          <w:b/>
        </w:rPr>
        <w:t>Französisch</w:t>
      </w:r>
    </w:p>
    <w:p w14:paraId="121E24CF" w14:textId="77777777" w:rsidR="001F7233" w:rsidRDefault="00000000">
      <w:r>
        <w:rPr>
          <w:b/>
        </w:rPr>
        <w:t xml:space="preserve">CRS-Cutoff 2026: </w:t>
      </w:r>
      <w:r>
        <w:t>382–419</w:t>
      </w:r>
    </w:p>
    <w:p w14:paraId="2976D299" w14:textId="77777777" w:rsidR="001F7233" w:rsidRDefault="00000000">
      <w:r>
        <w:rPr>
          <w:b/>
        </w:rPr>
        <w:t xml:space="preserve">Beispielrunde: </w:t>
      </w:r>
      <w:r>
        <w:t>19.08.2026: Tiefstwert 382</w:t>
      </w:r>
    </w:p>
    <w:p w14:paraId="4E79F04D" w14:textId="77777777" w:rsidR="001F7233" w:rsidRDefault="00000000">
      <w:r>
        <w:rPr>
          <w:b/>
        </w:rPr>
        <w:t>Ärztinnen/Ärzte (kanad. Erfahrung)</w:t>
      </w:r>
    </w:p>
    <w:p w14:paraId="3704A712" w14:textId="77777777" w:rsidR="001F7233" w:rsidRDefault="00000000">
      <w:r>
        <w:rPr>
          <w:b/>
        </w:rPr>
        <w:t xml:space="preserve">CRS-Cutoff 2026: </w:t>
      </w:r>
      <w:r>
        <w:t>169–198</w:t>
      </w:r>
    </w:p>
    <w:p w14:paraId="488A22FF" w14:textId="77777777" w:rsidR="001F7233" w:rsidRDefault="00000000">
      <w:r>
        <w:rPr>
          <w:b/>
        </w:rPr>
        <w:t xml:space="preserve">Beispielrunde: </w:t>
      </w:r>
      <w:r>
        <w:t>19.02.2026: 169</w:t>
      </w:r>
    </w:p>
    <w:p w14:paraId="766D7915" w14:textId="77777777" w:rsidR="001F7233" w:rsidRDefault="001F7233">
      <w:pPr>
        <w:spacing w:line="180" w:lineRule="exact"/>
      </w:pPr>
    </w:p>
    <w:p w14:paraId="60CB22C6" w14:textId="77777777" w:rsidR="001F7233" w:rsidRDefault="00000000">
      <w:pPr>
        <w:spacing w:after="140"/>
      </w:pPr>
      <w:r>
        <w:t>Verbreiteter Irrtum: Wer im Internet liest, man brauche „mindestens 500 CRS-Punkte“, denkt in den alten, breiten Runden. Die gibt es seit April 2024 nicht mehr. Die Frage lautet heute: In welche Gruppe passe ich? Bei der Ärzte-Kategorie lag der Cutoff im Februar 2026 bei nur 169 Punkten, nach Sekundärquellen mit Bezug auf IRCC-Daten der niedrigste je verzeichnete Wert der Programmgeschichte. Wer zu einer eng zugeschnittenen Kategorie passt, sollte sich von hohen Cutoffs anderer Gruppen nicht entmutigen lassen. Wer zu keiner passt, kommt mit einem noch so guten Score derzeit nicht zum Zug.</w:t>
      </w:r>
    </w:p>
    <w:p w14:paraId="6C01E16A" w14:textId="77777777" w:rsidR="001F7233" w:rsidRDefault="00000000">
      <w:pPr>
        <w:spacing w:after="140"/>
      </w:pPr>
      <w:r>
        <w:t>Insgesamt verschickte IRCC bis Mitte September 2026 mehr als 128.000 Einladungen seit Jahresbeginn, nach Auswertungen mehrerer Sekundärquellen, die offiziellen IRCC-Rundendaten aggregieren. Die offizielle Rundenliste wurde für diesen Wert nicht direkt eingesehen. Nicht jede Kategorie zieht gleich oft: Die MINT-Kategorie hatte laut Berichten von September 2026 seit mehr als 28 Monaten keine eigene Ziehung mehr.</w:t>
      </w:r>
    </w:p>
    <w:p w14:paraId="1F319765" w14:textId="77777777" w:rsidR="001F7233" w:rsidRDefault="00000000">
      <w:r>
        <w:rPr>
          <w:b/>
        </w:rPr>
        <w:lastRenderedPageBreak/>
        <w:t xml:space="preserve">ACHTUNG: </w:t>
      </w:r>
    </w:p>
    <w:p w14:paraId="4C89C925" w14:textId="77777777" w:rsidR="001F7233" w:rsidRDefault="00000000">
      <w:r>
        <w:t>• Die MINT-Kategorie klingt für Ingenieurinnen und Informatiker vielversprechend, zieht aber laut aktuellen Berichten seit über zwei Jahren nicht eigenständig. Verlass dich nicht darauf, dass „dein“ Berufsfeld demnächst eine eigene Runde bekommt. Kalkuliere mit den allgemeinen und CEC-Cutoffs als realistischer Grundlage und behandle jede Kategorie-Ziehung als willkommenen Bonus, nicht als Plan.</w:t>
      </w:r>
    </w:p>
    <w:p w14:paraId="5CF666E8" w14:textId="77777777" w:rsidR="001F7233" w:rsidRDefault="001F7233">
      <w:pPr>
        <w:spacing w:line="220" w:lineRule="exact"/>
      </w:pPr>
    </w:p>
    <w:p w14:paraId="73D6C3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Provincial Nominee Program: die zweite Schiene</w:t>
      </w:r>
    </w:p>
    <w:p w14:paraId="111C8A54" w14:textId="77777777" w:rsidR="001F7233" w:rsidRDefault="00000000">
      <w:pPr>
        <w:spacing w:after="140"/>
      </w:pPr>
      <w:r>
        <w:t>Neben dem Bundesweg nominiert jede Provinz und jedes Territorium außer Québec eigenständig Kandidaten für die PR. Québec betreibt ein vollständig eigenes System (Arrima), das hier nicht behandelt wird. Eine Nominierung ist keine Garantie für die PR selbst, aber praktisch ein Türöffner, der 600 zusätzliche CRS-Punkte bringt und die nächste Einladung so gut wie sicher macht. Für den Levels Plan 2026–2028 hat Kanada die PNP-Zielzahl auf 91.500 Personen für 2026 angehoben (plus 66 % gegen dem vorherigen Plan). Damit ist das PNP zum zweitgrößten Wirtschaftskanal nach den föderalen Programmen für hochqualifizierte Fachkräfte geworden.</w:t>
      </w:r>
    </w:p>
    <w:p w14:paraId="0EF375E3" w14:textId="77777777" w:rsidR="001F7233" w:rsidRDefault="00000000">
      <w:pPr>
        <w:spacing w:after="140"/>
      </w:pPr>
      <w:r>
        <w:rPr>
          <w:i/>
          <w:iCs/>
        </w:rPr>
        <w:t xml:space="preserve">Der Weg zur Nominierung läuft meist über eine Expression of Interest (EOI, eine Interessensbekundung) bei der jeweiligen Provinz, oft gekoppelt an ein konkretes Jobangebot oder an einen Beruf auf der provinziellen Bedarfsliste. Dabei unterscheiden die meisten Provinzen zwei Wege: eine „Enhanced“-Nominierung, die an ein bestehendes Express-Entry-Profil andockt und die 600 CRS-Punkte sofort gutschreibt, sowie eine „Base“-Nominierung außerhalb von Express Entry. Die Base-Nominierung verlangt zwar keine Kanada-Erfahrung oder hohen Sprachtest, kommt dafür aber ohne CRS-Bonus aus und </w:t>
      </w:r>
      <w:r>
        <w:rPr>
          <w:i/>
          <w:iCs/>
        </w:rPr>
        <w:lastRenderedPageBreak/>
        <w:t>braucht meist deutlich länger bis zur PR. Für die meisten deutschen Fachkräfte mit ordentlichem Englisch ist der Enhanced-Weg über Express Entry der planbarere.</w:t>
      </w:r>
    </w:p>
    <w:p w14:paraId="2CFE2FE0" w14:textId="77777777" w:rsidR="001F7233" w:rsidRDefault="00000000">
      <w:pPr>
        <w:spacing w:after="140"/>
      </w:pPr>
      <w:r>
        <w:t>Die Verfahren der Provinzen unterscheiden sich zudem stark in Kosten und Ablauf, wie die beiden größten Provinzen zeigen.</w:t>
      </w:r>
    </w:p>
    <w:p w14:paraId="2E7F76DF"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Ontario (OINP)</w:t>
      </w:r>
    </w:p>
    <w:p w14:paraId="6B002253" w14:textId="77777777" w:rsidR="001F7233" w:rsidRDefault="00000000">
      <w:pPr>
        <w:spacing w:after="140"/>
      </w:pPr>
      <w:r>
        <w:t>Ontario hat sein Programm 2026 grundlegend vereinfacht: Acht frühere Einzelströme wurden durch den neuen, arbeitgebergeführten „Ontario Workforce Priority Stream“ ersetzt. Die Antragsgebühr beträgt 1.500 CAD außer des Greater Toronto Area (GTA) und 2.000 CAD in des GTA; sie wird meist nicht erstattet. Ein mit Express Entry verknüpfter Fall summiert sich samt der föderalen Gebühren (rund 1.675 CAD) auf etwa 3.175 CAD außer oder 3.675 CAD in des GTA. Das ist noch vor Sprachtest, ECA, medizinischer Untersuchung, Führungszeugnis und Übersetzungskosten.</w:t>
      </w:r>
    </w:p>
    <w:p w14:paraId="7F31B7C5"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British Columbia (BC PNP)</w:t>
      </w:r>
    </w:p>
    <w:p w14:paraId="3163F6E1" w14:textId="77777777" w:rsidR="001F7233" w:rsidRDefault="00000000">
      <w:pPr>
        <w:spacing w:after="140"/>
      </w:pPr>
      <w:r>
        <w:t>British Columbia hat seine Gebühren zum 22. Januar 2026 angehoben: Die Antragsgebühr für die Kategorie Skills Immigration liegt seither bei 1.750 CAD, in bestimmten Strömen (Skilled Worker, Entry Level &amp; Semi-Skilled, Health Authority) bei bis zu 2.000 CAD. British Columbia ist besonders für Fachkräfte in Technologie- und Gesundheitsberufen im Großraum Vancouver attraktiv. Wie Ontario verlangt es aber meist ein konkretes Jobangebot eines Arbeitgebers in der Provinz.</w:t>
      </w:r>
    </w:p>
    <w:p w14:paraId="6302E862" w14:textId="77777777" w:rsidR="001F7233" w:rsidRDefault="00000000">
      <w:pPr>
        <w:spacing w:after="140"/>
      </w:pPr>
      <w:r>
        <w:t xml:space="preserve">Alberta (AAIP), Manitoba (MPNP), Saskatchewan (SINP) und die Atlantikprovinzen betreiben jeweils eigene, mit Express Entry verknüpfte und eigenständige Ströme mit unterschiedlichen Punktesystemen, Vorregistrierungspflichten für Arbeitgeber und Zielberufslisten, die sich an der jeweiligen regionalen Wirtschaft </w:t>
      </w:r>
      <w:r>
        <w:lastRenderedPageBreak/>
        <w:t>orientieren. Die Details sprengen den Rahmen dieses Kapitels. Wer eine bestimmte Provinz ins Auge fasst, sollte deren Programm gesondert und aktuell prüfen, statt sich auf Erfahrungsberichte aus Foren zu verlassen.</w:t>
      </w:r>
    </w:p>
    <w:p w14:paraId="0199DEDB" w14:textId="77777777" w:rsidR="001F7233" w:rsidRDefault="00000000">
      <w:r>
        <w:rPr>
          <w:b/>
        </w:rPr>
        <w:t xml:space="preserve">ACHTUNG: </w:t>
      </w:r>
    </w:p>
    <w:p w14:paraId="07073694" w14:textId="77777777" w:rsidR="001F7233" w:rsidRDefault="00000000">
      <w:r>
        <w:t>• Eine Nominierung ist kein Freifahrtschein. IRCC trifft am Ende die eigene, unabhängige Entscheidung über Zulässigkeit, medizinische Untersuchung und Sicherheitsprüfung. Wer wegen einer Vorstrafe, einer schweren Erkrankung oder Unstimmigkeiten in den Unterlagen scheitert, verliert trotz Nominierung die PR, und meist auch die Gebühr.</w:t>
      </w:r>
    </w:p>
    <w:p w14:paraId="3AC57607" w14:textId="77777777" w:rsidR="001F7233" w:rsidRDefault="001F7233">
      <w:pPr>
        <w:spacing w:line="220" w:lineRule="exact"/>
      </w:pPr>
    </w:p>
    <w:p w14:paraId="444DBA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74FC962F" w14:textId="77777777" w:rsidR="001F7233" w:rsidRDefault="00000000">
      <w:pPr>
        <w:spacing w:after="140"/>
      </w:pPr>
      <w:r>
        <w:t>Für gut ausgebildete deutsche Fachkräfte mit solidem Englisch, einem anerkannten Studienabschluss und mindestens einem Jahr einschlägiger Berufserfahrung ist Express Entry ein real gangbarer Weg, aber selten ein schneller. Ohne kanadische Erfahrung, ohne Provinznominierung und ohne Französisch entscheidet 2026 fast allein, ob dein Beruf in einer Kategorie-Ziehung auftaucht. Allgemeine Runden, in denen ein hoher Score allein genügte, hat IRCC seit April 2024 nicht mehr gezogen (Datenstand September 2026; geprüft im Oktober 2026). Wer auch Französisch auf CLB 7 bringt, eröffnet sich mit den regelmäßigen und vergleichsweise niedrig angesetzten Französisch-Runden einen echten Vorteil, auch außerhalb Québecs. Das lohnt sich vor allem für alle, die ohnehin schon Grundkenntnisse aus der Schule mitbringen. Der Sprung von brauchbarem Schulfranzösisch auf CLB 7 ist überschaubarer als ein völliger Neuanfang.</w:t>
      </w:r>
    </w:p>
    <w:p w14:paraId="191A8D07" w14:textId="77777777" w:rsidR="001F7233" w:rsidRDefault="00000000">
      <w:pPr>
        <w:spacing w:after="140"/>
      </w:pPr>
      <w:r>
        <w:t xml:space="preserve">Auch der Zeitrahmen gehört zur ehrlichen Bilanz. IRCC nennt für Express Entry einen Bearbeitungs-Service-Standard von sechs </w:t>
      </w:r>
      <w:r>
        <w:lastRenderedPageBreak/>
        <w:t>Monaten nach Einreichung des vollständigen PR-Antrags, seit Anfang 2022 meist eingehalten. Bis zur Einladung selbst vergeht oft deutlich mehr Zeit. Wer zu keiner aktuellen Kategorie passt und keine Provinznominierung hat, kann Monate oder über ein Jahr im Profil-Pool verbringen, ohne je einen Cutoff zu unterbieten. Realistisch heißt das für die meisten Interessierten ohne Kanada-Bezug: ein bis drei Jahre von der ersten Bewerbung bis zur PR. Der Umweg über ein Arbeitsvisum bringt dich zwar schneller ins Land, verkürzt aber nicht zwangsläufig den Weg zur PR selbst, nur den zur ersten kanadischen Gehaltsabrechnung.</w:t>
      </w:r>
    </w:p>
    <w:p w14:paraId="2AA0F413" w14:textId="77777777" w:rsidR="001F7233" w:rsidRDefault="00000000">
      <w:pPr>
        <w:spacing w:after="140"/>
      </w:pPr>
      <w:r>
        <w:t>Eine zweite, oft unterschätzte Realität: Viele deutsche Fachkräfte kommen gar nicht über den direkten Express-Entry-Weg, sondern zunächst über ein befristetes, arbeitgebergebundenes Arbeitsvisum und sammeln erst danach die kanadische Erfahrung, die CEC oder eine Provinznominierung leichter macht.</w:t>
      </w:r>
    </w:p>
    <w:p w14:paraId="7BC04F05" w14:textId="77777777" w:rsidR="001F7233" w:rsidRDefault="001F7233">
      <w:pPr>
        <w:spacing w:line="220" w:lineRule="exact"/>
      </w:pPr>
    </w:p>
    <w:p w14:paraId="1BA47605" w14:textId="77777777" w:rsidR="001F7233" w:rsidRDefault="001F7233">
      <w:pPr>
        <w:spacing w:line="220" w:lineRule="exact"/>
      </w:pPr>
    </w:p>
    <w:p w14:paraId="0F505365" w14:textId="77777777" w:rsidR="001F7233" w:rsidRDefault="00000000">
      <w:r>
        <w:rPr>
          <w:b/>
        </w:rPr>
        <w:t xml:space="preserve">MERKE: </w:t>
      </w:r>
    </w:p>
    <w:p w14:paraId="179BF84D" w14:textId="77777777" w:rsidR="001F7233" w:rsidRDefault="00000000">
      <w:r>
        <w:t>• Ein Work Permit ist keine PR. Es ist eine befristete, meist an einen einzigen Arbeitgeber gebundene Arbeitserlaubnis. Die PR dagegen ist der unbefristete Aufenthaltsstatus, unabhängig von einem bestimmten Job. Wer über ein Arbeitsvisum einreist, hat noch keinen gesicherten Verbleib in Kanada. Die Arbeitserfahrung kann aber für einen späteren PR-Antrag zählen.</w:t>
      </w:r>
    </w:p>
    <w:p w14:paraId="559154B3" w14:textId="77777777" w:rsidR="001F7233" w:rsidRDefault="001F7233">
      <w:pPr>
        <w:spacing w:line="220" w:lineRule="exact"/>
      </w:pPr>
    </w:p>
    <w:p w14:paraId="436B2FBE" w14:textId="77777777" w:rsidR="001F7233" w:rsidRDefault="00000000">
      <w:r>
        <w:t>• Dieses Kapitel erklärt Regeln und Praxis der kanadischen Einwanderung, ersetzt aber keine Beratung durch eine bei der College of Immigration and Citizenship Consultants zugelassene Fachperson (Regulated Canadian Immigration Consultant, RCIC) oder eine Einwanderungsanwältin oder einen Einwanderungsanwalt. Wie du eine seriöse Beratung findest und was sie kostet, steht im Kapitel zu Antrag, Kosten und Bearbeitungszeit in diesem Teil.</w:t>
      </w:r>
    </w:p>
    <w:p w14:paraId="02136844" w14:textId="77777777" w:rsidR="001F7233" w:rsidRDefault="001F7233">
      <w:pPr>
        <w:spacing w:line="220" w:lineRule="exact"/>
      </w:pPr>
    </w:p>
    <w:p w14:paraId="3D939CD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Der Arbeitsweg im Detail</w:t>
      </w:r>
    </w:p>
    <w:p w14:paraId="62F3ECE5" w14:textId="77777777" w:rsidR="001F7233" w:rsidRDefault="00000000">
      <w:r>
        <w:rPr>
          <w:b/>
        </w:rPr>
        <w:t>Plus: Punktesystem ist transparent und öffentlich einsehbar</w:t>
      </w:r>
    </w:p>
    <w:p w14:paraId="42D3FE69" w14:textId="77777777" w:rsidR="001F7233" w:rsidRDefault="00000000">
      <w:r>
        <w:rPr>
          <w:b/>
        </w:rPr>
        <w:t xml:space="preserve">Minus: </w:t>
      </w:r>
      <w:r>
        <w:t>Cutoffs schwanken stark und sind Monate im Voraus kaum vorhersagbar</w:t>
      </w:r>
    </w:p>
    <w:p w14:paraId="59D3C73A" w14:textId="77777777" w:rsidR="001F7233" w:rsidRDefault="00000000">
      <w:r>
        <w:rPr>
          <w:b/>
        </w:rPr>
        <w:t>Plus: Kategorie-Ziehungen können den Score-Bedarf drastisch senken</w:t>
      </w:r>
    </w:p>
    <w:p w14:paraId="2C8EE80B" w14:textId="77777777" w:rsidR="001F7233" w:rsidRDefault="00000000">
      <w:r>
        <w:rPr>
          <w:b/>
        </w:rPr>
        <w:t xml:space="preserve">Minus: </w:t>
      </w:r>
      <w:r>
        <w:t>Nicht jedes Berufsfeld bekommt regelmäßig eine eigene Kategorie</w:t>
      </w:r>
    </w:p>
    <w:p w14:paraId="0168BE06" w14:textId="77777777" w:rsidR="001F7233" w:rsidRDefault="00000000">
      <w:r>
        <w:rPr>
          <w:b/>
        </w:rPr>
        <w:t>Plus: Provinznominierung macht die Einladung fast sicher</w:t>
      </w:r>
    </w:p>
    <w:p w14:paraId="2A4E9F5B" w14:textId="77777777" w:rsidR="001F7233" w:rsidRDefault="00000000">
      <w:r>
        <w:rPr>
          <w:b/>
        </w:rPr>
        <w:t xml:space="preserve">Minus: </w:t>
      </w:r>
      <w:r>
        <w:t>Provinzverfahren sind teuer und verlangen oft ein Jobangebot vor Ort</w:t>
      </w:r>
    </w:p>
    <w:p w14:paraId="25444239" w14:textId="77777777" w:rsidR="001F7233" w:rsidRDefault="00000000">
      <w:r>
        <w:rPr>
          <w:b/>
        </w:rPr>
        <w:t>Plus: Arbeitsvisum als schnellerer Zwischenschritt möglich</w:t>
      </w:r>
    </w:p>
    <w:p w14:paraId="46AD53B8" w14:textId="77777777" w:rsidR="001F7233" w:rsidRDefault="00000000">
      <w:r>
        <w:rPr>
          <w:b/>
        </w:rPr>
        <w:t xml:space="preserve">Minus: </w:t>
      </w:r>
      <w:r>
        <w:t>Arbeitsvisum bindet an einen Arbeitgeber und bringt noch keine PR</w:t>
      </w:r>
    </w:p>
    <w:p w14:paraId="02719539" w14:textId="77777777" w:rsidR="001F7233" w:rsidRDefault="00000000">
      <w:r>
        <w:rPr>
          <w:b/>
        </w:rPr>
        <w:t>Plus: Profil bleibt zwölf Monate automatisch im Rennen</w:t>
      </w:r>
    </w:p>
    <w:p w14:paraId="5A765F8E" w14:textId="77777777" w:rsidR="001F7233" w:rsidRDefault="00000000">
      <w:r>
        <w:rPr>
          <w:b/>
        </w:rPr>
        <w:t xml:space="preserve">Minus: </w:t>
      </w:r>
      <w:r>
        <w:t>Ohne Kanada-Bezug bewegt sich der Score oft im knappen Mittelfeld</w:t>
      </w:r>
    </w:p>
    <w:p w14:paraId="0A3CBF1B" w14:textId="77777777" w:rsidR="001F7233" w:rsidRDefault="001F7233">
      <w:pPr>
        <w:spacing w:line="180" w:lineRule="exact"/>
      </w:pPr>
    </w:p>
    <w:p w14:paraId="577C24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086D8D4" w14:textId="77777777" w:rsidR="001F7233" w:rsidRDefault="00000000">
      <w:pPr>
        <w:spacing w:after="140"/>
      </w:pPr>
      <w:r>
        <w:t xml:space="preserve">Beginne mit der Bestandsaufnahme: Lass deinen Abschluss über eine anerkannte Stelle bewerten (ECA), bevor du dich festlegst. Mache außerdem einen Probetest bei CELPIP oder IELTS, um deine CLB-Stufe realistisch einzuschätzen. Lege dein Express-Entry-Profil auch bei einem noch unsicheren Score an. Nur so siehst du, wo du im Vergleich zu aktuellen Runden stehst, und das Profil kostet zunächst nichts. Prüfe parallel, ob dein Beruf auf einer aktuellen Kategorie-Liste oder einer provinziellen Bedarfsliste auftaucht, und beobachte, ob ein Arbeitgeberkontakt in Ontario, British Columbia oder einer anderen Provinz realistisch ist. Wer in einem gefragten Beruf arbeitet, sollte auch gezielt bei Arbeitgebern mit kanadischem </w:t>
      </w:r>
      <w:r>
        <w:lastRenderedPageBreak/>
        <w:t xml:space="preserve">Standort nach Sponsoring fragen. Ein Arbeitsvisum über CETA oder eine konzerninterne Versetzung kann schneller zum Ziel führen als das Warten auf die nächste Runde. Die Gebühren und der Ablauf nach einer Einladung stehen im </w:t>
      </w:r>
      <w:hyperlink w:anchor="tka05">
        <w:r w:rsidR="001F7233">
          <w:rPr>
            <w:color w:val="0563C1"/>
            <w:u w:val="single"/>
          </w:rPr>
          <w:t>Kapitel zu Antrag, Botschaft, Kosten und Bearbeitungszeit in diesem Teil</w:t>
        </w:r>
      </w:hyperlink>
      <w:r>
        <w:t>.</w:t>
      </w:r>
    </w:p>
    <w:p w14:paraId="60391E59" w14:textId="77777777" w:rsidR="001F7233" w:rsidRDefault="00000000">
      <w:r>
        <w:t>• Abschluss über eine anerkannte Stelle bewerten lassen (ECA)</w:t>
      </w:r>
    </w:p>
    <w:p w14:paraId="0A4E144D" w14:textId="77777777" w:rsidR="001F7233" w:rsidRDefault="00000000">
      <w:r>
        <w:t>• Sprachtest wählen (CELPIP oder IELTS) und CLB-Stufe realistisch einschätzen</w:t>
      </w:r>
    </w:p>
    <w:p w14:paraId="706D8AE3" w14:textId="77777777" w:rsidR="001F7233" w:rsidRDefault="00000000">
      <w:r>
        <w:t>• Express-Entry-Profil anlegen, auch bei unsicherem Score</w:t>
      </w:r>
    </w:p>
    <w:p w14:paraId="35761A28" w14:textId="77777777" w:rsidR="001F7233" w:rsidRDefault="00000000">
      <w:r>
        <w:t>• Aktuelle Kategorie-Ziehungen mit dem eigenen Beruf abgleichen</w:t>
      </w:r>
    </w:p>
    <w:p w14:paraId="0ED63565" w14:textId="77777777" w:rsidR="001F7233" w:rsidRDefault="00000000">
      <w:r>
        <w:t>• Provinzielle Bedarfslisten (mindestens Ontario und British Columbia) prüfen</w:t>
      </w:r>
    </w:p>
    <w:p w14:paraId="4ACB1465" w14:textId="77777777" w:rsidR="001F7233" w:rsidRDefault="00000000">
      <w:r>
        <w:t>• Prüfen, ob ein befristetes Arbeitsvisum als schnellerer Zwischenschritt infrage kommt</w:t>
      </w:r>
    </w:p>
    <w:p w14:paraId="6BDA4313" w14:textId="77777777" w:rsidR="001F7233" w:rsidRDefault="00000000">
      <w:r>
        <w:t>• Bei knappem Score: Französischkenntnisse als zusätzlichen Hebel erwägen</w:t>
      </w:r>
    </w:p>
    <w:p w14:paraId="2F4C2EAF" w14:textId="77777777" w:rsidR="001F7233" w:rsidRDefault="00000000">
      <w:r>
        <w:t xml:space="preserve">• Vor jeder Entscheidung aktuelle Cutoffs und Gebühren auf </w:t>
      </w:r>
      <w:hyperlink r:id="rId775">
        <w:r w:rsidR="001F7233">
          <w:rPr>
            <w:color w:val="0563C1"/>
            <w:u w:val="single"/>
          </w:rPr>
          <w:t>canada.ca</w:t>
        </w:r>
      </w:hyperlink>
      <w:r>
        <w:t xml:space="preserve"> prüfen</w:t>
      </w:r>
    </w:p>
    <w:p w14:paraId="18A7AFF1" w14:textId="77777777" w:rsidR="001F7233" w:rsidRDefault="00000000">
      <w:r>
        <w:t>• ECA nicht mit der Provinzlizenz verwechseln: Anerkennung deutscher Berufsabschlüsse</w:t>
      </w:r>
    </w:p>
    <w:p w14:paraId="74156526" w14:textId="77777777" w:rsidR="001F7233" w:rsidRDefault="00000000">
      <w:r>
        <w:t>• Abmeldung und Rente über Deutschland vor dem Abflug planen</w:t>
      </w:r>
    </w:p>
    <w:p w14:paraId="73D65046" w14:textId="77777777" w:rsidR="001F7233" w:rsidRDefault="001F7233">
      <w:pPr>
        <w:spacing w:line="220" w:lineRule="exact"/>
      </w:pPr>
    </w:p>
    <w:p w14:paraId="7FD275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FE3AB9" w14:textId="77777777" w:rsidR="001F7233" w:rsidRDefault="00000000">
      <w:pPr>
        <w:pStyle w:val="ListParagraph"/>
        <w:numPr>
          <w:ilvl w:val="0"/>
          <w:numId w:val="1"/>
        </w:numPr>
        <w:spacing w:after="60"/>
      </w:pPr>
      <w:r>
        <w:t>IRCC — Express Entry: So funktioniert das System (</w:t>
      </w:r>
      <w:hyperlink r:id="rId776">
        <w:r w:rsidR="001F7233">
          <w:rPr>
            <w:color w:val="0563C1"/>
            <w:u w:val="single"/>
          </w:rPr>
          <w:t>canada.ca/en/immigration-refugees-citizenship/services/immigrate-canada/express-entry.html</w:t>
        </w:r>
      </w:hyperlink>
      <w:r>
        <w:t>)</w:t>
      </w:r>
    </w:p>
    <w:p w14:paraId="7F1FB1C8" w14:textId="77777777" w:rsidR="001F7233" w:rsidRDefault="00000000">
      <w:pPr>
        <w:pStyle w:val="ListParagraph"/>
        <w:numPr>
          <w:ilvl w:val="0"/>
          <w:numId w:val="1"/>
        </w:numPr>
        <w:spacing w:after="60"/>
      </w:pPr>
      <w:r>
        <w:t>IRCC — CRS-Kriterien und Punkteberechnung (</w:t>
      </w:r>
      <w:hyperlink r:id="rId777">
        <w:r w:rsidR="001F7233">
          <w:rPr>
            <w:color w:val="0563C1"/>
            <w:u w:val="single"/>
          </w:rPr>
          <w:t>Offizielle CRS-Kriterien</w:t>
        </w:r>
      </w:hyperlink>
      <w:r>
        <w:t>)</w:t>
      </w:r>
    </w:p>
    <w:p w14:paraId="7DF4390B" w14:textId="77777777" w:rsidR="001F7233" w:rsidRDefault="00000000">
      <w:pPr>
        <w:pStyle w:val="ListParagraph"/>
        <w:numPr>
          <w:ilvl w:val="0"/>
          <w:numId w:val="1"/>
        </w:numPr>
        <w:spacing w:after="60"/>
      </w:pPr>
      <w:r>
        <w:t>IRCC — Federal Skilled Worker Program (</w:t>
      </w:r>
      <w:hyperlink r:id="rId778">
        <w:r w:rsidR="001F7233">
          <w:rPr>
            <w:color w:val="0563C1"/>
            <w:u w:val="single"/>
          </w:rPr>
          <w:t>Offizielle FSW-Voraussetzungen</w:t>
        </w:r>
      </w:hyperlink>
      <w:r>
        <w:t>)</w:t>
      </w:r>
    </w:p>
    <w:p w14:paraId="1D3D50B6" w14:textId="77777777" w:rsidR="001F7233" w:rsidRDefault="00000000">
      <w:pPr>
        <w:pStyle w:val="ListParagraph"/>
        <w:numPr>
          <w:ilvl w:val="0"/>
          <w:numId w:val="1"/>
        </w:numPr>
        <w:spacing w:after="60"/>
      </w:pPr>
      <w:r>
        <w:t>IRCC — Provincial Nominee Program: Übersicht (</w:t>
      </w:r>
      <w:hyperlink r:id="rId779">
        <w:r w:rsidR="001F7233">
          <w:rPr>
            <w:color w:val="0563C1"/>
            <w:u w:val="single"/>
          </w:rPr>
          <w:t>Offizielle PNP-Informationen</w:t>
        </w:r>
      </w:hyperlink>
      <w:r>
        <w:t>)</w:t>
      </w:r>
    </w:p>
    <w:p w14:paraId="544E1761" w14:textId="77777777" w:rsidR="001F7233" w:rsidRDefault="00000000">
      <w:pPr>
        <w:pStyle w:val="ListParagraph"/>
        <w:numPr>
          <w:ilvl w:val="0"/>
          <w:numId w:val="1"/>
        </w:numPr>
        <w:spacing w:after="60"/>
      </w:pPr>
      <w:r>
        <w:lastRenderedPageBreak/>
        <w:t>IRCC — Gebührenübersicht (</w:t>
      </w:r>
      <w:hyperlink r:id="rId780">
        <w:r w:rsidR="001F7233">
          <w:rPr>
            <w:color w:val="0563C1"/>
            <w:u w:val="single"/>
          </w:rPr>
          <w:t>ircc.canada.ca/english/information/fees/fees.asp</w:t>
        </w:r>
      </w:hyperlink>
      <w:r>
        <w:t>)</w:t>
      </w:r>
    </w:p>
    <w:p w14:paraId="52E3C618" w14:textId="77777777" w:rsidR="001F7233" w:rsidRDefault="00000000">
      <w:pPr>
        <w:pStyle w:val="ListParagraph"/>
        <w:numPr>
          <w:ilvl w:val="0"/>
          <w:numId w:val="1"/>
        </w:numPr>
        <w:spacing w:after="60"/>
      </w:pPr>
      <w:r>
        <w:t>Ontario Immigrant Nominee Program (</w:t>
      </w:r>
      <w:hyperlink r:id="rId781">
        <w:r w:rsidR="001F7233">
          <w:rPr>
            <w:color w:val="0563C1"/>
            <w:u w:val="single"/>
          </w:rPr>
          <w:t>ontario.ca/page/ontario-immigrant-nominee-program</w:t>
        </w:r>
      </w:hyperlink>
      <w:r>
        <w:t>)</w:t>
      </w:r>
    </w:p>
    <w:p w14:paraId="0733691A" w14:textId="77777777" w:rsidR="001F7233" w:rsidRDefault="00000000">
      <w:pPr>
        <w:pStyle w:val="ListParagraph"/>
        <w:numPr>
          <w:ilvl w:val="0"/>
          <w:numId w:val="1"/>
        </w:numPr>
        <w:spacing w:after="60"/>
      </w:pPr>
      <w:r>
        <w:t>British Columbia Provincial Nominee Program (</w:t>
      </w:r>
      <w:hyperlink r:id="rId782">
        <w:r w:rsidR="001F7233">
          <w:rPr>
            <w:color w:val="0563C1"/>
            <w:u w:val="single"/>
          </w:rPr>
          <w:t>welcomebc.ca/immigrate-to-b-c/about-the-bc-pnp</w:t>
        </w:r>
      </w:hyperlink>
      <w:r>
        <w:t>)</w:t>
      </w:r>
    </w:p>
    <w:p w14:paraId="5A53D0E0" w14:textId="77777777" w:rsidR="001F7233" w:rsidRDefault="001F7233">
      <w:pPr>
        <w:spacing w:line="120" w:lineRule="exact"/>
      </w:pPr>
    </w:p>
    <w:p w14:paraId="5C8117AF" w14:textId="77777777" w:rsidR="001F7233" w:rsidRDefault="00000000">
      <w:r>
        <w:t xml:space="preserve">• 23.09.2026. Diese Angaben ändern sich besonders schnell: die CRS-Cutoffs jeder einzelnen Runde, ob und wie oft eine Kategorie zieht, die PNP-Gebühren und -Ströme der Provinzen sowie die Bearbeitungszeiten. Prüfe vor jeder Entscheidung die aktuellen Werte auf </w:t>
      </w:r>
      <w:hyperlink r:id="rId783">
        <w:r w:rsidR="001F7233">
          <w:rPr>
            <w:color w:val="0563C1"/>
            <w:u w:val="single"/>
          </w:rPr>
          <w:t>canada.ca</w:t>
        </w:r>
      </w:hyperlink>
      <w:r>
        <w:t xml:space="preserve"> und den Webseiten der jeweiligen Provinz.</w:t>
      </w:r>
    </w:p>
    <w:p w14:paraId="5F768D82" w14:textId="77777777" w:rsidR="001F7233" w:rsidRDefault="00000000">
      <w:pPr>
        <w:spacing w:line="220" w:lineRule="exact"/>
      </w:pPr>
      <w:r>
        <w:br w:type="page"/>
      </w:r>
    </w:p>
    <w:p w14:paraId="621F9482" w14:textId="77777777" w:rsidR="001F7233" w:rsidRDefault="00000000">
      <w:pPr>
        <w:pStyle w:val="Heading2"/>
        <w:keepNext/>
        <w:spacing w:line="341" w:lineRule="auto"/>
        <w:jc w:val="center"/>
      </w:pPr>
      <w:bookmarkStart w:id="112" w:name="tka03a"/>
      <w:r>
        <w:rPr>
          <w:rFonts w:ascii="Amazon Ember" w:eastAsia="Amazon Ember" w:hAnsi="Amazon Ember" w:cs="Amazon Ember"/>
          <w:color w:val="0000FF"/>
          <w:sz w:val="36"/>
          <w:szCs w:val="36"/>
        </w:rPr>
        <w:lastRenderedPageBreak/>
        <w:t>Kanada: Anerkennung deutscher Berufsabschlüsse</w:t>
      </w:r>
      <w:bookmarkEnd w:id="112"/>
    </w:p>
    <w:p w14:paraId="709128B9" w14:textId="77777777" w:rsidR="001F7233" w:rsidRDefault="00000000">
      <w:pPr>
        <w:spacing w:after="140"/>
      </w:pPr>
      <w:r>
        <w:t>Ein Jobangebot und ein Express-Entry-Profil sagen nicht, ob du in Ontario als Ärztin arbeiten darfst. Kanada trennt drei Dinge, die im deutschen Alltag oft eins sind: den Abschluss, den das Visum als Punkte zählt, die Lizenz, ohne die der geschützte Titel verboten ist. Dazu kommt die Stelle, die dich trotzdem einstellen will. Wer das in dieser Reihenfolge verwechselt, kündigt in Deutschland und wartet in Toronto auf eine Prüfung, von der im Arbeitsvertrag nichts stand.</w:t>
      </w:r>
    </w:p>
    <w:p w14:paraId="0BD437D2" w14:textId="77777777" w:rsidR="001F7233" w:rsidRDefault="00000000">
      <w:r>
        <w:rPr>
          <w:b/>
        </w:rPr>
        <w:t xml:space="preserve">KURZ GESAGT: </w:t>
      </w:r>
    </w:p>
    <w:p w14:paraId="676E3B71" w14:textId="77777777" w:rsidR="001F7233" w:rsidRDefault="00000000">
      <w:r>
        <w:t>• Die Educational Credential Assessment (ECA) für das Visum ist keine Berufszulassung.</w:t>
      </w:r>
    </w:p>
    <w:p w14:paraId="0AEB5B2F" w14:textId="77777777" w:rsidR="001F7233" w:rsidRDefault="00000000">
      <w:r>
        <w:t>• Arzt, Pflege, Lehramt, das Ingenieursiegel und viele Gewerke hängen an der Provinz, nicht an Ottawa.</w:t>
      </w:r>
    </w:p>
    <w:p w14:paraId="0215DA97" w14:textId="77777777" w:rsidR="001F7233" w:rsidRDefault="00000000">
      <w:r>
        <w:t>• Die deutsche Approbation, die Lehrbefähigung und der Gesellenbrief gelten nicht automatisch.</w:t>
      </w:r>
    </w:p>
    <w:p w14:paraId="1B6F9565" w14:textId="77777777" w:rsidR="001F7233" w:rsidRDefault="00000000">
      <w:r>
        <w:t>• Die Zulassung dauert oft länger als der Visumantrag. Kündige nicht, bevor du den Fahrplan der Kammer hast.</w:t>
      </w:r>
    </w:p>
    <w:p w14:paraId="22C30290" w14:textId="77777777" w:rsidR="001F7233" w:rsidRDefault="00000000">
      <w:r>
        <w:t>• IT und viele Industriejobs brauchen keine Lizenz. Dort ist der ausländische Abschluss ein Nachweis unter anderen.</w:t>
      </w:r>
    </w:p>
    <w:p w14:paraId="2E4601A4" w14:textId="77777777" w:rsidR="001F7233" w:rsidRDefault="001F7233">
      <w:pPr>
        <w:spacing w:line="220" w:lineRule="exact"/>
      </w:pPr>
    </w:p>
    <w:p w14:paraId="4EB9B4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Stempel, zwei Behörden</w:t>
      </w:r>
    </w:p>
    <w:p w14:paraId="454742B2" w14:textId="77777777" w:rsidR="001F7233" w:rsidRDefault="00000000">
      <w:pPr>
        <w:spacing w:after="140"/>
      </w:pPr>
      <w:r>
        <w:t xml:space="preserve">Für </w:t>
      </w:r>
      <w:r>
        <w:rPr>
          <w:i/>
          <w:iCs/>
        </w:rPr>
        <w:t>Express Entry</w:t>
      </w:r>
      <w:r>
        <w:t xml:space="preserve"> und mehrere Provinzprogramme brauchst du bei einem ausländischen Abschluss oft eine ECA. Sie sagt der Einwanderungsbehörde, welchem kanadischen Bildungsniveau dein Diplom ungefähr entspricht. Sie sagt der Ärztekammer nichts.</w:t>
      </w:r>
    </w:p>
    <w:p w14:paraId="59D67423" w14:textId="77777777" w:rsidR="001F7233" w:rsidRDefault="00000000">
      <w:pPr>
        <w:spacing w:after="140"/>
      </w:pPr>
      <w:r>
        <w:t xml:space="preserve">Die Lizenz erteilt die Provinz, manchmal nach einem nationalen Vorverfahren. Gebühren, Prüfungen und Anerkennungsquoten </w:t>
      </w:r>
      <w:r>
        <w:lastRenderedPageBreak/>
        <w:t>stehen auf der Seite dieser Stelle. Sie ändern sich. Dieses Kapitel nennt die Stelle, nicht den aktuellen Betrag.</w:t>
      </w:r>
    </w:p>
    <w:p w14:paraId="13325BE0" w14:textId="77777777" w:rsidR="001F7233" w:rsidRDefault="00000000">
      <w:r>
        <w:rPr>
          <w:b/>
        </w:rPr>
        <w:t xml:space="preserve">ACHTUNG: </w:t>
      </w:r>
    </w:p>
    <w:p w14:paraId="0DFB6F34" w14:textId="77777777" w:rsidR="001F7233" w:rsidRDefault="00000000">
      <w:r>
        <w:t>• Ein Work Permit oder eine Permanent Residence ist keine Erlaubnis, einen geschützten Titel zu führen. Wer ohne Lizenz praktiziert, riskiert die Stelle und kann sich auch visarechtlich schaden.</w:t>
      </w:r>
    </w:p>
    <w:p w14:paraId="01E5D4AB" w14:textId="77777777" w:rsidR="001F7233" w:rsidRDefault="001F7233">
      <w:pPr>
        <w:spacing w:line="220" w:lineRule="exact"/>
      </w:pPr>
    </w:p>
    <w:p w14:paraId="691C4F21" w14:textId="77777777" w:rsidR="001F7233" w:rsidRDefault="00000000">
      <w:r>
        <w:rPr>
          <w:b/>
        </w:rPr>
        <w:t xml:space="preserve">MERKE: </w:t>
      </w:r>
    </w:p>
    <w:p w14:paraId="7E1488DE" w14:textId="77777777" w:rsidR="001F7233" w:rsidRDefault="00000000">
      <w:r>
        <w:t>• Frag zuerst: Ist mein Titel in dieser Provinz geschützt? Wenn ja, ist die Kammer der längere Weg, nicht IRCC.</w:t>
      </w:r>
    </w:p>
    <w:p w14:paraId="74D3A25C" w14:textId="77777777" w:rsidR="001F7233" w:rsidRDefault="001F7233">
      <w:pPr>
        <w:spacing w:line="220" w:lineRule="exact"/>
      </w:pPr>
    </w:p>
    <w:p w14:paraId="76088B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w14:paraId="40CB2D4A" w14:textId="77777777" w:rsidR="001F7233" w:rsidRDefault="00000000">
      <w:r>
        <w:rPr>
          <w:b/>
        </w:rPr>
        <w:t>Ärztin, Arzt</w:t>
      </w:r>
    </w:p>
    <w:p w14:paraId="4D95594E" w14:textId="77777777" w:rsidR="001F7233" w:rsidRDefault="00000000">
      <w:r>
        <w:rPr>
          <w:b/>
        </w:rPr>
        <w:t xml:space="preserve">Was das Visum sehen will: </w:t>
      </w:r>
      <w:r>
        <w:t>ECA, dazu Sprachtest und Berufserfahrung im Profil</w:t>
      </w:r>
    </w:p>
    <w:p w14:paraId="758FF4FA" w14:textId="77777777" w:rsidR="001F7233" w:rsidRDefault="00000000">
      <w:r>
        <w:rPr>
          <w:b/>
        </w:rPr>
        <w:t xml:space="preserve">Wer dich arbeiten lässt: </w:t>
      </w:r>
      <w:r>
        <w:t>Medical Council of Canada für die nationale Bewertung, die Lizenz bei der Ärztekammer der Provinz (College of Physicians and Surgeons)</w:t>
      </w:r>
    </w:p>
    <w:p w14:paraId="2EB60D63" w14:textId="77777777" w:rsidR="001F7233" w:rsidRDefault="00000000">
      <w:r>
        <w:rPr>
          <w:b/>
        </w:rPr>
        <w:t xml:space="preserve">Was oft schiefgeht: </w:t>
      </w:r>
      <w:r>
        <w:t>Die deutsche Approbation wird als Ausbildung gelesen, nicht als Lizenz</w:t>
      </w:r>
    </w:p>
    <w:p w14:paraId="192C5E77" w14:textId="77777777" w:rsidR="001F7233" w:rsidRDefault="00000000">
      <w:r>
        <w:rPr>
          <w:b/>
        </w:rPr>
        <w:t>Pflege</w:t>
      </w:r>
    </w:p>
    <w:p w14:paraId="5630CA5B" w14:textId="77777777" w:rsidR="001F7233" w:rsidRDefault="00000000">
      <w:r>
        <w:rPr>
          <w:b/>
        </w:rPr>
        <w:t xml:space="preserve">Was das Visum sehen will: </w:t>
      </w:r>
      <w:r>
        <w:t>ECA ersetzt die Kammer nicht</w:t>
      </w:r>
    </w:p>
    <w:p w14:paraId="28CFD7B5" w14:textId="77777777" w:rsidR="001F7233" w:rsidRDefault="00000000">
      <w:r>
        <w:rPr>
          <w:b/>
        </w:rPr>
        <w:t xml:space="preserve">Wer dich arbeiten lässt: </w:t>
      </w:r>
      <w:r>
        <w:t>Meist zuerst National Nursing Assessment Service, dann die Pflegekammer der Provinz, etwa das College of Nurses of Ontario</w:t>
      </w:r>
    </w:p>
    <w:p w14:paraId="4892FBA4" w14:textId="77777777" w:rsidR="001F7233" w:rsidRDefault="00000000">
      <w:r>
        <w:rPr>
          <w:b/>
        </w:rPr>
        <w:t xml:space="preserve">Was oft schiefgeht: </w:t>
      </w:r>
      <w:r>
        <w:t>NNAS ist nicht in jeder Provinz der einzige Weg. Die Kammerseite gilt</w:t>
      </w:r>
    </w:p>
    <w:p w14:paraId="49CCA7F5" w14:textId="77777777" w:rsidR="001F7233" w:rsidRDefault="00000000">
      <w:r>
        <w:rPr>
          <w:b/>
        </w:rPr>
        <w:t>Lehramt</w:t>
      </w:r>
    </w:p>
    <w:p w14:paraId="4B5432A0" w14:textId="77777777" w:rsidR="001F7233" w:rsidRDefault="00000000">
      <w:r>
        <w:rPr>
          <w:b/>
        </w:rPr>
        <w:t xml:space="preserve">Was das Visum sehen will: </w:t>
      </w:r>
      <w:r>
        <w:t>ECA für die Punkte, nicht fürs Klassenzimmer</w:t>
      </w:r>
    </w:p>
    <w:p w14:paraId="78270F0B" w14:textId="77777777" w:rsidR="001F7233" w:rsidRDefault="00000000">
      <w:r>
        <w:rPr>
          <w:b/>
        </w:rPr>
        <w:lastRenderedPageBreak/>
        <w:t>Wer dich arbeiten lässt: Die Lehrerzulassung der Provinz, etwa das Ontario College of Teachers oder die Teacher Regulation Branch in British Columbia.</w:t>
      </w:r>
    </w:p>
    <w:p w14:paraId="0D7920EB" w14:textId="77777777" w:rsidR="001F7233" w:rsidRDefault="00000000">
      <w:r>
        <w:rPr>
          <w:b/>
        </w:rPr>
        <w:t xml:space="preserve">Was oft schiefgeht: </w:t>
      </w:r>
      <w:r>
        <w:t>Es gibt keine kanadische Bundeslehrerlaubnis. Ein Umzug in die nächste Provinz kann neu starten</w:t>
      </w:r>
    </w:p>
    <w:p w14:paraId="7AF09E06" w14:textId="77777777" w:rsidR="001F7233" w:rsidRDefault="00000000">
      <w:r>
        <w:rPr>
          <w:b/>
        </w:rPr>
        <w:t>Ingenieurin, Ingenieur</w:t>
      </w:r>
    </w:p>
    <w:p w14:paraId="7BEB5765" w14:textId="77777777" w:rsidR="001F7233" w:rsidRDefault="00000000">
      <w:r>
        <w:rPr>
          <w:b/>
        </w:rPr>
        <w:t xml:space="preserve">Was das Visum sehen will: </w:t>
      </w:r>
      <w:r>
        <w:t>ECA. Viele Stellen in der Industrie stellen auch ohne Siegel ein</w:t>
      </w:r>
    </w:p>
    <w:p w14:paraId="0E84AA6A" w14:textId="77777777" w:rsidR="001F7233" w:rsidRDefault="00000000">
      <w:r>
        <w:rPr>
          <w:b/>
        </w:rPr>
        <w:t xml:space="preserve">Wer dich arbeiten lässt: </w:t>
      </w:r>
      <w:r>
        <w:t>P.Eng. bei der Provinzkammer, etwa PEO, EGBC oder APEGA. Engineers Canada erklärt das System, lizenziert nicht selbst</w:t>
      </w:r>
    </w:p>
    <w:p w14:paraId="128A6D91" w14:textId="77777777" w:rsidR="001F7233" w:rsidRDefault="00000000">
      <w:r>
        <w:rPr>
          <w:b/>
        </w:rPr>
        <w:t xml:space="preserve">Was oft schiefgeht: </w:t>
      </w:r>
      <w:r>
        <w:t>Wer Pläne für die Öffentlichkeit abzeichnet, braucht das Siegel. Wer im Team rechnet, oft nicht. Das steht im Stellenangebot, nicht im Diplom</w:t>
      </w:r>
    </w:p>
    <w:p w14:paraId="639A0AF9" w14:textId="77777777" w:rsidR="001F7233" w:rsidRDefault="00000000">
      <w:r>
        <w:rPr>
          <w:b/>
        </w:rPr>
        <w:t>Handwerk</w:t>
      </w:r>
    </w:p>
    <w:p w14:paraId="27A3CE3F" w14:textId="77777777" w:rsidR="001F7233" w:rsidRDefault="00000000">
      <w:r>
        <w:rPr>
          <w:b/>
        </w:rPr>
        <w:t xml:space="preserve">Was das Visum sehen will: </w:t>
      </w:r>
      <w:r>
        <w:t>Federal Skilled Trades ist ein Visumsweg, keine Lizenz</w:t>
      </w:r>
    </w:p>
    <w:p w14:paraId="522C0DEB" w14:textId="77777777" w:rsidR="001F7233" w:rsidRDefault="00000000">
      <w:r>
        <w:rPr>
          <w:b/>
        </w:rPr>
        <w:t xml:space="preserve">Wer dich arbeiten lässt: </w:t>
      </w:r>
      <w:r>
        <w:t>Provinzielle Lehrlings- und Gewerbebehörde. Der Red Seal gilt zwischen Provinzen, er wird dir nicht aus dem Gesellenbrief übersetzt</w:t>
      </w:r>
    </w:p>
    <w:p w14:paraId="7F1ED1B3" w14:textId="77777777" w:rsidR="001F7233" w:rsidRDefault="00000000">
      <w:r>
        <w:rPr>
          <w:b/>
        </w:rPr>
        <w:t xml:space="preserve">Was oft schiefgeht: </w:t>
      </w:r>
      <w:r>
        <w:t>Elektro, Sanitär und ähnliche Gewerke sind lizenzpflichtig. Nicht jedes Handwerk ist es</w:t>
      </w:r>
    </w:p>
    <w:p w14:paraId="5C5FBE5B" w14:textId="77777777" w:rsidR="001F7233" w:rsidRDefault="001F7233">
      <w:pPr>
        <w:spacing w:line="180" w:lineRule="exact"/>
      </w:pPr>
    </w:p>
    <w:p w14:paraId="60168C7D" w14:textId="77777777" w:rsidR="001F7233" w:rsidRDefault="00000000">
      <w:pPr>
        <w:spacing w:after="140"/>
      </w:pPr>
      <w:r>
        <w:t xml:space="preserve">Das </w:t>
      </w:r>
      <w:r>
        <w:rPr>
          <w:i/>
          <w:iCs/>
        </w:rPr>
        <w:t>Washington Accord</w:t>
      </w:r>
      <w:r>
        <w:t xml:space="preserve"> kann der Ingenieurkammer helfen, den akademischen Teil eines akkreditierten Studiums zu lesen. Ob dein konkreter Studiengang darunter fällt, prüfst du bei der Kammer und bei der deutschen Akkreditierung. Ein Accord ist kein P.Eng.</w:t>
      </w:r>
    </w:p>
    <w:p w14:paraId="5C1872AC" w14:textId="77777777" w:rsidR="001F7233" w:rsidRDefault="00000000">
      <w:pPr>
        <w:spacing w:after="140"/>
      </w:pPr>
      <w:r>
        <w:t>Québec lizenziert auf Französisch und oft nach eigenen Kammern. Wer nur Englisch mitbringt und in Montréal unter einem geschützten Titel arbeiten will, sollte das vor dem Umzug als echtes Hindernis lesen, nicht als Sprachkurs nebenbei.</w:t>
      </w:r>
    </w:p>
    <w:p w14:paraId="30F413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Schlechte Passung</w:t>
      </w:r>
    </w:p>
    <w:p w14:paraId="1E9B940C" w14:textId="77777777" w:rsidR="001F7233" w:rsidRDefault="00000000">
      <w:pPr>
        <w:spacing w:after="140"/>
      </w:pPr>
      <w:r>
        <w:t>Dieser Weg ist der falsche, wenn du in wenigen Monaten unter dem deutschen Titel arbeiten musst. Die Kammer arbeitet in Prüfungszyklen, nicht im Tempo eines Arbeitsvertrags. Er ist auch der falsche, wenn du die Provinz noch nicht kennst: Eine Zulassung in Ontario öffnet nicht automatisch Alberta.</w:t>
      </w:r>
    </w:p>
    <w:p w14:paraId="518B65B4" w14:textId="77777777" w:rsidR="001F7233" w:rsidRDefault="00000000">
      <w:pPr>
        <w:spacing w:after="140"/>
      </w:pPr>
      <w:r>
        <w:t>Er ist ein brauchbarer Weg, wenn du den Titel erst nach der Lizenz führen willst, in der Zwischenzeit eine nicht geschützte Tätigkeit suchen kannst und das Visum nicht an genau dieser Lizenz hängt. Viele Ingenieurstellen sind so. Die wenigsten Arztstellen sind so.</w:t>
      </w:r>
    </w:p>
    <w:p w14:paraId="6BC97FF5" w14:textId="77777777" w:rsidR="001F7233" w:rsidRDefault="001F7233">
      <w:pPr>
        <w:spacing w:line="220" w:lineRule="exact"/>
      </w:pPr>
    </w:p>
    <w:p w14:paraId="2C3EC4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Anerkennung deutscher Berufsabschlüsse</w:t>
      </w:r>
    </w:p>
    <w:p w14:paraId="7F045A80" w14:textId="77777777" w:rsidR="001F7233" w:rsidRDefault="00000000">
      <w:r>
        <w:rPr>
          <w:b/>
        </w:rPr>
        <w:t>Plus: Viele Industrie- und IT-Berufe starten ohne Lizenz</w:t>
      </w:r>
    </w:p>
    <w:p w14:paraId="6510ED10" w14:textId="77777777" w:rsidR="001F7233" w:rsidRDefault="00000000">
      <w:r>
        <w:rPr>
          <w:b/>
        </w:rPr>
        <w:t xml:space="preserve">Minus: </w:t>
      </w:r>
      <w:r>
        <w:t>Geschützte Titel starten fast nie so</w:t>
      </w:r>
    </w:p>
    <w:p w14:paraId="556375B9" w14:textId="77777777" w:rsidR="001F7233" w:rsidRDefault="00000000">
      <w:r>
        <w:rPr>
          <w:b/>
        </w:rPr>
        <w:t>Plus: Die ECA ist ein bekanntes, bestellbares Gutachten</w:t>
      </w:r>
    </w:p>
    <w:p w14:paraId="63A81E29" w14:textId="77777777" w:rsidR="001F7233" w:rsidRDefault="00000000">
      <w:r>
        <w:rPr>
          <w:b/>
        </w:rPr>
        <w:t xml:space="preserve">Minus: </w:t>
      </w:r>
      <w:r>
        <w:t>Sie wird mit der Lizenz verwechselt</w:t>
      </w:r>
    </w:p>
    <w:p w14:paraId="4399F093" w14:textId="77777777" w:rsidR="001F7233" w:rsidRDefault="00000000">
      <w:r>
        <w:rPr>
          <w:b/>
        </w:rPr>
        <w:t>Plus: Provinzen veröffentlichen den Weg auf ihren Kammerseiten</w:t>
      </w:r>
    </w:p>
    <w:p w14:paraId="03AEFD8A" w14:textId="77777777" w:rsidR="001F7233" w:rsidRDefault="00000000">
      <w:r>
        <w:rPr>
          <w:b/>
        </w:rPr>
        <w:t xml:space="preserve">Minus: </w:t>
      </w:r>
      <w:r>
        <w:t>Ein Provinzwechsel kann die Lizenz neu aufmachen</w:t>
      </w:r>
    </w:p>
    <w:p w14:paraId="6B414B35" w14:textId="77777777" w:rsidR="001F7233" w:rsidRDefault="00000000">
      <w:r>
        <w:rPr>
          <w:b/>
        </w:rPr>
        <w:t>Plus: Red Seal verbindet Gewerke zwischen Provinzen</w:t>
      </w:r>
    </w:p>
    <w:p w14:paraId="42EF134F" w14:textId="77777777" w:rsidR="001F7233" w:rsidRDefault="00000000">
      <w:r>
        <w:rPr>
          <w:b/>
        </w:rPr>
        <w:t xml:space="preserve">Minus: </w:t>
      </w:r>
      <w:r>
        <w:t>Ein deutscher Gesellenbrief ist nicht schon ein Red Seal</w:t>
      </w:r>
    </w:p>
    <w:p w14:paraId="68C49CA2" w14:textId="77777777" w:rsidR="001F7233" w:rsidRDefault="001F7233">
      <w:pPr>
        <w:spacing w:line="180" w:lineRule="exact"/>
      </w:pPr>
    </w:p>
    <w:p w14:paraId="59B9D2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8BA8ACA" w14:textId="77777777" w:rsidR="001F7233" w:rsidRDefault="00000000">
      <w:pPr>
        <w:spacing w:after="140"/>
      </w:pPr>
      <w:r>
        <w:t xml:space="preserve">Schreib den geschützten Titel auf, den du führen willst, und die Provinz. Öffne die Kammerseite, nicht ein Forum. Bestell die ECA parallel, wenn das Visum sie verlangt, und behandle sie als zweiten Vorgang. Frag den Arbeitgeber schriftlich, ob die Stelle ohne Lizenz </w:t>
      </w:r>
      <w:r>
        <w:lastRenderedPageBreak/>
        <w:t xml:space="preserve">legal ist. Erst dann kündigst du in Deutschland. Die Abmeldung und die Rente laufen über das Kapitel </w:t>
      </w:r>
      <w:hyperlink w:anchor="t0003">
        <w:r w:rsidR="001F7233">
          <w:rPr>
            <w:color w:val="0563C1"/>
            <w:u w:val="single"/>
          </w:rPr>
          <w:t>Deutschland vor dem Abflug</w:t>
        </w:r>
      </w:hyperlink>
      <w:r>
        <w:t>, nicht über die Kammer.</w:t>
      </w:r>
    </w:p>
    <w:p w14:paraId="376B4F16" w14:textId="77777777" w:rsidR="001F7233" w:rsidRDefault="00000000">
      <w:r>
        <w:t>• Provinz festgelegt, nicht nur „Kanada“</w:t>
      </w:r>
    </w:p>
    <w:p w14:paraId="2AC5C175" w14:textId="77777777" w:rsidR="001F7233" w:rsidRDefault="00000000">
      <w:r>
        <w:t>• Geklärt, ob der Titel dort geschützt ist</w:t>
      </w:r>
    </w:p>
    <w:p w14:paraId="7F9B5D66" w14:textId="77777777" w:rsidR="001F7233" w:rsidRDefault="00000000">
      <w:r>
        <w:t>• Kammer oder Regulator geöffnet: Ärztinnen Medical Council of Canada plus Provinzkammer, Pflege die Provinzkammer und falls nötig NNAS, Lehramt die Provinzbehörde, Ingenieurwesen die P.Eng.-Kammer, Handwerk die Gewerbebehörde der Provinz.</w:t>
      </w:r>
    </w:p>
    <w:p w14:paraId="065AFF3B" w14:textId="77777777" w:rsidR="001F7233" w:rsidRDefault="00000000">
      <w:r>
        <w:t>• ECA nur für das Visum eingeplant, nicht als Lizenz missverstanden</w:t>
      </w:r>
    </w:p>
    <w:p w14:paraId="6BFE2092" w14:textId="77777777" w:rsidR="001F7233" w:rsidRDefault="00000000">
      <w:r>
        <w:t>• Arbeitgeber schriftlich gefragt, ob die Stelle ohne Lizenz zulässig ist</w:t>
      </w:r>
    </w:p>
    <w:p w14:paraId="0F346C57" w14:textId="77777777" w:rsidR="001F7233" w:rsidRDefault="00000000">
      <w:r>
        <w:t>• Zeitplan der Kammer in den Kündigungstermin eingebaut</w:t>
      </w:r>
    </w:p>
    <w:p w14:paraId="692CFD46" w14:textId="77777777" w:rsidR="001F7233" w:rsidRDefault="00000000">
      <w:r>
        <w:t>• Québec: Sprachanforderung der Kammer gelesen, falls das Ziel dort liegt</w:t>
      </w:r>
    </w:p>
    <w:p w14:paraId="7DFD650E" w14:textId="77777777" w:rsidR="001F7233" w:rsidRDefault="00000000">
      <w:r>
        <w:t>• Gebühren und Prüfungen auf der Behördenzeile nachgesehen, nicht aus diesem Kapitel übernommen</w:t>
      </w:r>
    </w:p>
    <w:p w14:paraId="7D1AC93C" w14:textId="77777777" w:rsidR="001F7233" w:rsidRDefault="001F7233">
      <w:pPr>
        <w:spacing w:line="220" w:lineRule="exact"/>
      </w:pPr>
    </w:p>
    <w:p w14:paraId="07A70C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E951874" w14:textId="77777777" w:rsidR="001F7233" w:rsidRDefault="00000000">
      <w:pPr>
        <w:pStyle w:val="ListParagraph"/>
        <w:numPr>
          <w:ilvl w:val="0"/>
          <w:numId w:val="1"/>
        </w:numPr>
        <w:spacing w:after="60"/>
      </w:pPr>
      <w:r>
        <w:t xml:space="preserve">Medical Council of Canada: </w:t>
      </w:r>
      <w:hyperlink r:id="rId784">
        <w:r w:rsidR="001F7233">
          <w:rPr>
            <w:color w:val="0563C1"/>
            <w:u w:val="single"/>
          </w:rPr>
          <w:t>mcc.ca</w:t>
        </w:r>
      </w:hyperlink>
    </w:p>
    <w:p w14:paraId="28D7E5F8" w14:textId="77777777" w:rsidR="001F7233" w:rsidRDefault="00000000">
      <w:pPr>
        <w:pStyle w:val="ListParagraph"/>
        <w:numPr>
          <w:ilvl w:val="0"/>
          <w:numId w:val="1"/>
        </w:numPr>
        <w:spacing w:after="60"/>
      </w:pPr>
      <w:r>
        <w:t xml:space="preserve">National Nursing Assessment Service: </w:t>
      </w:r>
      <w:hyperlink r:id="rId785">
        <w:r w:rsidR="001F7233">
          <w:rPr>
            <w:color w:val="0563C1"/>
            <w:u w:val="single"/>
          </w:rPr>
          <w:t>nnas.ca</w:t>
        </w:r>
      </w:hyperlink>
    </w:p>
    <w:p w14:paraId="7D9E2E09" w14:textId="77777777" w:rsidR="001F7233" w:rsidRDefault="00000000">
      <w:pPr>
        <w:pStyle w:val="ListParagraph"/>
        <w:numPr>
          <w:ilvl w:val="0"/>
          <w:numId w:val="1"/>
        </w:numPr>
        <w:spacing w:after="60"/>
      </w:pPr>
      <w:r>
        <w:t xml:space="preserve">Engineers Canada, Überblick ohne eigene Lizenzvergabe: </w:t>
      </w:r>
      <w:hyperlink r:id="rId786">
        <w:r w:rsidR="001F7233">
          <w:rPr>
            <w:color w:val="0563C1"/>
            <w:u w:val="single"/>
          </w:rPr>
          <w:t>engineerscanada.ca</w:t>
        </w:r>
      </w:hyperlink>
    </w:p>
    <w:p w14:paraId="38591265" w14:textId="77777777" w:rsidR="001F7233" w:rsidRDefault="00000000">
      <w:pPr>
        <w:pStyle w:val="ListParagraph"/>
        <w:numPr>
          <w:ilvl w:val="0"/>
          <w:numId w:val="1"/>
        </w:numPr>
        <w:spacing w:after="60"/>
      </w:pPr>
      <w:r>
        <w:t xml:space="preserve">Red Seal Program: </w:t>
      </w:r>
      <w:hyperlink r:id="rId787">
        <w:r w:rsidR="001F7233">
          <w:rPr>
            <w:color w:val="0563C1"/>
            <w:u w:val="single"/>
          </w:rPr>
          <w:t>red-seal.ca</w:t>
        </w:r>
      </w:hyperlink>
    </w:p>
    <w:p w14:paraId="4C2381BC" w14:textId="77777777" w:rsidR="001F7233" w:rsidRDefault="00000000">
      <w:pPr>
        <w:pStyle w:val="ListParagraph"/>
        <w:numPr>
          <w:ilvl w:val="0"/>
          <w:numId w:val="1"/>
        </w:numPr>
        <w:spacing w:after="60"/>
      </w:pPr>
      <w:r>
        <w:t xml:space="preserve">IRCC, Educational Credential Assessment: </w:t>
      </w:r>
      <w:hyperlink r:id="rId788">
        <w:r w:rsidR="001F7233">
          <w:rPr>
            <w:color w:val="0563C1"/>
            <w:u w:val="single"/>
          </w:rPr>
          <w:t>canada.ca</w:t>
        </w:r>
      </w:hyperlink>
      <w:r>
        <w:t xml:space="preserve"> (Suche: educational credential assessment)</w:t>
      </w:r>
    </w:p>
    <w:p w14:paraId="0934E95C" w14:textId="77777777" w:rsidR="001F7233" w:rsidRDefault="001F7233">
      <w:pPr>
        <w:spacing w:line="120" w:lineRule="exact"/>
      </w:pPr>
    </w:p>
    <w:p w14:paraId="4DE91CA7" w14:textId="77777777" w:rsidR="001F7233" w:rsidRDefault="00000000">
      <w:pPr>
        <w:spacing w:after="140"/>
      </w:pPr>
      <w:r>
        <w:t>Die Provinzkammer hat keinen bundesweiten Alias. Such den Namen der Kammer deiner Provinz auf ihrer eigenen Domain, nicht über einen Vermittler.</w:t>
      </w:r>
    </w:p>
    <w:p w14:paraId="02FD0F49" w14:textId="77777777" w:rsidR="001F7233" w:rsidRDefault="00000000">
      <w:r>
        <w:t xml:space="preserve">• 30.09.2026. Prüfungsnamen, Gebühren und ob eine Provinz NNAS verlangt, ändern sich. Die Seite der Kammer schlägt dieses Kapitel. </w:t>
      </w:r>
      <w:r>
        <w:lastRenderedPageBreak/>
        <w:t>Das Visum selbst steht im Kapitel zum Arbeitsweg, die deutsche Ausgangslage in Deutschland vor dem Abflug.</w:t>
      </w:r>
    </w:p>
    <w:p w14:paraId="4140041D" w14:textId="77777777" w:rsidR="001F7233" w:rsidRDefault="00000000">
      <w:pPr>
        <w:spacing w:line="220" w:lineRule="exact"/>
      </w:pPr>
      <w:r>
        <w:br w:type="page"/>
      </w:r>
    </w:p>
    <w:p w14:paraId="4FEAA6E6" w14:textId="77777777" w:rsidR="001F7233" w:rsidRDefault="00000000">
      <w:pPr>
        <w:pStyle w:val="Heading2"/>
        <w:keepNext/>
        <w:spacing w:line="341" w:lineRule="auto"/>
        <w:jc w:val="center"/>
      </w:pPr>
      <w:bookmarkStart w:id="113" w:name="tka04"/>
      <w:r>
        <w:rPr>
          <w:rFonts w:ascii="Amazon Ember" w:eastAsia="Amazon Ember" w:hAnsi="Amazon Ember" w:cs="Amazon Ember"/>
          <w:color w:val="0000FF"/>
          <w:sz w:val="36"/>
          <w:szCs w:val="36"/>
        </w:rPr>
        <w:lastRenderedPageBreak/>
        <w:t>Kanada: Familie, Investoren und der Ruhestand</w:t>
      </w:r>
      <w:bookmarkEnd w:id="113"/>
    </w:p>
    <w:p w14:paraId="7811B8A4" w14:textId="77777777" w:rsidR="001F7233" w:rsidRDefault="00000000">
      <w:pPr>
        <w:spacing w:after="140"/>
      </w:pPr>
      <w:r>
        <w:t>Wer glaubt, ein erwachsenes Kind mit Wohnsitz in Toronto oder Calgary öffne automatisch die Tür für die eigenen Eltern, hat die kanadische Einwanderungsbürokratie noch nicht kennengelernt. Sie ist höflich, gründlich – und in Sachen Ruhestand bemerkenswert unbeeindruckt von familiären Bindungen. „Kommt doch einfach zu uns“, sagt sich leicht am Telefon nach Leipzig oder Hannover. Die kanadische Einwanderungsbehörde sieht das naturgemäß nüchterner. Wer ohne Job auswandern will, findet in Kanada nicht das großzügigste, sondern eines der restriktivsten Systeme der vier in diesem Buch behandelten Länder. Dieses Kapitel zeigt, was beim Familiennachzug tatsächlich zählt, warum das Start-up Visa derzeit keine Option ist und was für Ruheständler ohne Job realistisch bleibt.</w:t>
      </w:r>
    </w:p>
    <w:p w14:paraId="5AE56BC7" w14:textId="77777777" w:rsidR="001F7233" w:rsidRDefault="00000000">
      <w:r>
        <w:rPr>
          <w:b/>
        </w:rPr>
        <w:t xml:space="preserve">KURZ GESAGT: </w:t>
      </w:r>
    </w:p>
    <w:p w14:paraId="2E64A968" w14:textId="77777777" w:rsidR="001F7233" w:rsidRDefault="00000000">
      <w:r>
        <w:t>• Ehepartner- und Lebenspartner-Sponsoring verlangt kein Mindesteinkommen des Sponsors, dauert aber laut Kanzleiangaben 15 bis 24 Monate.</w:t>
      </w:r>
    </w:p>
    <w:p w14:paraId="66C3B4C6" w14:textId="77777777" w:rsidR="001F7233" w:rsidRDefault="00000000">
      <w:r>
        <w:t>• Das Start-up Visa ist seit dem 1. Januar 2026 für Neuanträge pausiert; nur wer bereits ein Commitment Certificate aus 2025 hält, kommt noch zum Zug.</w:t>
      </w:r>
    </w:p>
    <w:p w14:paraId="7CFB0065" w14:textId="77777777" w:rsidR="001F7233" w:rsidRDefault="00000000">
      <w:r>
        <w:t>• Das Eltern- und Großeltern-Programm (PGP) ist die zentrale Enttäuschung für Ruheständler: Seit 2026 nimmt IRCC keine neuen Interessensbekundungen mehr an.</w:t>
      </w:r>
    </w:p>
    <w:p w14:paraId="444B152F" w14:textId="77777777" w:rsidR="001F7233" w:rsidRDefault="00000000">
      <w:r>
        <w:t>• Das Super Visa – ein Mehrfacheinreise-Besuchervisum, kein Daueraufenthaltstitel. Ist 2026 der einzige praktisch verlässliche Weg für Eltern und Großeltern.</w:t>
      </w:r>
    </w:p>
    <w:p w14:paraId="0F787488" w14:textId="77777777" w:rsidR="001F7233" w:rsidRDefault="00000000">
      <w:r>
        <w:t>• Ohne ein bereits in Kanada lebendes Kind oder Enkelkind gibt es keinen eigenständigen Ruhestandsweg nach Kanada – anders als etwa in Neuseeland.</w:t>
      </w:r>
    </w:p>
    <w:p w14:paraId="1B1B51B0" w14:textId="77777777" w:rsidR="001F7233" w:rsidRDefault="00000000">
      <w:r>
        <w:lastRenderedPageBreak/>
        <w:t xml:space="preserve">• Diese Regeln ändern sich häufig und teils kurzfristig: Prüfe vor jeder Entscheidung die aktuellen Angaben auf </w:t>
      </w:r>
      <w:hyperlink r:id="rId789">
        <w:r w:rsidR="001F7233">
          <w:rPr>
            <w:color w:val="0563C1"/>
            <w:u w:val="single"/>
          </w:rPr>
          <w:t>canada.ca</w:t>
        </w:r>
      </w:hyperlink>
      <w:r>
        <w:t>.</w:t>
      </w:r>
    </w:p>
    <w:p w14:paraId="02197CF8" w14:textId="77777777" w:rsidR="001F7233" w:rsidRDefault="001F7233">
      <w:pPr>
        <w:spacing w:line="220" w:lineRule="exact"/>
      </w:pPr>
    </w:p>
    <w:p w14:paraId="26DBFA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Ehepartner, Lebenspartner und der Familiennachzug</w:t>
      </w:r>
    </w:p>
    <w:p w14:paraId="60179B21" w14:textId="77777777" w:rsidR="001F7233" w:rsidRDefault="00000000">
      <w:pPr>
        <w:spacing w:after="140"/>
      </w:pPr>
      <w:r>
        <w:t>Kanada kennt drei Wege des Spousal Sponsorship: Ehe, Common-law-Partnerschaft nach mindestens zwölf aufeinanderfolgenden Monaten Zusammenleben und Conjugal-Partnerschaft für Paare, die wegen erheblicher rechtlicher oder anderer Hindernisse weder als Ehe- noch als Common-law-Paar sponserbar sind. Eine Trauung macht die Partnerschaft nicht automatisch glaubhaft; IRCC prüft Beziehung und Unterlagen. Der Sponsor muss kanadischer Staatsbürger oder Permanent Resident sein. Wer als Permanent Resident im Ausland lebt, kann nicht sponsern. Ein kanadischer Bürger im Ausland muss belegen, dass er nach Bewilligung nach Kanada ziehen will. Der Sponsor verpflichtet sich meist für drei Jahre ab Erteilung des Permanent-Resident-Status, auch wenn die Beziehung endet. Für gewöhnliches Ehepartner-Sponsoring gibt es meist keinen allgemeinen Mindesteinkommenswert; besondere Konstellationen und Quebec können abweichen. In Quebec gelten zusätzliche Regeln.</w:t>
      </w:r>
    </w:p>
    <w:p w14:paraId="04A73B5A" w14:textId="77777777" w:rsidR="001F7233" w:rsidRDefault="00000000">
      <w:pPr>
        <w:spacing w:after="140"/>
      </w:pPr>
      <w:r>
        <w:t>Bearbeitungszeiten unterscheiden sich zwischen Inland- und Auslandanträgen und wechseln mit dem Arbeitsbestand. Verlass dich nicht auf eine pauschale Jahreszahl: IRCC veröffentlicht aktuelle Schätzungen im Online-Tool. Ein Besuchsstatus erlaubt keine Arbeit. Bei einem Inlandantrag kann unter den geltenden Voraussetzungen ein offenes Arbeitsvisum beantragt werden. Eine Scheinehe ist kein Abkürzungsweg und kann zur Ablehnung und zu weiteren Einreisesperren führen.</w:t>
      </w:r>
    </w:p>
    <w:p w14:paraId="1E9C9090" w14:textId="77777777" w:rsidR="001F7233" w:rsidRDefault="00000000">
      <w:pPr>
        <w:spacing w:after="140"/>
      </w:pPr>
      <w:r>
        <w:t xml:space="preserve">Ob die Bearbeitung als „Inland“- oder „Outland“-Antrag läuft, macht praktisch einen Unterschied. Hält sich der einwandernde Partner </w:t>
      </w:r>
      <w:r>
        <w:lastRenderedPageBreak/>
        <w:t>bereits rechtmäßig in Kanada auf, etwa mit einem Studien- oder Arbeitsvisum, läuft das Verfahren als Inland-Sponsoring, häufig mit der Möglichkeit eines offenen Arbeitsvisums für die Wartezeit. Wer aus Deutschland heraus beantragt (Outland), bleibt bis zur Entscheidung in aller Regel im Herkunftsland. Während der Wartezeit darf er nicht in Kanada arbeiten, auch wenn Besuchsreisen meist möglich sind.</w:t>
      </w:r>
    </w:p>
    <w:p w14:paraId="7762A5DF" w14:textId="77777777" w:rsidR="001F7233" w:rsidRDefault="00000000">
      <w:pPr>
        <w:spacing w:after="140"/>
      </w:pPr>
      <w:r>
        <w:t xml:space="preserve">Für Kinder unter 22 Jahren, die noch nicht verheiratet sind, läuft der Nachzug meist über denselben Antrag wie der eines einwandernden Elternteils, etwa im Rahmen von Express Entry (siehe das </w:t>
      </w:r>
      <w:hyperlink w:anchor="tka03">
        <w:r w:rsidR="001F7233">
          <w:rPr>
            <w:color w:val="0563C1"/>
            <w:u w:val="single"/>
          </w:rPr>
          <w:t>vorherige Kapitel in diesem Teil</w:t>
        </w:r>
      </w:hyperlink>
      <w:r>
        <w:t>). Wer älter als 22 ist, zählt nur dann noch als unterhaltsberechtigtes Kind, wenn eine dauerhafte körperliche oder geistige Beeinträchtigung finanzielle Unterstützung durch die Eltern nötig macht. Ein laufendes Studium allein reicht seit einer Regelverschärfung nicht mehr aus, um über diese Altersgrenze hinaus als abhängiges Kind zu gelten. Eigenständige Anträge für erwachsene, bereits selbstständig lebende Kinder sieht das kanadische Familienrecht dagegen kaum vor. Das ist ein Unterschied zu manchen anderen Ländern, in denen erwachsene Kinder unter bestimmten Bedingungen ebenfalls nachziehen können.</w:t>
      </w:r>
    </w:p>
    <w:p w14:paraId="1E8259BE" w14:textId="77777777" w:rsidR="001F7233" w:rsidRDefault="00000000">
      <w:r>
        <w:rPr>
          <w:b/>
        </w:rPr>
        <w:t xml:space="preserve">MERKE: </w:t>
      </w:r>
    </w:p>
    <w:p w14:paraId="09B9A013" w14:textId="77777777" w:rsidR="001F7233" w:rsidRDefault="001F7233">
      <w:pPr>
        <w:spacing w:line="220" w:lineRule="exact"/>
      </w:pPr>
    </w:p>
    <w:p w14:paraId="313EA8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 Visa: pausiert seit 2026</w:t>
      </w:r>
    </w:p>
    <w:p w14:paraId="4BCF7DC4" w14:textId="77777777" w:rsidR="001F7233" w:rsidRDefault="00000000">
      <w:pPr>
        <w:spacing w:after="140"/>
      </w:pPr>
      <w:r>
        <w:rPr>
          <w:i/>
          <w:iCs/>
        </w:rPr>
        <w:t xml:space="preserve">Für gründungswillige Fachkräfte war das Start-up Visa lange ein attraktiver Weg zur PR ohne klassisches Punktesystem. Gerade für Ingenieurinnen, Informatiker oder andere Fachkräfte, die neben einer Festanstellung eine eigene Geschäftsidee mitbringen. Ein qualifizierendes Geschäftskonzept, ein Unterstützungsbrief einer designierten Organisation (Venture-Capital-Fonds, Angel-Investor-Gruppe oder Business-Incubator), Sprachniveau CLB 5 und Siedlungsmittel von mindestens 15.263 CAD genügten. Dazu mussten Antragstellende mindestens 10 % der Stimmrechte halten, </w:t>
      </w:r>
      <w:r>
        <w:rPr>
          <w:i/>
          <w:iCs/>
        </w:rPr>
        <w:lastRenderedPageBreak/>
        <w:t>Antragstellende und designierte Organisation zusammen mehr als 50 %.</w:t>
      </w:r>
    </w:p>
    <w:p w14:paraId="721895D3" w14:textId="77777777" w:rsidR="001F7233" w:rsidRDefault="00000000">
      <w:pPr>
        <w:spacing w:after="140"/>
      </w:pPr>
      <w:r>
        <w:t>Seit dem 1. Januar 2026 ist das Programm für Neuanträge pausiert. Wer bereits 2025 ein Commitment Certificate einer designierten Organisation erhalten hat, muss den PR-Antrag bis zum 30. Juni 2026 einreichen. Danach verfällt auch dieser Übergangsweg. Nur noch 79 designierte Organisationen sind aktiv (Stand Sommer 2026), gedeckelt auf maximal zehn vollständige Gruppenanträge je Organisation und Kalenderjahr bis Ende 2026, vergeben nach dem Windhundprinzip.</w:t>
      </w:r>
    </w:p>
    <w:p w14:paraId="3438C6C0" w14:textId="77777777" w:rsidR="001F7233" w:rsidRDefault="00000000">
      <w:r>
        <w:rPr>
          <w:b/>
        </w:rPr>
        <w:t xml:space="preserve">ACHTUNG: </w:t>
      </w:r>
    </w:p>
    <w:p w14:paraId="012D7A69" w14:textId="77777777" w:rsidR="001F7233" w:rsidRDefault="00000000">
      <w:r>
        <w:t>• Plane derzeit nicht mit dem Start-up Visa als Einwanderungsweg. Ob und wann das Programm für neue Bewerbungen wieder öffnet, ist offen. Wer eine Gründungsidee mitbringt, sollte stattdessen die unternehmerischen Ströme einzelner Provinzen prüfen (etwa in Ontario, British Columbia oder Alberta). Diese haben eigene Kapital- und Geschäftsplananforderungen und sind von der Bundes-Pause nicht betroffen.</w:t>
      </w:r>
    </w:p>
    <w:p w14:paraId="48BDCCA2" w14:textId="77777777" w:rsidR="001F7233" w:rsidRDefault="001F7233">
      <w:pPr>
        <w:spacing w:line="220" w:lineRule="exact"/>
      </w:pPr>
    </w:p>
    <w:p w14:paraId="34604F6D" w14:textId="77777777" w:rsidR="001F7233" w:rsidRDefault="00000000">
      <w:pPr>
        <w:spacing w:after="140"/>
      </w:pPr>
      <w:r>
        <w:t>Diese provinzialen Unternehmerströme funktionieren nach einer anderen Logik als das Bundes-Start-up-Visa: Statt einer Organisation, die dein Geschäftskonzept unterstützt, verlangt die Provinz meist ein eigenes Kapital (persönliches Nettovermögen und Mindestinvestition, je nach Provinz unterschiedlich hoch), einen tragfähigen Geschäftsplan und häufig einen vorherigen Besuch zur Prüfung des Vorhabens vor Ort. Die Nominierung erfolgt oft erst, nachdem das Unternehmen eine gewisse Zeit erfolgreich läuft und Arbeitsplätze für Kanadierinnen und Kanadier geschaffen hat. Das ist ein längerer, aber von der Bundes-Pause unabhängiger Weg.</w:t>
      </w:r>
    </w:p>
    <w:p w14:paraId="6DD3CF1A" w14:textId="77777777" w:rsidR="001F7233" w:rsidRDefault="001F7233">
      <w:pPr>
        <w:spacing w:line="220" w:lineRule="exact"/>
      </w:pPr>
    </w:p>
    <w:p w14:paraId="71BD15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Ruhestand ohne Job: die ehrliche Lage</w:t>
      </w:r>
    </w:p>
    <w:p w14:paraId="7DF74F04" w14:textId="77777777" w:rsidR="001F7233" w:rsidRDefault="00000000">
      <w:pPr>
        <w:spacing w:after="140"/>
      </w:pPr>
      <w:r>
        <w:t>Für Deutsche, die nicht mehr arbeiten, sondern von gesetzlicher Rente, Ersparnissen oder Kapitalerträgen leben und dauerhaft nach Kanada ziehen wollen, ist die Botschaft unbequem, aber eindeutig: Ohne ein bereits in Kanada lebendes, volljähriges Kind oder Enkelkind gibt es keinen legalen Weg zum Daueraufenthalt. Kanadas Einwanderungssystem ist fast vollständig auf jüngere, arbeitsmarktrelevante Zuwanderer zugeschnitten. Express Entry, das Provincial Nominee Program und selbst das (derzeit pausierte) Start-up Visa verlangen Sprachtests, Berufserfahrung oder Geschäftskonzepte, die für reine Ruheständler ohne Erwerbsabsicht schlicht nicht gemacht sind.</w:t>
      </w:r>
    </w:p>
    <w:p w14:paraId="139F538D" w14:textId="77777777" w:rsidR="001F7233" w:rsidRDefault="00000000">
      <w:pPr>
        <w:spacing w:after="140"/>
      </w:pPr>
      <w:r>
        <w:t>Im Vergleich der vier in diesem Buch behandelten Zielländer liegt Kanada damit am restriktiven Ende. Australien verlangt zwar ebenfalls ein dort lebendes Kind, bietet aber wenigstens eine Warteliste zur Daueraufenthaltserlaubnis für Eltern, wenn auch nach Berichten des dortigen Einwanderungsministeriums teils jahrzehntelang. Neuseeland geht noch weiter und öffnet mit einem rein vermögensbasierten Besuchervisum sogar einen befristeten Weg ganz ohne Kind vor Ort (Details dazu im jeweiligen Länder-Teil dieses Buches). Kanada bietet nichts dergleichen: kein Vermögensweg, keine Warteliste mit Aussicht auf PR. Es bleibt nur die Bindung an ein bereits ansässiges Kind und selbst die derzeit nur in Form eines befristeten Besuchervisums.</w:t>
      </w:r>
    </w:p>
    <w:p w14:paraId="62550EE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Eltern- und Großeltern-Programm: pausiert</w:t>
      </w:r>
    </w:p>
    <w:p w14:paraId="7428B297" w14:textId="77777777" w:rsidR="001F7233" w:rsidRDefault="00000000">
      <w:pPr>
        <w:spacing w:after="140"/>
      </w:pPr>
      <w:r>
        <w:rPr>
          <w:i/>
          <w:iCs/>
        </w:rPr>
        <w:t xml:space="preserve">Der einzige familienbasierte Weg zur PR für Eltern und Großeltern, das Parent and Grandparent Program (PGP), war schon vor der aktuellen Pause kein schneller Weg. Sponsernde Kinder mussten ein Mindesteinkommen von Low Income Cut-Off (LICO) plus 30 % über </w:t>
      </w:r>
      <w:r>
        <w:rPr>
          <w:i/>
          <w:iCs/>
        </w:rPr>
        <w:lastRenderedPageBreak/>
        <w:t>drei aufeinanderfolgende Steuerjahre nachweisen, für eine vierköpfige Familie umgerechnet rund 58.500 CAD. Der Zugang lief über ein Lotterieverfahren: Wer 2020 ein „Interest to Sponsor“-Formular einreichte, wurde, wenn überhaupt, erst ab Juli 2025 eingeladen. In nur zwei Wochen verschickte IRCC damals 17.860 Einladungen an über fünf Jahre alte Interessensbekundungen.</w:t>
      </w:r>
    </w:p>
    <w:p w14:paraId="5858376D" w14:textId="77777777" w:rsidR="001F7233" w:rsidRDefault="00000000">
      <w:pPr>
        <w:spacing w:after="140"/>
      </w:pPr>
      <w:r>
        <w:t>Seit Juli 2026 nimmt IRCC keine neuen Interessensbekundungen oder Einladungen mehr für das PGP an. Bearbeitet werden nur noch die bereits 2025 eingeladenen Fälle. Einen Termin für eine Wiedereröffnung hat IRCC nicht genannt. Für Familien, die auf diesem Weg planen, heißt das: Selbst wer heute ein Formular einreichen wollte, kann es schlicht nicht.</w:t>
      </w:r>
    </w:p>
    <w:p w14:paraId="4B533214" w14:textId="77777777" w:rsidR="001F7233" w:rsidRDefault="00000000">
      <w:r>
        <w:rPr>
          <w:b/>
        </w:rPr>
        <w:t xml:space="preserve">ACHTUNG: </w:t>
      </w:r>
    </w:p>
    <w:p w14:paraId="51B50F2B" w14:textId="77777777" w:rsidR="001F7233" w:rsidRDefault="00000000">
      <w:r>
        <w:t>• Verlass dich nicht darauf, dass das PGP „bald wieder aufmacht“. Selbst in den Jahren, in denen es lief, lagen zwischen Interessensbekundung und tatsächlicher Einladung mehrere Jahre. Wer seine Eltern langfristig nach Kanada holen will, sollte das Super Visa als das planbarere Werkzeug behandeln, nicht als Notlösung bis zur PGP-Wiedereröffnung.</w:t>
      </w:r>
    </w:p>
    <w:p w14:paraId="2A13BFA9" w14:textId="77777777" w:rsidR="001F7233" w:rsidRDefault="001F7233">
      <w:pPr>
        <w:spacing w:line="220" w:lineRule="exact"/>
      </w:pPr>
    </w:p>
    <w:p w14:paraId="52AC847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Super Visa: der realistische Weg</w:t>
      </w:r>
    </w:p>
    <w:p w14:paraId="3F62D3C6" w14:textId="77777777" w:rsidR="001F7233" w:rsidRDefault="00000000">
      <w:pPr>
        <w:spacing w:after="140"/>
      </w:pPr>
      <w:r>
        <w:rPr>
          <w:i/>
          <w:iCs/>
        </w:rPr>
        <w:t>Das Super Visa ist kein Aufenthaltstitel, sondern ein Mehrfacheinreise-Langzeit-Besuchervisum für Eltern und Großeltern einer kanadischen Staatsbürgerin, eines kanadischen Staatsbürgers, einer Person mit PR-Status oder eines Status-Indianers. Es erlaubt Einreisen über bis zu zehn Jahre und einen einzelnen Aufenthalt von bis zu fünf Jahren am Stück. Das ist gegen den sonst üblichen sechs Monaten beim regulären Besuchervisum ein erheblicher Unterschied.</w:t>
      </w:r>
    </w:p>
    <w:p w14:paraId="4D632726" w14:textId="77777777" w:rsidR="001F7233" w:rsidRDefault="00000000">
      <w:pPr>
        <w:spacing w:after="140"/>
      </w:pPr>
      <w:r>
        <w:t>Das Super Visa gilt nur für Eltern und Großeltern selbst. Minderjährige Geschwister, Tanten, Onkel oder andere Angehörige lassen sich darüber nicht mitbringen. Für sie bleibt nur ein reguläres Besuchervisum mit der üblichen Sechs-Monats-Grenze.</w:t>
      </w:r>
    </w:p>
    <w:p w14:paraId="6FE1BCEF" w14:textId="77777777" w:rsidR="001F7233" w:rsidRDefault="00000000">
      <w:pPr>
        <w:spacing w:after="140"/>
      </w:pPr>
      <w:r>
        <w:lastRenderedPageBreak/>
        <w:t>Voraussetzung ist eine private Kranken-Notfallversicherung von mindestens 100.000 CAD Deckung, gültig für mindestens ein Jahr ab Einreise, die Behandlung, Krankenhausaufenthalt und Rückführung abdeckt. Seit dem 28. Januar 2025 dürfen dafür auch ausländische Versicherer genutzt werden, sofern sie bei der kanadischen Finanzaufsicht OSFI registriert sind und über ihr kanadisches Versicherungsgeschäft ausstellen. Auch muss die einladende Person in Kanada ein Mindesteinkommen nachweisen, gestaffelt nach Haushaltsgröße. Richtwerte reichen von etwa 30.526 CAD für eine Person bis 80.784 CAD für sieben Personen, zuzüglich 8.224 CAD je weiterer Person. Seit dem 31. März 2026 darf außerdem das Einkommen des besuchenden Elternteils oder Großelternteils angerechnet werden, um diese Schwelle zu erreichen. Das ist eine Erleichterung gerade für Familien, in denen die eigene deutsche Rente nicht ausreicht, das Kind in Kanada aber knapp unter der Schwelle liegt.</w:t>
      </w:r>
    </w:p>
    <w:p w14:paraId="421A1EC0" w14:textId="77777777" w:rsidR="001F7233" w:rsidRDefault="00000000">
      <w:pPr>
        <w:spacing w:after="140"/>
      </w:pPr>
      <w:r>
        <w:rPr>
          <w:i/>
          <w:iCs/>
        </w:rPr>
        <w:t>Die Antragstellung ähnelt der für ein reguläres Besuchervisum. Zusätzlich brauchst du Nachweise zur Familienbeziehung und zur Versicherung. Dazu kommen das Formular und die Biometrie (85 CAD). Eine ärztliche Untersuchung (Immigration Medical Exam, IME) bei einer von IRCC zugelassenen Ärztin oder einem zugelassenen Arzt ist für Super-Visa-Anträge ebenfalls vorgeschrieben. Das Super Visa ist ein Besuchervisum, kein Antrag auf Daueraufenthalt. Es ist eine zeitlich begrenzte Alternative für Familien, die ihre Eltern oder Großeltern regelmäßig in Kanada haben möchten.</w:t>
      </w:r>
    </w:p>
    <w:p w14:paraId="7F1A8463" w14:textId="77777777" w:rsidR="001F7233" w:rsidRDefault="001F7233">
      <w:pPr>
        <w:spacing w:line="220" w:lineRule="exact"/>
      </w:pPr>
    </w:p>
    <w:p w14:paraId="3755C599" w14:textId="77777777" w:rsidR="001F7233" w:rsidRDefault="00000000">
      <w:r>
        <w:rPr>
          <w:b/>
        </w:rPr>
        <w:t xml:space="preserve">SPARTIPP: </w:t>
      </w:r>
    </w:p>
    <w:p w14:paraId="708A4D54" w14:textId="77777777" w:rsidR="001F7233" w:rsidRDefault="00000000">
      <w:r>
        <w:t xml:space="preserve">• Vergleiche mehrere Anbieter für die Kranken-Notfallversicherung, bevor du dich festlegst. Seit ausländische, bei der OSFI registrierte Versicherer zugelassen sind, lohnt sich auch ein Blick auf internationale Krankenversicherer neben den klassischen kanadischen Anbietern. Die Prämien für Personen über 60 oder 70 Jahre unterscheiden sich zwischen Anbietern merklich. Prüfe zudem, ob eine Police für die volle mögliche Aufenthaltsdauer oder </w:t>
      </w:r>
      <w:r>
        <w:lastRenderedPageBreak/>
        <w:t>nur für ein Jahr mit Verlängerungsoption günstiger ist und kläre vorab, was bei einer vorzeitigen Rückreise nach Deutschland mit bereits gezahlten Beiträgen passiert.</w:t>
      </w:r>
    </w:p>
    <w:p w14:paraId="04C58C0D" w14:textId="77777777" w:rsidR="001F7233" w:rsidRDefault="001F7233">
      <w:pPr>
        <w:spacing w:line="220" w:lineRule="exact"/>
      </w:pPr>
    </w:p>
    <w:p w14:paraId="299A7E0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Kein eigenständiger Weg ohne kanadisches Kind</w:t>
      </w:r>
    </w:p>
    <w:p w14:paraId="26E0B771" w14:textId="77777777" w:rsidR="001F7233" w:rsidRDefault="00000000">
      <w:pPr>
        <w:spacing w:after="140"/>
      </w:pPr>
      <w:r>
        <w:t>Wer keine Kinder oder Enkelkinder mit kanadischem Status hat, findet in Kanada keine Alternative wie ein rein vermögensbasiertes Ruhestandsvisum. Bleibt die Bindung an ein bereits im Land lebendes Kind aus, bleibt nur der reguläre Besuchsstatus: maximal sechs Monate pro Einreise, ohne jede Perspektive auf Daueraufenthalt und ohne Zugang zum öffentlichen Gesundheitssystem.</w:t>
      </w:r>
    </w:p>
    <w:p w14:paraId="15EA440B" w14:textId="77777777" w:rsidR="001F7233" w:rsidRDefault="00000000">
      <w:r>
        <w:rPr>
          <w:b/>
        </w:rPr>
        <w:t xml:space="preserve">ACHTUNG: </w:t>
      </w:r>
    </w:p>
    <w:p w14:paraId="5741133D" w14:textId="77777777" w:rsidR="001F7233" w:rsidRDefault="00000000">
      <w:r>
        <w:t>• Wiederholte Aufenthalte von jeweils knapp sechs Monaten als Dauerbesucherin oder Dauerbesucher ohne echten Status sind keine Lösung. Grenzbeamtinnen und Grenzbeamte werten ein Muster aus immer wiederkehrenden Langzeitbesuchen als faktische Wohnsitznahme und können eine weitere Einreise verweigern, selbst mit gültiger eTA. Wer dauerhaft bei der Familie leben will, braucht einen echten Status. Ohne kanadisches Kind gibt es dafür in Kanada derzeit keinen Weg.</w:t>
      </w:r>
    </w:p>
    <w:p w14:paraId="768C02AB" w14:textId="77777777" w:rsidR="001F7233" w:rsidRDefault="001F7233">
      <w:pPr>
        <w:spacing w:line="220" w:lineRule="exact"/>
      </w:pPr>
    </w:p>
    <w:p w14:paraId="744F4F75" w14:textId="77777777" w:rsidR="001F7233" w:rsidRDefault="00000000">
      <w:pPr>
        <w:spacing w:after="140"/>
      </w:pPr>
      <w:r>
        <w:t xml:space="preserve">Wichtig für die Familienplanung ist außerdem, wer überhaupt sponsern darf: Nur wer selbst kanadische Staatsbürgerschaft, PR-Status oder den Status eines Status-Indianers hat, kann Ehepartner, Eltern oder Großeltern sponsern. Ein Kind, das gerade erst mit einem befristeten Arbeitsvisum eingereist ist oder noch auf die Entscheidung über sein eigenes Express-Entry-Profil wartet (siehe das </w:t>
      </w:r>
      <w:hyperlink w:anchor="tka03">
        <w:r w:rsidR="001F7233">
          <w:rPr>
            <w:color w:val="0563C1"/>
            <w:u w:val="single"/>
          </w:rPr>
          <w:t>vorherige Kapitel in diesem Teil</w:t>
        </w:r>
      </w:hyperlink>
      <w:r>
        <w:t xml:space="preserve">), kann diese Rolle noch nicht übernehmen. Wer als Elternteil oder Großelternteil auf einen Nachzug hofft, sollte deshalb realistisch einplanen, dass zwischen </w:t>
      </w:r>
      <w:r>
        <w:lastRenderedPageBreak/>
        <w:t>der Ankunft des Kindes in Kanada und dessen eigener Berechtigung als Sponsor häufig mehrere Jahre liegen. Das ist die Zeit, die das Kind für den eigenen PR-Antrag und gegebenenfalls die Einbürgerung braucht.</w:t>
      </w:r>
    </w:p>
    <w:p w14:paraId="21A826BA" w14:textId="77777777" w:rsidR="001F7233" w:rsidRDefault="00000000">
      <w:r>
        <w:rPr>
          <w:b/>
        </w:rPr>
        <w:t xml:space="preserve">MERKE: </w:t>
      </w:r>
    </w:p>
    <w:p w14:paraId="4AE284B6" w14:textId="77777777" w:rsidR="001F7233" w:rsidRDefault="00000000">
      <w:r>
        <w:t>• Kanada belohnt in der Einwanderungspolitik konsequent Arbeitsmarktbezug und familiäre Bindung vor Ort – nicht Vermögen allein. Wer ohne kanadisches Kind und ohne Erwerbsabsicht plant, sollte diesen Weg so früh wie möglich aus der Planung streichen, statt auf eine künftige Programmöffnung zu hoffen.</w:t>
      </w:r>
    </w:p>
    <w:p w14:paraId="6F0A1D78" w14:textId="77777777" w:rsidR="001F7233" w:rsidRDefault="001F7233">
      <w:pPr>
        <w:spacing w:line="220" w:lineRule="exact"/>
      </w:pPr>
    </w:p>
    <w:p w14:paraId="72197F4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Steuern für Ruheständler</w:t>
      </w:r>
    </w:p>
    <w:p w14:paraId="5733A16D" w14:textId="77777777" w:rsidR="001F7233" w:rsidRDefault="00000000">
      <w:pPr>
        <w:spacing w:after="140"/>
      </w:pPr>
      <w:r>
        <w:t xml:space="preserve">Die öffentlichen Provinz-Gesundheitspläne (etwa OHIP in Ontario) stehen Super-Visa-Inhaberinnen und -Inhabern nicht offen, daher die Pflicht zur privaten Notfallversicherung von mindestens 100.000 CAD. Konkrete Monatsprämien für Personen über 60 oder 70 Jahre ließen sich in der Recherche zu diesem Kapitel nicht mit belastbaren Zahlen belegen. Sie schwanken stark nach Alter, Vorerkrankungen und Versicherer. Hole vor der Antragstellung mehrere Angebote ein und rechne mit einem spürbaren Aufschlag gegenüber jüngeren Reisenden. Ausführlich behandelt das </w:t>
      </w:r>
      <w:hyperlink w:anchor="tka08">
        <w:r w:rsidR="001F7233">
          <w:rPr>
            <w:color w:val="0563C1"/>
            <w:u w:val="single"/>
          </w:rPr>
          <w:t>Gesundheitssystem-Kapitel in diesem Teil</w:t>
        </w:r>
      </w:hyperlink>
      <w:r>
        <w:t>, wie sich Kanadas Provinz-Gesundheitssysteme grundsätzlich von der deutschen gesetzlichen Krankenversicherung unterscheiden.</w:t>
      </w:r>
    </w:p>
    <w:p w14:paraId="72C4B114" w14:textId="77777777" w:rsidR="001F7233" w:rsidRDefault="00000000">
      <w:pPr>
        <w:spacing w:after="140"/>
      </w:pPr>
      <w:r>
        <w:rPr>
          <w:i/>
          <w:iCs/>
        </w:rPr>
        <w:t xml:space="preserve">Steuerlich gilt: Kanada und Deutschland haben seit dem 28. März 2002 ein Doppelbesteuerungsabkommen. Anders als im deutsch-amerikanischen Abkommen ist die Behandlung der gesetzlichen deutschen Rente hier zu deinen Ungunsten geregelt: Seit einer Gesetzesänderung zum 1. Januar 2005 bleibt die gesetzliche Rente weiterhin in Deutschland steuerpflichtig, bestätigt durch ein Urteil des </w:t>
      </w:r>
      <w:r>
        <w:rPr>
          <w:i/>
          <w:iCs/>
        </w:rPr>
        <w:lastRenderedPageBreak/>
        <w:t>Bundesfinanzhofs vom Mai 2018. Kanadische Steueransässige müssen die Rente zwar auch als Welteinkommen in der kanadischen Steuererklärung angeben, können die in Deutschland gezahlte Steuer aber als Anrechnung (Foreign Tax Credit) gegenrechnen. Eine echte Doppelbesteuerung entsteht dadurch meist nicht, wohl aber zusätzlicher Erklärungsaufwand in zwei Ländern. Die deutsche Seite dieser Rechnung, samt Rente, Riester/Rürup und Vorsorge, behandelt das Kapitel zu Steuern, Rente und Geld in diesem Buch im Detail.</w:t>
      </w:r>
    </w:p>
    <w:p w14:paraId="7ECA4E56" w14:textId="77777777" w:rsidR="001F7233" w:rsidRDefault="00000000">
      <w:r>
        <w:t>• Dieses Kapitel beschreibt Regeln und gängige Praxis, ersetzt aber keine Beratung durch eine zugelassene Einwanderungsfachperson (RCIC) oder eine Steuerberatung mit Erfahrung in deutsch-kanadischen Fällen. Gerade bei Familiennachzug, Super Visa und der Rentenbesteuerung lohnt sich eine individuelle Prüfung, bevor du Verträge kündigst oder Anträge einreichst.</w:t>
      </w:r>
    </w:p>
    <w:p w14:paraId="322C4609" w14:textId="77777777" w:rsidR="001F7233" w:rsidRDefault="001F7233">
      <w:pPr>
        <w:spacing w:line="220" w:lineRule="exact"/>
      </w:pPr>
    </w:p>
    <w:p w14:paraId="678786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Familie, Investoren und der Ruhestand</w:t>
      </w:r>
    </w:p>
    <w:p w14:paraId="553D2EE2" w14:textId="77777777" w:rsidR="001F7233" w:rsidRDefault="00000000">
      <w:r>
        <w:rPr>
          <w:b/>
        </w:rPr>
        <w:t>Plus: Ehepartner-Sponsoring verlangt kein Mindesteinkommen</w:t>
      </w:r>
    </w:p>
    <w:p w14:paraId="273C76C9" w14:textId="77777777" w:rsidR="001F7233" w:rsidRDefault="00000000">
      <w:r>
        <w:t>Minus: Bearbeitungszeit variiert; vor Antrag im IRCC-Tool prüfen</w:t>
      </w:r>
    </w:p>
    <w:p w14:paraId="55A5B8F6" w14:textId="77777777" w:rsidR="001F7233" w:rsidRDefault="00000000">
      <w:r>
        <w:rPr>
          <w:b/>
        </w:rPr>
        <w:t>Plus: Super Visa erlaubt bis zu fünf Jahre am Stück</w:t>
      </w:r>
    </w:p>
    <w:p w14:paraId="51B59B32" w14:textId="77777777" w:rsidR="001F7233" w:rsidRDefault="00000000">
      <w:r>
        <w:rPr>
          <w:b/>
        </w:rPr>
        <w:t xml:space="preserve">Minus: </w:t>
      </w:r>
      <w:r>
        <w:t>Super Visa ist kein Daueraufenthaltstitel</w:t>
      </w:r>
    </w:p>
    <w:p w14:paraId="3F0FA13C" w14:textId="77777777" w:rsidR="001F7233" w:rsidRDefault="00000000">
      <w:r>
        <w:rPr>
          <w:b/>
        </w:rPr>
        <w:t>Plus: Einkommensanrechnung der Eltern seit 2026 erleichtert die Schwelle</w:t>
      </w:r>
    </w:p>
    <w:p w14:paraId="55A94CFE" w14:textId="77777777" w:rsidR="001F7233" w:rsidRDefault="00000000">
      <w:r>
        <w:rPr>
          <w:b/>
        </w:rPr>
        <w:t xml:space="preserve">Minus: </w:t>
      </w:r>
      <w:r>
        <w:t>Pflichtversicherung von mindestens 100.000 CAD nötig</w:t>
      </w:r>
    </w:p>
    <w:p w14:paraId="5AFB9014" w14:textId="77777777" w:rsidR="001F7233" w:rsidRDefault="00000000">
      <w:r>
        <w:rPr>
          <w:b/>
        </w:rPr>
        <w:t>Plus: PNP-Unternehmerströme bleiben trotz Start-up-Visa-Pause offen</w:t>
      </w:r>
    </w:p>
    <w:p w14:paraId="7FD32701" w14:textId="77777777" w:rsidR="001F7233" w:rsidRDefault="00000000">
      <w:r>
        <w:rPr>
          <w:b/>
        </w:rPr>
        <w:t xml:space="preserve">Minus: </w:t>
      </w:r>
      <w:r>
        <w:t>Start-up Visa selbst faktisch geschlossen</w:t>
      </w:r>
    </w:p>
    <w:p w14:paraId="628C461A" w14:textId="77777777" w:rsidR="001F7233" w:rsidRDefault="00000000">
      <w:r>
        <w:rPr>
          <w:b/>
        </w:rPr>
        <w:t>Plus: Doppelbesteuerung wird durch das DBA vermieden</w:t>
      </w:r>
    </w:p>
    <w:p w14:paraId="3A6A2D49" w14:textId="77777777" w:rsidR="001F7233" w:rsidRDefault="00000000">
      <w:r>
        <w:rPr>
          <w:b/>
        </w:rPr>
        <w:t xml:space="preserve">Minus: </w:t>
      </w:r>
      <w:r>
        <w:t>Deutsche Rente bleibt trotzdem in Deutschland steuerpflichtig</w:t>
      </w:r>
    </w:p>
    <w:p w14:paraId="16581B32" w14:textId="77777777" w:rsidR="001F7233" w:rsidRDefault="00000000">
      <w:r>
        <w:rPr>
          <w:b/>
        </w:rPr>
        <w:t>Plus: –</w:t>
      </w:r>
    </w:p>
    <w:p w14:paraId="4D180031" w14:textId="77777777" w:rsidR="001F7233" w:rsidRDefault="00000000">
      <w:r>
        <w:rPr>
          <w:b/>
        </w:rPr>
        <w:lastRenderedPageBreak/>
        <w:t xml:space="preserve">Minus: </w:t>
      </w:r>
      <w:r>
        <w:t>Ohne kanadisches Kind kein Ruhestandsweg überhaupt</w:t>
      </w:r>
    </w:p>
    <w:p w14:paraId="2CCC2607" w14:textId="77777777" w:rsidR="001F7233" w:rsidRDefault="001F7233">
      <w:pPr>
        <w:spacing w:line="180" w:lineRule="exact"/>
      </w:pPr>
    </w:p>
    <w:p w14:paraId="2EDBA6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B877D96" w14:textId="77777777" w:rsidR="001F7233" w:rsidRDefault="00000000">
      <w:pPr>
        <w:spacing w:after="140"/>
      </w:pPr>
      <w:r>
        <w:t>Kläre zuerst, welcher Fall auf deine Familie zutrifft: Ehepartner-Sponsoring oder ein Super Visa für deine Eltern oder Großeltern. Ohne ein kanadisches Kind oder Enkelkind mit passendem Status gibt es für Ruheständler ohne Erwerbsabsicht keinen regulären Weg zum Daueraufenthalt. Prüfe bei einem Sponsoring-Vorhaben frühzeitig die Einkommensvoraussetzungen und plane den Antrag gemeinsam mit der betroffenen Person.</w:t>
      </w:r>
    </w:p>
    <w:p w14:paraId="57E9C460" w14:textId="77777777" w:rsidR="001F7233" w:rsidRDefault="00000000">
      <w:pPr>
        <w:spacing w:after="140"/>
      </w:pPr>
      <w:r>
        <w:t>Für ältere Eltern oder Großeltern lohnt sich ein früher Blick auf die Kranken-Notfallversicherung fürs Super Visa: Angebote einholen, Deckungssumme und -dauer genau mit den IRCC-Vorgaben abgleichen, und die ärztliche Untersuchung rechtzeitig terminieren. Wer eine Gründungsidee verfolgt, sollte provinzielle Unternehmerströme statt des pausierten Start-up Visa prüfen. Wer ohne jeden Kanada-Bezug an den Ruhestand dort denkt, sollte diesen Plan gegen realistischere Alternativen abwägen, etwa gegen die in den anderen Länder-Teilen dieses Buches beschriebenen Wege.</w:t>
      </w:r>
    </w:p>
    <w:p w14:paraId="3E1F6B65" w14:textId="77777777" w:rsidR="001F7233" w:rsidRDefault="00000000">
      <w:r>
        <w:t>• Klären, ob Ehepartner-Sponsoring, Super Visa oder kein familienbasierter Weg zutrifft</w:t>
      </w:r>
    </w:p>
    <w:p w14:paraId="5667D755" w14:textId="77777777" w:rsidR="001F7233" w:rsidRDefault="00000000">
      <w:r>
        <w:t>• Bei Ehepartner-Sponsoring: Einkommensnachweis des Sponsors und Beziehungsnachweise vorbereiten</w:t>
      </w:r>
    </w:p>
    <w:p w14:paraId="68BCC951" w14:textId="77777777" w:rsidR="001F7233" w:rsidRDefault="00000000">
      <w:r>
        <w:t>• Bei Super Visa: mehrere Angebote für die Kranken-Notfallversicherung (mind. 100.000 CAD) einholen</w:t>
      </w:r>
    </w:p>
    <w:p w14:paraId="2D8428C8" w14:textId="77777777" w:rsidR="001F7233" w:rsidRDefault="00000000">
      <w:r>
        <w:t>• Einkommensschwelle der einladenden Person berechnen, inklusive möglicher Anrechnung ab 2026</w:t>
      </w:r>
    </w:p>
    <w:p w14:paraId="421D39E7" w14:textId="77777777" w:rsidR="001F7233" w:rsidRDefault="00000000">
      <w:r>
        <w:lastRenderedPageBreak/>
        <w:t>• Bei Gründungsplänen: provinzielle Unternehmerströme statt Start-up Visa prüfen</w:t>
      </w:r>
    </w:p>
    <w:p w14:paraId="76432410" w14:textId="77777777" w:rsidR="001F7233" w:rsidRDefault="00000000">
      <w:r>
        <w:t>• Steuerliche Behandlung der deutschen Rente mit einer Steuerberatung klären</w:t>
      </w:r>
    </w:p>
    <w:p w14:paraId="08CB6F27" w14:textId="77777777" w:rsidR="001F7233" w:rsidRDefault="00000000">
      <w:r>
        <w:t xml:space="preserve">• Regelmäßig auf </w:t>
      </w:r>
      <w:hyperlink r:id="rId790">
        <w:r w:rsidR="001F7233">
          <w:rPr>
            <w:color w:val="0563C1"/>
            <w:u w:val="single"/>
          </w:rPr>
          <w:t>canada.ca</w:t>
        </w:r>
      </w:hyperlink>
      <w:r>
        <w:t xml:space="preserve"> prüfen, ob sich am PGP oder am Start-up Visa etwas ändert</w:t>
      </w:r>
    </w:p>
    <w:p w14:paraId="7F73F006" w14:textId="77777777" w:rsidR="001F7233" w:rsidRDefault="001F7233">
      <w:pPr>
        <w:spacing w:line="220" w:lineRule="exact"/>
      </w:pPr>
    </w:p>
    <w:p w14:paraId="1DCC13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9192436" w14:textId="77777777" w:rsidR="001F7233" w:rsidRDefault="00000000">
      <w:pPr>
        <w:pStyle w:val="ListParagraph"/>
        <w:numPr>
          <w:ilvl w:val="0"/>
          <w:numId w:val="1"/>
        </w:numPr>
        <w:spacing w:after="60"/>
      </w:pPr>
      <w:r>
        <w:t>IRCC — Gebührenübersicht (</w:t>
      </w:r>
      <w:hyperlink r:id="rId791">
        <w:r w:rsidR="001F7233">
          <w:rPr>
            <w:color w:val="0563C1"/>
            <w:u w:val="single"/>
          </w:rPr>
          <w:t>ircc.canada.ca/english/information/fees/fees.asp</w:t>
        </w:r>
      </w:hyperlink>
      <w:r>
        <w:t>)</w:t>
      </w:r>
    </w:p>
    <w:p w14:paraId="148EEB9C" w14:textId="77777777" w:rsidR="001F7233" w:rsidRDefault="00000000">
      <w:pPr>
        <w:pStyle w:val="ListParagraph"/>
        <w:numPr>
          <w:ilvl w:val="0"/>
          <w:numId w:val="1"/>
        </w:numPr>
        <w:spacing w:after="60"/>
      </w:pPr>
      <w:r>
        <w:t>IRCC — Ehepartner- und Lebenspartner-Sponsoring (</w:t>
      </w:r>
      <w:hyperlink r:id="rId792">
        <w:r w:rsidR="001F7233">
          <w:rPr>
            <w:color w:val="0563C1"/>
            <w:u w:val="single"/>
          </w:rPr>
          <w:t>Sponsoring von Partnern und Kindern</w:t>
        </w:r>
      </w:hyperlink>
      <w:r>
        <w:t>)</w:t>
      </w:r>
    </w:p>
    <w:p w14:paraId="49F177CB" w14:textId="77777777" w:rsidR="001F7233" w:rsidRDefault="00000000">
      <w:pPr>
        <w:pStyle w:val="ListParagraph"/>
        <w:numPr>
          <w:ilvl w:val="0"/>
          <w:numId w:val="1"/>
        </w:numPr>
        <w:spacing w:after="60"/>
      </w:pPr>
      <w:r>
        <w:t>IRCC — Eltern- und Großeltern-Programm, Einkommensvoraussetzungen (</w:t>
      </w:r>
      <w:hyperlink r:id="rId793">
        <w:r w:rsidR="001F7233">
          <w:rPr>
            <w:color w:val="0563C1"/>
            <w:u w:val="single"/>
          </w:rPr>
          <w:t>Einkommensanforderungen</w:t>
        </w:r>
      </w:hyperlink>
      <w:r>
        <w:t>)</w:t>
      </w:r>
    </w:p>
    <w:p w14:paraId="4F8D8275" w14:textId="77777777" w:rsidR="001F7233" w:rsidRDefault="00000000">
      <w:pPr>
        <w:pStyle w:val="ListParagraph"/>
        <w:numPr>
          <w:ilvl w:val="0"/>
          <w:numId w:val="1"/>
        </w:numPr>
        <w:spacing w:after="60"/>
      </w:pPr>
      <w:r>
        <w:t>IRCC — Super Visa: Informationen und Anforderungen (</w:t>
      </w:r>
      <w:hyperlink r:id="rId794">
        <w:r w:rsidR="001F7233">
          <w:rPr>
            <w:color w:val="0563C1"/>
            <w:u w:val="single"/>
          </w:rPr>
          <w:t>Super Visa: Voraussetzungen</w:t>
        </w:r>
      </w:hyperlink>
      <w:r>
        <w:t>)</w:t>
      </w:r>
    </w:p>
    <w:p w14:paraId="02D2A8EF" w14:textId="77777777" w:rsidR="001F7233" w:rsidRDefault="00000000">
      <w:pPr>
        <w:pStyle w:val="ListParagraph"/>
        <w:numPr>
          <w:ilvl w:val="0"/>
          <w:numId w:val="1"/>
        </w:numPr>
        <w:spacing w:after="60"/>
      </w:pPr>
      <w:r>
        <w:t>IRCC — Start-up Visa: Zulässigkeit und designierte Organisationen (</w:t>
      </w:r>
      <w:hyperlink r:id="rId795">
        <w:r w:rsidR="001F7233">
          <w:rPr>
            <w:color w:val="0563C1"/>
            <w:u w:val="single"/>
          </w:rPr>
          <w:t>Start-up Visa: Status und Antrag</w:t>
        </w:r>
      </w:hyperlink>
      <w:r>
        <w:t>)</w:t>
      </w:r>
    </w:p>
    <w:p w14:paraId="66A797E9" w14:textId="77777777" w:rsidR="001F7233" w:rsidRDefault="00000000">
      <w:pPr>
        <w:pStyle w:val="ListParagraph"/>
        <w:numPr>
          <w:ilvl w:val="0"/>
          <w:numId w:val="1"/>
        </w:numPr>
        <w:spacing w:after="60"/>
      </w:pPr>
      <w:r>
        <w:t>Canada Revenue Agency / BZSt — Doppelbesteuerungsabkommen Kanada–Deutschland (</w:t>
      </w:r>
      <w:hyperlink r:id="rId796">
        <w:r w:rsidR="001F7233">
          <w:rPr>
            <w:color w:val="0563C1"/>
            <w:u w:val="single"/>
          </w:rPr>
          <w:t>canada.ca</w:t>
        </w:r>
      </w:hyperlink>
      <w:r>
        <w:t xml:space="preserve"> Competent Authority Notices; </w:t>
      </w:r>
      <w:hyperlink r:id="rId797">
        <w:r w:rsidR="001F7233">
          <w:rPr>
            <w:color w:val="0563C1"/>
            <w:u w:val="single"/>
          </w:rPr>
          <w:t>bzst.de</w:t>
        </w:r>
      </w:hyperlink>
      <w:r>
        <w:t>)</w:t>
      </w:r>
    </w:p>
    <w:p w14:paraId="467BC39A" w14:textId="77777777" w:rsidR="001F7233" w:rsidRDefault="001F7233">
      <w:pPr>
        <w:spacing w:line="120" w:lineRule="exact"/>
      </w:pPr>
    </w:p>
    <w:p w14:paraId="150BC264" w14:textId="77777777" w:rsidR="001F7233" w:rsidRDefault="00000000">
      <w:r>
        <w:t xml:space="preserve">• 23.09.2026. Diese Angaben ändern sich besonders schnell: ob und wann das Eltern- und Großeltern-Programm oder das Start-up Visa wieder für Neuanträge öffnen, die Einkommensschwellen für Sponsoring und Super Visa sowie die Bearbeitungszeiten beim Familiennachzug. Prüfe vor jeder Entscheidung die aktuellen Angaben auf </w:t>
      </w:r>
      <w:hyperlink r:id="rId798">
        <w:r w:rsidR="001F7233">
          <w:rPr>
            <w:color w:val="0563C1"/>
            <w:u w:val="single"/>
          </w:rPr>
          <w:t>canada.ca</w:t>
        </w:r>
      </w:hyperlink>
      <w:r>
        <w:t>.</w:t>
      </w:r>
    </w:p>
    <w:p w14:paraId="7F2D28D4" w14:textId="77777777" w:rsidR="001F7233" w:rsidRDefault="00000000">
      <w:pPr>
        <w:spacing w:line="220" w:lineRule="exact"/>
      </w:pPr>
      <w:r>
        <w:br w:type="page"/>
      </w:r>
    </w:p>
    <w:p w14:paraId="02843731" w14:textId="77777777" w:rsidR="001F7233" w:rsidRDefault="00000000">
      <w:pPr>
        <w:pStyle w:val="Heading2"/>
        <w:keepNext/>
        <w:spacing w:line="341" w:lineRule="auto"/>
        <w:jc w:val="center"/>
      </w:pPr>
      <w:bookmarkStart w:id="114" w:name="tka05"/>
      <w:r>
        <w:rPr>
          <w:rFonts w:ascii="Amazon Ember" w:eastAsia="Amazon Ember" w:hAnsi="Amazon Ember" w:cs="Amazon Ember"/>
          <w:color w:val="0000FF"/>
          <w:sz w:val="36"/>
          <w:szCs w:val="36"/>
        </w:rPr>
        <w:lastRenderedPageBreak/>
        <w:t>Kanada: Antrag, Konsulat und Kosten</w:t>
      </w:r>
      <w:bookmarkEnd w:id="114"/>
    </w:p>
    <w:p w14:paraId="2546151D" w14:textId="77777777" w:rsidR="001F7233" w:rsidRDefault="00000000">
      <w:r>
        <w:rPr>
          <w:b/>
        </w:rPr>
        <w:t xml:space="preserve">KURZ GESAGT: </w:t>
      </w:r>
    </w:p>
    <w:p w14:paraId="0CA4C9DD" w14:textId="77777777" w:rsidR="001F7233" w:rsidRDefault="00000000">
      <w:r>
        <w:t>• Fast der gesamte Antrag läuft online über dein persönliches Konto bei Immigration, Refugees and Citizenship Canada (IRCC), der kanadischen Einwanderungsbehörde. Einen Termin bei einer kanadischen Auslandsvertretung gibt es für die meisten Antragsarten nicht.</w:t>
      </w:r>
    </w:p>
    <w:p w14:paraId="28E0E2FA" w14:textId="77777777" w:rsidR="001F7233" w:rsidRDefault="00000000">
      <w:r>
        <w:t>• Die Kosten hängen vom Weg ab. Arbeitsvisum, Studienvisum, PR-Antrag, RPRF, Biometrie und Einbürgerung stehen auf der IRCC-Gebührenseite. Dieses Kapitel druckt sie nicht. Eine Gebühr, die getrennt erscheint, ist die Right of Permanent Residence Fee. Prüfe die Seite, bevor du zahlst.</w:t>
      </w:r>
    </w:p>
    <w:p w14:paraId="5670536E" w14:textId="77777777" w:rsidR="001F7233" w:rsidRDefault="00000000">
      <w:r>
        <w:t>• Gesundheitsuntersuchung und polizeiliches Führungszeugnis sind eigene Pflichtschritte mit eigenen Fristen, keine Fußnoten im Antrag.</w:t>
      </w:r>
    </w:p>
    <w:p w14:paraId="2E3D8F29" w14:textId="77777777" w:rsidR="001F7233" w:rsidRDefault="00000000">
      <w:r>
        <w:t>• Biometrische Daten gibst du nicht bei einer Botschaft ab, sondern bei VFS Global, einem privaten Dienstleister mit Standort in Berlin.</w:t>
      </w:r>
    </w:p>
    <w:p w14:paraId="0AA9D677" w14:textId="77777777" w:rsidR="001F7233" w:rsidRDefault="00000000">
      <w:r>
        <w:t>• Bearbeitungszeiten schwanken zwischen wenigen Wochen und über einem halben Jahr, je nach Programm und Auslastung.</w:t>
      </w:r>
    </w:p>
    <w:p w14:paraId="30953A0B" w14:textId="77777777" w:rsidR="001F7233" w:rsidRDefault="00000000">
      <w:r>
        <w:t>• Die deutschen Auslandsvertretungen in Kanada helfen bei deutschen Dokumenten. Beim kanadischen Antrag selbst helfen sie nicht, das entscheidet nur IRCC.</w:t>
      </w:r>
    </w:p>
    <w:p w14:paraId="67E09548" w14:textId="77777777" w:rsidR="001F7233" w:rsidRDefault="001F7233">
      <w:pPr>
        <w:spacing w:line="220" w:lineRule="exact"/>
      </w:pPr>
    </w:p>
    <w:p w14:paraId="2DCBCA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Kein Botschaftstermin, aber ein Aktenberg: das IRCC-System</w:t>
      </w:r>
    </w:p>
    <w:p w14:paraId="7E2312DD" w14:textId="77777777" w:rsidR="001F7233" w:rsidRDefault="00000000">
      <w:pPr>
        <w:spacing w:after="140"/>
      </w:pPr>
      <w:r>
        <w:rPr>
          <w:i/>
          <w:iCs/>
        </w:rPr>
        <w:t xml:space="preserve">Wer aus Deutschland kommt, verbindet einen Visumantrag automatisch mit einem Termin: Botschaft, Wartenummer, ein Beamter hinter Panzerglas. Für die meisten kanadischen Antragsarten fällt das komplett weg. Ob Arbeitsvisum, Studienvisum oder der Antrag auf permanenten Aufenthalt (die kanadische Permanent Residence, kurz PR, funktional vergleichbar mit der amerikanischen Green Card): alles </w:t>
      </w:r>
      <w:r>
        <w:rPr>
          <w:i/>
          <w:iCs/>
        </w:rPr>
        <w:lastRenderedPageBreak/>
        <w:t>läuft über dein persönliches IRCC-Konto. Dort lädst du Dokumente hoch, bezahlst Gebühren per Kreditkarte und verfolgst den Status. Jede Nachricht der Behörde erhältst du nicht per Brief, nicht per Anruf, nur im Konto.</w:t>
      </w:r>
    </w:p>
    <w:p w14:paraId="2297AE1C" w14:textId="77777777" w:rsidR="001F7233" w:rsidRDefault="00000000">
      <w:pPr>
        <w:spacing w:after="140"/>
      </w:pPr>
      <w:r>
        <w:t xml:space="preserve">Grundsätzlich unterscheidet Kanada bei befristeten Arbeitsvisa zwei Schienen. Braucht dein Arbeitgeber vorab eine behördliche Bestätigung, dass keine Kanadierin oder kein </w:t>
      </w:r>
      <w:r>
        <w:rPr>
          <w:i/>
          <w:iCs/>
        </w:rPr>
        <w:t>Permanent Resident</w:t>
      </w:r>
      <w:r>
        <w:t xml:space="preserve"> für die Stelle verfügbar ist, die </w:t>
      </w:r>
      <w:r>
        <w:rPr>
          <w:i/>
          <w:iCs/>
        </w:rPr>
        <w:t>Labour Market Impact Assessment</w:t>
      </w:r>
      <w:r>
        <w:t xml:space="preserve">, LMIA, läufst du über das </w:t>
      </w:r>
      <w:r>
        <w:rPr>
          <w:i/>
          <w:iCs/>
        </w:rPr>
        <w:t>Temporary Foreign Worker Program</w:t>
      </w:r>
      <w:r>
        <w:t xml:space="preserve"> (TFWP, das LMIA-pflichtige Programm für befristete Arbeitskräfte). Zählt deine Stelle zu einer der über 50 Ausnahmekategorien – etwa konzerninterne Transfers oder bestimmte Handelsabkommen –, läuft sie stattdessen LMIA-frei über das </w:t>
      </w:r>
      <w:r>
        <w:rPr>
          <w:i/>
          <w:iCs/>
        </w:rPr>
        <w:t>International Mobility Program</w:t>
      </w:r>
      <w:r>
        <w:t xml:space="preserve"> (IMP). Welcher Weg für dich passt und wie </w:t>
      </w:r>
      <w:r>
        <w:rPr>
          <w:i/>
          <w:iCs/>
        </w:rPr>
        <w:t>Express Entry</w:t>
      </w:r>
      <w:r>
        <w:t xml:space="preserve">, das Bundesprogramm für die permanente Aufenthaltserlaubnis über ein Punktesystem, im Detail funktioniert, erklärt das </w:t>
      </w:r>
      <w:hyperlink w:anchor="tka03">
        <w:r w:rsidR="001F7233">
          <w:rPr>
            <w:color w:val="0563C1"/>
            <w:u w:val="single"/>
          </w:rPr>
          <w:t>Kapitel zum Arbeitsweg in diesem Teil</w:t>
        </w:r>
      </w:hyperlink>
      <w:r>
        <w:t xml:space="preserve"> ausführlich. Hier geht es um das, was nach der Entscheidung für einen Weg kommt: das nüchterne Kleingedruckte aus Formularen, Gebühren und Fristen.</w:t>
      </w:r>
    </w:p>
    <w:p w14:paraId="2FFF2B89" w14:textId="77777777" w:rsidR="001F7233" w:rsidRDefault="00000000">
      <w:r>
        <w:rPr>
          <w:b/>
        </w:rPr>
        <w:t xml:space="preserve">MERKE: </w:t>
      </w:r>
    </w:p>
    <w:p w14:paraId="6B35E58F" w14:textId="77777777" w:rsidR="001F7233" w:rsidRDefault="00000000">
      <w:r>
        <w:t>• Ein genehmigtes Visum ist noch keine Einreise. Bei den meisten Wegen bekommst du zunächst nur die Zusage. Arbeitsvisum oder der Status als Permanent Resident werden formal erst an der Grenze oder bei der Landung wirksam, dazu mehr im Kapitel zur Ankunft in diesem Teil.</w:t>
      </w:r>
    </w:p>
    <w:p w14:paraId="0DB48109" w14:textId="77777777" w:rsidR="001F7233" w:rsidRDefault="001F7233">
      <w:pPr>
        <w:spacing w:line="220" w:lineRule="exact"/>
      </w:pPr>
    </w:p>
    <w:p w14:paraId="60C6E0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48AEE552" w14:textId="77777777" w:rsidR="001F7233" w:rsidRDefault="00000000">
      <w:pPr>
        <w:spacing w:after="140"/>
      </w:pPr>
      <w:r>
        <w:t>Die Gebühren unterscheiden sich drastisch je nach Antragsart und wie so oft im Leben ist die erste Zahl, die man findet, selten die letzte.</w:t>
      </w:r>
    </w:p>
    <w:p w14:paraId="78A047BD" w14:textId="77777777" w:rsidR="001F7233" w:rsidRDefault="00000000">
      <w:r>
        <w:rPr>
          <w:b/>
        </w:rPr>
        <w:t>Arbeitsvisum (Work Permit), auch offenes Visum</w:t>
      </w:r>
    </w:p>
    <w:p w14:paraId="37ED0C68" w14:textId="77777777" w:rsidR="001F7233" w:rsidRDefault="00000000">
      <w:r>
        <w:rPr>
          <w:b/>
        </w:rPr>
        <w:lastRenderedPageBreak/>
        <w:t xml:space="preserve">Wo der Betrag steht: </w:t>
      </w:r>
      <w:r>
        <w:t>IRCC-Gebührenseite</w:t>
      </w:r>
    </w:p>
    <w:p w14:paraId="1C01B73E" w14:textId="77777777" w:rsidR="001F7233" w:rsidRDefault="00000000">
      <w:r>
        <w:rPr>
          <w:b/>
        </w:rPr>
        <w:t>Studienvisum</w:t>
      </w:r>
    </w:p>
    <w:p w14:paraId="08DF879D" w14:textId="77777777" w:rsidR="001F7233" w:rsidRDefault="00000000">
      <w:r>
        <w:rPr>
          <w:b/>
        </w:rPr>
        <w:t xml:space="preserve">Wo der Betrag steht: </w:t>
      </w:r>
      <w:r>
        <w:t>IRCC-Gebührenseite</w:t>
      </w:r>
    </w:p>
    <w:p w14:paraId="02624D75" w14:textId="77777777" w:rsidR="001F7233" w:rsidRDefault="00000000">
      <w:r>
        <w:rPr>
          <w:b/>
        </w:rPr>
        <w:t>PR Wirtschaftskategorie</w:t>
      </w:r>
    </w:p>
    <w:p w14:paraId="1042368E" w14:textId="77777777" w:rsidR="001F7233" w:rsidRDefault="00000000">
      <w:r>
        <w:rPr>
          <w:b/>
        </w:rPr>
        <w:t xml:space="preserve">Wo der Betrag steht: </w:t>
      </w:r>
      <w:r>
        <w:t>IRCC-Gebührenseite</w:t>
      </w:r>
    </w:p>
    <w:p w14:paraId="5733B024" w14:textId="77777777" w:rsidR="001F7233" w:rsidRDefault="00000000">
      <w:r>
        <w:rPr>
          <w:b/>
        </w:rPr>
        <w:t>Right of Permanent Residence Fee</w:t>
      </w:r>
    </w:p>
    <w:p w14:paraId="74F93BA7" w14:textId="77777777" w:rsidR="001F7233" w:rsidRDefault="00000000">
      <w:r>
        <w:rPr>
          <w:b/>
        </w:rPr>
        <w:t xml:space="preserve">Wo der Betrag steht: </w:t>
      </w:r>
      <w:r>
        <w:t>IRCC-Gebührenseite, oft getrennt von der Antragsgebühr</w:t>
      </w:r>
    </w:p>
    <w:p w14:paraId="1872690F" w14:textId="77777777" w:rsidR="001F7233" w:rsidRDefault="00000000">
      <w:r>
        <w:rPr>
          <w:b/>
        </w:rPr>
        <w:t>Familiennachzug</w:t>
      </w:r>
    </w:p>
    <w:p w14:paraId="783533CC" w14:textId="77777777" w:rsidR="001F7233" w:rsidRDefault="00000000">
      <w:r>
        <w:rPr>
          <w:b/>
        </w:rPr>
        <w:t xml:space="preserve">Wo der Betrag steht: </w:t>
      </w:r>
      <w:r>
        <w:t>IRCC-Gebührenseite</w:t>
      </w:r>
    </w:p>
    <w:p w14:paraId="2C1100A9" w14:textId="77777777" w:rsidR="001F7233" w:rsidRDefault="00000000">
      <w:r>
        <w:rPr>
          <w:b/>
        </w:rPr>
        <w:t>Biometrie</w:t>
      </w:r>
    </w:p>
    <w:p w14:paraId="23532E6F" w14:textId="77777777" w:rsidR="001F7233" w:rsidRDefault="00000000">
      <w:r>
        <w:rPr>
          <w:b/>
        </w:rPr>
        <w:t xml:space="preserve">Wo der Betrag steht: </w:t>
      </w:r>
      <w:r>
        <w:t>IRCC-Gebührenseite, für Familien oft gedeckelt</w:t>
      </w:r>
    </w:p>
    <w:p w14:paraId="49292666" w14:textId="77777777" w:rsidR="001F7233" w:rsidRDefault="00000000">
      <w:r>
        <w:rPr>
          <w:b/>
        </w:rPr>
        <w:t>Einbürgerung</w:t>
      </w:r>
    </w:p>
    <w:p w14:paraId="4AB2FB3C" w14:textId="77777777" w:rsidR="001F7233" w:rsidRDefault="00000000">
      <w:r>
        <w:rPr>
          <w:b/>
        </w:rPr>
        <w:t xml:space="preserve">Wo der Betrag steht: </w:t>
      </w:r>
      <w:r>
        <w:t>IRCC-Gebührenseite</w:t>
      </w:r>
    </w:p>
    <w:p w14:paraId="4F5D0104" w14:textId="77777777" w:rsidR="001F7233" w:rsidRDefault="001F7233">
      <w:pPr>
        <w:spacing w:line="180" w:lineRule="exact"/>
      </w:pPr>
    </w:p>
    <w:p w14:paraId="3DFCD696" w14:textId="77777777" w:rsidR="001F7233" w:rsidRDefault="00000000">
      <w:pPr>
        <w:spacing w:after="140"/>
      </w:pPr>
      <w:r>
        <w:t>Die Right of Permanent Residence Fee fehlt in vielen ersten Schätzungen, weil sie getrennt erscheint. Den Betrag nennt IRCC, nicht dieses Kapitel.</w:t>
      </w:r>
    </w:p>
    <w:p w14:paraId="27C1140E" w14:textId="77777777" w:rsidR="001F7233" w:rsidRDefault="00000000">
      <w:r>
        <w:rPr>
          <w:b/>
        </w:rPr>
        <w:t xml:space="preserve">SPARTIPP: </w:t>
      </w:r>
    </w:p>
    <w:p w14:paraId="352B3594" w14:textId="77777777" w:rsidR="001F7233" w:rsidRDefault="00000000">
      <w:r>
        <w:t>• Die Biometrie hat für Familien oft eine Obergrenze. Ob sie gilt und wie hoch sie ist, steht auf der IRCC-Seite.</w:t>
      </w:r>
    </w:p>
    <w:p w14:paraId="55B33619" w14:textId="77777777" w:rsidR="001F7233" w:rsidRDefault="001F7233">
      <w:pPr>
        <w:spacing w:line="220" w:lineRule="exact"/>
      </w:pPr>
    </w:p>
    <w:p w14:paraId="572F33EC" w14:textId="77777777" w:rsidR="001F7233" w:rsidRDefault="001F7233">
      <w:pPr>
        <w:spacing w:line="220" w:lineRule="exact"/>
      </w:pPr>
    </w:p>
    <w:p w14:paraId="48E7D2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Versprechen und Wirklichkeit</w:t>
      </w:r>
    </w:p>
    <w:p w14:paraId="00865C8C" w14:textId="77777777" w:rsidR="001F7233" w:rsidRDefault="00000000">
      <w:pPr>
        <w:spacing w:after="140"/>
      </w:pPr>
      <w:r>
        <w:t xml:space="preserve">IRCC veröffentlicht für die meisten Programme einen Servicestandard, keine Garantie. Für Express Entry gilt seit Anfang 2022 meist eine Bearbeitungszeit von 6 Monaten ab vollständigem Antrag, die IRCC nach eigenen Angaben meist einhält. Ein Arbeitsvisum, das auf einer bereits genehmigten LMIA beruht und von außer Kanadas gestellt wird, braucht meist 7 bis 13 Wochen. Die </w:t>
      </w:r>
      <w:r>
        <w:lastRenderedPageBreak/>
        <w:t>LMIA selbst nimmt dabei, je nach Kategorie, weitere 8 bis 88 Werktage in Anspruch, bevor dein Arbeitgeber überhaupt mit deinem eigentlichen Antrag beginnen kann. Ein Studienvisum ist mit 60 Tagen bei Antragstellung außer Kanadas oder 120 Tagen von in veranschlagt.</w:t>
      </w:r>
    </w:p>
    <w:p w14:paraId="3D992619" w14:textId="77777777" w:rsidR="001F7233" w:rsidRDefault="00000000">
      <w:pPr>
        <w:spacing w:after="140"/>
      </w:pPr>
      <w:r>
        <w:t>Diese Zahlen sind, wie IRCC selbst einräumt, „rollende Schätzungen“ auf Basis zuletzt abgeschlossener Fälle, keine Zusage für deinen konkreten Antrag. Realistisch bedeutet das: Zwischen Einladung und tatsächlicher Einreise können bei Express Entry leicht sechs bis zwölf Monate liegen. Bei einem klassischen Arbeitgeber-Antrag mit vorgeschalteter LMIA sind es eher vier bis acht Monate insgesamt.</w:t>
      </w:r>
    </w:p>
    <w:p w14:paraId="3757729D" w14:textId="77777777" w:rsidR="001F7233" w:rsidRDefault="00000000">
      <w:r>
        <w:rPr>
          <w:b/>
        </w:rPr>
        <w:t xml:space="preserve">ACHTUNG: </w:t>
      </w:r>
    </w:p>
    <w:p w14:paraId="30D4B4B2" w14:textId="77777777" w:rsidR="001F7233" w:rsidRDefault="00000000">
      <w:r>
        <w:t>• Kündige Wohnung, Job oder Kinderbetreuung in Deutschland erst, wenn die Genehmigung tatsächlich vorliegt. Nicht schon, wenn die LMIA deines künftigen Arbeitgebers durchgekommen ist. Zwischen diesen beiden Schritten liegt in der Praxis noch der komplette eigentliche Visumantrag.</w:t>
      </w:r>
    </w:p>
    <w:p w14:paraId="6B24EB53" w14:textId="77777777" w:rsidR="001F7233" w:rsidRDefault="001F7233">
      <w:pPr>
        <w:spacing w:line="220" w:lineRule="exact"/>
      </w:pPr>
    </w:p>
    <w:p w14:paraId="0264C7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Biometrie: der Termin bei VFS Global in Berlin</w:t>
      </w:r>
    </w:p>
    <w:p w14:paraId="6F377607" w14:textId="77777777" w:rsidR="001F7233" w:rsidRDefault="00000000">
      <w:pPr>
        <w:spacing w:after="140"/>
      </w:pPr>
      <w:r>
        <w:t xml:space="preserve">Für die meisten Antragsarten verlangt IRCC Fingerabdrücke und ein digitales Foto. Die Gebühr dafür zahlst du zusammen mit dem Antrag direkt an IRCC. Die eigentliche Erfassung übernimmt VFS Global, ein privater Dienstleister, den die kanadische Regierung mit dieser Aufgabe beauftragt hat: eine Art ausgelagerte Behördenfiliale, kein kanadisches Konsulat und ohne inhaltliche Entscheidungsbefugnis über deinen Antrag. In Deutschland betreibt VFS Global dafür ein Visa Application Centre in Berlin (Neue Grünstraße 17/18, 10179 Berlin). Sobald IRCC deinen Antrag registriert hat, bekommst du eine Aufforderung, dort einen Termin zu buchen. VFS erhebt für die Terminorganisation meist eine eigene, separate Servicegebühr. Die </w:t>
      </w:r>
      <w:r>
        <w:lastRenderedPageBreak/>
        <w:t>aktuelle Höhe steht auf der VFS-Seite, nicht bei IRCC. Die eigentliche Prüfung deines Antrags bleibt vollständig bei IRCC, dort werden lediglich biometrische Daten erfasst und teils Dokumente entgegengenommen.</w:t>
      </w:r>
    </w:p>
    <w:p w14:paraId="3DB7EA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53A16B0A" w14:textId="77777777" w:rsidR="001F7233" w:rsidRDefault="00000000">
      <w:pPr>
        <w:spacing w:after="140"/>
      </w:pPr>
      <w:r>
        <w:rPr>
          <w:i/>
          <w:iCs/>
        </w:rPr>
        <w:t>Für die permanente Aufenthaltserlaubnis und viele befristete Visa ist eine vollständige Immigration Medical Exam (IME, die Einwanderungs-Gesundheitsuntersuchung) Pflicht und zwar nur bei einem von IRCC zugelassenen Panel Physician (einem behördlich anerkannten Vertragsarzt). Der eigene Hausarzt, und sei er noch so vertrauenswürdig, darf diese Untersuchung nicht durchführen. Ergebnisse von nicht gelisteten Ärzten werden automatisch abgelehnt. Je nach Alter gehören eine allgemeine körperliche Untersuchung, ein Röntgenbild des Brustkorbs ab 11 Jahren sowie Blut- und Urintests dazu. Die Kosten zahlt ihr direkt beim Arzt. Den Betrag nennt die Praxis. Das Ergebnis gilt 12 Monate. Seit dem 21. August 2025 müssen Express-Entry-Antragsteller auf dem Weg zur permanenten Aufenthaltserlaubnis die Untersuchung bereits vor der eigentlichen Antragstellung absolvieren, nicht erst danach.</w:t>
      </w:r>
    </w:p>
    <w:p w14:paraId="729452C5" w14:textId="77777777" w:rsidR="001F7233" w:rsidRDefault="00000000">
      <w:pPr>
        <w:spacing w:after="140"/>
      </w:pPr>
      <w:r>
        <w:t>Ein Sonderfall, den man kennen sollte, ohne sich davon verunsichern zu lassen: IRCC prüft, ob die zu erwartenden Kosten eine Schwelle übersteigen. Die Schwelle veröffentlicht IRCC. Dieses Kapitel druckt sie nicht. Das betrifft die wenigsten Familien. Bei bekannten chronischen Erkrankungen oder Behinderungen eines Kindes ist es aber ein Punkt, den du frühzeitig mit einer Fachperson besprechen solltest, nicht erst beim Untersuchungstermin.</w:t>
      </w:r>
    </w:p>
    <w:p w14:paraId="3F383E3C" w14:textId="77777777" w:rsidR="001F7233" w:rsidRDefault="00000000">
      <w:r>
        <w:rPr>
          <w:b/>
        </w:rPr>
        <w:t xml:space="preserve">ACHTUNG: </w:t>
      </w:r>
    </w:p>
    <w:p w14:paraId="6BB86893" w14:textId="77777777" w:rsidR="001F7233" w:rsidRDefault="00000000">
      <w:r>
        <w:t>• Panel Physicians sind nicht an jeder deutschen Ecke zu finden. Buche den Termin, sobald die Aufforderung im IRCC-Konto erscheint. Ein voller Terminkalender beim nächstgelegenen zugelassenen Arzt verzögert sonst den gesamten Antrag.</w:t>
      </w:r>
    </w:p>
    <w:p w14:paraId="1C90B502" w14:textId="77777777" w:rsidR="001F7233" w:rsidRDefault="001F7233">
      <w:pPr>
        <w:spacing w:line="220" w:lineRule="exact"/>
      </w:pPr>
    </w:p>
    <w:p w14:paraId="767CCC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Polizeiliches Führungszeugnis: einfacher, als du vielleicht denkst</w:t>
      </w:r>
    </w:p>
    <w:p w14:paraId="2CCD2564" w14:textId="77777777" w:rsidR="001F7233" w:rsidRDefault="00000000">
      <w:pPr>
        <w:spacing w:after="140"/>
      </w:pPr>
      <w:r>
        <w:rPr>
          <w:i/>
          <w:iCs/>
        </w:rPr>
        <w:t>Für Antragstellerinnen und Antragsteller ab 18 Jahren verlangt IRCC ein Police Certificate aus jedem Land, in dem seit dem 18. Geburtstag mindestens sechs zusammenhängende Monate gelebt wurde. Das Zeugnis für das aktuelle Wohnsitzland muss zudem vergleichsweise frisch sein. Für Deutschland ist das der Certificate of Good Conduct. Das bekannte Führungszeugnis, das du beim Bundesamt für Justiz in Bonn online, postalisch oder persönlich beantragst, für 13 €.</w:t>
      </w:r>
    </w:p>
    <w:p w14:paraId="552029CB" w14:textId="77777777" w:rsidR="001F7233" w:rsidRDefault="00000000">
      <w:pPr>
        <w:spacing w:after="140"/>
      </w:pPr>
      <w:r>
        <w:rPr>
          <w:i/>
          <w:iCs/>
        </w:rPr>
        <w:t>Verbreiteter Irrtum: Viele nehmen an, ein Führungszeugnis für eine ausländische Behörde brauche automatisch eine Apostille, die internationale Beglaubigung nach dem Haager Übereinkommen. Für Kanada ist das in aller Regel nicht der Fall. IRCC verlangt lediglich das Original. Einzige Einschränkung: Wurde dein Führungszeugnis vor Februar 2019 ausgestellt, brauchst du auch eine beglaubigte Übersetzung ins Englische oder Französische, weil ältere Exemplare nur auf Deutsch ausgestellt wurden. Neuere Führungszeugnisse sind bereits mehrsprachig und werden ohne weitere Übersetzung akzeptiert.</w:t>
      </w:r>
    </w:p>
    <w:p w14:paraId="4DF040FD" w14:textId="77777777" w:rsidR="001F7233" w:rsidRDefault="00000000">
      <w:r>
        <w:rPr>
          <w:b/>
        </w:rPr>
        <w:t xml:space="preserve">MERKE: </w:t>
      </w:r>
    </w:p>
    <w:p w14:paraId="14FA0780" w14:textId="77777777" w:rsidR="001F7233" w:rsidRDefault="00000000">
      <w:r>
        <w:t>• Wer seit dem 18. Geburtstag schon einmal länger als sechs Monate am Stück in einem dritten Land gelebt hat. Ein Auslandssemester zählt meist nicht, ein längerer Arbeitsaufenthalt schon –, braucht außerdem ein Führungszeugnis von dort. Das gerät in der Vorbereitung leicht in Vergessenheit, weil man zuerst nur an das eigene Heimatland denkt.</w:t>
      </w:r>
    </w:p>
    <w:p w14:paraId="56FE67F4" w14:textId="77777777" w:rsidR="001F7233" w:rsidRDefault="001F7233">
      <w:pPr>
        <w:spacing w:line="220" w:lineRule="exact"/>
      </w:pPr>
    </w:p>
    <w:p w14:paraId="78E6E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Einwanderungsberater oder allein durch den Antrag?</w:t>
      </w:r>
    </w:p>
    <w:p w14:paraId="4E24F87D" w14:textId="77777777" w:rsidR="001F7233" w:rsidRDefault="00000000">
      <w:pPr>
        <w:spacing w:after="140"/>
      </w:pPr>
      <w:r>
        <w:t xml:space="preserve">Wer sich professionelle Unterstützung holen möchte, findet in Kanada einen eigenen regulierten Berufsstand: den </w:t>
      </w:r>
      <w:r>
        <w:rPr>
          <w:i/>
          <w:iCs/>
        </w:rPr>
        <w:t>Regulated Canadian Immigration Consultant</w:t>
      </w:r>
      <w:r>
        <w:t xml:space="preserve"> (RCIC, den zugelassenen Einwanderungsberater). Reguliert wird dieser Berufsstand vom </w:t>
      </w:r>
      <w:r>
        <w:rPr>
          <w:i/>
          <w:iCs/>
        </w:rPr>
        <w:t>College of Immigration and Citizenship Consultants</w:t>
      </w:r>
      <w:r>
        <w:t xml:space="preserve"> (CICC, der kanadischen Aufsichtsbehörde für Einwanderungsberater), das seit November 2021 die Zulassung und Disziplinarverfahren führt. Ein öffentliches Register auf der CICC-Website zeigt, ob eine Person aktuell zugelassen ist. Daneben dürfen auch kanadische Rechtsanwälte einwanderungsrechtlich beraten.</w:t>
      </w:r>
    </w:p>
    <w:p w14:paraId="7B5DAF0B" w14:textId="77777777" w:rsidR="001F7233" w:rsidRDefault="00000000">
      <w:pPr>
        <w:spacing w:after="140"/>
      </w:pPr>
      <w:r>
        <w:t>Für ein einzelnes, klar geregeltes Arbeitsvisum brauchst du meist keinen Berater. Bei Express Entry mit mehreren Familienmitgliedern, bei einer knappen Punktzahl, die durch eine Nominierung eines Provincial Nominee Program noch gerettet werden könnte oder bei Vorstrafen und früheren Ablehnungen kann ein registrierter RCIC dagegen echte Fehler vermeiden. Er ersetzt aber keine Garantie. Niemand kann eine Einladung oder Genehmigung versprechen und wer das behauptet, verkauft dir vor allem eine gut formulierte Rechnung. Warnsignale sind universell: Erfolgsgarantie, Drängen auf sofortige Vorkasse an ein Privatkonto, keine schriftliche Honorarvereinbarung, angebliche „Kontakte“ bei IRCC.</w:t>
      </w:r>
    </w:p>
    <w:p w14:paraId="54113ED1" w14:textId="77777777" w:rsidR="001F7233" w:rsidRDefault="00000000">
      <w:r>
        <w:t>• Dieses Kapitel beschreibt Verfahren und Praxis, keine Rechtsberatung. Bei komplexen Fällen – Vorstrafen, frühere Visumsablehnungen, ungewöhnliche Familienkonstellationen. Lohnt sich die Beratung durch einen registrierten RCIC oder eine kanadische Anwältin mit Migrationsrecht als Schwerpunkt.</w:t>
      </w:r>
    </w:p>
    <w:p w14:paraId="34A3C1A7" w14:textId="77777777" w:rsidR="001F7233" w:rsidRDefault="001F7233">
      <w:pPr>
        <w:spacing w:line="220" w:lineRule="exact"/>
      </w:pPr>
    </w:p>
    <w:p w14:paraId="0948E2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Auslandsvertretung – und die kanadische in Deutschland</w:t>
      </w:r>
    </w:p>
    <w:p w14:paraId="4C248496" w14:textId="77777777" w:rsidR="001F7233" w:rsidRDefault="00000000">
      <w:pPr>
        <w:spacing w:after="140"/>
      </w:pPr>
      <w:r>
        <w:t>Verbreiteter Irrtum: Viele erwarten, dass die kanadische Botschaft in Berlin beim eigenen Visumantrag hilft oder wenigstens Auskunft gibt. Tatsächlich bearbeitet die Botschaft keine eingehenden Anträge deutscher Antragsteller. Das erledigt IRCC nur online, wie oben beschrieben. Die kanadische Botschaft (Leipziger Platz 17, 10117 Berlin) und die Konsularvertretungen in München, Düsseldorf und Stuttgart sind in erster Linie für kanadische Staatsangehörige da. Pässe, Notfallhilfe, Beglaubigungen –, nicht für den deutschen Antragsteller im eigenen Wohnzimmer.</w:t>
      </w:r>
    </w:p>
    <w:p w14:paraId="2FFF3F6B" w14:textId="77777777" w:rsidR="001F7233" w:rsidRDefault="00000000">
      <w:pPr>
        <w:spacing w:after="140"/>
      </w:pPr>
      <w:r>
        <w:t>Umgekehrt gilt dasselbe für die deutsche Seite: Die deutschen Auslandsvertretungen in Kanada helfen bei deutschen Angelegenheiten, nicht beim kanadischen Verfahren. Das Netz ist dort in Amtsbezirke aufgeteilt, die auf den ersten Blick wenig mit der geografischen Logik einer Landkarte zu tun haben. Die Botschaft in Ottawa führt für die meisten konsularischen Fragen keinen eigenen Amtsbezirk. Sie verweist an das Generalkonsulat Toronto. Dieses wiederum ist zuständig für Ontario, Manitoba, New Brunswick, Neufundland und Labrador, Nova Scotia, Prince Edward Island, Québec und das Territorium Nunavut, geografisch der halbe Kontinent. Für den Westen – British Columbia, Alberta, Saskatchewan, Yukon und die Nordwest-Territorien – ist stattdessen das Generalkonsulat Vancouver zuständig.</w:t>
      </w:r>
    </w:p>
    <w:p w14:paraId="6E30A5F0" w14:textId="77777777" w:rsidR="001F7233" w:rsidRDefault="00000000">
      <w:r>
        <w:rPr>
          <w:b/>
        </w:rPr>
        <w:t xml:space="preserve">MERKE: </w:t>
      </w:r>
    </w:p>
    <w:p w14:paraId="5B5ADF9F" w14:textId="77777777" w:rsidR="001F7233" w:rsidRDefault="00000000">
      <w:r>
        <w:t>• Welche deutsche Vertretung für dich zuständig ist, hängt von der Provinz ab, nicht von der Entfernung auf der Landkarte. Prüfe das früh, nicht erst, wenn du einen neuen Reisepass brauchst.</w:t>
      </w:r>
    </w:p>
    <w:p w14:paraId="4841C548" w14:textId="77777777" w:rsidR="001F7233" w:rsidRDefault="001F7233">
      <w:pPr>
        <w:spacing w:line="220" w:lineRule="exact"/>
      </w:pPr>
    </w:p>
    <w:p w14:paraId="1E3A31ED" w14:textId="77777777" w:rsidR="001F7233" w:rsidRDefault="001F7233">
      <w:pPr>
        <w:spacing w:line="220" w:lineRule="exact"/>
      </w:pPr>
    </w:p>
    <w:p w14:paraId="399A11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Antrag, Konsulat und Kosten</w:t>
      </w:r>
    </w:p>
    <w:p w14:paraId="66A27692" w14:textId="77777777" w:rsidR="001F7233" w:rsidRDefault="00000000">
      <w:r>
        <w:rPr>
          <w:b/>
        </w:rPr>
        <w:t>Plus: Alles online nachverfolgbar, kein Reisen zu einem Konsulattermin nötig</w:t>
      </w:r>
    </w:p>
    <w:p w14:paraId="01ABA445" w14:textId="77777777" w:rsidR="001F7233" w:rsidRDefault="00000000">
      <w:r>
        <w:rPr>
          <w:b/>
        </w:rPr>
        <w:t xml:space="preserve">Minus: </w:t>
      </w:r>
      <w:r>
        <w:t>Recht-auf-PR-Gebühr wird in ersten Kostenschätzungen leicht übersehen</w:t>
      </w:r>
    </w:p>
    <w:p w14:paraId="30C9ADC1" w14:textId="77777777" w:rsidR="001F7233" w:rsidRDefault="00000000">
      <w:r>
        <w:rPr>
          <w:b/>
        </w:rPr>
        <w:t>Plus: Biometrie-Termin in Berlin gut erreichbar, keine lange Anfahrt</w:t>
      </w:r>
    </w:p>
    <w:p w14:paraId="441B91EB" w14:textId="77777777" w:rsidR="001F7233" w:rsidRDefault="00000000">
      <w:r>
        <w:rPr>
          <w:b/>
        </w:rPr>
        <w:t xml:space="preserve">Minus: </w:t>
      </w:r>
      <w:r>
        <w:t>Gesundheitsuntersuchung nur bei zugelassenem Panel Physician möglich</w:t>
      </w:r>
    </w:p>
    <w:p w14:paraId="70B9B5D1" w14:textId="77777777" w:rsidR="001F7233" w:rsidRDefault="00000000">
      <w:r>
        <w:rPr>
          <w:b/>
        </w:rPr>
        <w:t>Plus: Kein Apostille-Aufwand beim Führungszeugnis wie bei manch anderem Zielland</w:t>
      </w:r>
    </w:p>
    <w:p w14:paraId="1F80FDC7" w14:textId="77777777" w:rsidR="001F7233" w:rsidRDefault="00000000">
      <w:r>
        <w:rPr>
          <w:b/>
        </w:rPr>
        <w:t xml:space="preserve">Minus: </w:t>
      </w:r>
      <w:r>
        <w:t>Bearbeitungszeiten schwanken stark und sind reine Schätzwerte</w:t>
      </w:r>
    </w:p>
    <w:p w14:paraId="32946FAB" w14:textId="77777777" w:rsidR="001F7233" w:rsidRDefault="00000000">
      <w:r>
        <w:rPr>
          <w:b/>
        </w:rPr>
        <w:t>Plus: Biometriegebühr pro Familie gedeckelt, nicht pro Kopf</w:t>
      </w:r>
    </w:p>
    <w:p w14:paraId="038CCBB1" w14:textId="77777777" w:rsidR="001F7233" w:rsidRDefault="00000000">
      <w:r>
        <w:rPr>
          <w:b/>
        </w:rPr>
        <w:t xml:space="preserve">Minus: </w:t>
      </w:r>
      <w:r>
        <w:t>Bei Ablehnung sind alle gezahlten Gebühren verloren</w:t>
      </w:r>
    </w:p>
    <w:p w14:paraId="4B6EED3D" w14:textId="77777777" w:rsidR="001F7233" w:rsidRDefault="001F7233">
      <w:pPr>
        <w:spacing w:line="180" w:lineRule="exact"/>
      </w:pPr>
    </w:p>
    <w:p w14:paraId="79900F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6BE18F6" w14:textId="77777777" w:rsidR="001F7233" w:rsidRDefault="00000000">
      <w:pPr>
        <w:spacing w:after="140"/>
      </w:pPr>
      <w:r>
        <w:t>Kläre zuerst über das Kapitel zum Arbeitsweg, welcher Weg für dich passt. Das entscheidet, ob eine LMIA deines Arbeitgebers oder ein eigenes Express-Entry-Profil der erste Schritt ist. Lege dein IRCC-Konto an, kalkuliere die Gesamtkosten inklusive RPRF realistisch und bestelle Führungszeugnis sowie falls nötig die passende Übersetzung frühzeitig. Buche Biometrie- und Gesundheitstermin, sobald IRCC dich dazu auffordert und entscheide bewusst, ob ein registrierter RCIC für deinen Fall einen Unterschied macht.</w:t>
      </w:r>
    </w:p>
    <w:p w14:paraId="65D05055" w14:textId="77777777" w:rsidR="001F7233" w:rsidRDefault="00000000">
      <w:r>
        <w:t>• Zielweg geklärt (Work Permit LMIA-pflichtig/-frei, Express Entry, PNP, Study Permit)</w:t>
      </w:r>
    </w:p>
    <w:p w14:paraId="03A6CB36" w14:textId="77777777" w:rsidR="001F7233" w:rsidRDefault="00000000">
      <w:r>
        <w:t>• IRCC-Kundenkonto angelegt, Benachrichtigungen aktiviert</w:t>
      </w:r>
    </w:p>
    <w:p w14:paraId="30CE9389" w14:textId="77777777" w:rsidR="001F7233" w:rsidRDefault="00000000">
      <w:r>
        <w:lastRenderedPageBreak/>
        <w:t>• Alle Gebühren auf der IRCC-Seite gelesen, inklusive der separaten Right of Permanent Residence Fee pro Erwachsenem</w:t>
      </w:r>
    </w:p>
    <w:p w14:paraId="7FFEBC18" w14:textId="77777777" w:rsidR="001F7233" w:rsidRDefault="00000000">
      <w:r>
        <w:t>• Führungszeugnis für jedes Land mit mindestens sechs zusammenhängenden Monaten Aufenthalt seit dem 18. Geburtstag beantragt</w:t>
      </w:r>
    </w:p>
    <w:p w14:paraId="6A82CFF0" w14:textId="77777777" w:rsidR="001F7233" w:rsidRDefault="00000000">
      <w:r>
        <w:t>• Bei Führungszeugnis mit Ausstellungsdatum vor Februar 2019: beglaubigte Übersetzung eingeplant</w:t>
      </w:r>
    </w:p>
    <w:p w14:paraId="377027B1" w14:textId="77777777" w:rsidR="001F7233" w:rsidRDefault="00000000">
      <w:r>
        <w:t>• Termin bei VFS Global Berlin für Biometrie gebucht, sobald IRCC dazu auffordert</w:t>
      </w:r>
    </w:p>
    <w:p w14:paraId="64AF94A7" w14:textId="77777777" w:rsidR="001F7233" w:rsidRDefault="00000000">
      <w:r>
        <w:t>• Termin bei einem zugelassenen Panel Physician für die Gesundheitsuntersuchung terminiert</w:t>
      </w:r>
    </w:p>
    <w:p w14:paraId="3EE6C553" w14:textId="77777777" w:rsidR="001F7233" w:rsidRDefault="00000000">
      <w:r>
        <w:t>• Entschieden, ob ein registrierter RCIC sinnvoll ist; Registrierung im CICC-Register geprüft</w:t>
      </w:r>
    </w:p>
    <w:p w14:paraId="362CE841" w14:textId="77777777" w:rsidR="001F7233" w:rsidRDefault="00000000">
      <w:r>
        <w:t>• Zuständige deutsche Auslandsvertretung für die Zielprovinz identifiziert</w:t>
      </w:r>
    </w:p>
    <w:p w14:paraId="73D6DD0D" w14:textId="77777777" w:rsidR="001F7233" w:rsidRDefault="00000000">
      <w:r>
        <w:t>• Aktuelle Bearbeitungszeiten auf der IRCC-Seite geprüft, Job und Wohnung in Deutschland erst nach der Genehmigung gekündigt.</w:t>
      </w:r>
    </w:p>
    <w:p w14:paraId="14EB3AF4" w14:textId="77777777" w:rsidR="001F7233" w:rsidRDefault="001F7233">
      <w:pPr>
        <w:spacing w:line="220" w:lineRule="exact"/>
      </w:pPr>
    </w:p>
    <w:p w14:paraId="1F4166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B09F21F" w14:textId="77777777" w:rsidR="001F7233" w:rsidRDefault="00000000">
      <w:pPr>
        <w:pStyle w:val="ListParagraph"/>
        <w:numPr>
          <w:ilvl w:val="0"/>
          <w:numId w:val="1"/>
        </w:numPr>
        <w:spacing w:after="60"/>
      </w:pPr>
      <w:r>
        <w:t xml:space="preserve">IRCC — Gebühren: </w:t>
      </w:r>
      <w:hyperlink r:id="rId799">
        <w:r w:rsidR="001F7233">
          <w:rPr>
            <w:color w:val="0563C1"/>
            <w:u w:val="single"/>
          </w:rPr>
          <w:t>ircc.canada.ca/english/information/fees/fees.asp</w:t>
        </w:r>
      </w:hyperlink>
    </w:p>
    <w:p w14:paraId="379A5060" w14:textId="77777777" w:rsidR="001F7233" w:rsidRDefault="00000000">
      <w:pPr>
        <w:pStyle w:val="ListParagraph"/>
        <w:numPr>
          <w:ilvl w:val="0"/>
          <w:numId w:val="1"/>
        </w:numPr>
        <w:spacing w:after="60"/>
      </w:pPr>
      <w:r>
        <w:t xml:space="preserve">IRCC — Bearbeitungszeiten: </w:t>
      </w:r>
      <w:hyperlink r:id="rId800">
        <w:r w:rsidR="001F7233">
          <w:rPr>
            <w:color w:val="0563C1"/>
            <w:u w:val="single"/>
          </w:rPr>
          <w:t>canada.ca/en/immigration-refugees-citizenship/services/application/check-processing-times.html</w:t>
        </w:r>
      </w:hyperlink>
    </w:p>
    <w:p w14:paraId="360A46CC" w14:textId="77777777" w:rsidR="001F7233" w:rsidRDefault="00000000">
      <w:pPr>
        <w:pStyle w:val="ListParagraph"/>
        <w:numPr>
          <w:ilvl w:val="0"/>
          <w:numId w:val="1"/>
        </w:numPr>
        <w:spacing w:after="60"/>
      </w:pPr>
      <w:r>
        <w:t xml:space="preserve">IRCC — Panel Physicians: </w:t>
      </w:r>
      <w:hyperlink r:id="rId801">
        <w:r w:rsidR="001F7233">
          <w:rPr>
            <w:color w:val="0563C1"/>
            <w:u w:val="single"/>
          </w:rPr>
          <w:t>canada.ca/en/immigration-refugees-citizenship/corporate/partners-service-providers/panel-physicians.html</w:t>
        </w:r>
      </w:hyperlink>
    </w:p>
    <w:p w14:paraId="434AC45F" w14:textId="77777777" w:rsidR="001F7233" w:rsidRDefault="00000000">
      <w:pPr>
        <w:pStyle w:val="ListParagraph"/>
        <w:numPr>
          <w:ilvl w:val="0"/>
          <w:numId w:val="1"/>
        </w:numPr>
        <w:spacing w:after="60"/>
      </w:pPr>
      <w:r>
        <w:t xml:space="preserve">IRCC — Polizeiliches Führungszeugnis aus Deutschland: </w:t>
      </w:r>
      <w:hyperlink r:id="rId802">
        <w:r w:rsidR="001F7233">
          <w:rPr>
            <w:color w:val="0563C1"/>
            <w:u w:val="single"/>
          </w:rPr>
          <w:t>canada.ca/en/immigration-refugees-citizenship/services/application/medical-police/police-certificates/how/germany.html</w:t>
        </w:r>
      </w:hyperlink>
    </w:p>
    <w:p w14:paraId="265C3632" w14:textId="77777777" w:rsidR="001F7233" w:rsidRDefault="00000000">
      <w:pPr>
        <w:pStyle w:val="ListParagraph"/>
        <w:numPr>
          <w:ilvl w:val="0"/>
          <w:numId w:val="1"/>
        </w:numPr>
        <w:spacing w:after="60"/>
      </w:pPr>
      <w:r>
        <w:lastRenderedPageBreak/>
        <w:t xml:space="preserve">College of Immigration and Citizenship Consultants — Register: </w:t>
      </w:r>
      <w:hyperlink r:id="rId803">
        <w:r w:rsidR="001F7233">
          <w:rPr>
            <w:color w:val="0563C1"/>
            <w:u w:val="single"/>
          </w:rPr>
          <w:t>college-ic.ca</w:t>
        </w:r>
      </w:hyperlink>
    </w:p>
    <w:p w14:paraId="3A97F328" w14:textId="77777777" w:rsidR="001F7233" w:rsidRDefault="00000000">
      <w:pPr>
        <w:pStyle w:val="ListParagraph"/>
        <w:numPr>
          <w:ilvl w:val="0"/>
          <w:numId w:val="1"/>
        </w:numPr>
        <w:spacing w:after="60"/>
      </w:pPr>
      <w:r>
        <w:t xml:space="preserve">VFS Global — Visa Application Centre Berlin: </w:t>
      </w:r>
      <w:hyperlink r:id="rId804">
        <w:r w:rsidR="001F7233">
          <w:rPr>
            <w:color w:val="0563C1"/>
            <w:u w:val="single"/>
          </w:rPr>
          <w:t>visa.vfsglobal.com/deu/de/can</w:t>
        </w:r>
      </w:hyperlink>
    </w:p>
    <w:p w14:paraId="72581AF2" w14:textId="77777777" w:rsidR="001F7233" w:rsidRDefault="00000000">
      <w:pPr>
        <w:pStyle w:val="ListParagraph"/>
        <w:numPr>
          <w:ilvl w:val="0"/>
          <w:numId w:val="1"/>
        </w:numPr>
        <w:spacing w:after="60"/>
      </w:pPr>
      <w:r>
        <w:t xml:space="preserve">Deutsche Vertretungen in Kanada: </w:t>
      </w:r>
      <w:hyperlink r:id="rId805">
        <w:r w:rsidR="001F7233">
          <w:rPr>
            <w:color w:val="0563C1"/>
            <w:u w:val="single"/>
          </w:rPr>
          <w:t>kanada.diplo.de</w:t>
        </w:r>
      </w:hyperlink>
    </w:p>
    <w:p w14:paraId="390EB8D1" w14:textId="77777777" w:rsidR="001F7233" w:rsidRDefault="00000000">
      <w:pPr>
        <w:pStyle w:val="ListParagraph"/>
        <w:numPr>
          <w:ilvl w:val="0"/>
          <w:numId w:val="1"/>
        </w:numPr>
        <w:spacing w:after="60"/>
      </w:pPr>
      <w:r>
        <w:t xml:space="preserve">Bundesamt für Justiz — Führungszeugnis: </w:t>
      </w:r>
      <w:hyperlink r:id="rId806">
        <w:r w:rsidR="001F7233">
          <w:rPr>
            <w:color w:val="0563C1"/>
            <w:u w:val="single"/>
          </w:rPr>
          <w:t>bundesjustizamt.de</w:t>
        </w:r>
      </w:hyperlink>
    </w:p>
    <w:p w14:paraId="04D4E9FE" w14:textId="77777777" w:rsidR="001F7233" w:rsidRDefault="001F7233">
      <w:pPr>
        <w:spacing w:line="120" w:lineRule="exact"/>
      </w:pPr>
    </w:p>
    <w:p w14:paraId="7721745C" w14:textId="77777777" w:rsidR="001F7233" w:rsidRDefault="00000000">
      <w:r>
        <w:t xml:space="preserve">• 23.09.2026. Diese Angaben ändern sich schnell: Gebühren (letzte große Erhöhungsrunde 30. April 2026), Bearbeitungszeiten (fortlaufend aktualisiert), die Vorgabe zur vorgezogenen Gesundheitsuntersuchung bei Express Entry (seit 21. August 2025) sowie die Zuständigkeiten der deutschen Auslandsvertretungen. Prüfe vor jeder Entscheidung </w:t>
      </w:r>
      <w:hyperlink r:id="rId807">
        <w:r w:rsidR="001F7233">
          <w:rPr>
            <w:color w:val="0563C1"/>
            <w:u w:val="single"/>
          </w:rPr>
          <w:t>ircc.canada.ca</w:t>
        </w:r>
      </w:hyperlink>
      <w:r>
        <w:t xml:space="preserve"> und die Seiten der deutschen Vertretungen.</w:t>
      </w:r>
    </w:p>
    <w:p w14:paraId="5979EB60" w14:textId="77777777" w:rsidR="001F7233" w:rsidRDefault="00000000">
      <w:pPr>
        <w:spacing w:line="220" w:lineRule="exact"/>
      </w:pPr>
      <w:r>
        <w:br w:type="page"/>
      </w:r>
    </w:p>
    <w:p w14:paraId="3547A8C1" w14:textId="77777777" w:rsidR="001F7233" w:rsidRDefault="00000000">
      <w:pPr>
        <w:pStyle w:val="Heading2"/>
        <w:keepNext/>
        <w:spacing w:line="341" w:lineRule="auto"/>
        <w:jc w:val="center"/>
      </w:pPr>
      <w:bookmarkStart w:id="115" w:name="tka06"/>
      <w:r>
        <w:rPr>
          <w:rFonts w:ascii="Amazon Ember" w:eastAsia="Amazon Ember" w:hAnsi="Amazon Ember" w:cs="Amazon Ember"/>
          <w:color w:val="0000FF"/>
          <w:sz w:val="36"/>
          <w:szCs w:val="36"/>
        </w:rPr>
        <w:lastRenderedPageBreak/>
        <w:t>Kanada: Ankunft, erste Tage und Wochen</w:t>
      </w:r>
      <w:bookmarkEnd w:id="115"/>
    </w:p>
    <w:p w14:paraId="1921B6A7" w14:textId="77777777" w:rsidR="001F7233" w:rsidRDefault="00000000">
      <w:pPr>
        <w:spacing w:after="140"/>
      </w:pPr>
      <w:r>
        <w:t>Der Koffer steht noch halb gepackt in der Ecke, der Jetlag ist noch nicht vorbei. Trotzdem wartet schon eine Reihe erster Termine, von denen kein Reiseführer erzählt: Sozialversicherungsnummer, Bankkonto, Handynummer und Krankenversicherungskarte. Irgendwann brauchst du auch eine Wohnung, die länger als zwei Wochen hält.</w:t>
      </w:r>
    </w:p>
    <w:p w14:paraId="3D68E389" w14:textId="77777777" w:rsidR="001F7233" w:rsidRDefault="00000000">
      <w:r>
        <w:rPr>
          <w:b/>
        </w:rPr>
        <w:t xml:space="preserve">KURZ GESAGT: </w:t>
      </w:r>
    </w:p>
    <w:p w14:paraId="7BEDC174" w14:textId="77777777" w:rsidR="001F7233" w:rsidRDefault="00000000">
      <w:r>
        <w:t>• Die Einreisekontrolle der Canada Border Services Agency (CBSA, der kanadische Grenzschutz) ist meist zügig. Bei einer permanenten Aufenthaltserlaubnis wird dort aber erst formal dein Status wirksam, nicht schon mit der Genehmigung aus Deutschland.</w:t>
      </w:r>
    </w:p>
    <w:p w14:paraId="6B23724E" w14:textId="77777777" w:rsidR="001F7233" w:rsidRDefault="00000000">
      <w:r>
        <w:t>• Beantrage die Social Insurance Number (SIN, die kanadische Sozialversicherungsnummer) sofort: kostenlos, oft binnen fünf Werktagen bestätigt, aber ohne sie kein Gehalt und keine Steuererklärung.</w:t>
      </w:r>
    </w:p>
    <w:p w14:paraId="49E4FB38" w14:textId="77777777" w:rsidR="001F7233" w:rsidRDefault="00000000">
      <w:r>
        <w:t>• Ein Bankkonto lässt sich bei mehreren Großbanken schon von Deutschland aus online vorbereiten.</w:t>
      </w:r>
    </w:p>
    <w:p w14:paraId="708667EF" w14:textId="77777777" w:rsidR="001F7233" w:rsidRDefault="00000000">
      <w:r>
        <w:t>• Ob du sofort Zugang zur staatlichen Provinz-Krankenversicherung hast, hängt stark von der Provinz ab. Ontario ohne Wartezeit, andere Provinzen mit bis zu drei Monaten.</w:t>
      </w:r>
    </w:p>
    <w:p w14:paraId="6F4E3ECC" w14:textId="77777777" w:rsidR="001F7233" w:rsidRDefault="00000000">
      <w:r>
        <w:t>• Organisiere SIM-Karte und Internet früh, idealerweise schon vor dem Abflug.</w:t>
      </w:r>
    </w:p>
    <w:p w14:paraId="27CC056E" w14:textId="77777777" w:rsidR="001F7233" w:rsidRDefault="00000000">
      <w:r>
        <w:lastRenderedPageBreak/>
        <w:t>• Buche die erste Unterkunft nur als flexible Übergangslösung; die eigentliche Wohnungssuche läuft besser vor Ort.</w:t>
      </w:r>
    </w:p>
    <w:p w14:paraId="58F92766" w14:textId="77777777" w:rsidR="001F7233" w:rsidRDefault="00000000">
      <w:r>
        <w:t>• Das eigene erwachsene Haustier aus Deutschland braucht meist ein Tollwutzeugnis auf Englisch oder Französisch, keine monatelange Quarantäne. Welpen und der Container haben eigene Regeln.</w:t>
      </w:r>
    </w:p>
    <w:p w14:paraId="6969571C" w14:textId="77777777" w:rsidR="001F7233" w:rsidRDefault="001F7233">
      <w:pPr>
        <w:spacing w:line="220" w:lineRule="exact"/>
      </w:pPr>
    </w:p>
    <w:p w14:paraId="093FAB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CBSA und die eigentliche „Landung“</w:t>
      </w:r>
    </w:p>
    <w:p w14:paraId="6AB4A739" w14:textId="77777777" w:rsidR="001F7233" w:rsidRDefault="00000000">
      <w:pPr>
        <w:spacing w:after="140"/>
      </w:pPr>
      <w:r>
        <w:rPr>
          <w:i/>
          <w:iCs/>
        </w:rPr>
        <w:t>An der Grenzkontrolle prüft die CBSA Pass und Einreisedokumente. Für die meisten deutschen Reisenden geht das ohne größere Umstände. Wer allerdings mit einer bereits genehmigten permanenten Aufenthaltserlaubnis (PR) einreist, erlebt einen Verwaltungsschritt, der in Erzählungen gern untergeht: Der PR-Status wird nicht schon mit der IRCC-Genehmigung in Deutschland wirksam, sondern erst mit der sogenannten „Landung“ an der Grenze. Dabei prüft ein CBSA-Beamter deine Confirmation of Permanent Residence (COPR, die Bestätigung des permanenten Aufenthalts) und aktiviert deinen Status offiziell. Ohne dieses Dokument im Handgepäck, nicht im aufgegebenen Koffer, klappt die Landung nicht.</w:t>
      </w:r>
    </w:p>
    <w:p w14:paraId="2F803204" w14:textId="77777777" w:rsidR="001F7233" w:rsidRDefault="00000000">
      <w:pPr>
        <w:spacing w:after="140"/>
      </w:pPr>
      <w:r>
        <w:t>Wer stattdessen mit einem befristeten Arbeitsvisum einreist, bekommt das eigentliche, physische Arbeitsvisum in vielen Fällen ebenfalls erst am Grenzübergang ausgestellt, auf Basis der vorab von IRCC erteilten Genehmigung. Führe deshalb sämtliche Bestätigungsschreiben, die Genehmigung deines Arbeitgebers und, falls schon erledigt, die Ergebnisse der Gesundheitsuntersuchung griffbereit im Handgepäck mit. Verlass dich nicht nur auf das Handy, dessen Akku ausgerechnet nach zehn Stunden Flug selten volle Leistung zeigt.</w:t>
      </w:r>
    </w:p>
    <w:p w14:paraId="640B840A" w14:textId="77777777" w:rsidR="001F7233" w:rsidRDefault="00000000">
      <w:r>
        <w:rPr>
          <w:b/>
        </w:rPr>
        <w:t xml:space="preserve">ACHTUNG: </w:t>
      </w:r>
    </w:p>
    <w:p w14:paraId="28D56381" w14:textId="77777777" w:rsidR="001F7233" w:rsidRDefault="00000000">
      <w:r>
        <w:t xml:space="preserve">• Verwechsle die IRCC-Genehmigung nicht mit der tatsächlichen Einreiseerlaubnis. Beides ist rechtlich getrennt, und der zweite </w:t>
      </w:r>
      <w:r>
        <w:lastRenderedPageBreak/>
        <w:t>Schritt findet nur am Grenzübergang statt – vorbereitet, aber nicht vorweggenommen.</w:t>
      </w:r>
    </w:p>
    <w:p w14:paraId="1D57069C" w14:textId="77777777" w:rsidR="001F7233" w:rsidRDefault="001F7233">
      <w:pPr>
        <w:spacing w:line="220" w:lineRule="exact"/>
      </w:pPr>
    </w:p>
    <w:p w14:paraId="2EA551BC" w14:textId="77777777" w:rsidR="001F7233" w:rsidRDefault="00000000">
      <w:pPr>
        <w:spacing w:after="140"/>
      </w:pPr>
      <w:r>
        <w:rPr>
          <w:i/>
          <w:iCs/>
        </w:rPr>
        <w:t>Vom Flughafen kommst du in Toronto, Calgary oder Vancouver meist per Zug, Bus, Taxi oder Fahrdienst wie Uber in die Innenstadt. Der Union Pearson Express etwa verbindet den Flughafen Toronto Pearson direkt und ohne Umsteigen mit der Innenstadt. Wechsle nur so viel Bargeld wie nötig am Flughafenschalter, die Kurse dort sind selten die besten. Den Rest erledigst du bequemer über Karte oder das neue Konto.</w:t>
      </w:r>
    </w:p>
    <w:p w14:paraId="173D62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Zeitzonen und die ersten Tage</w:t>
      </w:r>
    </w:p>
    <w:p w14:paraId="28FB93F8" w14:textId="77777777" w:rsidR="001F7233" w:rsidRDefault="00000000">
      <w:pPr>
        <w:spacing w:after="140"/>
      </w:pPr>
      <w:r>
        <w:t>Kanada ist geografisch so groß, dass ein einzelner „Zeitunterschied zu Kanada“ wenig aussagt: Toronto liegt in der Eastern Time Zone, rund sechs Stunden hinter Deutschland, Calgary in der Mountain Time Zone, rund acht Stunden dahinter. Wer beide Städte auf einer Reise verbinden will, verschiebt die eigene innere Uhr gleich zweimal. Plane die ersten zwei, drei Tage bewusst ohne wichtige Termine ein: kein Bankgespräch am Ankunftstag, keine Wohnungsbesichtigung mit Kopfschmerzen vom Nachtflug. Tageslicht, ein kurzer Spaziergang und das bewusste Durchhalten bis zum lokalen Abend helfen dem Rhythmus spürbar schneller auf die Sprünge als noch eine Tasse Kaffee.</w:t>
      </w:r>
    </w:p>
    <w:p w14:paraId="566860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Social Insurance Number: dein erster Behördengang</w:t>
      </w:r>
    </w:p>
    <w:p w14:paraId="7D4B9678" w14:textId="77777777" w:rsidR="001F7233" w:rsidRDefault="00000000">
      <w:pPr>
        <w:spacing w:after="140"/>
      </w:pPr>
      <w:r>
        <w:rPr>
          <w:i/>
          <w:iCs/>
        </w:rPr>
        <w:t xml:space="preserve">Eine der ersten Amtshandlungen nach der Ankunft sollte die Beantragung der SIN sein, der neunstelligen Nummer, ohne die in Kanada weder ein Gehalt fließt noch eine Steuererklärung möglich ist und ohne die auch ein vollwertiges Bankkonto kaum zu eröffnen ist. Die Beantragung ist in allen drei Verfahren kostenlos: online über das eSIN-Portal mit hochgeladenen Dokumentenkopien, postalisch mit </w:t>
      </w:r>
      <w:r>
        <w:rPr>
          <w:i/>
          <w:iCs/>
        </w:rPr>
        <w:lastRenderedPageBreak/>
        <w:t>unterschriebenem Formular oder persönlich bei einer Filiale von Service Canada, dort meist mit sofortiger Ausstellung. Nötig sind ein gültiges Primärdokument (Pass plus Arbeits- oder Studienvisum oder die PR-Bestätigung) sowie ein Sekundärdokument zum Identitätsnachweis. Die Online-Bestätigung dauert meist bis zu fünf Werktage über dein My Service Canada Account.</w:t>
      </w:r>
    </w:p>
    <w:p w14:paraId="57D876B9" w14:textId="77777777" w:rsidR="001F7233" w:rsidRDefault="00000000">
      <w:pPr>
        <w:spacing w:after="140"/>
      </w:pPr>
      <w:r>
        <w:t>Wer mit einem befristeten Visum einreist, erhält eine SIN, die mit der Ziffer 9 beginnt und ein Ablaufdatum entsprechend dem Visum trägt. Nach dem Wechsel zum PR-Status beantragst du eine neue, unbefristete SIN. Trage dir außerdem fest ein: Ohne SIN behält mancher Arbeitgeber vorsorglich einen höheren Steuersatz ein, den du dir erst über die nächste Steuererklärung zurückholst. Das ist ein Betrag, der in den ohnehin teuren ersten Wochen schlicht fehlt.</w:t>
      </w:r>
    </w:p>
    <w:p w14:paraId="264F7E3C" w14:textId="77777777" w:rsidR="001F7233" w:rsidRDefault="00000000">
      <w:r>
        <w:rPr>
          <w:b/>
        </w:rPr>
        <w:t xml:space="preserve">MERKE: </w:t>
      </w:r>
    </w:p>
    <w:p w14:paraId="52AA9445" w14:textId="77777777" w:rsidR="001F7233" w:rsidRDefault="00000000">
      <w:r>
        <w:t>• Die SIN ist reine Steuer- und Arbeits-ID. Für die Provinz-Krankenversicherung und für Sozialleistungen meldest du dich separat an – dazu gleich mehr. Das Kapitel zu Steuer-ID, Bank und Kredit in diesem Teil vertieft, was danach mit deiner ersten Steuererklärung als „Newcomer“ passiert.</w:t>
      </w:r>
    </w:p>
    <w:p w14:paraId="7506F80D" w14:textId="77777777" w:rsidR="001F7233" w:rsidRDefault="001F7233">
      <w:pPr>
        <w:spacing w:line="220" w:lineRule="exact"/>
      </w:pPr>
    </w:p>
    <w:p w14:paraId="2766F48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am besten schon vor dem Abflug vorbereitet</w:t>
      </w:r>
    </w:p>
    <w:p w14:paraId="33BF7E70" w14:textId="77777777" w:rsidR="001F7233" w:rsidRDefault="00000000">
      <w:pPr>
        <w:spacing w:after="140"/>
      </w:pPr>
      <w:r>
        <w:t xml:space="preserve">Für Gehalt, Miete und Alltag brauchst du ein kanadisches Bankkonto und die gute Nachricht vorweg: Bei den „Big Five“, den fünf großen Retailbanken (Royal Bank of Canada, TD, Scotiabank, BMO, CIBC), lässt sich ein Konto oft schon von Deutschland aus online vorbereiten, teils Wochen vor dem Abflug. Alle fünf bieten dedizierte Newcomer-Pakete mit gebührenfreier Kontoführung für einen befristeten Zeitraum und einer ersten Kreditkarte ohne kanadische Bonitätshistorie. Nutze das, wenn deine Zielbank es anbietet. Dann bist du vom ersten Arbeitstag an zahlungsfähig, statt in der </w:t>
      </w:r>
      <w:r>
        <w:lastRenderedPageBreak/>
        <w:t>turbulentesten Woche noch einen Filialtermin einzuschieben. Ohne Voreröffnung holst du das nach der Landung nach. Alle Banken verlangen dafür einmalig eine persönliche Identifizierung mit Pass und Aufenthaltsnachweis in der Filiale.</w:t>
      </w:r>
    </w:p>
    <w:p w14:paraId="54626CA6" w14:textId="77777777" w:rsidR="001F7233" w:rsidRDefault="00000000">
      <w:pPr>
        <w:spacing w:after="140"/>
      </w:pPr>
      <w:r>
        <w:t xml:space="preserve">Ein zweiter Punkt, den viele erst hier lernen: Deine deutsche Bonität zählt in Kanada nicht das Geringste. Die kanadischen Auskunfteien Equifax Canada und TransUnion Canada übernehmen keine ausländische Kredithistorie. Der Aufbau beginnt bei null, unabhängig davon, wie zuverlässig du in Deutschland je deine Rechnungen bezahlt hast. Der klassische Weg: eine </w:t>
      </w:r>
      <w:r>
        <w:rPr>
          <w:i/>
          <w:iCs/>
        </w:rPr>
        <w:t>Secured Credit Card</w:t>
      </w:r>
      <w:r>
        <w:t xml:space="preserve"> (eine durch Kaution gedeckte Kreditkarte) oder direkt eine Newcomer-Kreditkarte deiner Bank ohne Kaution, aktiv und pünktlich genutzt. Ein erster Score liegt meist nach 90 bis 180 Tagen regelmäßig gemeldeter Nutzung vor. Wie du Kreditwürdigkeit gezielt aufbaust und welche Bank sich wirklich lohnt, vertieft das </w:t>
      </w:r>
      <w:hyperlink w:anchor="tka07">
        <w:r w:rsidR="001F7233">
          <w:rPr>
            <w:color w:val="0563C1"/>
            <w:u w:val="single"/>
          </w:rPr>
          <w:t>Kapitel zu Steuer-ID, Bank und Kredit in diesem Teil</w:t>
        </w:r>
      </w:hyperlink>
      <w:r>
        <w:t>.</w:t>
      </w:r>
    </w:p>
    <w:p w14:paraId="5EEEED9A" w14:textId="77777777" w:rsidR="001F7233" w:rsidRDefault="00000000">
      <w:r>
        <w:rPr>
          <w:b/>
        </w:rPr>
        <w:t xml:space="preserve">SPARTIPP: </w:t>
      </w:r>
    </w:p>
    <w:p w14:paraId="0F1E09DC" w14:textId="77777777" w:rsidR="001F7233" w:rsidRDefault="00000000">
      <w:r>
        <w:t>• Beantrage die Kreditkarte gleich in der ersten Woche, auch wenn du sie kaum brauchst. Jeder Monat, den du wartest, ist ein Monat, den du später bei Miet-, Auto- oder Hypothekenanträgen an Kredithistorie vermisst.</w:t>
      </w:r>
    </w:p>
    <w:p w14:paraId="0E6CF964" w14:textId="77777777" w:rsidR="001F7233" w:rsidRDefault="001F7233">
      <w:pPr>
        <w:spacing w:line="220" w:lineRule="exact"/>
      </w:pPr>
    </w:p>
    <w:p w14:paraId="05A83B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Provinz-Krankenversicherung: der Unterschied, der sofort zählt</w:t>
      </w:r>
    </w:p>
    <w:p w14:paraId="21F43DD7" w14:textId="77777777" w:rsidR="001F7233" w:rsidRDefault="00000000">
      <w:pPr>
        <w:spacing w:after="140"/>
      </w:pPr>
      <w:r>
        <w:t>Kanada hat kein einziges nationales „Medicare“-System, sondern 13 getrennte Provinz- und Territorialsysteme mit gemeinsamem gesetzlichem Rahmen. Für Neuankömmlinge ist das mehr als eine verwaltungstechnische Feinheit. Ob du ab Tag eins abgesichert bist oder erst nach einer Wartefrist, entscheidet allein die Provinz, in der du dich niederlässt.</w:t>
      </w:r>
    </w:p>
    <w:p w14:paraId="31F535ED" w14:textId="77777777" w:rsidR="001F7233" w:rsidRDefault="00000000">
      <w:pPr>
        <w:spacing w:after="140"/>
      </w:pPr>
      <w:r>
        <w:lastRenderedPageBreak/>
        <w:t>In Ontario (</w:t>
      </w:r>
      <w:r>
        <w:rPr>
          <w:i/>
          <w:iCs/>
        </w:rPr>
        <w:t>OHIP</w:t>
      </w:r>
      <w:r>
        <w:t>, dem Ontario Health Insurance Plan) wurde die frühere dreimonatige Wartefrist bereits 2020 abgeschafft. Die Deckung gilt ab Antragstellung, die Karte selbst kommt praktisch erst vier bis sechs Wochen später per Post. In British Columbia (</w:t>
      </w:r>
      <w:r>
        <w:rPr>
          <w:i/>
          <w:iCs/>
        </w:rPr>
        <w:t>MSP</w:t>
      </w:r>
      <w:r>
        <w:t>, dem Medical Services Plan) dagegen bleibt eine Wartefrist von drei vollen Kalendermonaten plus dem Rest des Ankunftsmonats bestehen, auch wenn die Versicherung selbst seit 2020 beitragsfrei ist. Für Alberta und Saskatchewan steht die Wartefrist auf der Seite der Provinz. Dieses Kapitel übernimmt keine ungeprüfte Frist aus Foren und macht daraus keinen Plan. Frag die Provinz, bevor du den Flug buchst.</w:t>
      </w:r>
    </w:p>
    <w:p w14:paraId="27229041" w14:textId="77777777" w:rsidR="001F7233" w:rsidRDefault="00000000">
      <w:pPr>
        <w:spacing w:after="140"/>
      </w:pPr>
      <w:r>
        <w:t xml:space="preserve">Für jede Wartefrist gilt dieselbe Empfehlung: eine private Übergangsversicherung abschließen, nicht abwarten und hoffen. Den Beitrag nennen Manulife, Sun Life oder Blue Cross auf ihrer Seite. Was die Provinz-Pläne abdecken und was zusätzlich versichert werden muss, erklärt das </w:t>
      </w:r>
      <w:hyperlink w:anchor="tka08">
        <w:r w:rsidR="001F7233">
          <w:rPr>
            <w:color w:val="0563C1"/>
            <w:u w:val="single"/>
          </w:rPr>
          <w:t>Kapitel zum Gesundheitssystem in diesem Teil</w:t>
        </w:r>
      </w:hyperlink>
      <w:r>
        <w:t>.</w:t>
      </w:r>
    </w:p>
    <w:p w14:paraId="7404C834" w14:textId="77777777" w:rsidR="001F7233" w:rsidRDefault="00000000">
      <w:r>
        <w:rPr>
          <w:b/>
        </w:rPr>
        <w:t xml:space="preserve">ACHTUNG: </w:t>
      </w:r>
    </w:p>
    <w:p w14:paraId="768174BD" w14:textId="77777777" w:rsidR="001F7233" w:rsidRDefault="00000000">
      <w:r>
        <w:t>• Verwechsle die Regeln deiner Zielprovinz nicht mit denen einer anderen. Wer aus Erzählungen von Bekannten in Toronto ableitet, es gebe generell keine Wartefrist in Kanada, steht in Vancouver oder Montreal manchmal drei Monate ohne jede staatliche Absicherung da.</w:t>
      </w:r>
    </w:p>
    <w:p w14:paraId="5F686E9E" w14:textId="77777777" w:rsidR="001F7233" w:rsidRDefault="001F7233">
      <w:pPr>
        <w:spacing w:line="220" w:lineRule="exact"/>
      </w:pPr>
    </w:p>
    <w:p w14:paraId="44689C42" w14:textId="77777777" w:rsidR="001F7233" w:rsidRDefault="001F7233">
      <w:pPr>
        <w:spacing w:line="220" w:lineRule="exact"/>
      </w:pPr>
    </w:p>
    <w:p w14:paraId="7C3F69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27B72981" w14:textId="77777777" w:rsidR="001F7233" w:rsidRDefault="00000000">
      <w:pPr>
        <w:spacing w:after="140"/>
      </w:pPr>
      <w:r>
        <w:t xml:space="preserve">Deutsche Mobilfunktarife haben in Kanada kein EU-Roaming. Richte vor dem Abflug eine eSIM mit Kanada-Daten ein oder kauf nach der Landung Prepaid. Behalte die deutsche Nummer als Zweit-SIM, solange dort SMS-Codes ankommen. Einen Laufzeitvertrag schließt du erst, wenn die Bonität steht. Die großen Netze heißen Rogers, Bell und Telus. Günstiger und oft ohne Bonitätsprüfung sind die </w:t>
      </w:r>
      <w:r>
        <w:lastRenderedPageBreak/>
        <w:t>Zweitmarken auf demselben Netz, etwa Fido, Koodo, Virgin Plus oder Chatr. Prepaid ist der Anfang. Den Tarif liest du auf der Seite des Anbieters, bevor du zahlst.</w:t>
      </w:r>
    </w:p>
    <w:p w14:paraId="38C009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Wohnung: Übergang und Suche</w:t>
      </w:r>
    </w:p>
    <w:p w14:paraId="3A454322" w14:textId="77777777" w:rsidR="001F7233" w:rsidRDefault="00000000">
      <w:pPr>
        <w:spacing w:after="140"/>
      </w:pPr>
      <w:r>
        <w:t>Die erste kanadische Adresse ist selten die endgültige und so solltest du sie auch buchen: mit kostenloser Stornierung, ohne Langzeitvertrag. Ein möbliertes Apartment auf Zeit, ein Airbnb oder ein Hotel mit Wochenpreisen überbrücken die ersten ein bis zwei Wochen. In dieser Zeit solltest du erst SIN, Bankkonto und einen ersten Gehaltsnachweis vorweisen, bevor du dich um einen regulären Mietvertrag bemühst. Viele Vermieter verlangen genau diese Unterlagen als Teil der Bewerbung.</w:t>
      </w:r>
    </w:p>
    <w:p w14:paraId="0E2D4FA3" w14:textId="77777777" w:rsidR="001F7233" w:rsidRDefault="00000000">
      <w:pPr>
        <w:spacing w:after="140"/>
      </w:pPr>
      <w:r>
        <w:t xml:space="preserve">Die eigentliche Wohnungssuche läuft überwiegend online über Immobilienportale; wer sich bewirbt, legt in der Regel Gehaltsnachweis oder Jobangebot, Referenzen und einen Ausweis mit Aufenthaltsnachweis vor. Eine kanadische Kredithistorie hast du naturgemäß noch nicht. Deshalb verlangen manche Vermieter eine höhere Kaution, eine Bürgschaft oder gleich mehrere Monatsmieten im Voraus. Praxis und genaue Regeln unterscheiden sich je nach Provinz spürbar. Rechne außerdem mit einer Kaution, deren Höhe und Hinterlegungsart ebenfalls je nach Provinz geregelt ist. Mietpreise, Kautionshöhen und die passende Stadt nach Berufsfeld und Budget behandelt das </w:t>
      </w:r>
      <w:hyperlink w:anchor="tka09">
        <w:r w:rsidR="001F7233">
          <w:rPr>
            <w:color w:val="0563C1"/>
            <w:u w:val="single"/>
          </w:rPr>
          <w:t>Kapitel zum Wohnen in diesem Teil</w:t>
        </w:r>
      </w:hyperlink>
      <w:r>
        <w:t xml:space="preserve"> ausführlich.</w:t>
      </w:r>
    </w:p>
    <w:p w14:paraId="7B54E359" w14:textId="77777777" w:rsidR="001F7233" w:rsidRDefault="00000000">
      <w:r>
        <w:rPr>
          <w:b/>
        </w:rPr>
        <w:t xml:space="preserve">SPARTIPP: </w:t>
      </w:r>
    </w:p>
    <w:p w14:paraId="02A2C3F3" w14:textId="77777777" w:rsidR="001F7233" w:rsidRDefault="00000000">
      <w:r>
        <w:t xml:space="preserve">• Nutze die Tage in der Übergangsunterkunft aktiv für Besichtigungen, statt erst mit schrumpfendem Hotelbudget in Torschlusspanik zu geraten. Mit vollständigen Unterlagen und einer Terminliste in der Tasche kommst du in begehrten Vierteln von </w:t>
      </w:r>
      <w:r>
        <w:lastRenderedPageBreak/>
        <w:t>Toronto oder Vancouver deutlich weiter als mit der Hoffnung, es werde sich schon fügen.</w:t>
      </w:r>
    </w:p>
    <w:p w14:paraId="3943E312" w14:textId="77777777" w:rsidR="001F7233" w:rsidRDefault="001F7233">
      <w:pPr>
        <w:spacing w:line="220" w:lineRule="exact"/>
      </w:pPr>
    </w:p>
    <w:p w14:paraId="7C6B0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w14:paraId="2FF7AE37" w14:textId="77777777" w:rsidR="001F7233" w:rsidRDefault="00000000">
      <w:pPr>
        <w:spacing w:after="140"/>
      </w:pPr>
      <w:r>
        <w:t>Die folgende Übersicht ordnet die wichtigsten Schritte grob nach Zeitpunkt. Wie schnell es tatsächlich geht, hängt von Visumtyp, Provinz und Flug ab.</w:t>
      </w:r>
    </w:p>
    <w:p w14:paraId="4BE353D0" w14:textId="77777777" w:rsidR="001F7233" w:rsidRDefault="00000000">
      <w:r>
        <w:rPr>
          <w:b/>
        </w:rPr>
        <w:t>Tag 1–2</w:t>
      </w:r>
    </w:p>
    <w:p w14:paraId="6B13389D" w14:textId="77777777" w:rsidR="001F7233" w:rsidRDefault="00000000">
      <w:r>
        <w:rPr>
          <w:b/>
        </w:rPr>
        <w:t xml:space="preserve">Aufgabe: </w:t>
      </w:r>
      <w:r>
        <w:t>Einreise, Landung/COPR-Prüfung, Übergangsunterkunft beziehen, SIM aktivieren</w:t>
      </w:r>
    </w:p>
    <w:p w14:paraId="5B6FC802" w14:textId="77777777" w:rsidR="001F7233" w:rsidRDefault="00000000">
      <w:r>
        <w:rPr>
          <w:b/>
        </w:rPr>
        <w:t xml:space="preserve">Mehr dazu: </w:t>
      </w:r>
      <w:r>
        <w:t>–</w:t>
      </w:r>
    </w:p>
    <w:p w14:paraId="6A58E0FF" w14:textId="77777777" w:rsidR="001F7233" w:rsidRDefault="00000000">
      <w:r>
        <w:rPr>
          <w:b/>
        </w:rPr>
        <w:t>Tag 2–4</w:t>
      </w:r>
    </w:p>
    <w:p w14:paraId="6EBC8288" w14:textId="77777777" w:rsidR="001F7233" w:rsidRDefault="00000000">
      <w:r>
        <w:rPr>
          <w:b/>
        </w:rPr>
        <w:t xml:space="preserve">Aufgabe: </w:t>
      </w:r>
      <w:r>
        <w:t>SIN beantragen; Bankkonto eröffnen oder vor Ort verifizieren</w:t>
      </w:r>
    </w:p>
    <w:p w14:paraId="50E88AD3" w14:textId="77777777" w:rsidR="001F7233" w:rsidRDefault="00000000">
      <w:r>
        <w:rPr>
          <w:b/>
        </w:rPr>
        <w:t xml:space="preserve">Mehr dazu: </w:t>
      </w:r>
      <w:r>
        <w:t>Steuer-ID/Bank</w:t>
      </w:r>
    </w:p>
    <w:p w14:paraId="04229E64" w14:textId="77777777" w:rsidR="001F7233" w:rsidRDefault="00000000">
      <w:r>
        <w:rPr>
          <w:b/>
        </w:rPr>
        <w:t>Tag 3–10</w:t>
      </w:r>
    </w:p>
    <w:p w14:paraId="3F231EB9" w14:textId="77777777" w:rsidR="001F7233" w:rsidRDefault="00000000">
      <w:r>
        <w:rPr>
          <w:b/>
        </w:rPr>
        <w:t xml:space="preserve">Aufgabe: </w:t>
      </w:r>
      <w:r>
        <w:t>Anmeldung bei der Provinz-Krankenversicherung, sofern keine Wartefrist gilt; sonst private Übergangsversicherung prüfen</w:t>
      </w:r>
    </w:p>
    <w:p w14:paraId="415E621E" w14:textId="77777777" w:rsidR="001F7233" w:rsidRDefault="00000000">
      <w:r>
        <w:rPr>
          <w:b/>
        </w:rPr>
        <w:t xml:space="preserve">Mehr dazu: </w:t>
      </w:r>
      <w:r>
        <w:t>Gesundheitssystem</w:t>
      </w:r>
    </w:p>
    <w:p w14:paraId="5CE6FA9A" w14:textId="77777777" w:rsidR="001F7233" w:rsidRDefault="00000000">
      <w:r>
        <w:rPr>
          <w:b/>
        </w:rPr>
        <w:t>Woche 1–2</w:t>
      </w:r>
    </w:p>
    <w:p w14:paraId="2428E0C1" w14:textId="77777777" w:rsidR="001F7233" w:rsidRDefault="00000000">
      <w:r>
        <w:rPr>
          <w:b/>
        </w:rPr>
        <w:t xml:space="preserve">Aufgabe: </w:t>
      </w:r>
      <w:r>
        <w:t>Wohnungssuche: Portale einrichten, Besichtigungen, Bewerbungsmappe vorbereiten</w:t>
      </w:r>
    </w:p>
    <w:p w14:paraId="4F431ACA" w14:textId="77777777" w:rsidR="001F7233" w:rsidRDefault="00000000">
      <w:r>
        <w:rPr>
          <w:b/>
        </w:rPr>
        <w:t xml:space="preserve">Mehr dazu: </w:t>
      </w:r>
      <w:r>
        <w:t>Wohnen</w:t>
      </w:r>
    </w:p>
    <w:p w14:paraId="5C678695" w14:textId="77777777" w:rsidR="001F7233" w:rsidRDefault="00000000">
      <w:r>
        <w:rPr>
          <w:b/>
        </w:rPr>
        <w:t>Woche 2</w:t>
      </w:r>
    </w:p>
    <w:p w14:paraId="0AA2DBBF" w14:textId="77777777" w:rsidR="001F7233" w:rsidRDefault="00000000">
      <w:r>
        <w:rPr>
          <w:b/>
        </w:rPr>
        <w:t xml:space="preserve">Aufgabe: </w:t>
      </w:r>
      <w:r>
        <w:t>Erste Rückfragen zu Lohnsteuerabzug und Sozialleistungen mit dem Arbeitgeber klären</w:t>
      </w:r>
    </w:p>
    <w:p w14:paraId="24D4EB28" w14:textId="77777777" w:rsidR="001F7233" w:rsidRDefault="00000000">
      <w:r>
        <w:rPr>
          <w:b/>
        </w:rPr>
        <w:t xml:space="preserve">Mehr dazu: </w:t>
      </w:r>
      <w:r>
        <w:t>Steuer-ID/Bank</w:t>
      </w:r>
    </w:p>
    <w:p w14:paraId="174E1CEC" w14:textId="77777777" w:rsidR="001F7233" w:rsidRDefault="001F7233">
      <w:pPr>
        <w:spacing w:line="180" w:lineRule="exact"/>
      </w:pPr>
    </w:p>
    <w:p w14:paraId="2AB856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Hund, Katze und der Container</w:t>
      </w:r>
    </w:p>
    <w:p w14:paraId="7CE8260E" w14:textId="77777777" w:rsidR="001F7233" w:rsidRDefault="00000000">
      <w:pPr>
        <w:spacing w:after="140"/>
      </w:pPr>
      <w:r>
        <w:rPr>
          <w:i/>
          <w:iCs/>
        </w:rPr>
        <w:t>Kanada ist unter den vier Ländern dieses Buches der unkomplizierteste Weg für das eigene Haustier und genau deshalb unterschätzen ihn Leute, die gerade die australischen oder neuseeländischen Regeln gelesen haben. Die Canadian Food Inspection Agency (CFIA, die kanadische Behörde für Lebensmittelsicherheit und Tiergesundheit) führt Deutschland nicht auf der kurzen Liste der als tollwutfrei geltenden Länder. Auf dieser Liste stehen unter anderem Australien, Finnland, Irland, Island, Japan, Neuseeland, Schweden und das Vereinigte Königreich, nicht die Bundesrepublik. Für die meisten erwachsenen Hunde und Katzen, die als eigenes Haustier aus Deutschland einreisen, ist deshalb ein gültiges Tollwut-Impfzeugnis der Kern der Papiere: auf Englisch oder Französisch, ausgestellt von einer zugelassenen Tierärztin oder einem zugelassenen Tierarzt. Es muss so ausgestellt sein, dass das Tier eindeutig zu erkennen ist. Ein europäischer Heimtierausweis kann reichen, wenn Impfstoff, Datum und Identität klar und in einer dieser beiden Sprachen lesbar sind. Fehlt die Sprache, brauchst du ein separates Zeugnis oder eine Übersetzung, die die CFIA akzeptiert.</w:t>
      </w:r>
    </w:p>
    <w:p w14:paraId="7108F0E0" w14:textId="77777777" w:rsidR="001F7233" w:rsidRDefault="00000000">
      <w:pPr>
        <w:spacing w:after="140"/>
      </w:pPr>
      <w:r>
        <w:t xml:space="preserve">Eine Routine-Quarantäne wie in Mickleham oder in einer neuseeländischen Station ist auf diesem persönlichen Weg nicht vorgesehen. Auch eine Importgenehmigung ist für das begleitete erwachsene Haustier typischerweise nicht nötig. Das gilt aber nicht automatisch für alles, was vier Beine hat. Hunde unter acht Monaten, Tiere, die nicht mit dir reisen, und jede Einfuhr, die die CFIA als kommerziell einstuft – Verkauf, Vermittlung, Adoption, Zucht –, folgen anderen Regeln. Der interaktive Wegweiser auf </w:t>
      </w:r>
      <w:hyperlink r:id="rId808">
        <w:r w:rsidR="001F7233">
          <w:rPr>
            <w:color w:val="0563C1"/>
            <w:u w:val="single"/>
          </w:rPr>
          <w:t>inspection.canada.ca</w:t>
        </w:r>
      </w:hyperlink>
      <w:r>
        <w:t xml:space="preserve"> fragt Alter, Begleitung und Herkunftsland ab. Klick ihn durch, bevor du den Flug buchst. Die Airline hat dazu eigene Regeln für Kabine, Frachtraum und Transportbox; die ersetzen die CFIA-Papiere nicht und umgekehrt.</w:t>
      </w:r>
    </w:p>
    <w:p w14:paraId="7F0DC313" w14:textId="77777777" w:rsidR="001F7233" w:rsidRDefault="00000000">
      <w:r>
        <w:rPr>
          <w:b/>
        </w:rPr>
        <w:t xml:space="preserve">ACHTUNG: </w:t>
      </w:r>
    </w:p>
    <w:p w14:paraId="4E0199ED" w14:textId="77777777" w:rsidR="001F7233" w:rsidRDefault="00000000">
      <w:r>
        <w:lastRenderedPageBreak/>
        <w:t>• „Kanada ist entspannt“ heißt nicht „irgendein Zettel vom Tierarzt auf Deutsch“. Ohne englisches oder französisches Zeugnis, das das Tier klar benennt, kann die Grenze ablehnen, auch wenn die Impfung in der Praxis in Hannover frisch ist.</w:t>
      </w:r>
    </w:p>
    <w:p w14:paraId="2E7AF3D6" w14:textId="77777777" w:rsidR="001F7233" w:rsidRDefault="001F7233">
      <w:pPr>
        <w:spacing w:line="220" w:lineRule="exact"/>
      </w:pPr>
    </w:p>
    <w:p w14:paraId="3DE9314F" w14:textId="77777777" w:rsidR="001F7233" w:rsidRDefault="001F7233">
      <w:pPr>
        <w:spacing w:line="220" w:lineRule="exact"/>
      </w:pPr>
    </w:p>
    <w:p w14:paraId="36157200" w14:textId="77777777" w:rsidR="001F7233" w:rsidRDefault="00000000">
      <w:pPr>
        <w:spacing w:after="140"/>
      </w:pPr>
      <w:r>
        <w:rPr>
          <w:i/>
          <w:iCs/>
        </w:rPr>
        <w:t>Umzugsgut ist die zweite, ruhigere Falle. Die Canada Border Services Agency (CBSA) hat für Menschen, die nach Kanada ziehen, eigene Regeln für persönliches Umzugsgut, auf Englisch settlers’ effects: typischerweise Sachen, die du schon besessen und benutzt hast, bevor du einreist. Ob sie abgabenfrei hereinkommen, entscheidet deine Erklärung an der Grenze nach den aktuellen CBSA-Regeln. Verlass dich nicht auf einen Pauschalsatz aus einem Ratgeber. Lebensmittel, Pflanzen, Erde und Holz können trotzdem beschränkt sein, auch wenn das Sofa selbst durchgewunken wird. Liste den Inhalt ehrlich. Originalpapiere – Pässe, Urkunden, Zeugnisse, die COPR. Gehören ins Handgepäck, nicht in die Kiste, die zwei Wochen später im Hafen liegt.</w:t>
      </w:r>
    </w:p>
    <w:p w14:paraId="6FC33CB8" w14:textId="77777777" w:rsidR="001F7233" w:rsidRDefault="00000000">
      <w:r>
        <w:rPr>
          <w:b/>
        </w:rPr>
        <w:t xml:space="preserve">SPARTIPP: </w:t>
      </w:r>
    </w:p>
    <w:p w14:paraId="2FFD4D11" w14:textId="77777777" w:rsidR="001F7233" w:rsidRDefault="00000000">
      <w:r>
        <w:t>• Im ersten Winter in einer Mietwohnung brauchst du selten das deutsche Wohnzimmer. Koffer plus eine kleine Luftfracht mit Kleidung und Unterlagen reichen, bis die Adresse feststeht. Einen Container zu schicken, dessen Ziel du noch nicht kennst, bindet Geld, das du in Kaution und die ersten Monate besser flüssig hast.</w:t>
      </w:r>
    </w:p>
    <w:p w14:paraId="23824025" w14:textId="77777777" w:rsidR="001F7233" w:rsidRDefault="001F7233">
      <w:pPr>
        <w:spacing w:line="220" w:lineRule="exact"/>
      </w:pPr>
    </w:p>
    <w:p w14:paraId="56E3A368" w14:textId="77777777" w:rsidR="001F7233" w:rsidRDefault="00000000">
      <w:r>
        <w:rPr>
          <w:b/>
        </w:rPr>
        <w:t xml:space="preserve">MERKE: </w:t>
      </w:r>
    </w:p>
    <w:p w14:paraId="7600B00F" w14:textId="77777777" w:rsidR="001F7233" w:rsidRDefault="00000000">
      <w:r>
        <w:t>• Für das eigene erwachsene Haustier ist Kanada ein Papierweg, kein Quarantäneweg. Für Welpen, nicht begleitete Tiere und den Container gelten andere Fragen und die stellt die Behörde, nicht die Airline allein.</w:t>
      </w:r>
    </w:p>
    <w:p w14:paraId="136F2324" w14:textId="77777777" w:rsidR="001F7233" w:rsidRDefault="001F7233">
      <w:pPr>
        <w:spacing w:line="220" w:lineRule="exact"/>
      </w:pPr>
    </w:p>
    <w:p w14:paraId="29A3E0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Ankunft, erste Tage und Wochen</w:t>
      </w:r>
    </w:p>
    <w:p w14:paraId="0EF92E42" w14:textId="77777777" w:rsidR="001F7233" w:rsidRDefault="00000000">
      <w:r>
        <w:rPr>
          <w:b/>
        </w:rPr>
        <w:t>Plus: Bankkonto oft schon vor Abflug online vorbereitbar</w:t>
      </w:r>
    </w:p>
    <w:p w14:paraId="08705001" w14:textId="77777777" w:rsidR="001F7233" w:rsidRDefault="00000000">
      <w:r>
        <w:rPr>
          <w:b/>
        </w:rPr>
        <w:t xml:space="preserve">Minus: </w:t>
      </w:r>
      <w:r>
        <w:t>SIN erst nach Ankunft mit gültigem Status-Nachweis beantragbar</w:t>
      </w:r>
    </w:p>
    <w:p w14:paraId="57B9E86A" w14:textId="77777777" w:rsidR="001F7233" w:rsidRDefault="00000000">
      <w:r>
        <w:rPr>
          <w:b/>
        </w:rPr>
        <w:t>Plus: SIN-Bestätigung meist innerhalb weniger Werktage</w:t>
      </w:r>
    </w:p>
    <w:p w14:paraId="1216113D" w14:textId="77777777" w:rsidR="001F7233" w:rsidRDefault="00000000">
      <w:r>
        <w:rPr>
          <w:b/>
        </w:rPr>
        <w:t xml:space="preserve">Minus: </w:t>
      </w:r>
      <w:r>
        <w:t>Kanadische Kredithistorie beginnt trotz deutscher Bonität bei null</w:t>
      </w:r>
    </w:p>
    <w:p w14:paraId="73A005C2" w14:textId="77777777" w:rsidR="001F7233" w:rsidRDefault="00000000">
      <w:r>
        <w:rPr>
          <w:b/>
        </w:rPr>
        <w:t>Plus: Ontario ganz ohne Wartefrist beim Gesundheitssystem</w:t>
      </w:r>
    </w:p>
    <w:p w14:paraId="5D09D0F2" w14:textId="77777777" w:rsidR="001F7233" w:rsidRDefault="00000000">
      <w:r>
        <w:rPr>
          <w:b/>
        </w:rPr>
        <w:t xml:space="preserve">Minus: </w:t>
      </w:r>
      <w:r>
        <w:t>BC und einige andere Provinzen mit bis zu drei Monaten Wartefrist</w:t>
      </w:r>
    </w:p>
    <w:p w14:paraId="5CA1BC4A" w14:textId="77777777" w:rsidR="001F7233" w:rsidRDefault="00000000">
      <w:r>
        <w:rPr>
          <w:b/>
        </w:rPr>
        <w:t>Plus: Prepaid-SIM unkompliziert und ohne Bonitätsprüfung</w:t>
      </w:r>
    </w:p>
    <w:p w14:paraId="43C13DB2" w14:textId="77777777" w:rsidR="001F7233" w:rsidRDefault="00000000">
      <w:r>
        <w:rPr>
          <w:b/>
        </w:rPr>
        <w:t xml:space="preserve">Minus: </w:t>
      </w:r>
      <w:r>
        <w:t>Wohnungssuche ohne Kredithistorie stellenweise mühsam</w:t>
      </w:r>
    </w:p>
    <w:p w14:paraId="6768B532" w14:textId="77777777" w:rsidR="001F7233" w:rsidRDefault="00000000">
      <w:r>
        <w:rPr>
          <w:b/>
        </w:rPr>
        <w:t>Plus: Eigenes erwachsenes Haustier ohne Routine-Quarantäne</w:t>
      </w:r>
    </w:p>
    <w:p w14:paraId="36FC2FB5" w14:textId="77777777" w:rsidR="001F7233" w:rsidRDefault="00000000">
      <w:r>
        <w:rPr>
          <w:b/>
        </w:rPr>
        <w:t xml:space="preserve">Minus: </w:t>
      </w:r>
      <w:r>
        <w:t>Zeugnis muss auf Englisch oder Französisch das Tier eindeutig benennen</w:t>
      </w:r>
    </w:p>
    <w:p w14:paraId="03BF05DA" w14:textId="77777777" w:rsidR="001F7233" w:rsidRDefault="001F7233">
      <w:pPr>
        <w:spacing w:line="180" w:lineRule="exact"/>
      </w:pPr>
    </w:p>
    <w:p w14:paraId="525040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BC86E0E" w14:textId="77777777" w:rsidR="001F7233" w:rsidRDefault="00000000">
      <w:pPr>
        <w:spacing w:after="140"/>
      </w:pPr>
      <w:r>
        <w:t>Kläre vor dem Abflug, welche Bank eine Online-Voreröffnung anbietet, richte die eSIM ein und buche eine flexible Übergangsunterkunft. Nach der Landung hat die SIN-Beantragung Priorität, dicht gefolgt von der Anmeldung bei der Provinz-Krankenversicherung oder, bei Wartefrist, der Bestätigung deiner privaten Übergangsversicherung. Starte parallel mit der Wohnungssuche, statt sie auf später zu verschieben.</w:t>
      </w:r>
    </w:p>
    <w:p w14:paraId="03330853" w14:textId="77777777" w:rsidR="001F7233" w:rsidRDefault="00000000">
      <w:r>
        <w:t>• Bank-Voreröffnung vor Abflug geprüft, sonst Filialtermin für die erste Woche eingeplant</w:t>
      </w:r>
    </w:p>
    <w:p w14:paraId="57D307BB" w14:textId="77777777" w:rsidR="001F7233" w:rsidRDefault="00000000">
      <w:r>
        <w:t>• eSIM oder Prepaid-SIM organisiert, deutsche Nummer als Zweit-SIM behalten</w:t>
      </w:r>
    </w:p>
    <w:p w14:paraId="55DC77E3" w14:textId="77777777" w:rsidR="001F7233" w:rsidRDefault="00000000">
      <w:r>
        <w:lastRenderedPageBreak/>
        <w:t>• Übergangsunterkunft mit Stornierungsoption für mindestens ein bis zwei Wochen gebucht</w:t>
      </w:r>
    </w:p>
    <w:p w14:paraId="05F01FFA" w14:textId="77777777" w:rsidR="001F7233" w:rsidRDefault="00000000">
      <w:r>
        <w:t>• COPR beziehungsweise Visumsbestätigung und alle Nachweise griffbereit im Handgepäck</w:t>
      </w:r>
    </w:p>
    <w:p w14:paraId="68076B7F" w14:textId="77777777" w:rsidR="001F7233" w:rsidRDefault="00000000">
      <w:r>
        <w:t>• SIN-Antrag direkt nach Ankunft gestellt</w:t>
      </w:r>
    </w:p>
    <w:p w14:paraId="7FB3D162" w14:textId="77777777" w:rsidR="001F7233" w:rsidRDefault="00000000">
      <w:r>
        <w:t>• Wartefrist der Ziel-Provinz beim Gesundheitssystem vorab geprüft</w:t>
      </w:r>
    </w:p>
    <w:p w14:paraId="30748C2C" w14:textId="77777777" w:rsidR="001F7233" w:rsidRDefault="00000000">
      <w:r>
        <w:t>• Bei Wartefrist: private Übergangsversicherung ab Ankunftstag aktiv</w:t>
      </w:r>
    </w:p>
    <w:p w14:paraId="0232394C" w14:textId="77777777" w:rsidR="001F7233" w:rsidRDefault="00000000">
      <w:r>
        <w:t>• Secured Credit Card oder Newcomer-Kreditkarte in der ersten Woche beantragt</w:t>
      </w:r>
    </w:p>
    <w:p w14:paraId="5BCCCCC2" w14:textId="77777777" w:rsidR="001F7233" w:rsidRDefault="00000000">
      <w:r>
        <w:t>• Bewerbungsmappe für die Wohnungssuche zusammengestellt (Gehaltsnachweis, Referenzen, Ausweis)</w:t>
      </w:r>
    </w:p>
    <w:p w14:paraId="5AD81880" w14:textId="77777777" w:rsidR="001F7233" w:rsidRDefault="00000000">
      <w:r>
        <w:t>• Bei Hund oder Katze: CFIA-Wegweiser für Alter und Begleitung durchgeklickt, Tollwutzeugnis auf Englisch oder Französisch dabei.</w:t>
      </w:r>
    </w:p>
    <w:p w14:paraId="2F30D82B" w14:textId="77777777" w:rsidR="001F7233" w:rsidRDefault="00000000">
      <w:r>
        <w:t>• Containerinhalt für die CBSA gelistet; Pässe, COPR und Zeugnisse im Handgepäck, nicht in der Kiste</w:t>
      </w:r>
    </w:p>
    <w:p w14:paraId="7FE1B226" w14:textId="77777777" w:rsidR="001F7233" w:rsidRDefault="001F7233">
      <w:pPr>
        <w:spacing w:line="220" w:lineRule="exact"/>
      </w:pPr>
    </w:p>
    <w:p w14:paraId="107C55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CE595DC" w14:textId="77777777" w:rsidR="001F7233" w:rsidRDefault="00000000">
      <w:pPr>
        <w:pStyle w:val="ListParagraph"/>
        <w:numPr>
          <w:ilvl w:val="0"/>
          <w:numId w:val="1"/>
        </w:numPr>
        <w:spacing w:after="60"/>
      </w:pPr>
      <w:r>
        <w:t xml:space="preserve">Canada Border Services Agency — Einreise: </w:t>
      </w:r>
      <w:hyperlink r:id="rId809">
        <w:r w:rsidR="001F7233">
          <w:rPr>
            <w:color w:val="0563C1"/>
            <w:u w:val="single"/>
          </w:rPr>
          <w:t>cbsa-asfc.gc.ca</w:t>
        </w:r>
      </w:hyperlink>
    </w:p>
    <w:p w14:paraId="5EB2BDEF" w14:textId="77777777" w:rsidR="001F7233" w:rsidRDefault="00000000">
      <w:pPr>
        <w:pStyle w:val="ListParagraph"/>
        <w:numPr>
          <w:ilvl w:val="0"/>
          <w:numId w:val="1"/>
        </w:numPr>
        <w:spacing w:after="60"/>
      </w:pPr>
      <w:r>
        <w:t xml:space="preserve">Canadian Food Inspection Agency — Hunde und Katzen: </w:t>
      </w:r>
      <w:hyperlink r:id="rId810">
        <w:r w:rsidR="001F7233">
          <w:rPr>
            <w:color w:val="0563C1"/>
            <w:u w:val="single"/>
          </w:rPr>
          <w:t>inspection.canada.ca/en/importing-food-plants-animals/pets</w:t>
        </w:r>
      </w:hyperlink>
    </w:p>
    <w:p w14:paraId="0A2D6FB1" w14:textId="77777777" w:rsidR="001F7233" w:rsidRDefault="00000000">
      <w:pPr>
        <w:pStyle w:val="ListParagraph"/>
        <w:numPr>
          <w:ilvl w:val="0"/>
          <w:numId w:val="1"/>
        </w:numPr>
        <w:spacing w:after="60"/>
      </w:pPr>
      <w:r>
        <w:t xml:space="preserve">Service Canada — Social Insurance Number: </w:t>
      </w:r>
      <w:hyperlink r:id="rId811">
        <w:r w:rsidR="001F7233">
          <w:rPr>
            <w:color w:val="0563C1"/>
            <w:u w:val="single"/>
          </w:rPr>
          <w:t>canada.ca/en/employment-social-development/services/sin.html</w:t>
        </w:r>
      </w:hyperlink>
    </w:p>
    <w:p w14:paraId="0C228211" w14:textId="77777777" w:rsidR="001F7233" w:rsidRDefault="00000000">
      <w:pPr>
        <w:pStyle w:val="ListParagraph"/>
        <w:numPr>
          <w:ilvl w:val="0"/>
          <w:numId w:val="1"/>
        </w:numPr>
        <w:spacing w:after="60"/>
      </w:pPr>
      <w:r>
        <w:t xml:space="preserve">Ontario — OHIP-Anmeldung: </w:t>
      </w:r>
      <w:hyperlink r:id="rId812">
        <w:r w:rsidR="001F7233">
          <w:rPr>
            <w:color w:val="0563C1"/>
            <w:u w:val="single"/>
          </w:rPr>
          <w:t>ontario.ca/page/apply-ohip-and-get-health-card</w:t>
        </w:r>
      </w:hyperlink>
    </w:p>
    <w:p w14:paraId="22E47276" w14:textId="77777777" w:rsidR="001F7233" w:rsidRDefault="00000000">
      <w:pPr>
        <w:pStyle w:val="ListParagraph"/>
        <w:numPr>
          <w:ilvl w:val="0"/>
          <w:numId w:val="1"/>
        </w:numPr>
        <w:spacing w:after="60"/>
      </w:pPr>
      <w:r>
        <w:t xml:space="preserve">British Columbia — MSP-Wartefrist: </w:t>
      </w:r>
      <w:hyperlink r:id="rId813">
        <w:r w:rsidR="001F7233">
          <w:rPr>
            <w:color w:val="0563C1"/>
            <w:u w:val="single"/>
          </w:rPr>
          <w:t>www2.gov.bc.ca/gov/content/health/health-drug-coverage/msp</w:t>
        </w:r>
      </w:hyperlink>
    </w:p>
    <w:p w14:paraId="3107D9C2" w14:textId="77777777" w:rsidR="001F7233" w:rsidRDefault="00000000">
      <w:pPr>
        <w:pStyle w:val="ListParagraph"/>
        <w:numPr>
          <w:ilvl w:val="0"/>
          <w:numId w:val="1"/>
        </w:numPr>
        <w:spacing w:after="60"/>
      </w:pPr>
      <w:r>
        <w:lastRenderedPageBreak/>
        <w:t xml:space="preserve">CRA — Steuern für Neuankömmlinge: </w:t>
      </w:r>
      <w:hyperlink r:id="rId814">
        <w:r w:rsidR="001F7233">
          <w:rPr>
            <w:color w:val="0563C1"/>
            <w:u w:val="single"/>
          </w:rPr>
          <w:t>canada.ca/en/revenue-agency/services/tax/individuals/international-tax/newcomers-canada-immigrants.html</w:t>
        </w:r>
      </w:hyperlink>
    </w:p>
    <w:p w14:paraId="1539A67F" w14:textId="77777777" w:rsidR="001F7233" w:rsidRDefault="00000000">
      <w:pPr>
        <w:pStyle w:val="ListParagraph"/>
        <w:numPr>
          <w:ilvl w:val="0"/>
          <w:numId w:val="1"/>
        </w:numPr>
        <w:spacing w:after="60"/>
      </w:pPr>
      <w:r>
        <w:t xml:space="preserve">Deutsche Vertretungen in Kanada: </w:t>
      </w:r>
      <w:hyperlink r:id="rId815">
        <w:r w:rsidR="001F7233">
          <w:rPr>
            <w:color w:val="0563C1"/>
            <w:u w:val="single"/>
          </w:rPr>
          <w:t>kanada.diplo.de</w:t>
        </w:r>
      </w:hyperlink>
    </w:p>
    <w:p w14:paraId="5FB50065" w14:textId="77777777" w:rsidR="001F7233" w:rsidRDefault="001F7233">
      <w:pPr>
        <w:spacing w:line="120" w:lineRule="exact"/>
      </w:pPr>
    </w:p>
    <w:p w14:paraId="3DDD0D9D" w14:textId="77777777" w:rsidR="001F7233" w:rsidRDefault="00000000">
      <w:r>
        <w:t>• 23.09.2026. Diese Angaben ändern sich schnell: Wartefristen der Provinz-Krankenversicherungen, SIN-Verfahren, Bankkonditionen für Neuankömmlinge, die CFIA-Regeln für Hunde und Katzen sowie Mobilfunktarife. Prüfe vor der Einreise die aktuellen Seiten von CBSA, CFIA, Service Canada und der Provinzbehörde deines Zielorts.</w:t>
      </w:r>
    </w:p>
    <w:p w14:paraId="64602197" w14:textId="77777777" w:rsidR="001F7233" w:rsidRDefault="00000000">
      <w:pPr>
        <w:spacing w:line="220" w:lineRule="exact"/>
      </w:pPr>
      <w:r>
        <w:br w:type="page"/>
      </w:r>
    </w:p>
    <w:p w14:paraId="56F58ABA" w14:textId="77777777" w:rsidR="001F7233" w:rsidRDefault="00000000">
      <w:pPr>
        <w:pStyle w:val="Heading2"/>
        <w:keepNext/>
        <w:spacing w:line="341" w:lineRule="auto"/>
        <w:jc w:val="center"/>
      </w:pPr>
      <w:bookmarkStart w:id="116" w:name="tka07"/>
      <w:r>
        <w:rPr>
          <w:rFonts w:ascii="Amazon Ember" w:eastAsia="Amazon Ember" w:hAnsi="Amazon Ember" w:cs="Amazon Ember"/>
          <w:color w:val="0000FF"/>
          <w:sz w:val="36"/>
          <w:szCs w:val="36"/>
        </w:rPr>
        <w:lastRenderedPageBreak/>
        <w:t>Kanada: SIN, Steuern, Bank und Kredit aufbauen</w:t>
      </w:r>
      <w:bookmarkEnd w:id="116"/>
    </w:p>
    <w:p w14:paraId="24D7D87D" w14:textId="77777777" w:rsidR="001F7233" w:rsidRDefault="00000000">
      <w:r>
        <w:rPr>
          <w:b/>
        </w:rPr>
        <w:t xml:space="preserve">KURZ GESAGT: </w:t>
      </w:r>
    </w:p>
    <w:p w14:paraId="079901DD" w14:textId="77777777" w:rsidR="001F7233" w:rsidRDefault="00000000">
      <w:r>
        <w:t>• Die SIN beantragst du kostenlos online, per Post oder persönlich. Ohne sie gibt es kein Gehalt, keine Steuererklärung und kein vollwertiges Bankkonto.</w:t>
      </w:r>
    </w:p>
    <w:p w14:paraId="13E93595" w14:textId="77777777" w:rsidR="001F7233" w:rsidRDefault="00000000">
      <w:r>
        <w:t>• Kanada besteuert nach steuerlicher Ansässigkeit, nicht nach Staatsangehörigkeit: Ab dem Tag deiner Ansässigkeit zählt dein Weltjahreseinkommen.</w:t>
      </w:r>
    </w:p>
    <w:p w14:paraId="74B954BD" w14:textId="77777777" w:rsidR="001F7233" w:rsidRDefault="00000000">
      <w:r>
        <w:t>• Der bisherige GST/HST-Credit wird zum 3. Juli 2026 durch die neue Canada Groceries and Essentials Benefit (CGEB) abgelöst. Melde dich trotzdem früh mit Formular RC151 an.</w:t>
      </w:r>
    </w:p>
    <w:p w14:paraId="04F4DF09" w14:textId="77777777" w:rsidR="001F7233" w:rsidRDefault="00000000">
      <w:r>
        <w:t>• Einkommensteuer ist Bundessache plus Provinzsache: 2026 liegt der Bundessatz zwischen 14 % und 33 %, dazu kommt eine eigene Provinztabelle. Ontario und British Columbia unterscheiden sich in der Spitzenbelastung deutlich.</w:t>
      </w:r>
    </w:p>
    <w:p w14:paraId="411CFFDC" w14:textId="77777777" w:rsidR="001F7233" w:rsidRDefault="00000000">
      <w:r>
        <w:t>• Die Mehrwertsteuer reicht von 5 % in Alberta bis 15 % in mehreren Ostprovinzen. Ein Umzug über eine Provinzgrenze verändert jeden Einkaufszettel.</w:t>
      </w:r>
    </w:p>
    <w:p w14:paraId="10907F7B" w14:textId="77777777" w:rsidR="001F7233" w:rsidRDefault="00000000">
      <w:r>
        <w:t>• Deine deutsche Bonität zählt bei Equifax Canada und TransUnion Canada nichts: Du baust deine Kreditwürdigkeit über eine gesicherte Kreditkarte oder ein Newcomer-Paket der großen Banken neu auf.</w:t>
      </w:r>
    </w:p>
    <w:p w14:paraId="12773C05" w14:textId="77777777" w:rsidR="001F7233" w:rsidRDefault="001F7233">
      <w:pPr>
        <w:spacing w:line="220" w:lineRule="exact"/>
      </w:pPr>
    </w:p>
    <w:p w14:paraId="034657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SIN: dein Zugang zum System</w:t>
      </w:r>
    </w:p>
    <w:p w14:paraId="3C91A868" w14:textId="77777777" w:rsidR="001F7233" w:rsidRDefault="00000000">
      <w:pPr>
        <w:spacing w:after="140"/>
      </w:pPr>
      <w:r>
        <w:rPr>
          <w:i/>
          <w:iCs/>
        </w:rPr>
        <w:t xml:space="preserve">Die SIN ist die Voraussetzung, um in Kanada legal zu arbeiten, Steuererklärungen abzugeben und Sozialleistungen wie die Employment Insurance (Arbeitslosenversicherung) oder den Canada Pension Plan (CPP, die gesetzliche Rente) zu beziehen. Auch ein Bankkonto mit vollem Funktionsumfang setzt sie meist voraus. Ohne SIN bist du im kanadischen System schlicht nicht vorhanden. Das ist </w:t>
      </w:r>
      <w:r>
        <w:rPr>
          <w:i/>
          <w:iCs/>
        </w:rPr>
        <w:lastRenderedPageBreak/>
        <w:t>eine erstaunlich wirkungsvolle Art, dir vorübergehend jede Bürokratie zu ersparen, nur leider auch jedes Gehalt.</w:t>
      </w:r>
    </w:p>
    <w:p w14:paraId="3AF664AB" w14:textId="77777777" w:rsidR="001F7233" w:rsidRDefault="00000000">
      <w:pPr>
        <w:spacing w:after="140"/>
      </w:pPr>
      <w:r>
        <w:rPr>
          <w:i/>
          <w:iCs/>
        </w:rPr>
        <w:t>Drei Wege führen zur SIN: online über das eSIN-Portal (die digitale Antragsstrecke von Service Canada) mit hochgeladenen Dokumentkopien, postalisch mit unterschriebenem Antrag und Originaldokumenten, oder persönlich in einer Service-Canada-Filiale, wo die Nummer meist sofort ausgestellt wird. Du brauchst ein gültiges Primärdokument, das Identität und legalen Status in Kanada belegt, etwa dein Work Permit oder die PR-Karte, dazu ein Sekundärdokument wie den Reisepass. Bei Namensabweichungen zwischen den Dokumenten verlangt Service Canada einen zusätzlichen Nachweis. Die Beantragung ist in allen drei Verfahren kostenlos. Die Online-Bestätigung kommt meist binnen fünf Werktagen über dein My Service Canada Account (MSCA, das persönliche Online-Konto bei Service Canada).</w:t>
      </w:r>
    </w:p>
    <w:p w14:paraId="1980B829" w14:textId="77777777" w:rsidR="001F7233" w:rsidRDefault="00000000">
      <w:pPr>
        <w:spacing w:after="140"/>
      </w:pPr>
      <w:r>
        <w:rPr>
          <w:i/>
          <w:iCs/>
        </w:rPr>
        <w:t>Inhaber befristeter Aufenthaltstitel – also Work oder Study Permit. Erhalten eine SIN, die mit der Ziffer „9“ beginnt und ein Ablaufdatum entsprechend dem Aufenthaltstitel trägt. Nach der Umstellung auf den unbefristeten Permanent-Resident-Status (PR) musst du eine neue, unbefristete SIN beantragen. Die alte „9er“-Nummer läuft dann einfach aus.</w:t>
      </w:r>
    </w:p>
    <w:p w14:paraId="7A25ADAB" w14:textId="77777777" w:rsidR="001F7233" w:rsidRDefault="00000000">
      <w:r>
        <w:rPr>
          <w:b/>
        </w:rPr>
        <w:t xml:space="preserve">ACHTUNG: </w:t>
      </w:r>
    </w:p>
    <w:p w14:paraId="128482D8" w14:textId="77777777" w:rsidR="001F7233" w:rsidRDefault="00000000">
      <w:r>
        <w:t>• Beantrage die SIN in deiner ersten Woche in Kanada, auch wenn Wohnungssuche und Jetlag drängender wirken. Ohne SIN kann die Personalabteilung deinen Lohn nicht korrekt melden und die erste Gehaltsabrechnung verzögert sich im ungünstigsten Fall um Wochen.</w:t>
      </w:r>
    </w:p>
    <w:p w14:paraId="009C468E" w14:textId="77777777" w:rsidR="001F7233" w:rsidRDefault="001F7233">
      <w:pPr>
        <w:spacing w:line="220" w:lineRule="exact"/>
      </w:pPr>
    </w:p>
    <w:p w14:paraId="064B5DE7" w14:textId="77777777" w:rsidR="001F7233" w:rsidRDefault="00000000">
      <w:pPr>
        <w:spacing w:after="140"/>
      </w:pPr>
      <w:r>
        <w:t xml:space="preserve">Anders als in den USA wird die SIN in der Praxis seltener als allgemeiner Ausweis bei Vermietern oder Ladengeschäften verlangt. Gib sie deshalb nur an autorisierte Stellen weiter: Arbeitgeber, die Steuerbehörde </w:t>
      </w:r>
      <w:r>
        <w:rPr>
          <w:i/>
          <w:iCs/>
        </w:rPr>
        <w:t>Canada Revenue Agency</w:t>
      </w:r>
      <w:r>
        <w:t xml:space="preserve"> (CRA) und Banken für Zinsmeldungen. Eine SIN-Karte im Portemonnaie ist ebenso riskant </w:t>
      </w:r>
      <w:r>
        <w:lastRenderedPageBreak/>
        <w:t>wie eine Kreditkarte. Lieber zu Hause verwahren und nur die Nummer selbst bei Bedarf mitteilen.</w:t>
      </w:r>
    </w:p>
    <w:p w14:paraId="145E0F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CRA: Besteuerung nach Wohnsitz statt nach Pass</w:t>
      </w:r>
    </w:p>
    <w:p w14:paraId="778F4439" w14:textId="77777777" w:rsidR="001F7233" w:rsidRDefault="00000000">
      <w:pPr>
        <w:spacing w:after="140"/>
      </w:pPr>
      <w:r>
        <w:rPr>
          <w:i/>
          <w:iCs/>
        </w:rPr>
        <w:t>Die CRA ist die kanadische Bundessteuerbehörde und damit ungefähr das, was in Deutschland Finanzamt und Bundeszentralamt für Steuern zusammen wären. Wichtig für Neuankömmlinge ist ein einziges Prinzip: Kanada besteuert nach steuerlicher Ansässigkeit (Residency), nicht nach Staatsangehörigkeit. Sobald du im Einwanderungsjahr als ansässig giltst, musst du ab genau diesem Tag dein Weltjahreseinkommen versteuern. Einkommen, das du vor dem Zuzug im Ausland erzielt hast, bleibt in Kanada steuerfrei.</w:t>
      </w:r>
    </w:p>
    <w:p w14:paraId="4E3928DC" w14:textId="77777777" w:rsidR="001F7233" w:rsidRDefault="00000000">
      <w:pPr>
        <w:spacing w:after="140"/>
      </w:pPr>
      <w:r>
        <w:t>Für das erste Jahr deiner steuerlichen Ansässigkeit giltst du bei der CRA als „Newcomer“. Der persönliche Grundfreibetrag (</w:t>
      </w:r>
      <w:r>
        <w:rPr>
          <w:i/>
          <w:iCs/>
        </w:rPr>
        <w:t>Basic Personal Amount</w:t>
      </w:r>
      <w:r>
        <w:t>) wird dabei anteilig nach den Tagen berechnet, die du im Jahr tatsächlich in Kanada ansässig warst. Ziehst du im September zu, bekommst du also nur einen Bruchteil des vollen Jahresfreibetrags. Die SIN ist Voraussetzung für die elektronische Steuererklärung. Ohne sie bleibt nur der Postweg.</w:t>
      </w:r>
    </w:p>
    <w:p w14:paraId="01E17065" w14:textId="77777777" w:rsidR="001F7233" w:rsidRDefault="00000000">
      <w:pPr>
        <w:spacing w:after="140"/>
      </w:pPr>
      <w:r>
        <w:t>Zwei Formulare lohnen sich früh, nicht erst zur ersten Steuererklärung: Mit Formular RC151 (</w:t>
      </w:r>
      <w:r>
        <w:rPr>
          <w:i/>
          <w:iCs/>
        </w:rPr>
        <w:t>GST/HST Credit Application for Individuals Who Become Residents of Canada</w:t>
      </w:r>
      <w:r>
        <w:t xml:space="preserve">) meldest du dich für die Verbrauchsteuer-Gutschrift an. Mit Formular RC66 beantragst du, sofern du Kinder hast, die </w:t>
      </w:r>
      <w:r>
        <w:rPr>
          <w:i/>
          <w:iCs/>
        </w:rPr>
        <w:t>Canada Child Benefit</w:t>
      </w:r>
      <w:r>
        <w:t xml:space="preserve"> (das kanadische Kindergeld). Der Anspruch kann schon vor der ersten Steuererklärung entstehen – wer wartet, verschenkt bares Geld.</w:t>
      </w:r>
    </w:p>
    <w:p w14:paraId="40A17875" w14:textId="77777777" w:rsidR="001F7233" w:rsidRDefault="00000000">
      <w:r>
        <w:rPr>
          <w:b/>
        </w:rPr>
        <w:t xml:space="preserve">MERKE: </w:t>
      </w:r>
    </w:p>
    <w:p w14:paraId="0D96E8F7" w14:textId="77777777" w:rsidR="001F7233" w:rsidRDefault="00000000">
      <w:r>
        <w:t xml:space="preserve">• Reiche RC151 und, falls zutreffend, RC66 gleich mit dem SIN-Antrag oder kurz nach der Ankunft ein. Beide Leistungen laufen </w:t>
      </w:r>
      <w:r>
        <w:lastRenderedPageBreak/>
        <w:t>unabhängig von deiner ersten Steuererklärung und sollen speziell die ersten, finanziell engen Monate abfedern.</w:t>
      </w:r>
    </w:p>
    <w:p w14:paraId="717408A5" w14:textId="77777777" w:rsidR="001F7233" w:rsidRDefault="001F7233">
      <w:pPr>
        <w:spacing w:line="220" w:lineRule="exact"/>
      </w:pPr>
    </w:p>
    <w:p w14:paraId="0B7C95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Reform 2026: Vom GST/HST-Credit zur CGEB</w:t>
      </w:r>
    </w:p>
    <w:p w14:paraId="45852CB6" w14:textId="77777777" w:rsidR="001F7233" w:rsidRDefault="00000000">
      <w:pPr>
        <w:spacing w:after="140"/>
      </w:pPr>
      <w:r>
        <w:rPr>
          <w:i/>
          <w:iCs/>
        </w:rPr>
        <w:t>Der bisherige GST/HST-Credit – eine vierteljährliche Gutschrift, die einen Teil der Verbrauchsteuerlast für niedrige und mittlere Einkommen ausgleicht – wird zum Zahlungstermin 3. Juli 2026 durch die neue Canada Groceries and Essentials Benefit (CGEB, wörtlich „Kanada-Zuschuss für Lebensmittel und Grundbedarf“) abgelöst. Die letzte reguläre GST/HST-Credit-Zahlung nach altem System erfolgt am 2. April 2026. Dazwischen gibt es einen einmaligen Zuschlag am 5. Juni 2026.</w:t>
      </w:r>
    </w:p>
    <w:p w14:paraId="21111930" w14:textId="77777777" w:rsidR="001F7233" w:rsidRDefault="00000000">
      <w:pPr>
        <w:spacing w:after="140"/>
      </w:pPr>
      <w:r>
        <w:t>Die genauen Anspruchsvoraussetzungen und Beträge der CGEB waren zum Zeitpunkt dieses Kapitels noch nicht im Detail dokumentiert, die Reform wurde erst im Januar 2026 angekündigt. Melde dich trotzdem, wie oben beschrieben, über RC151 an. Diese Anmeldung bleibt die Grundlage, über die dich die CRA für die Nachfolgeleistung berücksichtigt.</w:t>
      </w:r>
    </w:p>
    <w:p w14:paraId="27FFFC76" w14:textId="77777777" w:rsidR="001F7233" w:rsidRDefault="00000000">
      <w:r>
        <w:rPr>
          <w:b/>
        </w:rPr>
        <w:t xml:space="preserve">ACHTUNG: </w:t>
      </w:r>
    </w:p>
    <w:p w14:paraId="22851349" w14:textId="77777777" w:rsidR="001F7233" w:rsidRDefault="00000000">
      <w:r>
        <w:t>• Verlass dich vor deiner Ankunft nicht auf konkrete CGEB-Beträge aus Foren oder älteren Ratgebern. Prüfe kurz vor dem Umzug direkt bei der CRA (</w:t>
      </w:r>
      <w:hyperlink r:id="rId816">
        <w:r w:rsidR="001F7233">
          <w:rPr>
            <w:color w:val="0563C1"/>
            <w:u w:val="single"/>
          </w:rPr>
          <w:t>canada.ca</w:t>
        </w:r>
      </w:hyperlink>
      <w:r>
        <w:t>), wie die Leistung zum Zeitpunkt deiner Einwanderung tatsächlich ausgestaltet ist.</w:t>
      </w:r>
    </w:p>
    <w:p w14:paraId="664197E2" w14:textId="77777777" w:rsidR="001F7233" w:rsidRDefault="001F7233">
      <w:pPr>
        <w:spacing w:line="220" w:lineRule="exact"/>
      </w:pPr>
    </w:p>
    <w:p w14:paraId="7D6C94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Einkommensteuer: Bund, Ontario, British Columbia</w:t>
      </w:r>
    </w:p>
    <w:p w14:paraId="49791748" w14:textId="77777777" w:rsidR="001F7233" w:rsidRDefault="00000000">
      <w:pPr>
        <w:spacing w:after="140"/>
      </w:pPr>
      <w:r>
        <w:t>Deine Einkommensteuer setzt sich in Kanada aus zwei Schichten zusammen: einem Bundestarif, der überall gleich gilt und einem Provinztarif, der von Provinz zu Provinz erheblich variiert. Für 2026 gilt bundesweit dieser progressive Tarif:</w:t>
      </w:r>
    </w:p>
    <w:p w14:paraId="457F0D88" w14:textId="77777777" w:rsidR="001F7233" w:rsidRDefault="00000000">
      <w:r>
        <w:rPr>
          <w:b/>
        </w:rPr>
        <w:t>0–58.523</w:t>
      </w:r>
    </w:p>
    <w:p w14:paraId="3636F538" w14:textId="77777777" w:rsidR="001F7233" w:rsidRDefault="00000000">
      <w:r>
        <w:rPr>
          <w:b/>
        </w:rPr>
        <w:t xml:space="preserve">Bundessatz: </w:t>
      </w:r>
      <w:r>
        <w:t>14 %</w:t>
      </w:r>
    </w:p>
    <w:p w14:paraId="756A44E0" w14:textId="77777777" w:rsidR="001F7233" w:rsidRDefault="00000000">
      <w:r>
        <w:rPr>
          <w:b/>
        </w:rPr>
        <w:t>58.523–117.045</w:t>
      </w:r>
    </w:p>
    <w:p w14:paraId="08E135EC" w14:textId="77777777" w:rsidR="001F7233" w:rsidRDefault="00000000">
      <w:r>
        <w:rPr>
          <w:b/>
        </w:rPr>
        <w:t xml:space="preserve">Bundessatz: </w:t>
      </w:r>
      <w:r>
        <w:t>20,5 %</w:t>
      </w:r>
    </w:p>
    <w:p w14:paraId="42DE4B9E" w14:textId="77777777" w:rsidR="001F7233" w:rsidRDefault="00000000">
      <w:r>
        <w:rPr>
          <w:b/>
        </w:rPr>
        <w:t>117.045–181.440</w:t>
      </w:r>
    </w:p>
    <w:p w14:paraId="6507BEAB" w14:textId="77777777" w:rsidR="001F7233" w:rsidRDefault="00000000">
      <w:r>
        <w:rPr>
          <w:b/>
        </w:rPr>
        <w:t xml:space="preserve">Bundessatz: </w:t>
      </w:r>
      <w:r>
        <w:t>26 %</w:t>
      </w:r>
    </w:p>
    <w:p w14:paraId="752A90E4" w14:textId="77777777" w:rsidR="001F7233" w:rsidRDefault="00000000">
      <w:r>
        <w:rPr>
          <w:b/>
        </w:rPr>
        <w:t>181.440–258.482</w:t>
      </w:r>
    </w:p>
    <w:p w14:paraId="7D0574CF" w14:textId="77777777" w:rsidR="001F7233" w:rsidRDefault="00000000">
      <w:r>
        <w:rPr>
          <w:b/>
        </w:rPr>
        <w:t xml:space="preserve">Bundessatz: </w:t>
      </w:r>
      <w:r>
        <w:t>29 %</w:t>
      </w:r>
    </w:p>
    <w:p w14:paraId="555F1E50" w14:textId="77777777" w:rsidR="001F7233" w:rsidRDefault="00000000">
      <w:r>
        <w:rPr>
          <w:b/>
        </w:rPr>
        <w:t>über 258.482</w:t>
      </w:r>
    </w:p>
    <w:p w14:paraId="3D1AB94E" w14:textId="77777777" w:rsidR="001F7233" w:rsidRDefault="00000000">
      <w:r>
        <w:rPr>
          <w:b/>
        </w:rPr>
        <w:t xml:space="preserve">Bundessatz: </w:t>
      </w:r>
      <w:r>
        <w:t>33 %</w:t>
      </w:r>
    </w:p>
    <w:p w14:paraId="4543C1CC" w14:textId="77777777" w:rsidR="001F7233" w:rsidRDefault="001F7233">
      <w:pPr>
        <w:spacing w:line="180" w:lineRule="exact"/>
      </w:pPr>
    </w:p>
    <w:p w14:paraId="536E8E7E" w14:textId="77777777" w:rsidR="001F7233" w:rsidRDefault="00000000">
      <w:pPr>
        <w:spacing w:after="140"/>
      </w:pPr>
      <w:r>
        <w:t>Der Eingangssatz sank von historisch 15 % auf 14 %, gesetzlich bereits 2025 beschlossen und seit 2026 voll wirksam. Der Bundes-Grundfreibetrag liegt 2026 bei 16.452 CAD. Für sehr hohe Einkommen im Bereich 181.440 bis 258.482 CAD schmilzt er auf 14.829 CAD ab.</w:t>
      </w:r>
    </w:p>
    <w:p w14:paraId="535D5A61" w14:textId="77777777" w:rsidR="001F7233" w:rsidRDefault="00000000">
      <w:pPr>
        <w:spacing w:after="140"/>
      </w:pPr>
      <w:r>
        <w:t>Ontario erhebt auch einen eigenen, niedriger wirkenden Tarif. Der Eindruck täuscht allerdings, denn hier kommt eine Besonderheit hinzu:</w:t>
      </w:r>
    </w:p>
    <w:p w14:paraId="3F611694" w14:textId="77777777" w:rsidR="001F7233" w:rsidRDefault="00000000">
      <w:r>
        <w:rPr>
          <w:b/>
        </w:rPr>
        <w:t>0–53.891</w:t>
      </w:r>
    </w:p>
    <w:p w14:paraId="0AABEF5B" w14:textId="77777777" w:rsidR="001F7233" w:rsidRDefault="00000000">
      <w:r>
        <w:rPr>
          <w:b/>
        </w:rPr>
        <w:t xml:space="preserve">Ontario-Satz: </w:t>
      </w:r>
      <w:r>
        <w:t>5,05 %</w:t>
      </w:r>
    </w:p>
    <w:p w14:paraId="010A2365" w14:textId="77777777" w:rsidR="001F7233" w:rsidRDefault="00000000">
      <w:r>
        <w:rPr>
          <w:b/>
        </w:rPr>
        <w:t>53.891–107.785</w:t>
      </w:r>
    </w:p>
    <w:p w14:paraId="7CFC890B" w14:textId="77777777" w:rsidR="001F7233" w:rsidRDefault="00000000">
      <w:r>
        <w:rPr>
          <w:b/>
        </w:rPr>
        <w:t xml:space="preserve">Ontario-Satz: </w:t>
      </w:r>
      <w:r>
        <w:t>9,15 %</w:t>
      </w:r>
    </w:p>
    <w:p w14:paraId="7F226367" w14:textId="77777777" w:rsidR="001F7233" w:rsidRDefault="00000000">
      <w:r>
        <w:rPr>
          <w:b/>
        </w:rPr>
        <w:t>107.785–150.000</w:t>
      </w:r>
    </w:p>
    <w:p w14:paraId="654C6E43" w14:textId="77777777" w:rsidR="001F7233" w:rsidRDefault="00000000">
      <w:r>
        <w:rPr>
          <w:b/>
        </w:rPr>
        <w:t xml:space="preserve">Ontario-Satz: </w:t>
      </w:r>
      <w:r>
        <w:t>11,16 %</w:t>
      </w:r>
    </w:p>
    <w:p w14:paraId="402EE651" w14:textId="77777777" w:rsidR="001F7233" w:rsidRDefault="00000000">
      <w:r>
        <w:rPr>
          <w:b/>
        </w:rPr>
        <w:lastRenderedPageBreak/>
        <w:t>150.000–220.000</w:t>
      </w:r>
    </w:p>
    <w:p w14:paraId="6246936E" w14:textId="77777777" w:rsidR="001F7233" w:rsidRDefault="00000000">
      <w:r>
        <w:rPr>
          <w:b/>
        </w:rPr>
        <w:t xml:space="preserve">Ontario-Satz: </w:t>
      </w:r>
      <w:r>
        <w:t>12,16 %</w:t>
      </w:r>
    </w:p>
    <w:p w14:paraId="4892D347" w14:textId="77777777" w:rsidR="001F7233" w:rsidRDefault="00000000">
      <w:r>
        <w:rPr>
          <w:b/>
        </w:rPr>
        <w:t>über 220.000</w:t>
      </w:r>
    </w:p>
    <w:p w14:paraId="43C02F59" w14:textId="77777777" w:rsidR="001F7233" w:rsidRDefault="00000000">
      <w:r>
        <w:rPr>
          <w:b/>
        </w:rPr>
        <w:t xml:space="preserve">Ontario-Satz: </w:t>
      </w:r>
      <w:r>
        <w:t>13,16 %</w:t>
      </w:r>
    </w:p>
    <w:p w14:paraId="3EE53A08" w14:textId="77777777" w:rsidR="001F7233" w:rsidRDefault="001F7233">
      <w:pPr>
        <w:spacing w:line="180" w:lineRule="exact"/>
      </w:pPr>
    </w:p>
    <w:p w14:paraId="7AF0106E" w14:textId="77777777" w:rsidR="001F7233" w:rsidRDefault="00000000">
      <w:pPr>
        <w:spacing w:after="140"/>
      </w:pPr>
      <w:r>
        <w:t>Ontario erhebt on top eine Zuschlagsteuer (</w:t>
      </w:r>
      <w:r>
        <w:rPr>
          <w:i/>
          <w:iCs/>
        </w:rPr>
        <w:t>Surtax</w:t>
      </w:r>
      <w:r>
        <w:t>): 20 % auf die Ontario-Steuer, die 5.818 CAD übersteigt, plus weitere 36 % auf den Teil über 7.446 CAD. Eine Steuer auf die eigene Steuer klingt zunächst wie ein Verwaltungsscherz, ist aber bittere Ernsthaftigkeit. Sie wirkt faktisch wie eine sechste, verschärfte Progressionsstufe schon ab mittleren Einkommen. Der Ontario-Grundfreibetrag liegt bei 12.989 CAD.</w:t>
      </w:r>
    </w:p>
    <w:p w14:paraId="66B34FC2" w14:textId="77777777" w:rsidR="001F7233" w:rsidRDefault="00000000">
      <w:pPr>
        <w:spacing w:after="140"/>
      </w:pPr>
      <w:r>
        <w:t>British Columbia rechnet in sieben statt fünf Stufen und geht deutlich höher hinauf:</w:t>
      </w:r>
    </w:p>
    <w:p w14:paraId="0807B2CD" w14:textId="77777777" w:rsidR="001F7233" w:rsidRDefault="00000000">
      <w:r>
        <w:rPr>
          <w:b/>
        </w:rPr>
        <w:t>0–50.363</w:t>
      </w:r>
    </w:p>
    <w:p w14:paraId="2A631679" w14:textId="77777777" w:rsidR="001F7233" w:rsidRDefault="00000000">
      <w:r>
        <w:rPr>
          <w:b/>
        </w:rPr>
        <w:t xml:space="preserve">BC-Satz: </w:t>
      </w:r>
      <w:r>
        <w:t>5,60 %</w:t>
      </w:r>
    </w:p>
    <w:p w14:paraId="3661FC0B" w14:textId="77777777" w:rsidR="001F7233" w:rsidRDefault="00000000">
      <w:r>
        <w:rPr>
          <w:b/>
        </w:rPr>
        <w:t>50.363–100.728</w:t>
      </w:r>
    </w:p>
    <w:p w14:paraId="680F14E6" w14:textId="77777777" w:rsidR="001F7233" w:rsidRDefault="00000000">
      <w:r>
        <w:rPr>
          <w:b/>
        </w:rPr>
        <w:t xml:space="preserve">BC-Satz: </w:t>
      </w:r>
      <w:r>
        <w:t>7,70 %</w:t>
      </w:r>
    </w:p>
    <w:p w14:paraId="25A1B2C4" w14:textId="77777777" w:rsidR="001F7233" w:rsidRDefault="00000000">
      <w:r>
        <w:rPr>
          <w:b/>
        </w:rPr>
        <w:t>100.728–115.648</w:t>
      </w:r>
    </w:p>
    <w:p w14:paraId="4753E2AB" w14:textId="77777777" w:rsidR="001F7233" w:rsidRDefault="00000000">
      <w:r>
        <w:rPr>
          <w:b/>
        </w:rPr>
        <w:t xml:space="preserve">BC-Satz: </w:t>
      </w:r>
      <w:r>
        <w:t>10,50 %</w:t>
      </w:r>
    </w:p>
    <w:p w14:paraId="782B8F50" w14:textId="77777777" w:rsidR="001F7233" w:rsidRDefault="00000000">
      <w:r>
        <w:rPr>
          <w:b/>
        </w:rPr>
        <w:t>115.648–140.430</w:t>
      </w:r>
    </w:p>
    <w:p w14:paraId="3A25DE0F" w14:textId="77777777" w:rsidR="001F7233" w:rsidRDefault="00000000">
      <w:r>
        <w:rPr>
          <w:b/>
        </w:rPr>
        <w:t xml:space="preserve">BC-Satz: </w:t>
      </w:r>
      <w:r>
        <w:t>12,29 %</w:t>
      </w:r>
    </w:p>
    <w:p w14:paraId="59C4B1CD" w14:textId="77777777" w:rsidR="001F7233" w:rsidRDefault="00000000">
      <w:r>
        <w:rPr>
          <w:b/>
        </w:rPr>
        <w:t>140.430–190.405</w:t>
      </w:r>
    </w:p>
    <w:p w14:paraId="69E5E2D5" w14:textId="77777777" w:rsidR="001F7233" w:rsidRDefault="00000000">
      <w:r>
        <w:rPr>
          <w:b/>
        </w:rPr>
        <w:t xml:space="preserve">BC-Satz: </w:t>
      </w:r>
      <w:r>
        <w:t>14,70 %</w:t>
      </w:r>
    </w:p>
    <w:p w14:paraId="333BEBA8" w14:textId="77777777" w:rsidR="001F7233" w:rsidRDefault="00000000">
      <w:r>
        <w:rPr>
          <w:b/>
        </w:rPr>
        <w:t>190.405–265.545</w:t>
      </w:r>
    </w:p>
    <w:p w14:paraId="1CCC638D" w14:textId="77777777" w:rsidR="001F7233" w:rsidRDefault="00000000">
      <w:r>
        <w:rPr>
          <w:b/>
        </w:rPr>
        <w:t xml:space="preserve">BC-Satz: </w:t>
      </w:r>
      <w:r>
        <w:t>16,80 %</w:t>
      </w:r>
    </w:p>
    <w:p w14:paraId="6813D1B1" w14:textId="77777777" w:rsidR="001F7233" w:rsidRDefault="00000000">
      <w:r>
        <w:rPr>
          <w:b/>
        </w:rPr>
        <w:t>über 265.545</w:t>
      </w:r>
    </w:p>
    <w:p w14:paraId="5B60595A" w14:textId="77777777" w:rsidR="001F7233" w:rsidRDefault="00000000">
      <w:r>
        <w:rPr>
          <w:b/>
        </w:rPr>
        <w:t xml:space="preserve">BC-Satz: </w:t>
      </w:r>
      <w:r>
        <w:t>20,50 %</w:t>
      </w:r>
    </w:p>
    <w:p w14:paraId="1A50BAAC" w14:textId="77777777" w:rsidR="001F7233" w:rsidRDefault="001F7233">
      <w:pPr>
        <w:spacing w:line="180" w:lineRule="exact"/>
      </w:pPr>
    </w:p>
    <w:p w14:paraId="26161E52" w14:textId="77777777" w:rsidR="001F7233" w:rsidRDefault="00000000">
      <w:pPr>
        <w:spacing w:after="140"/>
      </w:pPr>
      <w:r>
        <w:t xml:space="preserve">Bei einem zu versteuernden Einkommen bis 24.580 CAD fällt in British Columbia dank der Niedrigeinkommen-Steuerreduktion meist gar keine Provinzsteuer an. Überschlägig (eigene Näherungsrechnung aus den Tabellen oben, keine offizielle Kombinationszahl) liegt der kombinierte Spitzensteuersatz aus Bund </w:t>
      </w:r>
      <w:r>
        <w:lastRenderedPageBreak/>
        <w:t>und Provinz in Ontario bei rund 46 % samt Surtax-Effekt. In British Columbia liegt er bei rund 53 % für Einkommen über 265.545 CAD.</w:t>
      </w:r>
    </w:p>
    <w:p w14:paraId="3995EE5B" w14:textId="77777777" w:rsidR="001F7233" w:rsidRDefault="001F7233">
      <w:pPr>
        <w:spacing w:line="220" w:lineRule="exact"/>
      </w:pPr>
    </w:p>
    <w:p w14:paraId="47E5E6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Mehrwertsteuer: ein System, viele Gesichter</w:t>
      </w:r>
    </w:p>
    <w:p w14:paraId="59BE6915" w14:textId="77777777" w:rsidR="001F7233" w:rsidRDefault="00000000">
      <w:pPr>
        <w:spacing w:after="140"/>
      </w:pPr>
      <w:r>
        <w:t xml:space="preserve">Verbreiteter Irrtum: Wer nur die bundesweite </w:t>
      </w:r>
      <w:r>
        <w:rPr>
          <w:i/>
          <w:iCs/>
        </w:rPr>
        <w:t>Goods and Services Tax</w:t>
      </w:r>
      <w:r>
        <w:t xml:space="preserve"> (GST) von 5 % kennt, geht oft davon aus, in Kanada gelte überall dieselbe Verbrauchsteuer. Tatsächlich bestimmt die Provinz, in der du einkaufst, den tatsächlichen Satz. Der schwankt zwischen 5 und 15 %.</w:t>
      </w:r>
    </w:p>
    <w:p w14:paraId="78D229EF" w14:textId="77777777" w:rsidR="001F7233" w:rsidRDefault="00000000">
      <w:pPr>
        <w:spacing w:after="140"/>
      </w:pPr>
      <w:r>
        <w:rPr>
          <w:i/>
          <w:iCs/>
        </w:rPr>
        <w:t>Fünf Provinzen erheben eine harmonisierte Steuer (Harmonized Sales Tax, HST), die GST und Provinzsteuer bündelt. Vier weitere erheben GST plus eine separate Provinzsteuer: British Columbia 12 % (5 % GST + 7 % PST), Manitoba 12 % (5 % + 7 % RST), Saskatchewan 11 % (5 % + 6 % PST) und Québec 14,975 % (5 % + 9,975 % QST). Die QST verwaltet die eigene Provinzbehörde Revenu Québec.</w:t>
      </w:r>
    </w:p>
    <w:p w14:paraId="319FB7D3" w14:textId="77777777" w:rsidR="001F7233" w:rsidRDefault="00000000">
      <w:pPr>
        <w:spacing w:after="140"/>
      </w:pPr>
      <w:r>
        <w:t>Wer von Alberta nach Ontario oder gar in eine HST-Provinz mit 15 % umzieht, zahlt beim gleichen Einkauf fast das Dreifache an Verbrauchsteuer. Das liegt nicht daran, dass die Regale dort teurer bestückt wären, sondern daran, dass eine unsichtbare Provinzgrenze plötzlich sehr real wird.</w:t>
      </w:r>
    </w:p>
    <w:p w14:paraId="575BF92F" w14:textId="77777777" w:rsidR="001F7233" w:rsidRDefault="001F7233">
      <w:pPr>
        <w:spacing w:line="220" w:lineRule="exact"/>
      </w:pPr>
    </w:p>
    <w:p w14:paraId="7E7370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Bankkonto eröffnen: die Big Five und ihre Newcomer-Pakete</w:t>
      </w:r>
    </w:p>
    <w:p w14:paraId="2DB4307F" w14:textId="77777777" w:rsidR="001F7233" w:rsidRDefault="00000000">
      <w:pPr>
        <w:spacing w:after="140"/>
      </w:pPr>
      <w:r>
        <w:t xml:space="preserve">Der kanadische Privatkundenmarkt wird von den „Big Five“ dominiert: </w:t>
      </w:r>
      <w:r>
        <w:rPr>
          <w:i/>
          <w:iCs/>
        </w:rPr>
        <w:t>Royal Bank of Canada</w:t>
      </w:r>
      <w:r>
        <w:t xml:space="preserve"> (RBC), </w:t>
      </w:r>
      <w:r>
        <w:rPr>
          <w:i/>
          <w:iCs/>
        </w:rPr>
        <w:t>TD Canada Trust</w:t>
      </w:r>
      <w:r>
        <w:t xml:space="preserve">, </w:t>
      </w:r>
      <w:r>
        <w:rPr>
          <w:i/>
          <w:iCs/>
        </w:rPr>
        <w:t>Scotiabank</w:t>
      </w:r>
      <w:r>
        <w:t xml:space="preserve">, </w:t>
      </w:r>
      <w:r>
        <w:rPr>
          <w:i/>
          <w:iCs/>
        </w:rPr>
        <w:t>Bank of Montreal</w:t>
      </w:r>
      <w:r>
        <w:t xml:space="preserve"> (BMO) und </w:t>
      </w:r>
      <w:r>
        <w:rPr>
          <w:i/>
          <w:iCs/>
        </w:rPr>
        <w:t>CIBC</w:t>
      </w:r>
      <w:r>
        <w:t xml:space="preserve">. Alle fünf bieten dedizierte Newcomer-Pakete an, die typischerweise ein gebührenfreies Konto für sechs bis 24 Monate sowie eine Kreditkarte ohne kanadische Kredithistorie umfassen. RBC wirbt mit seinem „Newcomer Advantage“-Paket für ein gebührenfreies Konto samt unbegrenzten </w:t>
      </w:r>
      <w:r>
        <w:rPr>
          <w:i/>
          <w:iCs/>
        </w:rPr>
        <w:t>Interac-e-Transfers</w:t>
      </w:r>
      <w:r>
        <w:t xml:space="preserve"> (der in Kanada allgegenwärtigen Sofortüberweisung zwischen Bankkonten) und gebührenfreien Geldautomaten-Abhebungen im Inland. CIBC bietet mit dem „Smart Account for Newcomers“ bis zu 24 gebührenfreie Monate, teils mit Cash-Bonus bei eingerichtetem Lohn-Dauerauftrag. TD verspricht im „New to Canada“-Paket zwölf gebührenfreie Monate beim Unlimited-Chequing-Konto. Diese Konditionen sind zeitlich befristete Marketingangebote und ändern sich häufig. Verifiziere sie direkt bei der Bank, bevor du dich festlegst.</w:t>
      </w:r>
    </w:p>
    <w:p w14:paraId="74B53C8B" w14:textId="77777777" w:rsidR="001F7233" w:rsidRDefault="00000000">
      <w:pPr>
        <w:spacing w:after="140"/>
      </w:pPr>
      <w:r>
        <w:rPr>
          <w:b/>
        </w:rPr>
        <w:t>Interac e-Transfer im kanadischen Alltag</w:t>
      </w:r>
    </w:p>
    <w:p w14:paraId="67E09A7A" w14:textId="77777777" w:rsidR="001F7233" w:rsidRDefault="00000000">
      <w:pPr>
        <w:spacing w:after="140"/>
      </w:pPr>
      <w:r>
        <w:t>Interac e-Transfer ist die verbreitete Überweisung zwischen kanadischen Bankkonten, oft über E-Mail-Adresse oder Mobilnummer. Behandle eine selbst freigegebene Überweisung wie Bargeld: prüfe Empfängername und Kontaktweg, bestätige die Anfrage über einen zweiten Kanal und nutze Auto-Deposit nur für die eigene bekannte Adresse. Bei einem falschen Empfänger rufst du sofort deine Bank an. Eine abgeschlossene Überweisung lässt sich nicht sicher zurückholen. Quelle: interac.ca/en/how-to-use/interac-e-transfer/how-to-send-money-with-interac-e-transfer/.</w:t>
      </w:r>
    </w:p>
    <w:p w14:paraId="2E932F6F" w14:textId="77777777" w:rsidR="001F7233" w:rsidRDefault="00000000">
      <w:pPr>
        <w:spacing w:after="140"/>
      </w:pPr>
      <w:r>
        <w:rPr>
          <w:b/>
        </w:rPr>
        <w:t>PayPal bei Onlinekaeufen in Kanada</w:t>
      </w:r>
    </w:p>
    <w:p w14:paraId="5F8F8B7D" w14:textId="77777777" w:rsidR="001F7233" w:rsidRDefault="00000000">
      <w:pPr>
        <w:spacing w:after="140"/>
      </w:pPr>
      <w:r>
        <w:t xml:space="preserve">PayPal kann bei teilnehmenden kanadischen Händlern als Checkout-Wallet dienen. Es ersetzt Interac e-Transfer für inländische </w:t>
      </w:r>
      <w:r>
        <w:lastRenderedPageBreak/>
        <w:t>Zahlungen nicht. Bei einem dauerhaften Umzug kannst du dein bisheriges PayPal-Konto nicht einfach auf Kanada umstellen. Kläre offene Guthaben und Zahlungen und eröffne nach den PayPal-Regeln ein Konto im neuen Wohnsitzland. Prüfe Fremdwährungsumrechnung und Gebühren vor der Bestätigung.</w:t>
      </w:r>
    </w:p>
    <w:p w14:paraId="20E73645" w14:textId="77777777" w:rsidR="001F7233" w:rsidRDefault="00000000">
      <w:pPr>
        <w:spacing w:after="140"/>
      </w:pPr>
      <w:r>
        <w:rPr>
          <w:b/>
        </w:rPr>
        <w:t>Reisekreditkarte in Kanada</w:t>
      </w:r>
    </w:p>
    <w:p w14:paraId="6119B235" w14:textId="77777777" w:rsidR="001F7233" w:rsidRDefault="00000000">
      <w:pPr>
        <w:spacing w:after="140"/>
      </w:pPr>
      <w:r>
        <w:t>Wenn du regelmäßig nach Deutschland fliegst, vergleiche eine kanadische Reisekarte anhand von Jahresgebühr, Willkommensbonus, Fremdwährungsgebühr, Reiseversicherung und tatsächlichem Einlösewert. Manche Programme geben einen festen Reisekredit, andere binden Punkte an eigene Buchungsportale oder Airline-Prämien. Vergleiche deshalb den Preis in bar mit Punkten plus Steuern und Zuschlägen. Übertrage Punkte erst, wenn die Prämienbuchung verfügbar und bestätigt ist. Ein Bonus lohnt nur mit ohnehin geplanten Ausgaben und vollständig bezahlter Monatsrechnung.</w:t>
      </w:r>
    </w:p>
    <w:p w14:paraId="31D67D7C" w14:textId="77777777" w:rsidR="001F7233" w:rsidRDefault="00000000">
      <w:pPr>
        <w:spacing w:after="140"/>
      </w:pPr>
      <w:r>
        <w:rPr>
          <w:b/>
        </w:rPr>
        <w:t>Fremde Kartenbuchung: sofort die Bank anrufen</w:t>
      </w:r>
    </w:p>
    <w:p w14:paraId="0C98DCE9" w14:textId="77777777" w:rsidR="001F7233" w:rsidRDefault="00000000">
      <w:pPr>
        <w:spacing w:after="140"/>
      </w:pPr>
      <w:r>
        <w:t>Melde eine nicht autorisierte Belastung sofort der kartenausgebenden Bank, sperre die Karte und notiere die Fallnummer. Bei einer Überweisung, die du selbst freigegeben hast, kann die Rückholung schwieriger sein als bei einer Kartenbuchung. Fristen und Schutz hängen von Karte, Zahlungsart und Vertrag ab. Nutze die Telefonnummer auf der Karte und bewahre Belege auf. Lass dich nicht auf eine Frist aus einem anderen Land verlassen.</w:t>
      </w:r>
    </w:p>
    <w:p w14:paraId="5F5F8878" w14:textId="77777777" w:rsidR="001F7233" w:rsidRDefault="00000000">
      <w:r>
        <w:rPr>
          <w:b/>
        </w:rPr>
        <w:t xml:space="preserve">SPARTIPP: </w:t>
      </w:r>
    </w:p>
    <w:p w14:paraId="6F035BC7" w14:textId="77777777" w:rsidR="001F7233" w:rsidRDefault="00000000">
      <w:r>
        <w:t>• Vergleiche die Newcomer-Pakete schon aus Deutschland, idealerweise online oder telefonisch mit der jeweiligen Filiale. Manche Angebote lassen sich bereits vor der Einreise vorbereiten. Sodass du am ersten Tag in Kanada nicht auch noch eine Bankentscheidung unter Zeitdruck triffst.</w:t>
      </w:r>
    </w:p>
    <w:p w14:paraId="6EE4C89E" w14:textId="77777777" w:rsidR="001F7233" w:rsidRDefault="001F7233">
      <w:pPr>
        <w:spacing w:line="220" w:lineRule="exact"/>
      </w:pPr>
    </w:p>
    <w:p w14:paraId="59F141D2" w14:textId="77777777" w:rsidR="001F7233" w:rsidRDefault="00000000">
      <w:pPr>
        <w:spacing w:after="140"/>
      </w:pPr>
      <w:r>
        <w:t xml:space="preserve">Alle fünf Banken verlangen für das Basis-Newcomer-Konto und die zugehörige Kreditkarte keine kanadische Kredithistorie. Ein </w:t>
      </w:r>
      <w:r>
        <w:lastRenderedPageBreak/>
        <w:t>deutlicher Unterschied zum regulären Kreditkartengeschäft, bei dem die Bonitätsprüfung sonst zum Standard gehört.</w:t>
      </w:r>
    </w:p>
    <w:p w14:paraId="1776E8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bei null anfangen</w:t>
      </w:r>
    </w:p>
    <w:p w14:paraId="47CF2186" w14:textId="77777777" w:rsidR="001F7233" w:rsidRDefault="00000000">
      <w:pPr>
        <w:spacing w:after="140"/>
      </w:pPr>
      <w:r>
        <w:t>Deine makellose Schufa-Akte interessiert Equifax Canada und TransUnion Canada. Die beiden großen kanadischen Kreditauskunfteien – ungefähr so sehr wie ein deutscher Wetterbericht: gar nicht. Jahrzehnte pünktlicher Zahlungen in Deutschland werden nicht importiert, übersetzt oder auch nur zur Kenntnis genommen. Du startest bei null, egal wie sauber deine Bonität zu Hause war.</w:t>
      </w:r>
    </w:p>
    <w:p w14:paraId="7045EBF7" w14:textId="77777777" w:rsidR="001F7233" w:rsidRDefault="00000000">
      <w:pPr>
        <w:spacing w:after="140"/>
      </w:pPr>
      <w:r>
        <w:t>Der klassische Einstieg ist die gesicherte Kreditkarte (</w:t>
      </w:r>
      <w:r>
        <w:rPr>
          <w:i/>
          <w:iCs/>
        </w:rPr>
        <w:t>Secured Credit Card</w:t>
      </w:r>
      <w:r>
        <w:t>): Du hinterlegst eine Kaution, häufig um die 500 CAD, die zugleich dein Kreditlimit bildet. Der Anbieter meldet deine Nutzung monatlich an die Auskunfteien. Alternativ bieten die Big-Five-Banken eigene Newcomer-Kreditkarten ohne Kaution an, die ebenfalls ohne kanadische Vorgeschichte auskommen. Nach 90 bis 180 Tagen regelmäßiger, pünktlich zurückgezahlter Nutzung meldet sich meist ein erster Score. Nach drei bis sechs Monaten wird er belastbarer.</w:t>
      </w:r>
    </w:p>
    <w:p w14:paraId="457A5E36" w14:textId="77777777" w:rsidR="001F7233" w:rsidRDefault="00000000">
      <w:pPr>
        <w:spacing w:after="140"/>
      </w:pPr>
      <w:r>
        <w:rPr>
          <w:i/>
          <w:iCs/>
        </w:rPr>
        <w:t>Eine zusätzliche, zunehmend verbreitete Strategie ist Rent Reporting: Mietzahlungen lassen sich über bestimmte Dienste an die Auskunfteien melden und zählen dann ebenfalls für den Score-Aufbau. Ein Weg, der sich lohnt, bevor die erste Kreditkarte überhaupt genehmigt ist.</w:t>
      </w:r>
    </w:p>
    <w:p w14:paraId="027D24A6" w14:textId="77777777" w:rsidR="001F7233" w:rsidRDefault="00000000">
      <w:pPr>
        <w:spacing w:after="140"/>
      </w:pPr>
      <w:r>
        <w:rPr>
          <w:b/>
        </w:rPr>
        <w:t>Fehler und Betrug in der kanadischen Kreditauskunft</w:t>
      </w:r>
    </w:p>
    <w:p w14:paraId="15F39E6B" w14:textId="77777777" w:rsidR="001F7233" w:rsidRDefault="00000000">
      <w:pPr>
        <w:spacing w:after="140"/>
      </w:pPr>
      <w:r>
        <w:t xml:space="preserve">Fordere deine Berichte bei Equifax und TransUnion an und prüfe beide. Eine Meldung an eine Stelle korrigiert den anderen Bericht nicht automatisch. Reiche einen konkreten Fehler mit Belegen kostenlos bei der Auskunftei ein und informiere auch den Kreditgeber. Bei vermutetem Identitätsbetrug melde dich bei den </w:t>
      </w:r>
      <w:r>
        <w:lastRenderedPageBreak/>
        <w:t>betroffenen Unternehmen und nutze das nationale Meldesystem. Wenn die Prüfung den Eintrag bestätigt, kannst du eine Verbraucherklärung hinzufügen und dich bei Bedarf an die passende Provinz- oder Bundesstelle wenden. Quelle: canada.ca/en/financial-consumer-agency/services/credit-reports-score/check-errors.html.</w:t>
      </w:r>
    </w:p>
    <w:p w14:paraId="3E11257F" w14:textId="77777777" w:rsidR="001F7233" w:rsidRDefault="00000000">
      <w:pPr>
        <w:spacing w:after="140"/>
      </w:pPr>
      <w:r>
        <w:rPr>
          <w:b/>
        </w:rPr>
        <w:t>Hilfe bei nicht mehr tragbaren Schulden</w:t>
      </w:r>
    </w:p>
    <w:p w14:paraId="32D85394" w14:textId="77777777" w:rsidR="001F7233" w:rsidRDefault="00000000">
      <w:pPr>
        <w:spacing w:after="140"/>
      </w:pPr>
      <w:r>
        <w:t>Sprich zuerst mit dem Kreditgeber und frage nach einer vorübergehenden Härtefalllösung. Für unabhängige Orientierung nennt die Financial Consumer Agency of Canada Kreditberatungsstellen. Ein förmlicher Consumer Proposal oder eine Insolvenz wird über einen staatlich lizenzierten Licensed Insolvency Trustee abgewickelt. Prüfe die Zulassung im Register der Aufsichtsbehörde und bezahle keine Firma, die einen sicheren Erlass verspricht. Quellen: canada.ca/en/financial-consumer-agency/services/debt/debt-help.html. Ised-isde.canada.ca/site/office-superintendent-bankruptcy/en/you-owe-money/you-owe-money-consumer-proposals.</w:t>
      </w:r>
    </w:p>
    <w:p w14:paraId="300B1175" w14:textId="77777777" w:rsidR="001F7233" w:rsidRDefault="00000000">
      <w:r>
        <w:rPr>
          <w:b/>
        </w:rPr>
        <w:t xml:space="preserve">MERKE: </w:t>
      </w:r>
    </w:p>
    <w:p w14:paraId="33A9944A" w14:textId="77777777" w:rsidR="001F7233" w:rsidRDefault="00000000">
      <w:r>
        <w:t>• Kreditwürdigkeit in Kanada ist ein eigenständiges System, komplett getrennt von der deutschen Schufa. Niemand „nimmt sie mit“. Du baust sie ab dem ersten Tag in Kanada neu auf. Je früher du damit beginnst, desto eher zahlt es sich bei Miete, Autofinanzierung oder späterer Hypothek aus.</w:t>
      </w:r>
    </w:p>
    <w:p w14:paraId="0BAAAC1C" w14:textId="77777777" w:rsidR="001F7233" w:rsidRDefault="001F7233">
      <w:pPr>
        <w:spacing w:line="220" w:lineRule="exact"/>
      </w:pPr>
    </w:p>
    <w:p w14:paraId="2D995DC1" w14:textId="77777777" w:rsidR="001F7233" w:rsidRDefault="00000000">
      <w:r>
        <w:rPr>
          <w:b/>
        </w:rPr>
        <w:t xml:space="preserve">ACHTUNG: </w:t>
      </w:r>
    </w:p>
    <w:p w14:paraId="6FAE75B3" w14:textId="77777777" w:rsidR="001F7233" w:rsidRDefault="00000000">
      <w:r>
        <w:t>• Beantrage nicht mehrere Kreditkarten gleichzeitig, nur um den Aufbau zu beschleunigen. Jede Anfrage hinterlässt eine Spur in deiner Akte und kann den frisch entstehenden Score kurzfristig eher drücken als stützen.</w:t>
      </w:r>
    </w:p>
    <w:p w14:paraId="12E643E6" w14:textId="77777777" w:rsidR="001F7233" w:rsidRDefault="001F7233">
      <w:pPr>
        <w:spacing w:line="220" w:lineRule="exact"/>
      </w:pPr>
    </w:p>
    <w:p w14:paraId="26C789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Steuererklärung: Fristen im Blick</w:t>
      </w:r>
    </w:p>
    <w:p w14:paraId="4FEDF1E7" w14:textId="77777777" w:rsidR="001F7233" w:rsidRDefault="00000000">
      <w:pPr>
        <w:spacing w:after="140"/>
      </w:pPr>
      <w:r>
        <w:t>Die reguläre Frist für die Steuererklärung ist der 30. April des Folgejahres, für die meisten Privatpersonen unabhängig vom Einreisedatum. Bist du selbstständig, gilt meist der 15. Juni als Abgabefrist für die Erklärung selbst. Die tatsächliche Zahlung ist aber unverändert bereits zum 30. April fällig, was gerne übersehen wird. Deine erste vollständige Steuererklärung als „Newcomer“ wird meist für das Kalenderjahr fällig, in dem du steuerlich ansässig geworden bist. Bewahre dafür von Anfang an Gehaltsabrechnungen und Belege sorgfältig auf.</w:t>
      </w:r>
    </w:p>
    <w:p w14:paraId="76661670" w14:textId="77777777" w:rsidR="001F7233" w:rsidRDefault="00000000">
      <w:r>
        <w:t>• Dieses Kapitel erklärt das System und nennt Richtwerte, ersetzt aber keine individuelle Steuer- oder Rechtsberatung. Ob du im Einreisejahr als ansässig giltst, wie sich der Grundfreibetrag anteilig berechnet und wie das Doppelbesteuerungsabkommen zwischen Deutschland und Kanada mit deutschem Einkommen, Mieteinnahmen oder der gesetzlichen Rente umgeht, hängt vom Einzelfall ab. Lass das von einer kanadischen Steuerberatung prüfen. Sie sollte die deutsche Seite kennen oder sich mit einer deutschen Steuerberatung abstimmen.</w:t>
      </w:r>
    </w:p>
    <w:p w14:paraId="4577B9A1" w14:textId="77777777" w:rsidR="001F7233" w:rsidRDefault="001F7233">
      <w:pPr>
        <w:spacing w:line="220" w:lineRule="exact"/>
      </w:pPr>
    </w:p>
    <w:p w14:paraId="1D19218B" w14:textId="77777777" w:rsidR="001F7233" w:rsidRDefault="00000000">
      <w:pPr>
        <w:pStyle w:val="Heading3"/>
      </w:pPr>
      <w:r>
        <w:t>Bankruptcy oder Consumer Proposal: lokale Beratung nutzen</w:t>
      </w:r>
    </w:p>
    <w:p w14:paraId="682892FB" w14:textId="77777777" w:rsidR="001F7233" w:rsidRDefault="00000000">
      <w:r>
        <w:t>Kanadas Insolvenzrecht bietet neben Bankruptcy auch die Consumer Proposal: Ein Licensed Insolvency Trustee kann einen verbindlichen Vergleich mit Gläubigern organisieren, meist mit Zahlungen über höchstens fünf Jahre. Bankruptcy kann Vermögen und Einkommen betreffen; manche Schulden bleiben bestehen. Ein Eintrag kann künftige Kreditaufnahme und Hypotheken erschweren. Vor Abreise oder Antrag alle Gläubiger, Sicherheiten, Vermögen und Aufenthaltsländer offenlegen und mit einem Licensed Insolvency Trustee klären, welches Verfahren passt. Ein Umzug über die Grenze löscht die Akte nicht.</w:t>
      </w:r>
    </w:p>
    <w:p w14:paraId="779B9DF1" w14:textId="77777777" w:rsidR="001F7233" w:rsidRDefault="00000000">
      <w:pPr>
        <w:pStyle w:val="Heading3"/>
      </w:pPr>
      <w:r>
        <w:lastRenderedPageBreak/>
        <w:t>Schuldenhilfe und Kartenbetrug: früh handeln</w:t>
      </w:r>
    </w:p>
    <w:p w14:paraId="280722EF" w14:textId="77777777" w:rsidR="001F7233" w:rsidRDefault="00000000">
      <w:r>
        <w:t>Bei Zahlungsschwierigkeiten zuerst Kreditgeber und gemeinnützige Budgetberatung kontaktieren. Für formelle Insolvenzverfahren ist ein Licensed Insolvency Trustee zuständig. Schuldenvergleichs-Firmen können Kosten und Bonitätsschäden verursachen, ein Erlass kann außerdem steuerliche Folgen haben. Unbekannte Kartenbuchung sofort beim Herausgeber melden, Karte sperren und schriftliche Fallnummer verlangen. Kreditkarten- und Debitkartenregeln sind verschieden; dokumentiere Fristen und zahle unbestrittene Beträge wie gefordert weiter.</w:t>
      </w:r>
    </w:p>
    <w:p w14:paraId="34D3F2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SIN, Steuern, Bank und Kredit aufbauen</w:t>
      </w:r>
    </w:p>
    <w:p w14:paraId="42065EFC" w14:textId="77777777" w:rsidR="001F7233" w:rsidRDefault="00000000">
      <w:r>
        <w:rPr>
          <w:b/>
        </w:rPr>
        <w:t>Plus: SIN-Beantragung ist kostenlos und meist zügig erledigt</w:t>
      </w:r>
    </w:p>
    <w:p w14:paraId="0976CB08" w14:textId="77777777" w:rsidR="001F7233" w:rsidRDefault="00000000">
      <w:r>
        <w:rPr>
          <w:b/>
        </w:rPr>
        <w:t xml:space="preserve">Minus: </w:t>
      </w:r>
      <w:r>
        <w:t>Ohne SIN keine korrekte Lohnabrechnung und keine Steuererklärung</w:t>
      </w:r>
    </w:p>
    <w:p w14:paraId="2D57B172" w14:textId="77777777" w:rsidR="001F7233" w:rsidRDefault="00000000">
      <w:r>
        <w:rPr>
          <w:b/>
        </w:rPr>
        <w:t>Plus: RC151 und RC66 lassen sich schon vor der ersten Steuererklärung einreichen</w:t>
      </w:r>
    </w:p>
    <w:p w14:paraId="183F3D74" w14:textId="77777777" w:rsidR="001F7233" w:rsidRDefault="00000000">
      <w:r>
        <w:rPr>
          <w:b/>
        </w:rPr>
        <w:t xml:space="preserve">Minus: </w:t>
      </w:r>
      <w:r>
        <w:t>CGEB-Reform 2026 bringt Unsicherheit bei den genauen Leistungen</w:t>
      </w:r>
    </w:p>
    <w:p w14:paraId="4D255937" w14:textId="77777777" w:rsidR="001F7233" w:rsidRDefault="00000000">
      <w:r>
        <w:rPr>
          <w:b/>
        </w:rPr>
        <w:t>Plus: Newcomer-Bankpakete öffnen Konto und Kreditkarte ohne Wartezeit</w:t>
      </w:r>
    </w:p>
    <w:p w14:paraId="2CDC7729" w14:textId="77777777" w:rsidR="001F7233" w:rsidRDefault="00000000">
      <w:r>
        <w:rPr>
          <w:b/>
        </w:rPr>
        <w:t xml:space="preserve">Minus: </w:t>
      </w:r>
      <w:r>
        <w:t>Konditionen der Bankpakete sind befristet und ändern sich häufig</w:t>
      </w:r>
    </w:p>
    <w:p w14:paraId="20D4341E" w14:textId="77777777" w:rsidR="001F7233" w:rsidRDefault="00000000">
      <w:r>
        <w:rPr>
          <w:b/>
        </w:rPr>
        <w:t>Plus: Provinzwahl kann die Steuer- und Verbrauchsteuerlast spürbar senken (z. B. Alberta)</w:t>
      </w:r>
    </w:p>
    <w:p w14:paraId="07E01CAC" w14:textId="77777777" w:rsidR="001F7233" w:rsidRDefault="00000000">
      <w:r>
        <w:rPr>
          <w:b/>
        </w:rPr>
        <w:t xml:space="preserve">Minus: </w:t>
      </w:r>
      <w:r>
        <w:t>Ontario- und BC-Spitzensteuersätze liegen kombiniert bei rund 46 bis 53 %</w:t>
      </w:r>
    </w:p>
    <w:p w14:paraId="3BB8A7AF" w14:textId="77777777" w:rsidR="001F7233" w:rsidRDefault="00000000">
      <w:r>
        <w:rPr>
          <w:b/>
        </w:rPr>
        <w:t>Plus: Gesicherte Kreditkarte liefert schon nach wenigen Monaten einen ersten Score</w:t>
      </w:r>
    </w:p>
    <w:p w14:paraId="3605BD11" w14:textId="77777777" w:rsidR="001F7233" w:rsidRDefault="00000000">
      <w:r>
        <w:rPr>
          <w:b/>
        </w:rPr>
        <w:t xml:space="preserve">Minus: </w:t>
      </w:r>
      <w:r>
        <w:t>Start ohne jede kanadische Kredithistorie, Schufa zählt nicht</w:t>
      </w:r>
    </w:p>
    <w:p w14:paraId="1532FC83" w14:textId="77777777" w:rsidR="001F7233" w:rsidRDefault="001F7233">
      <w:pPr>
        <w:spacing w:line="180" w:lineRule="exact"/>
      </w:pPr>
    </w:p>
    <w:p w14:paraId="600DDE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F0D2006" w14:textId="77777777" w:rsidR="001F7233" w:rsidRDefault="00000000">
      <w:pPr>
        <w:spacing w:after="140"/>
      </w:pPr>
      <w:r>
        <w:t>Beantrage die SIN in deiner ersten Woche in Kanada und reiche RC151 sowie bei Kindern RC66 zeitnah ein. Vergleiche die Newcomer-Pakete der Big-Five-Banken schon vor der Ankunft und eröffne dein Konto so früh wie möglich. Beantrage danach zügig eine gesicherte Kreditkarte oder ein Newcomer-Kreditkartenpaket, zahle jede Rechnung pünktlich und vollständig und kalkuliere bei der Wahl deiner Provinz die tatsächliche Steuer- und Verbrauchsteuerlast mit ein.</w:t>
      </w:r>
    </w:p>
    <w:p w14:paraId="05924499" w14:textId="77777777" w:rsidR="001F7233" w:rsidRDefault="00000000">
      <w:r>
        <w:t>• SIN online, postalisch oder persönlich beantragt, Primär- und Sekundärdokument bereitgelegt</w:t>
      </w:r>
    </w:p>
    <w:p w14:paraId="575E60D2" w14:textId="77777777" w:rsidR="001F7233" w:rsidRDefault="00000000">
      <w:r>
        <w:t>• My Service Canada Account (MSCA) eingerichtet, Bestätigung der SIN geprüft</w:t>
      </w:r>
    </w:p>
    <w:p w14:paraId="5AB53DD1" w14:textId="77777777" w:rsidR="001F7233" w:rsidRDefault="00000000">
      <w:r>
        <w:t>• Formular RC151 (GST/HST-Credit bzw. CGEB) eingereicht</w:t>
      </w:r>
    </w:p>
    <w:p w14:paraId="7611597B" w14:textId="77777777" w:rsidR="001F7233" w:rsidRDefault="00000000">
      <w:r>
        <w:t>• Bei Kindern: Formular RC66 (Canada Child Benefit) eingereicht</w:t>
      </w:r>
    </w:p>
    <w:p w14:paraId="12A2CCBB" w14:textId="77777777" w:rsidR="001F7233" w:rsidRDefault="00000000">
      <w:r>
        <w:t>• Newcomer-Bankpaket verglichen und Konto bei einer der Big-Five-Banken eröffnet</w:t>
      </w:r>
    </w:p>
    <w:p w14:paraId="0A94DDF4" w14:textId="77777777" w:rsidR="001F7233" w:rsidRDefault="00000000">
      <w:r>
        <w:t>• Bundes- und Provinzsteuertabelle für deine Zielprovinz durchgerechnet</w:t>
      </w:r>
    </w:p>
    <w:p w14:paraId="0C13A014" w14:textId="77777777" w:rsidR="001F7233" w:rsidRDefault="00000000">
      <w:r>
        <w:t>• GST/HST-Satz deiner Zielprovinz beim Haushaltsbudget berücksichtigt</w:t>
      </w:r>
    </w:p>
    <w:p w14:paraId="67F0C8D9" w14:textId="77777777" w:rsidR="001F7233" w:rsidRDefault="00000000">
      <w:r>
        <w:t>• Gesicherte Kreditkarte oder Newcomer-Kreditkarte beantragt</w:t>
      </w:r>
    </w:p>
    <w:p w14:paraId="1B5625C5" w14:textId="77777777" w:rsidR="001F7233" w:rsidRDefault="00000000">
      <w:r>
        <w:t>• Nicht mehrere Kreditanträge gleichzeitig gestellt</w:t>
      </w:r>
    </w:p>
    <w:p w14:paraId="52F3B07C" w14:textId="77777777" w:rsidR="001F7233" w:rsidRDefault="00000000">
      <w:r>
        <w:t>• Frist für die erste kanadische Steuererklärung (30. April) im Kalender notiert</w:t>
      </w:r>
    </w:p>
    <w:p w14:paraId="69C66E8B" w14:textId="77777777" w:rsidR="001F7233" w:rsidRDefault="001F7233">
      <w:pPr>
        <w:spacing w:line="220" w:lineRule="exact"/>
      </w:pPr>
    </w:p>
    <w:p w14:paraId="7C8BC1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87C1741" w14:textId="77777777" w:rsidR="001F7233" w:rsidRDefault="001F7233">
      <w:pPr>
        <w:pStyle w:val="ListParagraph"/>
        <w:numPr>
          <w:ilvl w:val="0"/>
          <w:numId w:val="1"/>
        </w:numPr>
        <w:spacing w:after="60"/>
      </w:pPr>
      <w:hyperlink r:id="rId817">
        <w:r>
          <w:rPr>
            <w:color w:val="0563C1"/>
            <w:u w:val="single"/>
          </w:rPr>
          <w:t>canada.ca/en/revenue-agency</w:t>
        </w:r>
      </w:hyperlink>
      <w:r>
        <w:t xml:space="preserve"> – CRA: SIN-Beantragung, Steuersätze, Newcomer-Regeln, RC151/RC66</w:t>
      </w:r>
    </w:p>
    <w:p w14:paraId="6B94E88F" w14:textId="77777777" w:rsidR="001F7233" w:rsidRDefault="001F7233">
      <w:pPr>
        <w:pStyle w:val="ListParagraph"/>
        <w:numPr>
          <w:ilvl w:val="0"/>
          <w:numId w:val="1"/>
        </w:numPr>
        <w:spacing w:after="60"/>
      </w:pPr>
      <w:hyperlink r:id="rId818">
        <w:r>
          <w:rPr>
            <w:color w:val="0563C1"/>
            <w:u w:val="single"/>
          </w:rPr>
          <w:t>canada.ca/en/employment-social-development/services/sin</w:t>
        </w:r>
      </w:hyperlink>
      <w:r>
        <w:t xml:space="preserve"> – SIN-Antrag im Detail</w:t>
      </w:r>
    </w:p>
    <w:p w14:paraId="4AAAAEE2" w14:textId="77777777" w:rsidR="001F7233" w:rsidRDefault="001F7233">
      <w:pPr>
        <w:pStyle w:val="ListParagraph"/>
        <w:numPr>
          <w:ilvl w:val="0"/>
          <w:numId w:val="1"/>
        </w:numPr>
        <w:spacing w:after="60"/>
      </w:pPr>
      <w:hyperlink r:id="rId819">
        <w:r>
          <w:rPr>
            <w:color w:val="0563C1"/>
            <w:u w:val="single"/>
          </w:rPr>
          <w:t>www2.gov.bc.ca/gov/content/taxes/income-taxes</w:t>
        </w:r>
      </w:hyperlink>
      <w:r>
        <w:t xml:space="preserve"> – British-Columbia-Steuersätze</w:t>
      </w:r>
    </w:p>
    <w:p w14:paraId="1103F48A" w14:textId="77777777" w:rsidR="001F7233" w:rsidRDefault="001F7233">
      <w:pPr>
        <w:pStyle w:val="ListParagraph"/>
        <w:numPr>
          <w:ilvl w:val="0"/>
          <w:numId w:val="1"/>
        </w:numPr>
        <w:spacing w:after="60"/>
      </w:pPr>
      <w:hyperlink r:id="rId820">
        <w:r>
          <w:rPr>
            <w:color w:val="0563C1"/>
            <w:u w:val="single"/>
          </w:rPr>
          <w:t>taxtips.ca</w:t>
        </w:r>
      </w:hyperlink>
      <w:r>
        <w:t xml:space="preserve"> – unabhängige kanadische Steuer-Referenzseite (Ontario- und Provinztabellen)</w:t>
      </w:r>
    </w:p>
    <w:p w14:paraId="5FC8FCD7" w14:textId="77777777" w:rsidR="001F7233" w:rsidRDefault="001F7233">
      <w:pPr>
        <w:pStyle w:val="ListParagraph"/>
        <w:numPr>
          <w:ilvl w:val="0"/>
          <w:numId w:val="1"/>
        </w:numPr>
        <w:spacing w:after="60"/>
      </w:pPr>
      <w:hyperlink r:id="rId821">
        <w:r>
          <w:rPr>
            <w:color w:val="0563C1"/>
            <w:u w:val="single"/>
          </w:rPr>
          <w:t>rbc.com</w:t>
        </w:r>
      </w:hyperlink>
      <w:r>
        <w:t xml:space="preserve"> / </w:t>
      </w:r>
      <w:hyperlink r:id="rId822">
        <w:r>
          <w:rPr>
            <w:color w:val="0563C1"/>
            <w:u w:val="single"/>
          </w:rPr>
          <w:t>td.com</w:t>
        </w:r>
      </w:hyperlink>
      <w:r>
        <w:t xml:space="preserve"> / </w:t>
      </w:r>
      <w:hyperlink r:id="rId823">
        <w:r>
          <w:rPr>
            <w:color w:val="0563C1"/>
            <w:u w:val="single"/>
          </w:rPr>
          <w:t>scotiabank.com</w:t>
        </w:r>
      </w:hyperlink>
      <w:r>
        <w:t xml:space="preserve"> / </w:t>
      </w:r>
      <w:hyperlink r:id="rId824">
        <w:r>
          <w:rPr>
            <w:color w:val="0563C1"/>
            <w:u w:val="single"/>
          </w:rPr>
          <w:t>bmo.com</w:t>
        </w:r>
      </w:hyperlink>
      <w:r>
        <w:t xml:space="preserve"> / </w:t>
      </w:r>
      <w:hyperlink r:id="rId825">
        <w:r>
          <w:rPr>
            <w:color w:val="0563C1"/>
            <w:u w:val="single"/>
          </w:rPr>
          <w:t>cibc.com</w:t>
        </w:r>
      </w:hyperlink>
      <w:r>
        <w:t xml:space="preserve"> – Newcomer-Bankpakete der Big Five</w:t>
      </w:r>
    </w:p>
    <w:p w14:paraId="3C98B27A" w14:textId="77777777" w:rsidR="001F7233" w:rsidRDefault="001F7233">
      <w:pPr>
        <w:pStyle w:val="ListParagraph"/>
        <w:numPr>
          <w:ilvl w:val="0"/>
          <w:numId w:val="1"/>
        </w:numPr>
        <w:spacing w:after="60"/>
      </w:pPr>
      <w:hyperlink r:id="rId826">
        <w:r>
          <w:rPr>
            <w:color w:val="0563C1"/>
            <w:u w:val="single"/>
          </w:rPr>
          <w:t>equifax.ca</w:t>
        </w:r>
      </w:hyperlink>
      <w:r>
        <w:t xml:space="preserve"> / </w:t>
      </w:r>
      <w:hyperlink r:id="rId827">
        <w:r>
          <w:rPr>
            <w:color w:val="0563C1"/>
            <w:u w:val="single"/>
          </w:rPr>
          <w:t>transunion.ca</w:t>
        </w:r>
      </w:hyperlink>
      <w:r>
        <w:t xml:space="preserve"> – Kreditauskunft und Score-Aufbau in Kanada</w:t>
      </w:r>
    </w:p>
    <w:p w14:paraId="4903BB26" w14:textId="77777777" w:rsidR="001F7233" w:rsidRDefault="001F7233">
      <w:pPr>
        <w:spacing w:line="120" w:lineRule="exact"/>
      </w:pPr>
    </w:p>
    <w:p w14:paraId="2F2F8FED" w14:textId="77777777" w:rsidR="001F7233" w:rsidRDefault="00000000">
      <w:pPr>
        <w:pStyle w:val="ListParagraph"/>
      </w:pPr>
      <w:r>
        <w:t xml:space="preserve">Office of the Superintendent of Bankruptcy — compare debt solutions: </w:t>
      </w:r>
      <w:hyperlink r:id="rId828">
        <w:r w:rsidR="001F7233">
          <w:rPr>
            <w:rStyle w:val="Hyperlink"/>
          </w:rPr>
          <w:t>ised-isde.canada.ca/site/office-superintendent-bankruptcy/en/you-owe-money/compare-debt-solutions</w:t>
        </w:r>
      </w:hyperlink>
    </w:p>
    <w:p w14:paraId="4EB138E2" w14:textId="77777777" w:rsidR="001F7233" w:rsidRDefault="00000000">
      <w:pPr>
        <w:pStyle w:val="ListParagraph"/>
      </w:pPr>
      <w:r>
        <w:t xml:space="preserve">Financial Consumer Agency of Canada — debt help: </w:t>
      </w:r>
      <w:hyperlink r:id="rId829">
        <w:r w:rsidR="001F7233">
          <w:rPr>
            <w:rStyle w:val="Hyperlink"/>
          </w:rPr>
          <w:t>canada.ca/en/financial-consumer-agency/services/debt.html</w:t>
        </w:r>
      </w:hyperlink>
    </w:p>
    <w:p w14:paraId="7FE0225F" w14:textId="77777777" w:rsidR="001F7233" w:rsidRDefault="00000000">
      <w:r>
        <w:t xml:space="preserve">• 23.09.2026. Diese Angaben ändern sich schnell: die genaue Ausgestaltung der CGEB ab Juli 2026, jährliche Indexierung der Bundes- und Provinzsteuersätze, Konditionen der Newcomer-Bankpakete sowie Nova-Scotia- und andere Provinzänderungen bei der Verbrauchsteuer. Prüfe vor jeder Entscheidung die aktuellen Werte auf </w:t>
      </w:r>
      <w:hyperlink r:id="rId830">
        <w:r w:rsidR="001F7233">
          <w:rPr>
            <w:color w:val="0563C1"/>
            <w:u w:val="single"/>
          </w:rPr>
          <w:t>canada.ca</w:t>
        </w:r>
      </w:hyperlink>
      <w:r>
        <w:t xml:space="preserve"> und den Websites deiner gewählten Bank.</w:t>
      </w:r>
    </w:p>
    <w:p w14:paraId="54938268" w14:textId="77777777" w:rsidR="001F7233" w:rsidRDefault="00000000">
      <w:pPr>
        <w:spacing w:line="220" w:lineRule="exact"/>
      </w:pPr>
      <w:r>
        <w:br w:type="page"/>
      </w:r>
    </w:p>
    <w:p w14:paraId="39FEBF33" w14:textId="77777777" w:rsidR="001F7233" w:rsidRDefault="00000000">
      <w:pPr>
        <w:pStyle w:val="Heading2"/>
        <w:keepNext/>
        <w:spacing w:line="341" w:lineRule="auto"/>
        <w:jc w:val="center"/>
      </w:pPr>
      <w:bookmarkStart w:id="117" w:name="tka08"/>
      <w:r>
        <w:rPr>
          <w:rFonts w:ascii="Amazon Ember" w:eastAsia="Amazon Ember" w:hAnsi="Amazon Ember" w:cs="Amazon Ember"/>
          <w:color w:val="0000FF"/>
          <w:sz w:val="36"/>
          <w:szCs w:val="36"/>
        </w:rPr>
        <w:lastRenderedPageBreak/>
        <w:t>Kanada: Das Gesundheitssystem</w:t>
      </w:r>
      <w:bookmarkEnd w:id="117"/>
    </w:p>
    <w:p w14:paraId="7CF9E52F" w14:textId="77777777" w:rsidR="001F7233" w:rsidRDefault="00000000">
      <w:pPr>
        <w:spacing w:after="140"/>
      </w:pPr>
      <w:r>
        <w:t>Wer in Deutschland aufgewachsen ist, kennt es nicht anders: Krankenversicherung ist Pflicht, greift ab dem ersten Tag, fertig. Kanada gilt in Deutschland als das Land mit der freundlichen, kostenlosen „Medicare“ für alle. Dieser Ruf verschweigt bei genauerem Hinsehen eine wichtige Einschränkung. Tatsächlich gibt es kein einziges nationales System, sondern 13 getrennte Provinz- und Territorialsysteme. Mehrere davon lassen Neuankömmlinge erst nach einer Wartefrist ohne Deckung dastehen. Dieses Kapitel erklärt, wie die Provinz-Krankenversicherung funktioniert, wo genau die Lücke lauert und wie du sie überbrückst.</w:t>
      </w:r>
    </w:p>
    <w:p w14:paraId="19DA3E3A" w14:textId="77777777" w:rsidR="001F7233" w:rsidRDefault="00000000">
      <w:r>
        <w:rPr>
          <w:b/>
        </w:rPr>
        <w:t xml:space="preserve">KURZ GESAGT: </w:t>
      </w:r>
    </w:p>
    <w:p w14:paraId="6491FE2D" w14:textId="77777777" w:rsidR="001F7233" w:rsidRDefault="00000000">
      <w:r>
        <w:t>• Kanada hat kein einheitliches „Medicare“-System, sondern 13 separate Provinz- und Territorialsysteme mit dem Canada Health Act als bundesweitem Mindeststandard.</w:t>
      </w:r>
    </w:p>
    <w:p w14:paraId="4FD0ECA6" w14:textId="77777777" w:rsidR="001F7233" w:rsidRDefault="00000000">
      <w:r>
        <w:t>• Ontario hat die frühere Drei-Monats-Wartefrist bereits 2020 abgeschafft: Die Deckung gilt dort ab Antragstellung.</w:t>
      </w:r>
    </w:p>
    <w:p w14:paraId="1D137027" w14:textId="77777777" w:rsidR="001F7233" w:rsidRDefault="00000000">
      <w:r>
        <w:t>• British Columbia und Québec verlangen weiterhin eine Wartefrist von rund drei Monaten ab Zuzug.</w:t>
      </w:r>
    </w:p>
    <w:p w14:paraId="0DC24576" w14:textId="77777777" w:rsidR="001F7233" w:rsidRDefault="00000000">
      <w:r>
        <w:t>• Alberta und Saskatchewan gelten laut mehreren Quellen als praktisch wartefrei, das ist aber nicht für jede Provinz einzeln amtlich bestätigt. Vor dem Umzug direkt bei der Provinz nachfragen.</w:t>
      </w:r>
    </w:p>
    <w:p w14:paraId="70EF89AB" w14:textId="77777777" w:rsidR="001F7233" w:rsidRDefault="00000000">
      <w:r>
        <w:t>• Für die Wartefrist brauchst du eine private Übergangsversicherung, meist rund 100 bis 200 CAD pro Person und Monat.</w:t>
      </w:r>
    </w:p>
    <w:p w14:paraId="3081621A" w14:textId="77777777" w:rsidR="001F7233" w:rsidRDefault="00000000">
      <w:r>
        <w:t>• Selbst mit Provinz-Krankenversicherung bleiben Zahnbehandlung, verschreibungspflichtige Medikamente außer der Klinik, Sehhilfen und Physiotherapie meist unversichert. Dafür brauchst du eine private Zusatzversicherung.</w:t>
      </w:r>
    </w:p>
    <w:p w14:paraId="6E9D5862" w14:textId="77777777" w:rsidR="001F7233" w:rsidRDefault="001F7233">
      <w:pPr>
        <w:spacing w:line="220" w:lineRule="exact"/>
      </w:pPr>
    </w:p>
    <w:p w14:paraId="255498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 System, 13 Varianten</w:t>
      </w:r>
    </w:p>
    <w:p w14:paraId="397495A7" w14:textId="77777777" w:rsidR="001F7233" w:rsidRDefault="00000000">
      <w:pPr>
        <w:spacing w:after="140"/>
      </w:pPr>
      <w:r>
        <w:rPr>
          <w:i/>
          <w:iCs/>
        </w:rPr>
        <w:t>Der Canada Health Act von 1984 ist ein Rahmengesetz: Er verpflichtet jede Provinz und jedes Territorium, eine öffentliche Krankenversicherung mit bestimmten Mindeststandards anzubieten: medizinisch notwendige Arzt- und Krankenhausleistungen, allgemein zugänglich, ohne Zuzahlung an der Behandlungsstelle. Wie im Detail die einzelne Provinz das umsetzt, welche Wartefrist für Neuankömmlinge gilt und wie die Anmeldung abläuft, entscheidet sie aber selbst.</w:t>
      </w:r>
    </w:p>
    <w:p w14:paraId="489DFF55" w14:textId="77777777" w:rsidR="001F7233" w:rsidRDefault="00000000">
      <w:pPr>
        <w:spacing w:after="140"/>
      </w:pPr>
      <w:r>
        <w:rPr>
          <w:i/>
          <w:iCs/>
        </w:rPr>
        <w:t>Verbreiteter Irrtum: Viele deutsche Auswanderer stellen sich unter „kanadischem Gesundheitssystem“ so etwas wie eine nationale Einheitskasse vor, vergleichbar mit einem zentralisierten NHS. Tatsächlich heißt das Programm in jeder Provinz anders. In Ontario etwa OHIP (Ontario Health Insurance Plan), in British Columbia MSP (Medical Services Plan), in Québec RAMQ (Régie de l’assurance maladie du Québec). Die Regeln für Neuankömmlinge unterscheiden sich spürbar. Wer aus Ontario-Erfahrungsberichten pauschal auf ganz Kanada schließt, kann eine teure Überraschung erleben, sobald er nach British Columbia oder Québec zieht.</w:t>
      </w:r>
    </w:p>
    <w:p w14:paraId="70594DA5" w14:textId="77777777" w:rsidR="001F7233" w:rsidRDefault="00000000">
      <w:r>
        <w:rPr>
          <w:b/>
        </w:rPr>
        <w:t xml:space="preserve">MERKE: </w:t>
      </w:r>
    </w:p>
    <w:p w14:paraId="2D04B71E" w14:textId="77777777" w:rsidR="001F7233" w:rsidRDefault="00000000">
      <w:r>
        <w:t>• Die Provinz, in der du dich niederlässt, bestimmt maßgeblich, wie lange du ohne Krankenversicherungsschutz bist. Das ist bei der Wahl deines Zielorts (siehe das Kapitel zum Wohnen in diesem Teil) ein Faktor, den viele erst zu spät bedenken.</w:t>
      </w:r>
    </w:p>
    <w:p w14:paraId="28F1BD43" w14:textId="77777777" w:rsidR="001F7233" w:rsidRDefault="001F7233">
      <w:pPr>
        <w:spacing w:line="220" w:lineRule="exact"/>
      </w:pPr>
    </w:p>
    <w:p w14:paraId="5CF672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Ontario: keine Wartefrist mehr seit 2020</w:t>
      </w:r>
    </w:p>
    <w:p w14:paraId="75853E11" w14:textId="77777777" w:rsidR="001F7233" w:rsidRDefault="00000000">
      <w:pPr>
        <w:spacing w:after="140"/>
      </w:pPr>
      <w:r>
        <w:t xml:space="preserve">Ontario hat seine historische Drei-Monats-Wartefrist, die seit 1994 galt, im März 2020 abgeschafft und sie ist 2026 weiterhin außer Kraft. Wer sich bei OHIP anmeldet und die Zulassungskriterien </w:t>
      </w:r>
      <w:r>
        <w:lastRenderedPageBreak/>
        <w:t>erfüllt, ist ab dem Tag der Antragstellung versichert. Das gilt auch, wenn die physische Gesundheitskarte erst nach vier bis sechs Wochen im Briefkasten liegt. Bis dahin gilt die Anmeldebestätigung als Nachweis.</w:t>
      </w:r>
    </w:p>
    <w:p w14:paraId="13AB0977" w14:textId="77777777" w:rsidR="001F7233" w:rsidRDefault="001F7233">
      <w:pPr>
        <w:spacing w:line="220" w:lineRule="exact"/>
      </w:pPr>
    </w:p>
    <w:p w14:paraId="2396D44D" w14:textId="77777777" w:rsidR="001F7233" w:rsidRDefault="00000000">
      <w:pPr>
        <w:spacing w:after="140"/>
      </w:pPr>
      <w:r>
        <w:t>Die praktische Bearbeitungsdauer bis zur Kartenzustellung liegt bei etwa vier bis sechs Wochen. Melde dich trotzdem so früh wie möglich an. Damit die Deckung selbst keinen Tag Verzögerung hat.</w:t>
      </w:r>
    </w:p>
    <w:p w14:paraId="6C5B5F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British Columbia und Québec: drei Monate ohne Deckung</w:t>
      </w:r>
    </w:p>
    <w:p w14:paraId="085A175F" w14:textId="77777777" w:rsidR="001F7233" w:rsidRDefault="00000000">
      <w:pPr>
        <w:spacing w:after="140"/>
      </w:pPr>
      <w:r>
        <w:t>British Columbia hält an der Drei-Monats-Wartefrist fest. Sie umfasst den Rest des Ankunftsmonats plus zwei weitere volle Kalendermonate. Wer am 10. eines Monats einreist, ist also erst ab dem Ersten des übernächsten Folgemonats über den MSP versichert. Immerhin ist der MSP seit dem 1. Januar 2020 beitragsfrei. Die Wartefrist bleibt trotzdem bestehen, unabhängig von dieser Entlastung.</w:t>
      </w:r>
    </w:p>
    <w:p w14:paraId="033F3A0F" w14:textId="77777777" w:rsidR="001F7233" w:rsidRDefault="00000000">
      <w:pPr>
        <w:spacing w:after="140"/>
      </w:pPr>
      <w:r>
        <w:t>Québec verlangt über den RAMQ nach vorliegenden Quellen ebenfalls rund drei Monate Wartefrist für Neuankömmlinge. Eine einzelne, direkt bei der Provinzbehörde geprüfte Primärquelle liegt dafür nicht vor, weshalb du die genaue Regel vor dem Umzug direkt bei der RAMQ bestätigen solltest.</w:t>
      </w:r>
    </w:p>
    <w:p w14:paraId="2BA2FAD0" w14:textId="77777777" w:rsidR="001F7233" w:rsidRDefault="00000000">
      <w:r>
        <w:rPr>
          <w:b/>
        </w:rPr>
        <w:t xml:space="preserve">ACHTUNG: </w:t>
      </w:r>
    </w:p>
    <w:p w14:paraId="267CBB3C" w14:textId="77777777" w:rsidR="001F7233" w:rsidRDefault="00000000">
      <w:r>
        <w:t>• Stelle den MSP- oder RAMQ-Antrag sofort nach der Ankunft, auch wenn die Wartefrist ohnehin läuft. Die Bearbeitung braucht Zeit, und ein verspäteter Antrag verlängert die faktische Lücke auch, statt sie nur auf dem Papier zu verkürzen.</w:t>
      </w:r>
    </w:p>
    <w:p w14:paraId="1A27A3B9" w14:textId="77777777" w:rsidR="001F7233" w:rsidRDefault="001F7233">
      <w:pPr>
        <w:spacing w:line="220" w:lineRule="exact"/>
      </w:pPr>
    </w:p>
    <w:p w14:paraId="7DC0A9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Alberta und Saskatchewan: praktisch keine Wartefrist</w:t>
      </w:r>
    </w:p>
    <w:p w14:paraId="632618CE" w14:textId="77777777" w:rsidR="001F7233" w:rsidRDefault="00000000">
      <w:pPr>
        <w:spacing w:after="140"/>
      </w:pPr>
      <w:r>
        <w:t>Für Alberta und Saskatchewan berichten mehrere unabhängige Quellen übereinstimmend von keiner oder so gut wie keiner Wartefrist. Solltest du also in eine dieser beiden Provinzen ziehen, greift der Versicherungsschutz meist ohne die in British Columbia oder Québec übliche Lücke. Für einzelne Provinzen liegt dafür allerdings keine direkt geprüfte Primärquelle vor. Bestätige den genauen Stand deshalb kurz vor dem Umzug beim passenden Provinzministerium.</w:t>
      </w:r>
    </w:p>
    <w:p w14:paraId="4792765F" w14:textId="77777777" w:rsidR="001F7233" w:rsidRDefault="001F7233">
      <w:pPr>
        <w:spacing w:line="220" w:lineRule="exact"/>
      </w:pPr>
    </w:p>
    <w:p w14:paraId="58D3E4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Lücke für Neuankömmlinge bedeutet</w:t>
      </w:r>
    </w:p>
    <w:p w14:paraId="53F92D65" w14:textId="77777777" w:rsidR="001F7233" w:rsidRDefault="00000000">
      <w:pPr>
        <w:spacing w:after="140"/>
      </w:pPr>
      <w:r>
        <w:t>Wer in einer Provinz mit Wartefrist ankommt und keine Übergangsversicherung hat, trägt jede Behandlung in dieser Zeit vollständig selbst. Von der Praxisgebühr bis zu einem möglichen Krankenhausaufenthalt, der schnell in die Tausende gehen kann. Anders als in Deutschland gibt es in dieser Übergangsphase keinerlei automatischen Auffangmechanismus: keine europäische Krankenversicherungskarte, kein Anschluss an ein anderes System, keine Kulanzregel. Wer die Lücke ignoriert, spekuliert schlicht darauf, in den ersten Monaten nicht krank zu werden oder zu stürzen. Eine Wette, die sich nicht jeder bewusst eingeht, aber viele unbewusst eingehen.</w:t>
      </w:r>
    </w:p>
    <w:p w14:paraId="194F6664" w14:textId="77777777" w:rsidR="001F7233" w:rsidRDefault="00000000">
      <w:r>
        <w:rPr>
          <w:b/>
        </w:rPr>
        <w:t xml:space="preserve">ACHTUNG: </w:t>
      </w:r>
    </w:p>
    <w:p w14:paraId="1617D6FC" w14:textId="77777777" w:rsidR="001F7233" w:rsidRDefault="00000000">
      <w:r>
        <w:t>• Auch scheinbar kleine Ereignisse – ein gebrochener Finger beim Umzugskisten-Tragen, eine Mittelohrentzündung bei Kindern. Lösen ohne Versicherung volle Rechnungen aus. Plane die Wartefrist aktiv ein, statt sie zu verdrängen.</w:t>
      </w:r>
    </w:p>
    <w:p w14:paraId="2B9F2E0E" w14:textId="77777777" w:rsidR="001F7233" w:rsidRDefault="001F7233">
      <w:pPr>
        <w:spacing w:line="220" w:lineRule="exact"/>
      </w:pPr>
    </w:p>
    <w:p w14:paraId="14B6A4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Übergangsversicherung überbrücken</w:t>
      </w:r>
    </w:p>
    <w:p w14:paraId="3DE024C1" w14:textId="77777777" w:rsidR="001F7233" w:rsidRDefault="00000000">
      <w:pPr>
        <w:spacing w:after="140"/>
      </w:pPr>
      <w:r>
        <w:t>Für die Wartefrist in British Columbia, Québec und vorsichtshalber auch anderen Provinzen mit unklarer Regelung empfiehlt sich durchgängig eine private Übergangsversicherung. Anbieter wie Manulife, Sun Life oder Blue Cross führen entsprechende Produkte, oft unter Bezeichnungen wie „Visitors to Canada“ oder „Newcomer“-Tarife. Die Kosten liegen grob bei 100 bis 200 CAD pro Person und Monat, abhängig von Alter, Anbieter und Deckungsumfang. Die genauen 2026er-Tarife solltest du direkt beim Versicherer vor der Buchung abfragen, da sie sich häufig ändern.</w:t>
      </w:r>
    </w:p>
    <w:p w14:paraId="5AEED1DC" w14:textId="77777777" w:rsidR="001F7233" w:rsidRDefault="00000000">
      <w:r>
        <w:rPr>
          <w:b/>
        </w:rPr>
        <w:t xml:space="preserve">SPARTIPP: </w:t>
      </w:r>
    </w:p>
    <w:p w14:paraId="16F5C548" w14:textId="77777777" w:rsidR="001F7233" w:rsidRDefault="00000000">
      <w:r>
        <w:t>• Schließe die Übergangsversicherung, wenn möglich, schon aus Deutschland ab, mit Beginn zum geplanten Ankunftstag. So entsteht keine zusätzliche Lücke zwischen Abflug und dem frühestmöglichen Vertragsbeginn vor Ort und du musst dich in der turbulenten ersten Woche nicht auch noch um diesen Papierkram kümmern.</w:t>
      </w:r>
    </w:p>
    <w:p w14:paraId="6D9E2542" w14:textId="77777777" w:rsidR="001F7233" w:rsidRDefault="001F7233">
      <w:pPr>
        <w:spacing w:line="220" w:lineRule="exact"/>
      </w:pPr>
    </w:p>
    <w:p w14:paraId="670847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was du mitbringst</w:t>
      </w:r>
    </w:p>
    <w:p w14:paraId="43AA8F0D" w14:textId="77777777" w:rsidR="001F7233" w:rsidRDefault="00000000">
      <w:pPr>
        <w:spacing w:after="140"/>
      </w:pPr>
      <w:r>
        <w:t xml:space="preserve">Die Anmeldung zur Provinz-Krankenversicherung läuft in der Regel über ein Formular der jeweiligen Provinzbehörde, meist online oder postalisch, teils zusätzlich persönlich möglich. Du brauchst üblicherweise deinen Reisepass, den Nachweis über deinen Aufenthaltsstatus (Work Permit, Study Permit oder PR-Bestätigung), einen Adressnachweis sowie deine SIN, sobald du sie hast (siehe das </w:t>
      </w:r>
      <w:hyperlink w:anchor="tka07">
        <w:r w:rsidR="001F7233">
          <w:rPr>
            <w:color w:val="0563C1"/>
            <w:u w:val="single"/>
          </w:rPr>
          <w:t>Kapitel zu SIN, Steuern, Bank und Kredit in diesem Teil</w:t>
        </w:r>
      </w:hyperlink>
      <w:r>
        <w:t xml:space="preserve">). Melde neben dir selbst auch Partner und Kinder gleich mit an; Kinder </w:t>
      </w:r>
      <w:r>
        <w:lastRenderedPageBreak/>
        <w:t>laufen in den meisten Provinzen über denselben Familieneintrag wie die Eltern.</w:t>
      </w:r>
    </w:p>
    <w:p w14:paraId="013EB201" w14:textId="77777777" w:rsidR="001F7233" w:rsidRDefault="00000000">
      <w:r>
        <w:rPr>
          <w:b/>
        </w:rPr>
        <w:t xml:space="preserve">MERKE: </w:t>
      </w:r>
    </w:p>
    <w:p w14:paraId="5D3F8064" w14:textId="77777777" w:rsidR="001F7233" w:rsidRDefault="00000000">
      <w:r>
        <w:t>• Beantrage die Provinz-Krankenversicherung in deiner ersten Woche, unabhängig davon, ob eine Wartefrist gilt oder nicht. In Ontario beginnt die Deckung ab Antragstellung. Jeder Tag Verzögerung beim Antrag ist ein Tag ohne Schutz, obwohl er vermeidbar gewesen wäre. In British Columbia und Québec läuft die Wartefrist ohnehin, verkürzt sich aber nicht durch Zuwarten.</w:t>
      </w:r>
    </w:p>
    <w:p w14:paraId="682D66BA" w14:textId="77777777" w:rsidR="001F7233" w:rsidRDefault="001F7233">
      <w:pPr>
        <w:spacing w:line="220" w:lineRule="exact"/>
      </w:pPr>
    </w:p>
    <w:p w14:paraId="30CAD0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Provinz-Krankenversicherung</w:t>
      </w:r>
    </w:p>
    <w:p w14:paraId="6FA129AF" w14:textId="77777777" w:rsidR="001F7233" w:rsidRDefault="00000000">
      <w:pPr>
        <w:spacing w:after="140"/>
      </w:pPr>
      <w:r>
        <w:t>Ein direkter Vergleich hinkt, weil die beiden Systeme unterschiedlich finanziert sind. Hilft aber trotzdem, die größten Unterschiede einzuordnen:</w:t>
      </w:r>
    </w:p>
    <w:p w14:paraId="14C90887" w14:textId="77777777" w:rsidR="001F7233" w:rsidRDefault="00000000">
      <w:r>
        <w:rPr>
          <w:b/>
        </w:rPr>
        <w:t>Finanzierung</w:t>
      </w:r>
    </w:p>
    <w:p w14:paraId="7F58D085" w14:textId="77777777" w:rsidR="001F7233" w:rsidRDefault="00000000">
      <w:r>
        <w:rPr>
          <w:b/>
        </w:rPr>
        <w:t xml:space="preserve">GKV (Deutschland): </w:t>
      </w:r>
      <w:r>
        <w:t>Beitrag vom Bruttolohn, je zur Hälfte Arbeitnehmer und Arbeitgeber</w:t>
      </w:r>
    </w:p>
    <w:p w14:paraId="0D448856" w14:textId="77777777" w:rsidR="001F7233" w:rsidRDefault="00000000">
      <w:r>
        <w:rPr>
          <w:b/>
        </w:rPr>
        <w:t xml:space="preserve">Provinz-Krankenversicherung (Kanada): </w:t>
      </w:r>
      <w:r>
        <w:t>allgemeine Steuermittel der Provinz, keine laufende Monatsprämie (British Columbia erhob sie bis 2020, seither ebenfalls beitragsfrei)</w:t>
      </w:r>
    </w:p>
    <w:p w14:paraId="192F1533" w14:textId="77777777" w:rsidR="001F7233" w:rsidRDefault="00000000">
      <w:r>
        <w:rPr>
          <w:b/>
        </w:rPr>
        <w:t>Beginn der Deckung</w:t>
      </w:r>
    </w:p>
    <w:p w14:paraId="3E4D03B8" w14:textId="77777777" w:rsidR="001F7233" w:rsidRDefault="00000000">
      <w:r>
        <w:rPr>
          <w:b/>
        </w:rPr>
        <w:t xml:space="preserve">GKV (Deutschland): </w:t>
      </w:r>
      <w:r>
        <w:t>praktisch ab Beschäftigungsbeginn beziehungsweise Anmeldung</w:t>
      </w:r>
    </w:p>
    <w:p w14:paraId="2B947A8B" w14:textId="77777777" w:rsidR="001F7233" w:rsidRDefault="00000000">
      <w:r>
        <w:rPr>
          <w:b/>
        </w:rPr>
        <w:t>Provinz-Krankenversicherung (Kanada): Ontario: ab Antragstellung; British Columbia und Québec: erst nach rund drei Monaten Wartefrist.</w:t>
      </w:r>
    </w:p>
    <w:p w14:paraId="7A2DF205" w14:textId="77777777" w:rsidR="001F7233" w:rsidRDefault="00000000">
      <w:r>
        <w:rPr>
          <w:b/>
        </w:rPr>
        <w:t>Hausarztwahl</w:t>
      </w:r>
    </w:p>
    <w:p w14:paraId="4FAAAD9D" w14:textId="77777777" w:rsidR="001F7233" w:rsidRDefault="00000000">
      <w:r>
        <w:rPr>
          <w:b/>
        </w:rPr>
        <w:t xml:space="preserve">GKV (Deutschland): </w:t>
      </w:r>
      <w:r>
        <w:t>freie Wahl unter allen Kassenärzten</w:t>
      </w:r>
    </w:p>
    <w:p w14:paraId="61D34D5B" w14:textId="77777777" w:rsidR="001F7233" w:rsidRDefault="00000000">
      <w:r>
        <w:rPr>
          <w:b/>
        </w:rPr>
        <w:lastRenderedPageBreak/>
        <w:t xml:space="preserve">Provinz-Krankenversicherung (Kanada): </w:t>
      </w:r>
      <w:r>
        <w:t>grundsätzlich freie Wahl, in der Praxis aber vielerorts Mangel an aufnahmefähigen Hausärzten</w:t>
      </w:r>
    </w:p>
    <w:p w14:paraId="024B766D" w14:textId="77777777" w:rsidR="001F7233" w:rsidRDefault="00000000">
      <w:r>
        <w:rPr>
          <w:b/>
        </w:rPr>
        <w:t>Nicht enthaltene Leistungen</w:t>
      </w:r>
    </w:p>
    <w:p w14:paraId="240AE953" w14:textId="77777777" w:rsidR="001F7233" w:rsidRDefault="00000000">
      <w:r>
        <w:rPr>
          <w:b/>
        </w:rPr>
        <w:t xml:space="preserve">GKV (Deutschland): </w:t>
      </w:r>
      <w:r>
        <w:t>vergleichsweise wenige, je nach Kasse teils Zusatzleistungen</w:t>
      </w:r>
    </w:p>
    <w:p w14:paraId="51A5D1B2" w14:textId="77777777" w:rsidR="001F7233" w:rsidRDefault="00000000">
      <w:r>
        <w:rPr>
          <w:b/>
        </w:rPr>
        <w:t xml:space="preserve">Provinz-Krankenversicherung (Kanada): </w:t>
      </w:r>
      <w:r>
        <w:t>Zahn, Medikamente außerhalb der Klinik, Sehhilfen, Physiotherapie, Krankentransport</w:t>
      </w:r>
    </w:p>
    <w:p w14:paraId="616A8183" w14:textId="77777777" w:rsidR="001F7233" w:rsidRDefault="001F7233">
      <w:pPr>
        <w:spacing w:line="180" w:lineRule="exact"/>
      </w:pPr>
    </w:p>
    <w:p w14:paraId="4DF7755A" w14:textId="77777777" w:rsidR="001F7233" w:rsidRDefault="00000000">
      <w:pPr>
        <w:spacing w:after="140"/>
      </w:pPr>
      <w:r>
        <w:t>Der auffälligste Unterschied für Neuankömmlinge ist selten die Leistung selbst, sondern der Zeitpunkt, ab dem sie greift und genau darauf zielt dieses Kapitel.</w:t>
      </w:r>
    </w:p>
    <w:p w14:paraId="295DD3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mit der Provinz-Karte: Hausarzt, Walk-in-Klinik, Notaufnahme</w:t>
      </w:r>
    </w:p>
    <w:p w14:paraId="0F8FDB0A" w14:textId="77777777" w:rsidR="001F7233" w:rsidRDefault="00000000">
      <w:pPr>
        <w:spacing w:after="140"/>
      </w:pPr>
      <w:r>
        <w:rPr>
          <w:i/>
          <w:iCs/>
        </w:rPr>
        <w:t>Ist die Provinz-Krankenversicherung einmal aktiv, unterscheidet sich der Praxisalltag spürbar von Deutschland. Ein fester Hausarzt (Family Doctor) ist in Kanada keine Selbstverständlichkeit: In vielen Regionen sind Praxen bereits ausgelastet und führen Wartelisten für neue Patienten, die sich über Monate ziehen können. Bis sich ein fester Hausarzt findet, weichen viele Neuankömmlinge auf eine Walk-in-Klinik (Klinik ohne Terminvereinbarung, meist mit längeren Wartezeiten im Wartezimmer statt vorab) aus, die über die Provinz-Karte abrechnet, ohne dass eine feste Anmeldung nötig wäre.</w:t>
      </w:r>
    </w:p>
    <w:p w14:paraId="1CD2D405" w14:textId="77777777" w:rsidR="001F7233" w:rsidRDefault="00000000">
      <w:r>
        <w:rPr>
          <w:b/>
        </w:rPr>
        <w:t xml:space="preserve">SPARTIPP: </w:t>
      </w:r>
    </w:p>
    <w:p w14:paraId="5F1C7EEF" w14:textId="77777777" w:rsidR="001F7233" w:rsidRDefault="00000000">
      <w:r>
        <w:t>• Frage schon in den ersten Wochen bei mehreren Hausarztpraxen in deiner Nähe an, ob sie neue Patienten aufnehmen und trage dich notfalls auf mehrere Wartelisten gleichzeitig ein. Je früher du startest, desto eher hast du einen festen Hausarzt, bevor du ihn wirklich brauchst.</w:t>
      </w:r>
    </w:p>
    <w:p w14:paraId="633E7CBA" w14:textId="77777777" w:rsidR="001F7233" w:rsidRDefault="001F7233">
      <w:pPr>
        <w:spacing w:line="220" w:lineRule="exact"/>
      </w:pPr>
    </w:p>
    <w:p w14:paraId="6F43C69B" w14:textId="77777777" w:rsidR="001F7233" w:rsidRDefault="00000000">
      <w:pPr>
        <w:spacing w:after="140"/>
      </w:pPr>
      <w:r>
        <w:t xml:space="preserve">Für nicht dringende medizinische Fragen bieten mehrere Provinzen eine telefonische Gesundheitsberatung an, häufig unter der Nummer </w:t>
      </w:r>
      <w:r>
        <w:lastRenderedPageBreak/>
        <w:t>811 erreichbar. Das genaue Angebot unterscheidet sich je Provinz. Für Fachärzte ist meist weiterhin eine Überweisung vom Hausarzt nötig, ähnlich wie in Deutschland. Planbare, nicht dringende Eingriffe können je nach Provinz und Fachrichtung länger dauern, als du es von zu Hause gewohnt bist. Konkrete Wartezeiten unterscheiden sich stark zwischen Provinzen und Fachrichtungen und ändern sich laufend. Aktuelle Werte erfährst du am besten direkt bei deinem Hausarzt oder der Gesundheitsbehörde deiner Provinz.</w:t>
      </w:r>
    </w:p>
    <w:p w14:paraId="16271CC0" w14:textId="77777777" w:rsidR="001F7233" w:rsidRDefault="00000000">
      <w:pPr>
        <w:spacing w:after="140"/>
      </w:pPr>
      <w:r>
        <w:t>Bei echten Notfällen gilt landesweit der Notruf 911, der Feuerwehr, Polizei und Rettungsdienst gleichermaßen erreicht. Öffentliche Notaufnahmen behandeln unabhängig vom Versicherungsstatus. Mit gültiger Provinz-Karte fällt für die eigentliche Notfallbehandlung meist keine Rechnung an, während der Krankentransport selbst, wie oben beschrieben, häufig gesondert in Rechnung gestellt wird.</w:t>
      </w:r>
    </w:p>
    <w:p w14:paraId="7586AFB6" w14:textId="77777777" w:rsidR="001F7233" w:rsidRDefault="00000000">
      <w:r>
        <w:rPr>
          <w:b/>
        </w:rPr>
        <w:t xml:space="preserve">MERKE: </w:t>
      </w:r>
    </w:p>
    <w:p w14:paraId="4B0FE1A3" w14:textId="77777777" w:rsidR="001F7233" w:rsidRDefault="00000000">
      <w:r>
        <w:t>• Ein fester Hausarzt ist in Kanada eher ein Ziel, auf das du hinarbeitest, als ein Automatismus, der mit der Versicherungskarte mitkommt. Melde dich früh auf Wartelisten an und nutze Walk-in-Kliniken und die telefonische Gesundheitsberatung als Brücke.</w:t>
      </w:r>
    </w:p>
    <w:p w14:paraId="3B500242" w14:textId="77777777" w:rsidR="001F7233" w:rsidRDefault="001F7233">
      <w:pPr>
        <w:spacing w:line="220" w:lineRule="exact"/>
      </w:pPr>
    </w:p>
    <w:p w14:paraId="07736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Provinz-Versicherung nicht abdeckt</w:t>
      </w:r>
    </w:p>
    <w:p w14:paraId="707E247D" w14:textId="77777777" w:rsidR="001F7233" w:rsidRDefault="00000000">
      <w:pPr>
        <w:spacing w:after="140"/>
      </w:pPr>
      <w:r>
        <w:rPr>
          <w:i/>
          <w:iCs/>
        </w:rPr>
        <w:t xml:space="preserve">Selbst mit gültiger Provinz-Krankenversicherung bist du nicht vollständig abgesichert. Zahnbehandlungen, verschreibungspflichtige Medikamente außer eines Krankenhausaufenthalts, Sehhilfen, Physiotherapie und der Krankentransport per Rettungswagen fallen in den meisten Provinzen nicht unter die gesetzliche Deckung. Wer das absichern möchte, braucht eine private Zusatzversicherung. Häufig über den Arbeitgeber als sogenannte Extended Health Benefits (erweiterte Gesundheitsleistungen), ein in Kanada verbreiteter </w:t>
      </w:r>
      <w:r>
        <w:rPr>
          <w:i/>
          <w:iCs/>
        </w:rPr>
        <w:lastRenderedPageBreak/>
        <w:t>Bestandteil des Gehaltspakets, den du im Bewerbungsgespräch aktiv erfragen solltest.</w:t>
      </w:r>
    </w:p>
    <w:p w14:paraId="324ABB02" w14:textId="77777777" w:rsidR="001F7233" w:rsidRDefault="00000000">
      <w:r>
        <w:rPr>
          <w:b/>
        </w:rPr>
        <w:t xml:space="preserve">ACHTUNG: </w:t>
      </w:r>
    </w:p>
    <w:p w14:paraId="77F50F45" w14:textId="77777777" w:rsidR="001F7233" w:rsidRDefault="00000000">
      <w:r>
        <w:t>• Frage beim neuen Arbeitgeber gezielt nach dem Umfang der Extended Health Benefits, bevor du eigene, unnötig teure Zusatzverträge abschließt. Viele größere Arbeitgeber decken Zahn, Medikamente und Sehhilfen bereits zu einem erheblichen Teil ab.</w:t>
      </w:r>
    </w:p>
    <w:p w14:paraId="0F57B837" w14:textId="77777777" w:rsidR="001F7233" w:rsidRDefault="001F7233">
      <w:pPr>
        <w:spacing w:line="220" w:lineRule="exact"/>
      </w:pPr>
    </w:p>
    <w:p w14:paraId="3342CA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w14:paraId="244E5E25" w14:textId="77777777" w:rsidR="001F7233" w:rsidRDefault="00000000">
      <w:pPr>
        <w:spacing w:after="140"/>
      </w:pPr>
      <w:r>
        <w:t>Bring Impfpass, Vorsorgeheft und relevante Arztbriefe möglichst in englischer Übersetzung mit. Ein neuer Hausarzt oder eine Walk-in-Klinik in Kanada kennt weder deine Vorerkrankungen noch deinen Impfstatus und ein deutsches Dokument ohne Übersetzung nützt im Zweifel wenig. Bei Dauermedikation lohnt sich auch ein Vorrat für die ersten Wochen sowie ein englischsprachiger Nachweis über Wirkstoff und Dosierung, da ein deutsches Rezept in kanadischen Apotheken nicht eingelöst werden kann und zunächst ein neues von einem in Kanada zugelassenen Arzt nötig ist.</w:t>
      </w:r>
    </w:p>
    <w:p w14:paraId="6D7E69DC" w14:textId="77777777" w:rsidR="001F7233" w:rsidRDefault="00000000">
      <w:r>
        <w:rPr>
          <w:b/>
        </w:rPr>
        <w:t xml:space="preserve">SPARTIPP: </w:t>
      </w:r>
    </w:p>
    <w:p w14:paraId="25B01482" w14:textId="77777777" w:rsidR="001F7233" w:rsidRDefault="00000000">
      <w:r>
        <w:t>• Kläre schon in Deutschland mit deiner Krankenkasse oder Versicherung, ob und wie lange eine bestehende Auslandskrankenversicherung bei einer dauerhaften Wohnsitzverlegung nach Kanada noch greift. Das kann die private Übergangsversicherung vor Ort überflüssig machen oder zumindest ergänzen.</w:t>
      </w:r>
    </w:p>
    <w:p w14:paraId="6F0F952B" w14:textId="77777777" w:rsidR="001F7233" w:rsidRDefault="001F7233">
      <w:pPr>
        <w:spacing w:line="220" w:lineRule="exact"/>
      </w:pPr>
    </w:p>
    <w:p w14:paraId="43DA7993" w14:textId="77777777" w:rsidR="001F7233" w:rsidRDefault="00000000">
      <w:r>
        <w:t xml:space="preserve">Bei Gewicht und Aussehen darfst du eine sachliche Beratung erwarten und eine zweite Meinung einholen. Abnehmmedikamente wie Wegovy erfordern ärztliche Abklärung; frage nach Überwachung, Provinzdeckung, Zusatzversicherung und </w:t>
      </w:r>
      <w:r>
        <w:lastRenderedPageBreak/>
        <w:t>Eigenzahlung. Bei Hims &amp; Hers oder anderen Online-Anbietern prüfe Verschreiber, Produktzulassung, Nachsorge, Kosten, Kündigung und Datenschutz. Bei Botox, Fillern oder kosmetischer Chirurgie den Registereintrag der behandelnden Person, Operationsort und Nachsorge prüfen. Health Canada: https://www.canada.ca/en/health-canada/services/drugs-medical-devices/safe-use-health-products-weight-loss.html.</w:t>
      </w:r>
    </w:p>
    <w:p w14:paraId="2F76C60F" w14:textId="77777777" w:rsidR="001F7233" w:rsidRDefault="00000000">
      <w:pPr>
        <w:pStyle w:val="Heading3"/>
      </w:pPr>
      <w:r>
        <w:t>Gewicht, Abnehmmedikamente und ästhetische Eingriffe</w:t>
      </w:r>
    </w:p>
    <w:p w14:paraId="7A98F620" w14:textId="77777777" w:rsidR="001F7233" w:rsidRDefault="00000000">
      <w:r>
        <w:t>Bei leichten Beschwerden nimm häufig kleine Schlucke Wasser oder orale Rehydratationslösung, ruh dich aus und wasch die Hände sorgfältig. Alkohol und schweres Essen lässt du zunächst weg. Durchfallmittel wie Loperamid nicht ohne Rat nehmen, wenn Fieber oder Blut im Stuhl dazukommen; für Kinder gelten besondere Regeln. Frag eine Apotheke oder medizinische Beratung, wenn die Beschwerden nach zwei bis drei Tagen nicht nachlassen oder du älter, schwanger, immungeschwächt oder chronisch krank bist. Blut oder schwarzer Stuhl, starke Bauchschmerzen, hohes Fieber, Verwirrtheit, Ohnmacht, sehr wenig Urin oder wenn du keine Flüssigkeit behalten kannst, brauchen dringende Behandlung. 811 ist in vielen Provinzen und Territorien eine telefonische Gesundheitsberatung; prüfe den lokalen Dienst. Bei Notfall 911.</w:t>
      </w:r>
    </w:p>
    <w:p w14:paraId="5927312B" w14:textId="77777777" w:rsidR="001F7233" w:rsidRDefault="00000000">
      <w:pPr>
        <w:pStyle w:val="Heading3"/>
      </w:pPr>
      <w:r>
        <w:t>Schmerzmittel: kanadische Bezeichnungen verstehen</w:t>
      </w:r>
    </w:p>
    <w:p w14:paraId="4F962F16" w14:textId="77777777" w:rsidR="001F7233" w:rsidRDefault="00000000">
      <w:r>
        <w:t xml:space="preserve">Paracetamol steht in Kanada meist als acetaminophen auf der Packung. Es lindert Schmerzen und Fieber, nicht Entzündung. Überdosierung oder Doppelung über Erkältungsmittel kann die Leber schwer schädigen. Ibuprofen und Aspirin, oft ASA (acetylsalicylic acid) genannt, gehören zu den NSAIDs und können Magenblutungen und Nierenprobleme verursachen; bei Flüssigkeitsmangel ist Vorsicht nötig. Niedrig dosiertes ASA zur Herzvorsorge ist keine Selbstmedikation. Naproxen ist ein weiteres NSAID. Bei Kindern/Jugendlichen mit Virusinfekt Aspirin/ASA nicht </w:t>
      </w:r>
      <w:r>
        <w:lastRenderedPageBreak/>
        <w:t>ohne medizinische Anweisung. Bei Schwangerschaft, Blutverdünnern, Geschwür sowie Leber- oder Nierenproblemen Apotheke fragen.</w:t>
      </w:r>
    </w:p>
    <w:p w14:paraId="4F99517B" w14:textId="77777777" w:rsidR="001F7233" w:rsidRDefault="00000000">
      <w:pPr>
        <w:pStyle w:val="Heading3"/>
      </w:pPr>
      <w:r>
        <w:t>Notfall: 911; Nicht-Notfallhilfe ist regional</w:t>
      </w:r>
    </w:p>
    <w:p w14:paraId="47D7CA81" w14:textId="77777777" w:rsidR="001F7233" w:rsidRDefault="00000000">
      <w:r>
        <w:t>Bei Lebensgefahr oder schwerer Verletzung wählst du 911. Sag Adresse und Rückrufnummer, beschreibe knapp die Gefahr und bleib in der Leitung. 811 ist in vielen, aber nicht allen Provinzen/Territorien eine Gesundheitsberatung; prüfe den lokalen Dienst. Poison Centres sind regional: speichere die Nummer deiner Provinz.</w:t>
      </w:r>
    </w:p>
    <w:p w14:paraId="3C808324" w14:textId="77777777" w:rsidR="001F7233" w:rsidRDefault="00000000">
      <w:pPr>
        <w:pStyle w:val="Heading3"/>
      </w:pPr>
      <w:r>
        <w:t>Versicherungskarte abgelaufen: Operation ist nicht automatisch kosmetisch</w:t>
      </w:r>
    </w:p>
    <w:p w14:paraId="2933D279" w14:textId="77777777" w:rsidR="001F7233" w:rsidRDefault="00000000">
      <w:r>
        <w:t>Ruf die Provinz-/Territorialbehörde an: Häufig geht es um Erneuerung, Wohnsitznachweis oder den Umzug zwischen Provinzen. Eine abgelaufene Karte kann ein Verwaltungsproblem sein; eine ausgelaufene Zusatzversicherung für Medikamente, Zahn oder Einzelzimmer ist etwas anderes als der Anspruch auf die öffentliche Kernversicherung. Für berechtigte Einwohner deckt diese medizinisch notwendige Arzt- und Krankenhausleistungen samt vieler Operationen, auch wenn sie nicht unmittelbar lebensrettend sind. "Elective surgery" bedeutet geplante Operation, nicht automatisch kosmetische Operation. Das Behandlungsteam stuft die Dringlichkeit ein; Wartezeit und Umfang hängen von Provinz und Eingriff ab. Wer noch nicht anspruchsberechtigt ist, muss Übergangsversicherung oder Selbstzahlerkosten klären. Bei Krebs sofort Onkologe und Kliniksozialarbeit kontaktieren. Vor Privatbehandlung eine schriftliche Kostenschätzung und den öffentlichen Überweisungspfad verlangen.</w:t>
      </w:r>
    </w:p>
    <w:p w14:paraId="441E2FFE" w14:textId="77777777" w:rsidR="001F7233" w:rsidRDefault="00000000">
      <w:pPr>
        <w:pStyle w:val="Heading3"/>
      </w:pPr>
      <w:r>
        <w:t>Ankommen: IRCC-Newcomer-Dienste nach Berechtigung</w:t>
      </w:r>
    </w:p>
    <w:p w14:paraId="5523FA6A" w14:textId="77777777" w:rsidR="001F7233" w:rsidRDefault="00000000">
      <w:r>
        <w:lastRenderedPageBreak/>
        <w:t>IRCC finanziert vielerorts kostenlose Settlement Services: Orientierung, Sprachtraining, Arbeitssuche und Verbindungen in die Gemeinde. Anspruch hängt vom Aufenthaltsstatus ab; seit 1. April 2026 gilt für wirtschaftliche Permanent Residents eine zeitliche Begrenzung. In Québec gelten eigene Anlaufstellen. „Dole“ ist kein kanadischer Behördenname: EI (Employment Insurance) ist beitragsbezogene Arbeitslosenversicherung und verlangt genügend versicherte Arbeitsstunden.</w:t>
      </w:r>
    </w:p>
    <w:p w14:paraId="604A97DC" w14:textId="77777777" w:rsidR="001F7233" w:rsidRDefault="00000000">
      <w:pPr>
        <w:pStyle w:val="Heading3"/>
        <w:keepNext/>
        <w:spacing w:line="341" w:lineRule="auto"/>
        <w:jc w:val="center"/>
      </w:pPr>
      <w:r>
        <w:t>Plus und Minus: Kanada: Das Gesundheitssystem</w:t>
      </w:r>
    </w:p>
    <w:p w14:paraId="28B0CD95" w14:textId="77777777" w:rsidR="001F7233" w:rsidRDefault="00000000">
      <w:r>
        <w:rPr>
          <w:b/>
        </w:rPr>
        <w:t>Plus: Grundversorgung über die Provinz-Krankenversicherung ist für Berechtigte im Kern kostenfrei</w:t>
      </w:r>
    </w:p>
    <w:p w14:paraId="21CB8DDE" w14:textId="77777777" w:rsidR="001F7233" w:rsidRDefault="00000000">
      <w:r>
        <w:rPr>
          <w:b/>
        </w:rPr>
        <w:t xml:space="preserve">Minus: </w:t>
      </w:r>
      <w:r>
        <w:t>Kein einheitliches System – 13 Provinz- und Territorialregeln mit eigenen Fristen</w:t>
      </w:r>
    </w:p>
    <w:p w14:paraId="190E5518" w14:textId="77777777" w:rsidR="001F7233" w:rsidRDefault="00000000">
      <w:r>
        <w:rPr>
          <w:b/>
        </w:rPr>
        <w:t>Plus: Ontario: keine Wartefrist mehr seit 2020, Deckung ab Antragstellung</w:t>
      </w:r>
    </w:p>
    <w:p w14:paraId="55E32C38" w14:textId="77777777" w:rsidR="001F7233" w:rsidRDefault="00000000">
      <w:r>
        <w:rPr>
          <w:b/>
        </w:rPr>
        <w:t xml:space="preserve">Minus: </w:t>
      </w:r>
      <w:r>
        <w:t>British Columbia und Québec: rund drei Monate ohne Deckung nach Zuzug</w:t>
      </w:r>
    </w:p>
    <w:p w14:paraId="07244A85" w14:textId="77777777" w:rsidR="001F7233" w:rsidRDefault="00000000">
      <w:r>
        <w:rPr>
          <w:b/>
        </w:rPr>
        <w:t>Plus: Alberta und Saskatchewan gelten als praktisch wartefrei</w:t>
      </w:r>
    </w:p>
    <w:p w14:paraId="164B928E" w14:textId="77777777" w:rsidR="001F7233" w:rsidRDefault="00000000">
      <w:r>
        <w:rPr>
          <w:b/>
        </w:rPr>
        <w:t xml:space="preserve">Minus: </w:t>
      </w:r>
      <w:r>
        <w:t>Zahn, Medikamente außerhalb der Klinik, Sehhilfen und Physiotherapie meist unversichert</w:t>
      </w:r>
    </w:p>
    <w:p w14:paraId="6C421AF0" w14:textId="77777777" w:rsidR="001F7233" w:rsidRDefault="00000000">
      <w:r>
        <w:rPr>
          <w:b/>
        </w:rPr>
        <w:t>Plus: Private Übergangsversicherung überbrückt die Lücke planbar</w:t>
      </w:r>
    </w:p>
    <w:p w14:paraId="3F1062B9" w14:textId="77777777" w:rsidR="001F7233" w:rsidRDefault="00000000">
      <w:r>
        <w:rPr>
          <w:b/>
        </w:rPr>
        <w:t xml:space="preserve">Minus: </w:t>
      </w:r>
      <w:r>
        <w:t>Ohne Übergangsversicherung trägst du jede Behandlung während der Wartefrist voll selbst</w:t>
      </w:r>
    </w:p>
    <w:p w14:paraId="72A81EA8" w14:textId="77777777" w:rsidR="001F7233" w:rsidRDefault="00000000">
      <w:r>
        <w:rPr>
          <w:b/>
        </w:rPr>
        <w:t>Plus: Arbeitgeber bieten häufig Extended Health Benefits als Zusatzschutz</w:t>
      </w:r>
    </w:p>
    <w:p w14:paraId="36AD0FDD" w14:textId="77777777" w:rsidR="001F7233" w:rsidRDefault="00000000">
      <w:r>
        <w:rPr>
          <w:b/>
        </w:rPr>
        <w:t xml:space="preserve">Minus: </w:t>
      </w:r>
      <w:r>
        <w:t>Genaue 2026er-Tarife der Übergangsversicherer ändern sich häufig</w:t>
      </w:r>
    </w:p>
    <w:p w14:paraId="28465C71" w14:textId="77777777" w:rsidR="001F7233" w:rsidRDefault="001F7233">
      <w:pPr>
        <w:spacing w:line="180" w:lineRule="exact"/>
      </w:pPr>
    </w:p>
    <w:p w14:paraId="2E5515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112C366F" w14:textId="77777777" w:rsidR="001F7233" w:rsidRDefault="00000000">
      <w:pPr>
        <w:spacing w:after="140"/>
      </w:pPr>
      <w:r>
        <w:t>Kläre vor dem Umzug, welche Wartefrist in deiner Zielprovinz gilt und schließe bei Bedarf schon aus Deutschland eine private Übergangsversicherung mit Beginn zum Ankunftstag ab. Stelle den Antrag auf die Provinz-Krankenversicherung in deiner ersten Woche vor Ort, unabhängig von der Wartefrist. Erkundige dich beim neuen Arbeitgeber nach Extended Health Benefits, bevor du eigene Zusatzverträge für Zahn, Medikamente oder Sehhilfen abschließt.</w:t>
      </w:r>
    </w:p>
    <w:p w14:paraId="6830EB7B" w14:textId="77777777" w:rsidR="001F7233" w:rsidRDefault="00000000">
      <w:r>
        <w:t>• Wartefrist der Zielprovinz vor dem Umzug direkt bei der Provinzbehörde geprüft</w:t>
      </w:r>
    </w:p>
    <w:p w14:paraId="37C6BF80" w14:textId="77777777" w:rsidR="001F7233" w:rsidRDefault="00000000">
      <w:r>
        <w:t>• Bei Wartefrist (v. a. British Columbia, Québec): private Übergangsversicherung mit Beginn zum Ankunftstag abgeschlossen</w:t>
      </w:r>
    </w:p>
    <w:p w14:paraId="5EAD67F7" w14:textId="77777777" w:rsidR="001F7233" w:rsidRDefault="00000000">
      <w:r>
        <w:t>• Reisepass, Aufenthaltsnachweis und Adressnachweis für den Antrag bereitgelegt</w:t>
      </w:r>
    </w:p>
    <w:p w14:paraId="3D7A6019" w14:textId="77777777" w:rsidR="001F7233" w:rsidRDefault="00000000">
      <w:r>
        <w:t>• Antrag auf Provinz-Krankenversicherung in der ersten Woche gestellt, Partner und Kinder mit angemeldet</w:t>
      </w:r>
    </w:p>
    <w:p w14:paraId="1AC5721B" w14:textId="77777777" w:rsidR="001F7233" w:rsidRDefault="00000000">
      <w:r>
        <w:t>• Anmeldebestätigung als vorläufigen Nachweis griffbereit, bis die Karte per Post ankommt</w:t>
      </w:r>
    </w:p>
    <w:p w14:paraId="23B7332D" w14:textId="77777777" w:rsidR="001F7233" w:rsidRDefault="00000000">
      <w:r>
        <w:t>• Extended Health Benefits beim Arbeitgeber erfragt, bevor eigene Zusatzverträge abgeschlossen werden</w:t>
      </w:r>
    </w:p>
    <w:p w14:paraId="4633161F" w14:textId="77777777" w:rsidR="001F7233" w:rsidRDefault="00000000">
      <w:r>
        <w:t>• Bedarf an Zusatzversicherung für Zahn, Medikamente, Sehhilfen und Physiotherapie geprüft</w:t>
      </w:r>
    </w:p>
    <w:p w14:paraId="30E475C2" w14:textId="77777777" w:rsidR="001F7233" w:rsidRDefault="00000000">
      <w:r>
        <w:t>• Auf Wartelisten mehrerer Hausarztpraxen eingetragen, nächstgelegene Walk-in-Klinik notiert</w:t>
      </w:r>
    </w:p>
    <w:p w14:paraId="47866CCA" w14:textId="77777777" w:rsidR="001F7233" w:rsidRDefault="00000000">
      <w:r>
        <w:t>• Impfpass, Vorsorgeheft und relevante Arztbriefe in englischer Übersetzung bereitgelegt</w:t>
      </w:r>
    </w:p>
    <w:p w14:paraId="0B086F02" w14:textId="77777777" w:rsidR="001F7233" w:rsidRDefault="00000000">
      <w:r>
        <w:t>• Bei Dauermedikation: Vorrat und englischsprachiger Wirkstoffnachweis eingepackt</w:t>
      </w:r>
    </w:p>
    <w:p w14:paraId="5D97493C" w14:textId="77777777" w:rsidR="001F7233" w:rsidRDefault="00000000">
      <w:r>
        <w:t>• SIN-Antrag parallel im Blick (siehe das Kapitel zu SIN, Steuern, Bank und Kredit in diesem Teil)</w:t>
      </w:r>
    </w:p>
    <w:p w14:paraId="0FE174C4" w14:textId="77777777" w:rsidR="001F7233" w:rsidRDefault="001F7233">
      <w:pPr>
        <w:spacing w:line="220" w:lineRule="exact"/>
      </w:pPr>
    </w:p>
    <w:p w14:paraId="574941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3058D0A6" w14:textId="77777777" w:rsidR="001F7233" w:rsidRDefault="001F7233">
      <w:pPr>
        <w:pStyle w:val="ListParagraph"/>
        <w:numPr>
          <w:ilvl w:val="0"/>
          <w:numId w:val="1"/>
        </w:numPr>
        <w:spacing w:after="60"/>
      </w:pPr>
      <w:hyperlink r:id="rId831">
        <w:r>
          <w:rPr>
            <w:color w:val="0563C1"/>
            <w:u w:val="single"/>
          </w:rPr>
          <w:t>canada.ca/en/health-canada</w:t>
        </w:r>
      </w:hyperlink>
      <w:r>
        <w:t xml:space="preserve"> – Canada Health Act, Grundprinzipien der Provinz-Krankenversicherung</w:t>
      </w:r>
    </w:p>
    <w:p w14:paraId="5A494413" w14:textId="77777777" w:rsidR="001F7233" w:rsidRDefault="001F7233">
      <w:pPr>
        <w:pStyle w:val="ListParagraph"/>
        <w:numPr>
          <w:ilvl w:val="0"/>
          <w:numId w:val="1"/>
        </w:numPr>
        <w:spacing w:after="60"/>
      </w:pPr>
      <w:hyperlink r:id="rId832">
        <w:r>
          <w:rPr>
            <w:color w:val="0563C1"/>
            <w:u w:val="single"/>
          </w:rPr>
          <w:t>ontario.ca/page/apply-ohip-and-get-health-card</w:t>
        </w:r>
      </w:hyperlink>
      <w:r>
        <w:t xml:space="preserve"> – OHIP-Anmeldung, keine Wartefrist</w:t>
      </w:r>
    </w:p>
    <w:p w14:paraId="47C56997" w14:textId="77777777" w:rsidR="001F7233" w:rsidRDefault="001F7233">
      <w:pPr>
        <w:pStyle w:val="ListParagraph"/>
        <w:numPr>
          <w:ilvl w:val="0"/>
          <w:numId w:val="1"/>
        </w:numPr>
        <w:spacing w:after="60"/>
      </w:pPr>
      <w:hyperlink r:id="rId833">
        <w:r>
          <w:rPr>
            <w:color w:val="0563C1"/>
            <w:u w:val="single"/>
          </w:rPr>
          <w:t>www2.gov.bc.ca/gov/content/health/health-drug-coverage/msp</w:t>
        </w:r>
      </w:hyperlink>
      <w:r>
        <w:t xml:space="preserve"> – MSP-Anmeldung und Wartefrist in British Columbia</w:t>
      </w:r>
    </w:p>
    <w:p w14:paraId="7B7093C7" w14:textId="77777777" w:rsidR="001F7233" w:rsidRDefault="001F7233">
      <w:pPr>
        <w:pStyle w:val="ListParagraph"/>
        <w:numPr>
          <w:ilvl w:val="0"/>
          <w:numId w:val="1"/>
        </w:numPr>
        <w:spacing w:after="60"/>
      </w:pPr>
      <w:hyperlink r:id="rId834">
        <w:r>
          <w:rPr>
            <w:color w:val="0563C1"/>
            <w:u w:val="single"/>
          </w:rPr>
          <w:t>ramq.gouv.qc.ca</w:t>
        </w:r>
      </w:hyperlink>
      <w:r>
        <w:t xml:space="preserve"> – Anmeldung und Wartefrist in Québec</w:t>
      </w:r>
    </w:p>
    <w:p w14:paraId="28E235E7" w14:textId="77777777" w:rsidR="001F7233" w:rsidRDefault="001F7233">
      <w:pPr>
        <w:pStyle w:val="ListParagraph"/>
        <w:numPr>
          <w:ilvl w:val="0"/>
          <w:numId w:val="1"/>
        </w:numPr>
        <w:spacing w:after="60"/>
      </w:pPr>
      <w:hyperlink r:id="rId835">
        <w:r>
          <w:rPr>
            <w:color w:val="0563C1"/>
            <w:u w:val="single"/>
          </w:rPr>
          <w:t>alberta.ca/ahcip</w:t>
        </w:r>
      </w:hyperlink>
      <w:r>
        <w:t xml:space="preserve"> – Alberta Health Care Insurance Plan</w:t>
      </w:r>
    </w:p>
    <w:p w14:paraId="093A9518" w14:textId="77777777" w:rsidR="001F7233" w:rsidRDefault="001F7233">
      <w:pPr>
        <w:pStyle w:val="ListParagraph"/>
        <w:numPr>
          <w:ilvl w:val="0"/>
          <w:numId w:val="1"/>
        </w:numPr>
        <w:spacing w:after="60"/>
      </w:pPr>
      <w:hyperlink r:id="rId836">
        <w:r>
          <w:rPr>
            <w:color w:val="0563C1"/>
            <w:u w:val="single"/>
          </w:rPr>
          <w:t>saskatchewan.ca/residents/health</w:t>
        </w:r>
      </w:hyperlink>
      <w:r>
        <w:t xml:space="preserve"> – Saskatchewan Health Coverage</w:t>
      </w:r>
    </w:p>
    <w:p w14:paraId="277679B6" w14:textId="77777777" w:rsidR="001F7233" w:rsidRDefault="001F7233">
      <w:pPr>
        <w:spacing w:line="120" w:lineRule="exact"/>
      </w:pPr>
    </w:p>
    <w:p w14:paraId="0727F33E" w14:textId="77777777" w:rsidR="001F7233" w:rsidRDefault="00000000">
      <w:pPr>
        <w:pStyle w:val="ListParagraph"/>
      </w:pPr>
      <w:r>
        <w:t xml:space="preserve">HealthLink BC — Gastroenteritis in adults and older children: </w:t>
      </w:r>
      <w:hyperlink r:id="rId837">
        <w:r w:rsidR="001F7233">
          <w:rPr>
            <w:rStyle w:val="Hyperlink"/>
          </w:rPr>
          <w:t>healthlinkbc.ca/healthwise/gastroenteritis-adults-and-older-children</w:t>
        </w:r>
      </w:hyperlink>
    </w:p>
    <w:p w14:paraId="22AB46E0" w14:textId="77777777" w:rsidR="001F7233" w:rsidRDefault="00000000">
      <w:pPr>
        <w:pStyle w:val="ListParagraph"/>
      </w:pPr>
      <w:r>
        <w:t xml:space="preserve">Health Canada — acetaminophen: </w:t>
      </w:r>
      <w:hyperlink r:id="rId838">
        <w:r w:rsidR="001F7233">
          <w:rPr>
            <w:rStyle w:val="Hyperlink"/>
          </w:rPr>
          <w:t>canada.ca/en/health-canada/services/drugs-medical-devices/acetaminophen.html</w:t>
        </w:r>
      </w:hyperlink>
    </w:p>
    <w:p w14:paraId="1FCABF71" w14:textId="77777777" w:rsidR="001F7233" w:rsidRDefault="00000000">
      <w:pPr>
        <w:pStyle w:val="ListParagraph"/>
      </w:pPr>
      <w:r>
        <w:t xml:space="preserve">Health Canada — publicly funded coverage: </w:t>
      </w:r>
      <w:hyperlink r:id="rId839">
        <w:r w:rsidR="001F7233">
          <w:rPr>
            <w:rStyle w:val="Hyperlink"/>
          </w:rPr>
          <w:t>canada.ca/en/health-canada/services/health-care-system/canada-health-care-system-medicare/canada-health-act/how-publicly-funded-coverage-works.html</w:t>
        </w:r>
      </w:hyperlink>
      <w:r>
        <w:t xml:space="preserve">; IRCC — health care eligibility: </w:t>
      </w:r>
      <w:hyperlink r:id="rId840">
        <w:r w:rsidR="001F7233">
          <w:rPr>
            <w:rStyle w:val="Hyperlink"/>
          </w:rPr>
          <w:t>canada.ca/en/immigration-refugees-citizenship/services/settle-canada/health-care/universal-system.html</w:t>
        </w:r>
      </w:hyperlink>
    </w:p>
    <w:p w14:paraId="401F1124" w14:textId="77777777" w:rsidR="001F7233" w:rsidRDefault="00000000">
      <w:pPr>
        <w:pStyle w:val="ListParagraph"/>
      </w:pPr>
      <w:r>
        <w:t xml:space="preserve">IRCC — Find free newcomer services: </w:t>
      </w:r>
      <w:hyperlink r:id="rId841">
        <w:r w:rsidR="001F7233">
          <w:rPr>
            <w:rStyle w:val="Hyperlink"/>
          </w:rPr>
          <w:t>ircc.canada.ca/english/newcomers/services/index.asp</w:t>
        </w:r>
      </w:hyperlink>
      <w:r>
        <w:t xml:space="preserve">; Service Canada — EI eligibility: </w:t>
      </w:r>
      <w:hyperlink r:id="rId842">
        <w:r w:rsidR="001F7233">
          <w:rPr>
            <w:rStyle w:val="Hyperlink"/>
          </w:rPr>
          <w:t>canada.ca/en/services/benefits/ei/ei-regular-benefit/eligibility.html</w:t>
        </w:r>
      </w:hyperlink>
    </w:p>
    <w:p w14:paraId="02E169AC" w14:textId="77777777" w:rsidR="001F7233" w:rsidRDefault="00000000">
      <w:r>
        <w:t xml:space="preserve">• 23.09.2026. Diese Angaben ändern sich schnell: die genauen Wartefristen einzelner Provinzen, Tarife privater Übergangsversicherer sowie Umfang und Bedingungen von Extended Health Benefits einzelner Arbeitgeber. Prüfe vor jeder </w:t>
      </w:r>
      <w:r>
        <w:lastRenderedPageBreak/>
        <w:t>Entscheidung die aktuellen Seiten deiner Zielprovinz und die Police deines gewählten Versicherers.</w:t>
      </w:r>
    </w:p>
    <w:p w14:paraId="1C9FABED" w14:textId="77777777" w:rsidR="001F7233" w:rsidRDefault="001F7233">
      <w:pPr>
        <w:spacing w:line="220" w:lineRule="exact"/>
      </w:pPr>
    </w:p>
    <w:p w14:paraId="34935EAB" w14:textId="77777777" w:rsidR="001F7233" w:rsidRDefault="00000000">
      <w:pPr>
        <w:pStyle w:val="Heading3"/>
      </w:pPr>
      <w:r>
        <w:t>Krebsdiagnose: Behandlung und Umzug planen</w:t>
      </w:r>
    </w:p>
    <w:p w14:paraId="14A3A01D"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843">
        <w:r w:rsidR="001F7233">
          <w:rPr>
            <w:color w:val="0563C1"/>
            <w:u w:val="single"/>
          </w:rPr>
          <w:t>Canadian Cancer Society: Zweitmeinung</w:t>
        </w:r>
      </w:hyperlink>
    </w:p>
    <w:p w14:paraId="644231C7" w14:textId="77777777" w:rsidR="001F7233" w:rsidRDefault="00000000">
      <w:pPr>
        <w:pStyle w:val="Heading3"/>
      </w:pPr>
      <w:r>
        <w:t>Schwangerschaftsabbruch: Versorgung, Kosten und Wege</w:t>
      </w:r>
    </w:p>
    <w:p w14:paraId="5A7C96CD" w14:textId="77777777" w:rsidR="001F7233" w:rsidRDefault="00000000">
      <w:r>
        <w:t xml:space="preserve">Ein Schwangerschaftsabbruch ist in Kanada eine geregelte Gesundheitsleistung. Erreichbarkeit, Wartezeiten und Reisewege unterscheiden sich jedoch nach Provinz und Territorium. Das Bundesgesundheitsportal verweist auf örtliche Angebote und erklärt die Regeln zur Provinzversicherung und Medikamentenversorgung. Neu Zugezogene können eine Wartezeit für die Versicherung haben oder die örtlichen Wohnsitzvoraussetzungen noch nicht erfüllen. Frage deshalb vor der Terminbuchung schriftlich bei der Praxis und Versicherung nach, was übernommen wird. Besonders bei später </w:t>
      </w:r>
      <w:r>
        <w:lastRenderedPageBreak/>
        <w:t xml:space="preserve">Behandlung oder in abgelegenen Regionen kann eine Reise innerhalb Kanadas nötig sein. Wende dich früh an eine qualifizierte Fachstelle; nicht jede Klinik bietet alle Methoden oder Behandlungszeiträume an. </w:t>
      </w:r>
      <w:hyperlink r:id="rId844">
        <w:r w:rsidR="001F7233">
          <w:rPr>
            <w:color w:val="0563C1"/>
            <w:u w:val="single"/>
          </w:rPr>
          <w:t>Government of Canada: abortion care, supports and provincial/territorial resources</w:t>
        </w:r>
      </w:hyperlink>
    </w:p>
    <w:p w14:paraId="78B22BCF" w14:textId="77777777" w:rsidR="001F7233" w:rsidRDefault="00000000">
      <w:pPr>
        <w:pStyle w:val="Heading3"/>
      </w:pPr>
      <w:r>
        <w:t>Essen, Herz-Kreislauf-Risiko und der Fast-Food-Reflex</w:t>
      </w:r>
    </w:p>
    <w:p w14:paraId="66478F45" w14:textId="77777777" w:rsidR="001F7233" w:rsidRDefault="00000000">
      <w:r>
        <w:t xml:space="preserve">Für den Alltag ist die Canada Food Guide-Platte ein praktischer Ausgangspunkt: viel Gemüse und Obst, Vollkornprodukte und Eiweißquellen; öfter Bohnen, Linsen, Nüsse und Fisch. Vergleiche ähnliche Produkte anhand des Nährwertfelds und achte besonders auf Natrium in Suppen, Brot, Aufschnitt, Saucen, Tiefkühlgerichten und Restaurantessen. Fast-Food-Kombis verleiten zu größeren Portionen und süßen Getränken; nimm eine kleinere Größe, Wasser, mehr Gemüse und Sauce separat. Bei Herzkrankheit, Bluthochdruck, Diabetes oder Nierenproblemen können individuelle Vorgaben gelten; bitte Ärztin/Arzt oder registrierte Ernährungsfachkraft um einen Plan. Nimm beim Umzug Befunde, Medikamentenliste mit Wirkstoffen/Dosen und Allergien mit, kläre Versicherung und Anschlussversorgung und setze verordnete Mittel nicht selbst ab. Bei möglichem Herzinfarkt oder Schlaganfall sofort 911 beziehungsweise den örtlichen Notruf wählen; nicht selbst fahren. </w:t>
      </w:r>
      <w:hyperlink r:id="rId845">
        <w:r w:rsidR="001F7233">
          <w:rPr>
            <w:color w:val="0563C1"/>
            <w:u w:val="single"/>
          </w:rPr>
          <w:t>Health Canada: Canada’s Food Guide</w:t>
        </w:r>
      </w:hyperlink>
      <w:r>
        <w:t xml:space="preserve"> </w:t>
      </w:r>
      <w:hyperlink r:id="rId846">
        <w:r w:rsidR="001F7233">
          <w:rPr>
            <w:color w:val="0563C1"/>
            <w:u w:val="single"/>
          </w:rPr>
          <w:t>Heart and Stroke Foundation: heart attack signs</w:t>
        </w:r>
      </w:hyperlink>
      <w:r>
        <w:t xml:space="preserve"> </w:t>
      </w:r>
      <w:hyperlink r:id="rId847">
        <w:r w:rsidR="001F7233">
          <w:rPr>
            <w:color w:val="0563C1"/>
            <w:u w:val="single"/>
          </w:rPr>
          <w:t>Heart and Stroke Foundation: stroke signs</w:t>
        </w:r>
      </w:hyperlink>
      <w:r>
        <w:br w:type="page"/>
      </w:r>
    </w:p>
    <w:p w14:paraId="625039A2" w14:textId="77777777" w:rsidR="001F7233" w:rsidRDefault="00000000">
      <w:pPr>
        <w:pStyle w:val="Heading2"/>
        <w:keepNext/>
        <w:spacing w:line="341" w:lineRule="auto"/>
        <w:jc w:val="center"/>
      </w:pPr>
      <w:bookmarkStart w:id="118" w:name="tka09"/>
      <w:r>
        <w:rPr>
          <w:rFonts w:ascii="Amazon Ember" w:eastAsia="Amazon Ember" w:hAnsi="Amazon Ember" w:cs="Amazon Ember"/>
          <w:color w:val="0000FF"/>
          <w:sz w:val="36"/>
          <w:szCs w:val="36"/>
        </w:rPr>
        <w:lastRenderedPageBreak/>
        <w:t>Kanada: Wohnen und die besten Orte zum Leben</w:t>
      </w:r>
      <w:bookmarkEnd w:id="118"/>
    </w:p>
    <w:p w14:paraId="3ABFE773" w14: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w14:paraId="6F1EFA52" w14:textId="77777777" w:rsidR="001F7233" w:rsidRDefault="00000000">
      <w:r>
        <w:rPr>
          <w:b/>
        </w:rPr>
        <w:t xml:space="preserve">KURZ GESAGT: </w:t>
      </w:r>
    </w:p>
    <w:p w14:paraId="127609F0" w14:textId="77777777" w:rsidR="001F7233" w:rsidRDefault="00000000">
      <w:r>
        <w:t xml:space="preserve">• Mieten läuft über Portale wie </w:t>
      </w:r>
      <w:hyperlink r:id="rId848">
        <w:r w:rsidR="001F7233">
          <w:rPr>
            <w:color w:val="0563C1"/>
            <w:u w:val="single"/>
          </w:rPr>
          <w:t>rentals.ca</w:t>
        </w:r>
      </w:hyperlink>
      <w:r>
        <w:t>, meist mit Kreditauskunft (Credit Report) und Einkommensnachweis; die Kautionsregeln unterscheiden sich stark: Ontario und Québec verbieten Schadenskautionen komplett, Alberta erlaubt bis zu einer, British Columbia bis zu einer halben Monatsmiete.</w:t>
      </w:r>
    </w:p>
    <w:p w14:paraId="5567F043" w14:textId="77777777" w:rsidR="001F7233" w:rsidRDefault="00000000">
      <w:r>
        <w:t>• Ein bundesweites Kaufverbot für Nicht-Kanadier (befristet bis 1. Januar 2027) betrifft die meisten Wohnimmobilien in Städten. Wer ein Arbeitsvisum mit mindestens 183 Tagen Restlaufzeit hat, darf trotzdem eine einzige Immobilie kaufen.</w:t>
      </w:r>
    </w:p>
    <w:p w14:paraId="0F791D66" w14:textId="77777777" w:rsidR="001F7233" w:rsidRDefault="00000000">
      <w:r>
        <w:t>• Ontario und British Columbia erheben auch eine Sondersteuer für ausländische Käufer (Ontario bis zu 35 % in Toronto, BC 20 % in Metro Vancouver). Permanent Residents sind davon ausgenommen.</w:t>
      </w:r>
    </w:p>
    <w:p w14:paraId="34698A7A" w14:textId="77777777" w:rsidR="001F7233" w:rsidRDefault="00000000">
      <w:r>
        <w:t>• Toronto und Vancouver sind am teuersten, bieten aber die meisten Jobs. Calgary und Montréal sind spürbar günstiger, verlangen dafür Kompromisse bei Sprache (Montréal) oder Jobfokus (Calgary).</w:t>
      </w:r>
    </w:p>
    <w:p w14:paraId="4FF23B8B" w14:textId="77777777" w:rsidR="001F7233" w:rsidRDefault="00000000">
      <w:r>
        <w:t>• Jede Stadt trägt ihr eigenes Naturgefahren-Profil – Derecho, Chinook-Vereisung, Eissturm oder Hurrikan-Ausläufer –, das in die Versicherungsprämie einfließt, nicht nur in die Wetter-App.</w:t>
      </w:r>
    </w:p>
    <w:p w14:paraId="1AE31971" w14:textId="77777777" w:rsidR="001F7233" w:rsidRDefault="001F7233">
      <w:pPr>
        <w:spacing w:line="220" w:lineRule="exact"/>
      </w:pPr>
    </w:p>
    <w:p w14:paraId="1553C4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Bewerbung, Kaution, Vertrag</w:t>
      </w:r>
    </w:p>
    <w:p w14:paraId="49AB9115" w14:textId="77777777" w:rsidR="001F7233" w:rsidRDefault="00000000">
      <w:pPr>
        <w:spacing w:after="140"/>
      </w:pPr>
      <w:r>
        <w:t xml:space="preserve">Die Wohnungssuche läuft überwiegend online, über Portale wie </w:t>
      </w:r>
      <w:hyperlink r:id="rId849">
        <w:r w:rsidR="001F7233">
          <w:rPr>
            <w:color w:val="0563C1"/>
            <w:u w:val="single"/>
          </w:rPr>
          <w:t>rentals.ca</w:t>
        </w:r>
      </w:hyperlink>
      <w:r>
        <w:t xml:space="preserve"> oder </w:t>
      </w:r>
      <w:hyperlink r:id="rId850">
        <w:r w:rsidR="001F7233">
          <w:rPr>
            <w:color w:val="0563C1"/>
            <w:u w:val="single"/>
          </w:rPr>
          <w:t>kijiji.ca</w:t>
        </w:r>
      </w:hyperlink>
      <w:r>
        <w:t xml:space="preserve"> – funktional vergleichbar mit deutschen Immobilienportalen, nur mit deutlich mehr Fotos vom begehbaren Kleiderschrank. Wer sich bewirbt, legt üblicherweise eine Kreditauskunft (Credit Report, vergleichbar mit einer erweiterten </w:t>
      </w:r>
      <w:r>
        <w:lastRenderedPageBreak/>
        <w:t>Schufa-Auskunft, aber mit Zahlenwert von 300 bis 900 statt Score in Prozent) vor, dazu Einkommensnachweis und oft ein Empfehlungsschreiben des vorherigen Vermieters. Genau hier liegt die erste Hürde für Neuankömmlinge: Ohne kanadische Kredithistorie gilt man vielen Vermietern als schwer einschätzbares Risiko, selbst mit gutem Gehalt. Manche Großbanken bieten deshalb eigene Programme für Neuankömmlinge an, die eine ausländische Kredithistorie und den Arbeitsvertrag als Ersatznachweis akzeptieren; ohne das hilft oft nur, mehrere Monatsmieten im Voraus anzubieten oder einen kanadischen Bürgen zu stellen.</w:t>
      </w:r>
    </w:p>
    <w:p w14:paraId="55E9B3BC" w14:textId="77777777" w:rsidR="001F7233" w:rsidRDefault="00000000">
      <w:pPr>
        <w:spacing w:after="140"/>
      </w:pPr>
      <w:r>
        <w:rPr>
          <w:i/>
          <w:iCs/>
        </w:rPr>
        <w:t>Bei der Kaution lohnt ein zweiter Blick auf die Provinz, denn hier unterscheidet sich Kanada deutlicher, als man erwartet. In Ontario ist eine Schadenskaution schlicht verboten. Erlaubt ist nur eine „Last Month’s Rent“-Vorauszahlung in Höhe einer Monatsmiete, die zweckgebunden auf den letzten Mietmonat angerechnet wird, niemals auf Schäden. Québec geht noch weiter: Dort ist jede Form von Kaution gesetzlich untersagt, erlaubt ist einzig die Vorauszahlung der ersten Monatsmiete. In Alberta dagegen darf der Vermieter bis zu einer vollen Monatsmiete als Kaution verlangen, in British Columbia bis zu einer halben Monatsmiete, plus optional eine weitere halbe Monatsmiete als Haustier-Kaution. Wer aus Deutschland eine Kaution von zwei bis drei Monatsmieten gewohnt ist, wird in Toronto oder Montréal also regelrecht überrascht. Der Vermieter darf dort einfach nicht mehr verlangen, selbst wenn er es wollte. Mietverträge laufen meist zwölf Monate; danach folgt automatisch ein formloser Zeitmietvertrag (Month-to-Month Tenancy) zu denselben Bedingungen, sofern niemand kündigt.</w:t>
      </w:r>
    </w:p>
    <w:p w14:paraId="01A11CBA" w14:textId="77777777" w:rsidR="001F7233" w:rsidRDefault="00000000">
      <w:pPr>
        <w:spacing w:after="140"/>
      </w:pPr>
      <w:r>
        <w:rPr>
          <w:i/>
          <w:iCs/>
        </w:rPr>
        <w:t xml:space="preserve">Bei der Ausstattung gilt ein anderer Standard als in Deutschland: Kühlschrank und Herd gehören praktisch immer zur Wohnung, Waschmaschine und Trockner je nach Gebäude entweder in der eigenen Einheit oder als Gemeinschaftswaschraum im Keller. Eine komplett unmöblierte Küche wie in vielen deutschen Mietwohnungen ist unüblich. Ob Heizkosten in der Miete enthalten sind, hängt stark vom Gebäudetyp ab: In älteren Mehrfamilienhäusern übernimmt oft </w:t>
      </w:r>
      <w:r>
        <w:rPr>
          <w:i/>
          <w:iCs/>
        </w:rPr>
        <w:lastRenderedPageBreak/>
        <w:t>der Vermieter Heizung und Warmwasser, in freistehenden Häusern und neueren Eigentumswohnungen zahlt meist der Mieter Strom (Hydro) und Heizung separat. Bei kanadischen Wintertemperaturen ein Posten, den man nicht unterschätzen sollte. Kündigungsfristen regelt jede Provinz einzeln, meist 30 bis 60 Tage zum Ende eines Mietzeitraums. Eine fristlose Kündigung durch den Vermieter ohne triftigen Grund (Eigenbedarf, Umbau, Zahlungsverzug) ist in den meisten Provinzen ähnlich eingeschränkt wie in Deutschland.</w:t>
      </w:r>
    </w:p>
    <w:p w14:paraId="1CD7AE7D" w14:textId="77777777" w:rsidR="001F7233" w:rsidRDefault="00000000">
      <w:pPr>
        <w:spacing w:after="140"/>
      </w:pPr>
      <w:r>
        <w:rPr>
          <w:i/>
          <w:iCs/>
        </w:rPr>
        <w:t>Auch bei der Mietpreisbremse (Rent Control) unterscheiden sich die Provinzen deutlich. Ontario deckelt die jährliche Mieterhöhung für die meisten Bestandswohnungen gesetzlich. Neubauten ab einem bestimmten Stichdatum sind davon ausgenommen. British Columbia und Québec kennen ähnliche, jährlich neu festgelegte Obergrenzen. Alberta dagegen verzichtet komplett auf eine Mietpreisbremse: Der Vermieter darf die Miete bei Vertragsverlängerung meist frei neu verhandeln, solange er die vorgeschriebene Ankündigungsfrist einhält.</w:t>
      </w:r>
    </w:p>
    <w:p w14:paraId="194DBD9E" w14:textId="77777777" w:rsidR="001F7233" w:rsidRDefault="00000000">
      <w:r>
        <w:rPr>
          <w:b/>
        </w:rPr>
        <w:t xml:space="preserve">ACHTUNG: </w:t>
      </w:r>
    </w:p>
    <w:p w14:paraId="56700AF6" w14:textId="77777777" w:rsidR="001F7233" w:rsidRDefault="00000000">
      <w:r>
        <w:t>• Fehlende kanadische Kredithistorie ist der häufigste Grund für abgelehnte Mietbewerbungen von Neuankömmlingen – nicht das Einkommen selbst. Bring bei der ersten Besichtigung bereits Gehaltsnachweis, Arbeitsvertrag und, falls vorhanden, eine übersetzte Bestätigung deiner deutschen Vermieterin über pünktliche Zahlungen mit. Das ersetzt zwar keine kanadische Bonitätsprüfung, überzeugt aber oft genug.</w:t>
      </w:r>
    </w:p>
    <w:p w14:paraId="2361562C" w14:textId="77777777" w:rsidR="001F7233" w:rsidRDefault="001F7233">
      <w:pPr>
        <w:spacing w:line="220" w:lineRule="exact"/>
      </w:pPr>
    </w:p>
    <w:p w14:paraId="6833AD33" w14:textId="77777777" w:rsidR="001F7233" w:rsidRDefault="00000000">
      <w:r>
        <w:rPr>
          <w:b/>
        </w:rPr>
        <w:t xml:space="preserve">SPARTIPP: </w:t>
      </w:r>
    </w:p>
    <w:p w14:paraId="218867DA" w14:textId="77777777" w:rsidR="001F7233" w:rsidRDefault="00000000">
      <w:r>
        <w:t>• Montréal und Calgary liegen bei der Miete merklich unter Toronto und Vancouver. Rund 700 bis 800 CAD weniger im Monat für eine vergleichbare Wohnung. Wer beim Jobmarkt flexibel ist, sollte diese beiden Städte ernsthaft mit in die Rechnung nehmen, statt automatisch auf die bekannteren Namen zu setzen.</w:t>
      </w:r>
    </w:p>
    <w:p w14:paraId="0904E65F" w14:textId="77777777" w:rsidR="001F7233" w:rsidRDefault="001F7233">
      <w:pPr>
        <w:spacing w:line="220" w:lineRule="exact"/>
      </w:pPr>
    </w:p>
    <w:p w14:paraId="1C068BA0" w14:textId="77777777" w:rsidR="001F7233" w:rsidRDefault="001F7233">
      <w:pPr>
        <w:spacing w:line="220" w:lineRule="exact"/>
      </w:pPr>
    </w:p>
    <w:p w14:paraId="42274D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Kaufen: Ablauf, Käuferschutz und das Kaufverbot für Ausländer</w:t>
      </w:r>
    </w:p>
    <w:p w14:paraId="78C3899E" w14:textId="77777777" w:rsidR="001F7233" w:rsidRDefault="00000000">
      <w:pPr>
        <w:spacing w:after="140"/>
      </w:pPr>
      <w:r>
        <w:rPr>
          <w:i/>
          <w:iCs/>
        </w:rPr>
        <w:t>Der Ablauf ähnelt in den Grundzügen dem deutschen Immobilienkauf, nur ohne Notartermin: In den meisten Provinzen prüft ein auf Immobilienrecht spezialisierter Anwalt (Real Estate Lawyer) den Vertrag und wickelt die Übergabe ab, in Québec übernimmt das traditionell ein Notaire. Ein unterschriebenes Kaufangebot (Offer) ist in den meisten Provinzen sofort bindend, sobald der Verkäufer annimmt. Anders als in Deutschland gibt es keine grundsätzliche Bedenkzeit. Die einzige Ausnahme ist British Columbia: Dort gilt seit Januar 2023 eine gesetzliche „Home Buyer Rescission Period“ von drei Werktagen nach Vertragsannahme, in der ein Rücktritt gegen eine feste Gebühr von 0,25 % des Kaufpreises möglich ist. In begehrten Lagen, vor allem in Toronto, ist zudem das Blind Bidding verbreitet: Interessenten geben verdeckte Gebote ab, ohne die Angebote der Konkurrenz zu kennen, oft deutlich über dem Angebotspreis. Eine sehr kanadische Form des Wettbewerbs, höflich im Ton, aber schonungslos im Ergebnis.</w:t>
      </w:r>
    </w:p>
    <w:p w14:paraId="00835E73" w14:textId="77777777" w:rsidR="001F7233" w:rsidRDefault="00000000">
      <w:pPr>
        <w:spacing w:after="140"/>
      </w:pPr>
      <w:r>
        <w:t>Bei der Finanzierung gilt bundesweit eine gestaffelte Mindestanzahlung: 5 % bei Kaufpreisen bis 500.000 CAD, 10 % auf den Anteil darüber bis zur Preisobergrenze für versicherte Hypotheken, die seit Dezember 2024 bei 1,5 Mio. CAD liegt; darüber ist eine Anzahlung von mindestens 20 % Pflicht. Wer weniger als 20 % anzahlt, braucht auch eine Hypothekenversicherung über die staatliche CMHC, deren Kosten sich in die monatliche Rate einrechnen. Ohne kanadische Kredithistorie verlangen manche Banken höhere Anzahlungen. Einige Institute bieten aber inzwischen eigene Programme für Neuankömmlinge, die eine ausländische Bonitätshistorie akzeptieren.</w:t>
      </w:r>
    </w:p>
    <w:p w14:paraId="4ACB128E" w14:textId="77777777" w:rsidR="001F7233" w:rsidRDefault="00000000">
      <w:pPr>
        <w:spacing w:after="140"/>
      </w:pPr>
      <w:r>
        <w:rPr>
          <w:i/>
          <w:iCs/>
        </w:rPr>
        <w:t xml:space="preserve">Vor dem Angebot lohnt sich eine Hypotheken-Vorabzusage (Mortgage Pre-Approval) bei der eigenen Bank oder einem Hypothekenmakler. </w:t>
      </w:r>
      <w:r>
        <w:rPr>
          <w:i/>
          <w:iCs/>
        </w:rPr>
        <w:lastRenderedPageBreak/>
        <w:t>Sie zeigt dem Verkäufer, dass die Finanzierung steht, und ist bei Blind-Bidding-Situationen praktisch Pflicht. Eine Haus-Inspektion (Home Inspection) vor der endgültigen Zusage ist unüblich vorgeschrieben, aber in den meisten Kaufangeboten als Bedingung (Condition) einbaubar, sofern der Verkäufermarkt das zulässt. In hart umkämpften Lagen verzichten Käufer aus Konkurrenzdruck darauf, was ein reales Risiko bleibt. Zu den Abschlusskosten (Closing Costs) zählen neben der Grunderwerbsteuer (Land Transfer Tax, gestaffelt nach Kaufpreis und Provinz) die Anwalts- oder Notargebühren sowie die Grundbucheintragung. Als Faustregel kalkulieren Käufer obendrauf 1,5 bis 4 % des Kaufpreises außer der Anzahlung ein.</w:t>
      </w:r>
    </w:p>
    <w:p w14:paraId="6B93B4F1" w14:textId="77777777" w:rsidR="001F7233" w:rsidRDefault="00000000">
      <w:pPr>
        <w:spacing w:after="140"/>
      </w:pPr>
      <w:r>
        <w:t>Für Käufer ohne Permanent Residence kommt seit dem 1. Januar 2023 eine deutliche Hürde hinzu: Das bundesweite „Prohibition on the Purchase of Residential Property by Non-Canadians Act“ verbietet Nicht-Kanadiern meist den Kauf von Wohnimmobilien mit bis zu drei Einheiten in Ballungsgebieten. Die Regelung ist mittlerweile bis mindestens 1. Januar 2027 verlängert. Eine wichtige Ausnahme betrifft Inhaber eines gültigen Arbeitsvisums: Wer zum Kaufzeitpunkt noch mindestens 183 Tage Restlaufzeit auf dem Permit hat und noch keine andere Immobilie nach diesem Gesetz erworben hat, darf eine einzige Wohnimmobilie kaufen. Permanent Residents und kanadische Staatsbürger sind vom Verbot von vornherein ausgenommen. Der PR-Status wirkt hier ganz ähnlich wie in Australien: Er entscheidet, ob dich das Gesetz überhaupt betrifft.</w:t>
      </w:r>
    </w:p>
    <w:p w14:paraId="1C916150" w14:textId="77777777" w:rsidR="001F7233" w:rsidRDefault="00000000">
      <w:pPr>
        <w:spacing w:after="140"/>
      </w:pPr>
      <w:r>
        <w:t xml:space="preserve">Auch erheben zwei Provinzen eine eigene Steuer für ausländische Käufer, unabhängig vom Bundesverbot: Ontario verlangt eine „Non-Resident Speculation Tax“ von 25 % des Kaufpreises landesweit, in Toronto kommt eine städtische Zusatzabgabe von 10 % hinzu. Macht zusammen 35 % Aufschlag auf den Kaufpreis. British Columbia erhebt in Metro Vancouver und weiteren festgelegten Regionen eine „Additional Property Transfer Tax“ von 20 %. Alberta und die meisten anderen Provinzen kennen keine vergleichbare </w:t>
      </w:r>
      <w:r>
        <w:lastRenderedPageBreak/>
        <w:t>Sondersteuer. Auch hier gilt: Permanent Residents zahlen diese Steuern nicht, sie treffen nur „foreign nationals“ ohne PR-Status.</w:t>
      </w:r>
    </w:p>
    <w:p w14:paraId="104EF2F0" w14:textId="77777777" w:rsidR="001F7233" w:rsidRDefault="00000000">
      <w:r>
        <w:rPr>
          <w:b/>
        </w:rPr>
        <w:t xml:space="preserve">MERKE: </w:t>
      </w:r>
    </w:p>
    <w:p w14:paraId="3FCA8F7E" w14:textId="77777777" w:rsidR="001F7233" w:rsidRDefault="001F7233">
      <w:pPr>
        <w:spacing w:line="220" w:lineRule="exact"/>
      </w:pPr>
    </w:p>
    <w:p w14:paraId="58EFB85A" w14:textId="77777777" w:rsidR="001F7233" w:rsidRDefault="00000000">
      <w:r>
        <w:rPr>
          <w:b/>
        </w:rPr>
        <w:t xml:space="preserve">ACHTUNG: </w:t>
      </w:r>
    </w:p>
    <w:p w14:paraId="7F803DE4" w14:textId="77777777" w:rsidR="001F7233" w:rsidRDefault="00000000">
      <w:r>
        <w:t>• Ein Verstoß gegen das Kaufverbot ist kein Kavaliersdelikt: Das Gesetz sieht Bußgelder bis 10.000 CAD sowie eine mögliche gerichtlich angeordnete Rückabwicklung des Kaufs vor. Prüfe vor jedem Angebot, ob deine Permit-Restlaufzeit die 183-Tage-Grenze erfüllt und ob du nicht bereits eine andere Immobilie nach diesem Gesetz erworben hast. Im Zweifel klärt das ein auf Immobilienrecht spezialisierter Anwalt vorab.</w:t>
      </w:r>
    </w:p>
    <w:p w14:paraId="75D354ED" w14:textId="77777777" w:rsidR="001F7233" w:rsidRDefault="001F7233">
      <w:pPr>
        <w:spacing w:line="220" w:lineRule="exact"/>
      </w:pPr>
    </w:p>
    <w:p w14:paraId="476E071A" w14:textId="77777777" w:rsidR="001F7233" w:rsidRDefault="001F7233">
      <w:pPr>
        <w:spacing w:line="220" w:lineRule="exact"/>
      </w:pPr>
    </w:p>
    <w:p w14:paraId="631345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w14:paraId="75692BF3" w14:textId="77777777" w:rsidR="001F7233" w:rsidRDefault="00000000">
      <w:pPr>
        <w:spacing w:after="140"/>
      </w:pPr>
      <w:r>
        <w:t>Ein verbreiteter Irrtum lautet: „Kanada ist überall gleich kalt, also spielt der Wohnort fürs Klima kaum eine Rolle.“ Tatsächlich unterscheiden sich die Winter stark: In Calgary bringen Chinooks milde Phasen, während Vancouver oft milden Dauerregen erlebt. Jede der sechs großen Städte hat zudem eigene Naturgefahren, die sich auf Versicherungsprämien auswirken.</w:t>
      </w:r>
    </w:p>
    <w:p w14:paraId="5EC7F3C0" w14:textId="77777777" w:rsidR="001F7233" w:rsidRDefault="00000000">
      <w:pPr>
        <w:spacing w:after="140"/>
      </w:pPr>
      <w:r>
        <w:rPr>
          <w:b/>
          <w:bCs/>
        </w:rPr>
        <w:t xml:space="preserve">Toronto (Ontario) hat ein feucht-kontinentales Klima mit warmen, teils schwülen Sommern und kalten, schneereichen Wintern. Meist berechenbar, bis zum Derecho vom Mai 2022: Böen bis 190 km/h, rund vier Tornados entlang einer etwa 1.000 Kilometer langen Schneise quer durch Südontario, </w:t>
      </w:r>
      <w:r>
        <w:rPr>
          <w:b/>
          <w:bCs/>
        </w:rPr>
        <w:lastRenderedPageBreak/>
        <w:t>mehrere Notstandserklärungen. Beim Wohnen ist Toronto die zweitteuerste Metro Kanadas: Miete durchschnittlich 2.660 CAD, Kaufpreis rund 993.410 CAD. Der Jobmarkt gleicht das teilweise aus. Toronto ist Kanadas Finanzzentrum („Bay Street“), dazu ein wachsendes Fintech- und Tech-Cluster. Gehälter im Finanzsektor liegen laut Jobportalen bei rund 54.500 bis 66.300 CAD im Jahr, wobei die genaue Berufsabgrenzung solcher Portale variiert. Für die Deutsche Community sorgen Generalkonsulat, Goethe-Institut und die German International School Toronto.</w:t>
      </w:r>
    </w:p>
    <w:p w14:paraId="37DEEAF0" w14:textId="77777777" w:rsidR="001F7233" w:rsidRDefault="00000000">
      <w:pPr>
        <w:spacing w:after="140"/>
      </w:pPr>
      <w:r>
        <w:rPr>
          <w:b/>
          <w:bCs/>
        </w:rPr>
        <w:t>Vancouver (British Columbia) gilt klimatisch als ozeanisch-mild, was die milden Temperaturen betrifft. Bei den Niederschlägen aber überrascht die Stadt jeden Neuankömmling: 1.200 bis 1.600 Millimeter Regen im Jahr, November mit durchschnittlich 344 Millimetern an 20 Regentagen der nasseste Monat. Erdbebenrisiko kommt hinzu, da Vancouver in der seismisch aktiven Cascadia-Zone liegt. Dafür ist Vancouver die teuerste Stadt Kanadas: Miete rund 3.100 CAD im Schnitt, Kaufpreis-Benchmark bei 1.081.900 CAD. Der Jobmarkt punktet mit Tech, Gaming und einer Filmindustrie, die sich selbst „Hollywood North“ nennt. Softwareentwickler verdienen hier mit durchschnittlich 52,40 CAD pro Stunde landesweit am meisten, Einstiegsrollen in der Filmproduktion liegen bei rund 16 bis 32 CAD pro Stunde, deutlich mehr in Fachpositionen. Ein eigenes Goethe-Institut gibt es vor Ort nicht, dafür das Generalkonsulat Vancouver.</w:t>
      </w:r>
    </w:p>
    <w:p w14:paraId="7DE7B906" w14:textId="77777777" w:rsidR="001F7233" w:rsidRDefault="00000000">
      <w:pPr>
        <w:spacing w:after="140"/>
      </w:pPr>
      <w:r>
        <w:rPr>
          <w:b/>
          <w:bCs/>
        </w:rPr>
        <w:t xml:space="preserve">Calgary (Alberta) ist trocken-kontinental geprägt, mit dem erwähnten Chinook als wetterprägendem Sonderfall: Warme Fallwinde von den Rocky Mountains können die Temperatur binnen weniger Stunden um bis zu 20 Grad anheben, mit Kälteeinbrüchen bis −30 °C dazwischen – meist kurz, aber real. Das rasche Schmelzen und Wiedergefrieren führt zu tückisch vereisten Straßen und gelegentlichen Rohrbrüchen. Beim Wohnen ist Calgary spürbar günstiger als Toronto oder </w:t>
      </w:r>
      <w:r>
        <w:rPr>
          <w:b/>
          <w:bCs/>
        </w:rPr>
        <w:lastRenderedPageBreak/>
        <w:t>Vancouver: Miete rund 1.900 CAD, Kaufpreis mit 638.440 CAD der niedrigste der vier großen Metros. Der Jobmarkt wird von Öl und Gas dominiert, mit rund 45.000 direkt Beschäftigten und weiteren 205.000 Jobs in der Region. Pflegekräfte verdienen hier im Median rund 48 CAD pro Stunde, gegen etwa 41 CAD in Toronto. Ein Unterschied von rechnerisch rund 14.500 CAD im Jahr.</w:t>
      </w:r>
    </w:p>
    <w:p w14:paraId="3DB21217" w14:textId="77777777" w:rsidR="001F7233" w:rsidRDefault="00000000">
      <w:pPr>
        <w:spacing w:after="140"/>
      </w:pPr>
      <w:r>
        <w:rPr>
          <w:b/>
          <w:bCs/>
        </w:rPr>
        <w:t>Montréal (Québec) hat ebenfalls feucht-kontinentales Klima mit kalten, schneereichen Wintern. Dazu ein spezifisches Risiko: Eisstürme wie der vom April 2023, der rund 1,1 Millionen Stromkunden in Québec betraf, die Hälfte davon allein auf der Insel Montréal. Beim Wohnen ist Montréal zusammen mit Calgary die günstigste der sechs Metros: Miete rund 1.900 CAD, Kaufpreis 689.824 CAD (+3,2 % zum Vorjahr). Der Jobmarkt punktet mit Luft- und Raumfahrt (Bombardier, CAE, Pratt &amp; Whitney Canada) und einem internationalen KI-Cluster rund um das Forschungsinstitut Mila. Jobportale listen dort branchenübergreifend über 700 offene Stellen in der Luft- und Raumfahrt und rund 240 in KI-nahen Berufen – Momentaufnahmen, aber ein Indiz für die Breite des Marktes. Wer hierherzieht, sollte einplanen, dass Québec sein eigenes Steuersystem hat und das Sprachgesetz Bill 96 Neuankömmlingen nach sechs Monaten meist Französisch statt Englisch im Behördenkontakt vorschreibt.</w:t>
      </w:r>
    </w:p>
    <w:p w14:paraId="736CE062" w14:textId="77777777" w:rsidR="001F7233" w:rsidRDefault="00000000">
      <w:pPr>
        <w:spacing w:after="140"/>
      </w:pPr>
      <w:r>
        <w:rPr>
          <w:b/>
          <w:bCs/>
        </w:rPr>
        <w:t xml:space="preserve">Ottawa (Ontario, mit Gatineau in Québec) teilt sich das feucht-kontinentale Klima mit Toronto, ist aber seltener von Tornados betroffen. Dafür anfälliger für Eisstürme wie den vom April 2023. Die Miete liegt mit rund 2.350 CAD im Mittelfeld, zeigt aber unter den sechs Metros den stärksten Rückgang (−5,6 % zum Vorjahr). Stadtspezifische Kaufpreise sind in den verfügbaren Berichten nicht gesondert ausgewiesen, nur der nationale Durchschnitt von 668.219 CAD. Der Jobmarkt wird von der Bundesverwaltung dominiert (Politik, IT, Finanzen, Sprachdienste), ergänzt durch den Technologiepark Kanata </w:t>
      </w:r>
      <w:r>
        <w:rPr>
          <w:b/>
          <w:bCs/>
        </w:rPr>
        <w:lastRenderedPageBreak/>
        <w:t>North mit Schwerpunkt Telekommunikation, Cybersicherheit und Photonik. Der Park beschäftigt laut einer Wirkungsstudie direkt rund 31.000 Menschen, landesweit sollen über 63.000 weitere Jobs von ihm abhängen. Zahlen der lokalen Wirtschaftsförderung, nicht unabhängig geprüft, aber ein Hinweis auf die Größenordnung. Die Deutsche Botschaft hat hier ihren Sitz, dazu ein Goethe-Institut.</w:t>
      </w:r>
    </w:p>
    <w:p w14:paraId="32E8FC40" w14:textId="77777777" w:rsidR="001F7233" w:rsidRDefault="00000000">
      <w:pPr>
        <w:spacing w:after="140"/>
      </w:pPr>
      <w:r>
        <w:rPr>
          <w:b/>
          <w:bCs/>
        </w:rPr>
        <w:t>Halifax (Nova Scotia) hat ein maritim-gemäßigtes Klima mit milderen Wintern als im kontinentalen Kanada, dafür feucht und stürmisch. Halifax liegt auf einer Halbinsel fast auf Meereshöhe, direkt in der Zugbahn atlantischer Tropenstürme. Im Schnitt trifft Atlantic Canada etwa alle drei Jahre ein Hurrikan oder Post-Tropensturm. Der Post-Tropensturm Dorian im September 2019 legte rund 400.000 Stromkunden lahm. Die Miete liegt mit rund 2.350 CAD im Mittelfeld, zeigt aber als einzige der sechs Metros einen Anstieg (+5,4 % zum Vorjahr). Der Jobmarkt ist überraschend vielseitig für eine Stadt dieser Größe: Software, Fintech, Health-Tech, Meerestechnologie und Cybersicherheit. Mit unter 1 % Einwanderer-Anteil in IT-Berufen ist Atlantic Canada eine der am wenigsten durch Zuwanderung erschlossenen Tech-Regionen des Landes. Eine Chance für Neuankömmlinge, aber auch ein Hinweis darauf, dass sich berufliche Netzwerke vor Ort erst noch aufbauen lassen müssen.</w:t>
      </w:r>
    </w:p>
    <w:p w14:paraId="2F21E56A" w14:textId="77777777" w:rsidR="001F7233" w:rsidRDefault="00000000">
      <w:r>
        <w:rPr>
          <w:b/>
        </w:rPr>
        <w:t>Toronto</w:t>
      </w:r>
    </w:p>
    <w:p w14:paraId="426AD5E5" w14:textId="77777777" w:rsidR="001F7233" w:rsidRDefault="00000000">
      <w:r>
        <w:rPr>
          <w:b/>
        </w:rPr>
        <w:t xml:space="preserve">Klima und Naturgefahr: </w:t>
      </w:r>
      <w:r>
        <w:t>feucht-kontinental, Derecho-Risiko</w:t>
      </w:r>
    </w:p>
    <w:p w14:paraId="179C897C" w14:textId="77777777" w:rsidR="001F7233" w:rsidRDefault="00000000">
      <w:r>
        <w:rPr>
          <w:b/>
        </w:rPr>
        <w:t xml:space="preserve">Kosten (Miete Ø/Monat · Kaufpreis): </w:t>
      </w:r>
      <w:r>
        <w:t>2.660 CAD · 993.410 CAD</w:t>
      </w:r>
    </w:p>
    <w:p w14:paraId="6B5324F9" w14:textId="77777777" w:rsidR="001F7233" w:rsidRDefault="00000000">
      <w:r>
        <w:rPr>
          <w:b/>
        </w:rPr>
        <w:t xml:space="preserve">Jobmarkt-Stärke: </w:t>
      </w:r>
      <w:r>
        <w:t>Finanzen (Bay Street), Fintech/Tech</w:t>
      </w:r>
    </w:p>
    <w:p w14:paraId="6FBE56DF" w14:textId="77777777" w:rsidR="001F7233" w:rsidRDefault="00000000">
      <w:r>
        <w:rPr>
          <w:b/>
        </w:rPr>
        <w:t>Vancouver</w:t>
      </w:r>
    </w:p>
    <w:p w14:paraId="741790EF" w14:textId="77777777" w:rsidR="001F7233" w:rsidRDefault="00000000">
      <w:r>
        <w:rPr>
          <w:b/>
        </w:rPr>
        <w:t xml:space="preserve">Klima und Naturgefahr: </w:t>
      </w:r>
      <w:r>
        <w:t>ozeanisch, sehr regenreich, Erdbebenrisiko</w:t>
      </w:r>
    </w:p>
    <w:p w14:paraId="47201EA1" w14:textId="77777777" w:rsidR="001F7233" w:rsidRDefault="00000000">
      <w:r>
        <w:rPr>
          <w:b/>
        </w:rPr>
        <w:t xml:space="preserve">Kosten (Miete Ø/Monat · Kaufpreis): </w:t>
      </w:r>
      <w:r>
        <w:t>3.100 CAD · 1.081.900 CAD</w:t>
      </w:r>
    </w:p>
    <w:p w14:paraId="3643DF6E" w14:textId="77777777" w:rsidR="001F7233" w:rsidRDefault="00000000">
      <w:r>
        <w:rPr>
          <w:b/>
        </w:rPr>
        <w:t xml:space="preserve">Jobmarkt-Stärke: </w:t>
      </w:r>
      <w:r>
        <w:t>Tech/Software, Film/VFX</w:t>
      </w:r>
    </w:p>
    <w:p w14:paraId="64DF49BD" w14:textId="77777777" w:rsidR="001F7233" w:rsidRDefault="00000000">
      <w:r>
        <w:rPr>
          <w:b/>
        </w:rPr>
        <w:t>Calgary</w:t>
      </w:r>
    </w:p>
    <w:p w14:paraId="651CBC23" w14:textId="77777777" w:rsidR="001F7233" w:rsidRDefault="00000000">
      <w:r>
        <w:rPr>
          <w:b/>
        </w:rPr>
        <w:lastRenderedPageBreak/>
        <w:t xml:space="preserve">Klima und Naturgefahr: </w:t>
      </w:r>
      <w:r>
        <w:t>trocken-kontinental, Chinook-Extreme</w:t>
      </w:r>
    </w:p>
    <w:p w14:paraId="1A6A7ACF" w14:textId="77777777" w:rsidR="001F7233" w:rsidRDefault="00000000">
      <w:r>
        <w:rPr>
          <w:b/>
        </w:rPr>
        <w:t xml:space="preserve">Kosten (Miete Ø/Monat · Kaufpreis): </w:t>
      </w:r>
      <w:r>
        <w:t>1.900 CAD · 638.440 CAD</w:t>
      </w:r>
    </w:p>
    <w:p w14:paraId="01F626DA" w14:textId="77777777" w:rsidR="001F7233" w:rsidRDefault="00000000">
      <w:r>
        <w:rPr>
          <w:b/>
        </w:rPr>
        <w:t xml:space="preserve">Jobmarkt-Stärke: </w:t>
      </w:r>
      <w:r>
        <w:t>Öl und Gas</w:t>
      </w:r>
    </w:p>
    <w:p w14:paraId="5B3D2FE4" w14:textId="77777777" w:rsidR="001F7233" w:rsidRDefault="00000000">
      <w:r>
        <w:rPr>
          <w:b/>
        </w:rPr>
        <w:t>Montréal</w:t>
      </w:r>
    </w:p>
    <w:p w14:paraId="55632E99" w14:textId="77777777" w:rsidR="001F7233" w:rsidRDefault="00000000">
      <w:r>
        <w:rPr>
          <w:b/>
        </w:rPr>
        <w:t xml:space="preserve">Klima und Naturgefahr: </w:t>
      </w:r>
      <w:r>
        <w:t>feucht-kontinental, Eissturm-Risiko</w:t>
      </w:r>
    </w:p>
    <w:p w14:paraId="58FF7C39" w14:textId="77777777" w:rsidR="001F7233" w:rsidRDefault="00000000">
      <w:r>
        <w:rPr>
          <w:b/>
        </w:rPr>
        <w:t xml:space="preserve">Kosten (Miete Ø/Monat · Kaufpreis): </w:t>
      </w:r>
      <w:r>
        <w:t>1.900 CAD · 689.824 CAD</w:t>
      </w:r>
    </w:p>
    <w:p w14:paraId="5C4D6BF9" w14:textId="77777777" w:rsidR="001F7233" w:rsidRDefault="00000000">
      <w:r>
        <w:rPr>
          <w:b/>
        </w:rPr>
        <w:t xml:space="preserve">Jobmarkt-Stärke: </w:t>
      </w:r>
      <w:r>
        <w:t>Luft-/Raumfahrt, KI</w:t>
      </w:r>
    </w:p>
    <w:p w14:paraId="2134246C" w14:textId="77777777" w:rsidR="001F7233" w:rsidRDefault="00000000">
      <w:r>
        <w:rPr>
          <w:b/>
        </w:rPr>
        <w:t>Ottawa</w:t>
      </w:r>
    </w:p>
    <w:p w14:paraId="68660B77" w14:textId="77777777" w:rsidR="001F7233" w:rsidRDefault="00000000">
      <w:r>
        <w:rPr>
          <w:b/>
        </w:rPr>
        <w:t xml:space="preserve">Klima und Naturgefahr: </w:t>
      </w:r>
      <w:r>
        <w:t>feucht-kontinental, Eissturm-Risiko</w:t>
      </w:r>
    </w:p>
    <w:p w14:paraId="2DD2B1F8" w14:textId="77777777" w:rsidR="001F7233" w:rsidRDefault="00000000">
      <w:r>
        <w:rPr>
          <w:b/>
        </w:rPr>
        <w:t xml:space="preserve">Kosten (Miete Ø/Monat · Kaufpreis): </w:t>
      </w:r>
      <w:r>
        <w:t>2.350 CAD · n. e. (national 668.219 CAD)</w:t>
      </w:r>
    </w:p>
    <w:p w14:paraId="0702337D" w14:textId="77777777" w:rsidR="001F7233" w:rsidRDefault="00000000">
      <w:r>
        <w:rPr>
          <w:b/>
        </w:rPr>
        <w:t xml:space="preserve">Jobmarkt-Stärke: </w:t>
      </w:r>
      <w:r>
        <w:t>Bundesverwaltung, Tech (Kanata North)</w:t>
      </w:r>
    </w:p>
    <w:p w14:paraId="7A7E0551" w14:textId="77777777" w:rsidR="001F7233" w:rsidRDefault="00000000">
      <w:r>
        <w:rPr>
          <w:b/>
        </w:rPr>
        <w:t>Halifax</w:t>
      </w:r>
    </w:p>
    <w:p w14:paraId="4F9EFC7F" w14:textId="77777777" w:rsidR="001F7233" w:rsidRDefault="00000000">
      <w:r>
        <w:rPr>
          <w:b/>
        </w:rPr>
        <w:t xml:space="preserve">Klima und Naturgefahr: </w:t>
      </w:r>
      <w:r>
        <w:t>maritim, Hurrikan-/Sturmrisiko</w:t>
      </w:r>
    </w:p>
    <w:p w14:paraId="21496895" w14:textId="77777777" w:rsidR="001F7233" w:rsidRDefault="00000000">
      <w:r>
        <w:rPr>
          <w:b/>
        </w:rPr>
        <w:t xml:space="preserve">Kosten (Miete Ø/Monat · Kaufpreis): </w:t>
      </w:r>
      <w:r>
        <w:t>2.350 CAD · n. e.</w:t>
      </w:r>
    </w:p>
    <w:p w14:paraId="183DEACE" w14:textId="77777777" w:rsidR="001F7233" w:rsidRDefault="00000000">
      <w:r>
        <w:rPr>
          <w:b/>
        </w:rPr>
        <w:t xml:space="preserve">Jobmarkt-Stärke: </w:t>
      </w:r>
      <w:r>
        <w:t>Ocean-Tech, Fintech, Cybersicherheit</w:t>
      </w:r>
    </w:p>
    <w:p w14:paraId="1A65B00A" w14:textId="77777777" w:rsidR="001F7233" w:rsidRDefault="001F7233">
      <w:pPr>
        <w:spacing w:line="180" w:lineRule="exact"/>
      </w:pPr>
    </w:p>
    <w:p w14:paraId="4A1F22E2" w14:textId="77777777" w:rsidR="001F7233" w:rsidRDefault="00000000">
      <w:r>
        <w:rPr>
          <w:b/>
        </w:rPr>
        <w:t xml:space="preserve">ACHTUNG: </w:t>
      </w:r>
    </w:p>
    <w:p w14:paraId="278A1B3C" w14:textId="77777777" w:rsidR="001F7233" w:rsidRDefault="00000000">
      <w:r>
        <w:t>• Naturgefahren sind in Kanada kein exotisches Randthema, sondern ein Kostenfaktor: Versicherer kalkulieren Überschwemmungs-, Sturm- und Waldbrandrauch-Risiko in die Jahresprämie ein, in Hochrisikolagen wird eine Immobilie teurer oder schwerer versicherbar. Hol dir vor dem Kauf ein konkretes Angebot für genau dieses Grundstück ein. Nicht erst, nachdem der Vertrag schon unterschrieben ist.</w:t>
      </w:r>
    </w:p>
    <w:p w14:paraId="78438C2F" w14:textId="77777777" w:rsidR="001F7233" w:rsidRDefault="001F7233">
      <w:pPr>
        <w:spacing w:line="220" w:lineRule="exact"/>
      </w:pPr>
    </w:p>
    <w:p w14:paraId="5265DA8A" w14:textId="77777777" w:rsidR="001F7233" w:rsidRDefault="00000000">
      <w:pPr>
        <w:spacing w:after="140"/>
      </w:pPr>
      <w:r>
        <w:t>Neben Miete oder Kaufpreis unterscheiden sich die sechs Städte bei Auto, Kinderbetreuung und alltäglichen Lebenshaltungskosten spürbar weniger stark als beim Wohnen selbst. Wer aus einer deutschen Großstadt ohne eigenes Auto kommt, sollte trotzdem in praktisch allen sechs Städten außer der jeweiligen Innenstadt ein eigenes Fahrzeug einplanen: Der öffentliche Nahverkehr ist meist auf Pendlerkorridore in Richtung Innenstadt ausgelegt, nicht auf die Fläche der Vorstädte, in denen viele Familien mit Kindern eher landen.</w:t>
      </w:r>
    </w:p>
    <w:p w14:paraId="287DB687" w14:textId="77777777" w:rsidR="001F7233" w:rsidRDefault="00000000">
      <w:pPr>
        <w:pStyle w:val="Heading3"/>
      </w:pPr>
      <w:r>
        <w:lastRenderedPageBreak/>
        <w:t>Geräte, Gas und Reparatur: vor dem Einzug prüfen</w:t>
      </w:r>
    </w:p>
    <w:p w14:paraId="79D01D13" w14:textId="77777777" w:rsidR="001F7233" w:rsidRDefault="00000000">
      <w:r>
        <w:t>Vor Unterschrift Geräte, Heizung, Warmwasser und Gasanschluss prüfen. Condos können zentrale Systeme haben, für die Board/Verwaltung zuständig ist. Im Mietvertrag klären, wer Störung meldet und Reparaturen bezahlt. Deutsche 230-V-Geräte passen nicht ohne Weiteres an das in Kanada übliche 120-V/60-Hz-Netz. Ein Adapter ändert die Spannung nicht. Home-Warranty-Verträge sind kein Ersatz für Eigentümer- oder Hausratversicherung; prüfe Selbstbehalt, Obergrenzen und Wartungsausschlüsse.</w:t>
      </w:r>
    </w:p>
    <w:p w14:paraId="3FF85F68" w14:textId="77777777" w:rsidR="001F7233" w:rsidRDefault="00000000">
      <w:pPr>
        <w:pStyle w:val="Heading3"/>
      </w:pPr>
      <w:r>
        <w:t>Nachbarschaftsstreit: dokumentieren, dann lokal klären</w:t>
      </w:r>
    </w:p>
    <w:p w14:paraId="3670FC36" w14:textId="77777777" w:rsidR="001F7233" w:rsidRDefault="00000000">
      <w:r>
        <w:t>Bei Lärm, Parkplatz oder Condo-Regeln: Vorfälle knapp protokollieren, Hausordnung und kommunale Lärmregeln lesen, eine sachliche Bitte stellen. Danach Vermieter, Condo Board oder die passende Provinz-/Territorialstelle für Mietstreit einschalten. Verfahren und Rechte sind regional. Bei konkreten Drohungen Abstand halten und Polizei/Notruf nutzen.</w:t>
      </w:r>
    </w:p>
    <w:p w14:paraId="27887EE2" w14:textId="77777777" w:rsidR="001F7233" w:rsidRDefault="00000000">
      <w:pPr>
        <w:pStyle w:val="Heading3"/>
      </w:pPr>
      <w:r>
        <w:t>Termiten: ein regionales statt landesweites Problem</w:t>
      </w:r>
    </w:p>
    <w:p w14:paraId="3A7860B8" w14:textId="77777777" w:rsidR="001F7233" w:rsidRDefault="00000000">
      <w:r>
        <w:t>Kanada ist kein einheitliches Termitengebiet. Die Bundesregierung nennt vor allem das südliche Ontario, den Süden von British Columbia und das südliche Manitoba als regionale Risikozonen. Vor dem Kauf dort frag einen lokalen Inspektor gezielt nach Termiten und Holzschäden. Die allgemeine Hausinspektion ist meist eine sichtbare, nicht-invasive Momentaufnahme. Lass frühere Behandlungen, Schutzverträge und schwer zugängliche Bereiche erklären. Außer dieser Gebiete werden Feuchte, Fäulnis und andere Holzschädlinge oft relevanter. Als Mieter meldest du Röhren, Flügel oder weiches Holz dem Vermieter und dokumentierst es; nicht selbst aufstemmen.</w:t>
      </w:r>
    </w:p>
    <w:p w14:paraId="37234AA9" w14:textId="77777777" w:rsidR="001F7233" w:rsidRDefault="00000000">
      <w:pPr>
        <w:pStyle w:val="ListParagraph"/>
      </w:pPr>
      <w:r>
        <w:t xml:space="preserve">Quellen: </w:t>
      </w:r>
      <w:hyperlink r:id="rId851">
        <w:r w:rsidR="001F7233">
          <w:rPr>
            <w:rStyle w:val="Hyperlink"/>
          </w:rPr>
          <w:t>Government of Canada: Major insect pests and diagnostic signs</w:t>
        </w:r>
      </w:hyperlink>
      <w:r>
        <w:t xml:space="preserve"> | </w:t>
      </w:r>
      <w:hyperlink r:id="rId852">
        <w:r w:rsidR="001F7233">
          <w:rPr>
            <w:rStyle w:val="Hyperlink"/>
          </w:rPr>
          <w:t>Government of Canada: Home inspections</w:t>
        </w:r>
      </w:hyperlink>
    </w:p>
    <w:p w14:paraId="5FF40A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Wohnen und die besten Orte zum Leben</w:t>
      </w:r>
    </w:p>
    <w:p w14:paraId="304CCA3B" w14:textId="77777777" w:rsidR="001F7233" w:rsidRDefault="00000000">
      <w:r>
        <w:rPr>
          <w:b/>
        </w:rPr>
        <w:t>Plus: Permanent Residents sind von Kaufverbot und Foreign-Buyer-Steuern von Anfang an ausgenommen</w:t>
      </w:r>
    </w:p>
    <w:p w14:paraId="0CF6FD8C" w14:textId="77777777" w:rsidR="001F7233" w:rsidRDefault="00000000">
      <w:r>
        <w:rPr>
          <w:b/>
        </w:rPr>
        <w:t xml:space="preserve">Minus: </w:t>
      </w:r>
      <w:r>
        <w:t>Nicht-PR-Käufer brauchen ein gültiges Arbeitsvisum mit mindestens 183 Tagen Restlaufzeit</w:t>
      </w:r>
    </w:p>
    <w:p w14:paraId="7A699B9A" w14:textId="77777777" w:rsidR="001F7233" w:rsidRDefault="00000000">
      <w:r>
        <w:rPr>
          <w:b/>
        </w:rPr>
        <w:t>Plus: Ontario und Québec verbieten Schadenskautionen – finanziell entlastend beim Einzug</w:t>
      </w:r>
    </w:p>
    <w:p w14:paraId="4083688B" w14:textId="77777777" w:rsidR="001F7233" w:rsidRDefault="00000000">
      <w:r>
        <w:rPr>
          <w:b/>
        </w:rPr>
        <w:t xml:space="preserve">Minus: </w:t>
      </w:r>
      <w:r>
        <w:t>Ohne kanadische Kredithistorie ist die Wohnungssuche merklich schwerer als gedacht</w:t>
      </w:r>
    </w:p>
    <w:p w14:paraId="0C4E713E" w14:textId="77777777" w:rsidR="001F7233" w:rsidRDefault="00000000">
      <w:r>
        <w:rPr>
          <w:b/>
        </w:rPr>
        <w:t>Plus: Calgary und Montréal bieten deutlich günstigeren Wohnraum als Toronto oder Vancouver</w:t>
      </w:r>
    </w:p>
    <w:p w14:paraId="385B1BB5" w14:textId="77777777" w:rsidR="001F7233" w:rsidRDefault="00000000">
      <w:r>
        <w:rPr>
          <w:b/>
        </w:rPr>
        <w:t xml:space="preserve">Minus: </w:t>
      </w:r>
      <w:r>
        <w:t>Diese Städte verlangen Kompromisse bei Sprache (Québec) oder Jobfokus (Calgary)</w:t>
      </w:r>
    </w:p>
    <w:p w14:paraId="1A42D3D6" w14:textId="77777777" w:rsidR="001F7233" w:rsidRDefault="00000000">
      <w:r>
        <w:rPr>
          <w:b/>
        </w:rPr>
        <w:t>Plus: BC gewährt als einzige Provinz eine gesetzliche dreitägige Rücktrittsfrist beim Kauf</w:t>
      </w:r>
    </w:p>
    <w:p w14:paraId="10C56D7F" w14:textId="77777777" w:rsidR="001F7233" w:rsidRDefault="00000000">
      <w:r>
        <w:rPr>
          <w:b/>
        </w:rPr>
        <w:t xml:space="preserve">Minus: </w:t>
      </w:r>
      <w:r>
        <w:t>In den übrigen Provinzen ist ein angenommenes Angebot sofort bindend</w:t>
      </w:r>
    </w:p>
    <w:p w14:paraId="01064FD2" w14:textId="77777777" w:rsidR="001F7233" w:rsidRDefault="00000000">
      <w:r>
        <w:rPr>
          <w:b/>
        </w:rPr>
        <w:t>Plus: Jede Stadt hat ein gut dokumentiertes Naturgefahren-Profil, das sich recherchieren lässt</w:t>
      </w:r>
    </w:p>
    <w:p w14:paraId="6A30E4FB" w14:textId="77777777" w:rsidR="001F7233" w:rsidRDefault="00000000">
      <w:r>
        <w:rPr>
          <w:b/>
        </w:rPr>
        <w:t xml:space="preserve">Minus: </w:t>
      </w:r>
      <w:r>
        <w:t>Chinook-Vereisung, Derecho, Eissturm oder Hurrikan können Versicherbarkeit und -kosten merklich beeinflussen</w:t>
      </w:r>
    </w:p>
    <w:p w14:paraId="70CD6C24" w14:textId="77777777" w:rsidR="001F7233" w:rsidRDefault="001F7233">
      <w:pPr>
        <w:spacing w:line="180" w:lineRule="exact"/>
      </w:pPr>
    </w:p>
    <w:p w14:paraId="13BA89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62C828B" w14:textId="77777777" w:rsidR="001F7233" w:rsidRDefault="00000000">
      <w:pPr>
        <w:spacing w:after="140"/>
      </w:pPr>
      <w:r>
        <w:t xml:space="preserve">Vergleiche vor der Zusage nicht nur das Gehalt, sondern die Kombination aus Miet- oder Kaufniveau, Jobmarkt im eigenen Berufsfeld und Naturgefahren-Profil der Zielstadt. Kläre früh, welchen Aufenthaltsstatus du beim Umzug hast. Er entscheidet, ob dich das bundesweite Kaufverbot und die provinziellen Foreign-Buyer-Steuern überhaupt betreffen und ob eine Bank dich ohne kanadische Kredithistorie finanziert. Miete zunächst, auch wenn ein </w:t>
      </w:r>
      <w:r>
        <w:lastRenderedPageBreak/>
        <w:t>Kauf verlockt: Du lernst Viertel und Schuldistrikt aus eigener Erfahrung kennen und musst dich mit Ausnahme von British Columbia nicht unter Zeitdruck in ein sofort bindendes Kaufangebot hineinsteigern.</w:t>
      </w:r>
    </w:p>
    <w:p w14:paraId="2499057C" w14:textId="77777777" w:rsidR="001F7233" w:rsidRDefault="00000000">
      <w:r>
        <w:t>• Aufenthaltsstatus geklärt: Permanent Resident oder „non-Canadian“ im Sinne des Kaufverbots?</w:t>
      </w:r>
    </w:p>
    <w:p w14:paraId="1D742A9C" w14:textId="77777777" w:rsidR="001F7233" w:rsidRDefault="00000000">
      <w:r>
        <w:t>• Bei befristetem Visum geprüft, ob die 183-Tage-Restlaufzeit für eine Kaufausnahme reicht</w:t>
      </w:r>
    </w:p>
    <w:p w14:paraId="0C935DDE" w14:textId="77777777" w:rsidR="001F7233" w:rsidRDefault="00000000">
      <w:r>
        <w:t>• Provinzielle Foreign-Buyer-Steuer der Zielprovinz recherchiert (Ontario, BC) oder ausgeschlossen (Alberta u. a.)</w:t>
      </w:r>
    </w:p>
    <w:p w14:paraId="0C84D429" w14:textId="77777777" w:rsidR="001F7233" w:rsidRDefault="00000000">
      <w:r>
        <w:t>• Kautionsregeln der Zielprovinz geprüft (Ontario/Québec: keine Schadenskaution; Alberta/BC: Obergrenzen beachten)</w:t>
      </w:r>
    </w:p>
    <w:p w14:paraId="5ECBD972" w14:textId="77777777" w:rsidR="001F7233" w:rsidRDefault="00000000">
      <w:r>
        <w:t>• Unterlagen für Mietbewerbungen vorbereitet: Gehaltsnachweis, Arbeitsvertrag, ausländische Bonitätsnachweise</w:t>
      </w:r>
    </w:p>
    <w:p w14:paraId="4D61DF3A" w14:textId="77777777" w:rsidR="001F7233" w:rsidRDefault="00000000">
      <w:r>
        <w:t>• Bei Kaufabsicht: Real-Estate-Anwalt oder, in Québec, Notaire kontaktiert</w:t>
      </w:r>
    </w:p>
    <w:p w14:paraId="3EBD94BA" w14:textId="77777777" w:rsidR="001F7233" w:rsidRDefault="00000000">
      <w:r>
        <w:t>• Finanzierungsbedingungen ohne kanadische Kredithistorie bei mindestens zwei Banken erfragt</w:t>
      </w:r>
    </w:p>
    <w:p w14:paraId="09FF898D" w14:textId="77777777" w:rsidR="001F7233" w:rsidRDefault="00000000">
      <w:r>
        <w:t>• Naturgefahren-Profil der Zielstadt mit einem konkreten Versicherungsangebot abgeglichen</w:t>
      </w:r>
    </w:p>
    <w:p w14:paraId="2B4CA1DE" w14:textId="77777777" w:rsidR="001F7233" w:rsidRDefault="00000000">
      <w:r>
        <w:t>• Miet- und Kaufpreise mehrerer Städte im eigenen Berufsfeld verglichen, nicht nur Toronto oder Vancouver</w:t>
      </w:r>
    </w:p>
    <w:p w14:paraId="35EA8B9B" w14:textId="77777777" w:rsidR="001F7233" w:rsidRDefault="00000000">
      <w:r>
        <w:t>• Entschieden, mindestens die ersten sechs bis zwölf Monate zu mieten</w:t>
      </w:r>
    </w:p>
    <w:p w14:paraId="01FA7781" w14:textId="77777777" w:rsidR="001F7233" w:rsidRDefault="001F7233">
      <w:pPr>
        <w:spacing w:line="220" w:lineRule="exact"/>
      </w:pPr>
    </w:p>
    <w:p w14:paraId="00C73A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610820E" w14:textId="77777777" w:rsidR="001F7233" w:rsidRDefault="00000000">
      <w:pPr>
        <w:pStyle w:val="ListParagraph"/>
        <w:numPr>
          <w:ilvl w:val="0"/>
          <w:numId w:val="1"/>
        </w:numPr>
        <w:spacing w:after="60"/>
      </w:pPr>
      <w:r>
        <w:t>Statistics Canada — Quarterly Rent Statistics (</w:t>
      </w:r>
      <w:hyperlink r:id="rId853">
        <w:r w:rsidR="001F7233">
          <w:rPr>
            <w:color w:val="0563C1"/>
            <w:u w:val="single"/>
          </w:rPr>
          <w:t>statcan.gc.ca</w:t>
        </w:r>
      </w:hyperlink>
      <w:r>
        <w:t>)</w:t>
      </w:r>
    </w:p>
    <w:p w14:paraId="725A4784" w14:textId="77777777" w:rsidR="001F7233" w:rsidRDefault="00000000">
      <w:pPr>
        <w:pStyle w:val="ListParagraph"/>
        <w:numPr>
          <w:ilvl w:val="0"/>
          <w:numId w:val="1"/>
        </w:numPr>
        <w:spacing w:after="60"/>
      </w:pPr>
      <w:r>
        <w:t>CMHC (Canada Mortgage and Housing Corporation) — Rental- und Kaufmarktberichte, Hypothekenregeln (</w:t>
      </w:r>
      <w:hyperlink r:id="rId854">
        <w:r w:rsidR="001F7233">
          <w:rPr>
            <w:color w:val="0563C1"/>
            <w:u w:val="single"/>
          </w:rPr>
          <w:t>cmhc-schl.gc.ca</w:t>
        </w:r>
      </w:hyperlink>
      <w:r>
        <w:t>)</w:t>
      </w:r>
    </w:p>
    <w:p w14:paraId="0C768A78" w14:textId="77777777" w:rsidR="001F7233" w:rsidRDefault="00000000">
      <w:pPr>
        <w:pStyle w:val="ListParagraph"/>
        <w:numPr>
          <w:ilvl w:val="0"/>
          <w:numId w:val="1"/>
        </w:numPr>
        <w:spacing w:after="60"/>
      </w:pPr>
      <w:r>
        <w:t>Kanadische Bundesregierung — Prohibition on the Purchase of Residential Property by Non-Canadians Act (</w:t>
      </w:r>
      <w:hyperlink r:id="rId855">
        <w:r w:rsidR="001F7233">
          <w:rPr>
            <w:color w:val="0563C1"/>
            <w:u w:val="single"/>
          </w:rPr>
          <w:t>canada.ca</w:t>
        </w:r>
      </w:hyperlink>
      <w:r>
        <w:t>)</w:t>
      </w:r>
    </w:p>
    <w:p w14:paraId="3AAAC648" w14:textId="77777777" w:rsidR="001F7233" w:rsidRDefault="00000000">
      <w:pPr>
        <w:pStyle w:val="ListParagraph"/>
        <w:numPr>
          <w:ilvl w:val="0"/>
          <w:numId w:val="1"/>
        </w:numPr>
        <w:spacing w:after="60"/>
      </w:pPr>
      <w:r>
        <w:lastRenderedPageBreak/>
        <w:t>Province of British Columbia — Additional Property Transfer Tax, Home Buyer Rescission Period (</w:t>
      </w:r>
      <w:hyperlink r:id="rId856">
        <w:r w:rsidR="001F7233">
          <w:rPr>
            <w:color w:val="0563C1"/>
            <w:u w:val="single"/>
          </w:rPr>
          <w:t>gov.bc.ca</w:t>
        </w:r>
      </w:hyperlink>
      <w:r>
        <w:t>)</w:t>
      </w:r>
    </w:p>
    <w:p w14:paraId="448583D5" w14:textId="77777777" w:rsidR="001F7233" w:rsidRDefault="00000000">
      <w:pPr>
        <w:pStyle w:val="ListParagraph"/>
        <w:numPr>
          <w:ilvl w:val="0"/>
          <w:numId w:val="1"/>
        </w:numPr>
        <w:spacing w:after="60"/>
      </w:pPr>
      <w:r>
        <w:t>Ontario — Non-Resident Speculation Tax, Residential Tenancies Act (</w:t>
      </w:r>
      <w:hyperlink r:id="rId857">
        <w:r w:rsidR="001F7233">
          <w:rPr>
            <w:color w:val="0563C1"/>
            <w:u w:val="single"/>
          </w:rPr>
          <w:t>ontario.ca</w:t>
        </w:r>
      </w:hyperlink>
      <w:r>
        <w:t>)</w:t>
      </w:r>
    </w:p>
    <w:p w14:paraId="511F6DC0" w14:textId="77777777" w:rsidR="001F7233" w:rsidRDefault="00000000">
      <w:pPr>
        <w:pStyle w:val="ListParagraph"/>
        <w:numPr>
          <w:ilvl w:val="0"/>
          <w:numId w:val="1"/>
        </w:numPr>
        <w:spacing w:after="60"/>
      </w:pPr>
      <w:r>
        <w:t>Deutsche Auslandsvertretungen in Kanada — Generalkonsulate, Honorarkonsuln (</w:t>
      </w:r>
      <w:hyperlink r:id="rId858">
        <w:r w:rsidR="001F7233">
          <w:rPr>
            <w:color w:val="0563C1"/>
            <w:u w:val="single"/>
          </w:rPr>
          <w:t>kanada.diplo.de</w:t>
        </w:r>
      </w:hyperlink>
      <w:r>
        <w:t>)</w:t>
      </w:r>
    </w:p>
    <w:p w14:paraId="3DC243C1" w14:textId="77777777" w:rsidR="001F7233" w:rsidRDefault="001F7233">
      <w:pPr>
        <w:spacing w:line="120" w:lineRule="exact"/>
      </w:pPr>
    </w:p>
    <w:p w14:paraId="60AE1742" w14:textId="77777777" w:rsidR="001F7233" w:rsidRDefault="00000000">
      <w:pPr>
        <w:pStyle w:val="ListParagraph"/>
      </w:pPr>
      <w:r>
        <w:t xml:space="preserve">Canada — provincial and territorial rental housing links: </w:t>
      </w:r>
      <w:hyperlink r:id="rId859">
        <w:r w:rsidR="001F7233">
          <w:rPr>
            <w:rStyle w:val="Hyperlink"/>
          </w:rPr>
          <w:t>canada.ca/en/financial-consumer-agency/services/renting-first-apartment.html</w:t>
        </w:r>
      </w:hyperlink>
    </w:p>
    <w:p w14:paraId="11BF1825" w14:textId="77777777" w:rsidR="001F7233" w:rsidRDefault="00000000">
      <w:r>
        <w:t>• Quellen- und Datenstand: September 2026; Redaktionsschluss: Oktober 2026. Schnell ändern sich: Miet- und Kaufpreise (quartalsweise Marktberichte), die Frist des bundesweiten Kaufverbots (aktuell bis 1. Januar 2027 befristet), die Preisobergrenze für versicherte Hypotheken sowie die provinziellen Foreign-Buyer-Steuersätze. Prüfe vor jeder Entscheidung die offiziellen Seiten und aktuelle Marktberichte.</w:t>
      </w:r>
    </w:p>
    <w:p w14:paraId="6B0DFCC2" w14:textId="77777777" w:rsidR="001F7233" w:rsidRDefault="001F7233">
      <w:pPr>
        <w:spacing w:line="220" w:lineRule="exact"/>
      </w:pPr>
    </w:p>
    <w:p w14:paraId="12A69CF5" w14:textId="77777777" w:rsidR="001F7233" w:rsidRDefault="00000000">
      <w:pPr>
        <w:pStyle w:val="Heading3"/>
      </w:pPr>
      <w:r>
        <w:t>Strom, Wasser und Gas: laufende Kosten senken</w:t>
      </w:r>
    </w:p>
    <w:p w14:paraId="1CE02DDC" w14:textId="77777777" w:rsidR="001F7233" w:rsidRDefault="00000000">
      <w:r>
        <w:t xml:space="preserve">Budget utilities by province, municipality and exact address: electricity and natural-gas markets, fixed delivery charges, water/sewer billing and time-of-use options differ. Ask the landlord which utilities are included and whether heating is electric, gas, oil or included in rent. Compare the full bill for your usage and winter season, not a promotional rate alone. Use LEDs, cold-water laundry, full dishwasher loads, modest thermostat settings and clean furnace filters. Check toilet leaks and taps; contact the landlord quickly about leaks, drafts or unsafe heating equipment. Renters should not alter a furnace, water heater, plumbing fixture or insulation without written permission and a qualified tradesperson. Owners can request an EnerGuide home evaluation before major upgrades. </w:t>
      </w:r>
      <w:hyperlink r:id="rId860">
        <w:r w:rsidR="001F7233">
          <w:rPr>
            <w:color w:val="0563C1"/>
            <w:u w:val="single"/>
          </w:rPr>
          <w:t>Natural Resources Canada: make a home more energy-efficient</w:t>
        </w:r>
      </w:hyperlink>
    </w:p>
    <w:p w14:paraId="5F4C1601" w14:textId="77777777" w:rsidR="001F7233" w:rsidRDefault="00000000">
      <w:pPr>
        <w:pStyle w:val="Heading3"/>
      </w:pPr>
      <w:r>
        <w:lastRenderedPageBreak/>
        <w:t>Helikopter, Flugrouten und wiederkehrender Lärm</w:t>
      </w:r>
    </w:p>
    <w:p w14:paraId="04F51057" w14:textId="77777777" w:rsidR="001F7233" w:rsidRDefault="00000000">
      <w:r>
        <w:t>In Kanada können neben Polizei- und Rettungsflügen auch medizinische Transporte, Waldbrand-Einsätze und saisonaler Tourismus eine Rolle spielen. Prüfe die konkrete Adresse zu verschiedenen Uhrzeiten, samt Nähe zu Flughäfen, Helipads, Kliniken und Flugrouten. Frag Nachbarn nach wiederkehrendem Flug-, Straßen-, Bahn- und Baustellenlärm. Karten zeigen nicht jede Geräuschquelle; Routen und Einsatzaufkommen können sich ändern.</w:t>
      </w:r>
    </w:p>
    <w:p w14:paraId="48808344" w14:textId="77777777" w:rsidR="001F7233" w:rsidRDefault="00000000">
      <w:pPr>
        <w:pStyle w:val="Heading3"/>
      </w:pPr>
      <w:r>
        <w:t>Hobbys mit Nachweis: Flugzeug, Funk, Boot, Drohne, Tauchen und Hovercraft</w:t>
      </w:r>
    </w:p>
    <w:p w14:paraId="0538A13F" w14:textId="77777777" w:rsidR="001F7233" w:rsidRDefault="00000000">
      <w:r>
        <w:t xml:space="preserve">Für eine Cessna brauchst du eine kanadische Pilotlizenz oder eine von Transport Canada akzeptierte Validierung samt passender Berechtigung und Luftfahrtmedizin; Flugzeugregistrierung und Lufttüchtigkeit sind eigene Anforderungen. Amateurfunk wird durch ein ISED-Amateurfunkzeugnis mit den passenden Qualifikationen geregelt. Wer ein motorisiertes Freizeitboot führt, braucht einen Nachweis der Kompetenz, meist die Pleasure Craft Operator Card; ein Segelboot mit Hilfsmotor fällt ebenfalls darunter. Das Pleasure Craft Licence-Dokument des Bootes ist etwas anderes als die Fahrerkarte. Drohnen ab 250 g müssen registriert sein und erfordern je nach Betriebsart ein Pilot Certificate; Mikro-Drohnen bleiben an Sicherheits- und Luftraumregeln gebunden. Gerätetauchen verlangt normalerweise ein anerkanntes Tauchzertifikat; Anbieter prüfen zusätzlich Erfahrung und medizinische Eignung. Deutsche Qualifikationen nicht als automatisch umgeschrieben behandeln. </w:t>
      </w:r>
      <w:hyperlink r:id="rId861">
        <w:r w:rsidR="001F7233">
          <w:rPr>
            <w:color w:val="0563C1"/>
            <w:u w:val="single"/>
          </w:rPr>
          <w:t>Transport Canada: foreign pilots and Canadian licences</w:t>
        </w:r>
      </w:hyperlink>
      <w:r>
        <w:t xml:space="preserve"> </w:t>
      </w:r>
      <w:hyperlink r:id="rId862">
        <w:r w:rsidR="001F7233">
          <w:rPr>
            <w:color w:val="0563C1"/>
            <w:u w:val="single"/>
          </w:rPr>
          <w:t>ISED: amateur radio operator certification</w:t>
        </w:r>
      </w:hyperlink>
      <w:r>
        <w:t xml:space="preserve"> </w:t>
      </w:r>
      <w:hyperlink r:id="rId863">
        <w:r w:rsidR="001F7233">
          <w:rPr>
            <w:color w:val="0563C1"/>
            <w:u w:val="single"/>
          </w:rPr>
          <w:t>Transport Canada: boating competency and boat documents</w:t>
        </w:r>
      </w:hyperlink>
      <w:r>
        <w:t xml:space="preserve"> </w:t>
      </w:r>
      <w:hyperlink r:id="rId864">
        <w:r w:rsidR="001F7233">
          <w:rPr>
            <w:color w:val="0563C1"/>
            <w:u w:val="single"/>
          </w:rPr>
          <w:t>Transport Canada: drone certificates by operation type</w:t>
        </w:r>
      </w:hyperlink>
      <w:r>
        <w:t xml:space="preserve"> </w:t>
      </w:r>
      <w:hyperlink r:id="rId865">
        <w:r w:rsidR="001F7233">
          <w:rPr>
            <w:color w:val="0563C1"/>
            <w:u w:val="single"/>
          </w:rPr>
          <w:t>PADI: Open Water Diver certification</w:t>
        </w:r>
      </w:hyperlink>
    </w:p>
    <w:p w14:paraId="688EA3AF" w14:textId="77777777" w:rsidR="001F7233" w:rsidRDefault="00000000">
      <w:r>
        <w:t xml:space="preserve">Hovercraft: Transport Canada führt Air Cushion Vehicles als besondere, nicht konventionelle Kleinfahrzeuge. Vor dem Kauf bei </w:t>
      </w:r>
      <w:r>
        <w:lastRenderedPageBreak/>
        <w:t>Bundes- und Provinzstellen klären, welche Konstruktions-, Sicherheits-, Kennzeichnungs- und Gewässerregeln für genau dieses Fahrzeug gelten. Einstieg: https://tc.canada.ca/en/marine-transportation/marine-safety/small-vessels</w:t>
      </w:r>
      <w:r>
        <w:br w:type="page"/>
      </w:r>
    </w:p>
    <w:p w14:paraId="432A5A73" w14:textId="77777777" w:rsidR="001F7233" w:rsidRDefault="00000000">
      <w:pPr>
        <w:pStyle w:val="Heading2"/>
        <w:keepNext/>
        <w:spacing w:line="341" w:lineRule="auto"/>
        <w:jc w:val="center"/>
      </w:pPr>
      <w:bookmarkStart w:id="119" w:name="tka10"/>
      <w:r>
        <w:rPr>
          <w:rFonts w:ascii="Amazon Ember" w:eastAsia="Amazon Ember" w:hAnsi="Amazon Ember" w:cs="Amazon Ember"/>
          <w:color w:val="0000FF"/>
          <w:sz w:val="36"/>
          <w:szCs w:val="36"/>
        </w:rPr>
        <w:lastRenderedPageBreak/>
        <w:t>Kanada: Führerschein, Auto und Verkehrsregeln</w:t>
      </w:r>
      <w:bookmarkEnd w:id="119"/>
    </w:p>
    <w:p w14:paraId="4ADCBA81" w14: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w14:paraId="10EBC0B5" w14:textId="77777777" w:rsidR="001F7233" w:rsidRDefault="00000000">
      <w:r>
        <w:rPr>
          <w:b/>
        </w:rPr>
        <w:t xml:space="preserve">KURZ GESAGT: </w:t>
      </w:r>
    </w:p>
    <w:p w14:paraId="3F4C8B10" w14:textId="77777777" w:rsidR="001F7233" w:rsidRDefault="00000000">
      <w:r>
        <w:t>• Kanada fährt rechts wie Deutschland – die eigentliche Umstellung liegt im Detail, nicht in der Fahrbahnseite.</w:t>
      </w:r>
    </w:p>
    <w:p w14:paraId="767FBE33" w14:textId="77777777" w:rsidR="001F7233" w:rsidRDefault="00000000">
      <w:r>
        <w:t>• Der deutsche Führerschein lässt sich in Ontario, British Columbia, Québec und Alberta ohne Fahrprüfung umtauschen, aber mit sehr unterschiedlichen Fristen: Ontario 60 Tage, British Columbia 90 Tage, Québec 6 Monate.</w:t>
      </w:r>
    </w:p>
    <w:p w14:paraId="1DB09F1E" w14:textId="77777777" w:rsidR="001F7233" w:rsidRDefault="00000000">
      <w:r>
        <w:t>• Kfz-Versicherung ist reine Provinzsache: öffentliche Systeme in British Columbia, Saskatchewan, Manitoba und Québec stehen einem privaten Markt in Ontario und den meisten übrigen Provinzen gegen. Mit Jahresprämien zwischen rund 750 CAD und über 2.000 CAD für dasselbe Risiko.</w:t>
      </w:r>
    </w:p>
    <w:p w14:paraId="1BD50DA7" w14:textId="77777777" w:rsidR="001F7233" w:rsidRDefault="00000000">
      <w:r>
        <w:t>• Rechtsabbiegen bei Rot ist fast überall in Kanada erlaubt, mit einer bemerkenswerten Ausnahme: der gesamten Insel Montreal.</w:t>
      </w:r>
    </w:p>
    <w:p w14:paraId="57798BA5" w14:textId="77777777" w:rsidR="001F7233" w:rsidRDefault="00000000">
      <w:r>
        <w:t>• Vierweg-Stopps, Schulbus-Haltepflicht und eine Nulltoleranz für Fahranfänger beim Alkohol gehören zu den Regeln, die Neuankömmlinge zuverlässig unterschätzen.</w:t>
      </w:r>
    </w:p>
    <w:p w14:paraId="6CEF19D2" w14:textId="77777777" w:rsidR="001F7233" w:rsidRDefault="00000000">
      <w:r>
        <w:t>• Québec verlangt gesetzlich Winterreifen, und Wildunfälle mit Elch oder Hirsch sind ein reales, ernst zu nehmendes Risiko abseits der Städte.</w:t>
      </w:r>
    </w:p>
    <w:p w14:paraId="2BBE882C" w14:textId="77777777" w:rsidR="001F7233" w:rsidRDefault="001F7233">
      <w:pPr>
        <w:spacing w:line="220" w:lineRule="exact"/>
      </w:pPr>
    </w:p>
    <w:p w14:paraId="477AD5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eine Provinz, eine eigene Frist</w:t>
      </w:r>
    </w:p>
    <w:p w14:paraId="4E624C91" w14:textId="77777777" w:rsidR="001F7233" w:rsidRDefault="00000000">
      <w:pPr>
        <w:spacing w:after="140"/>
      </w:pPr>
      <w:r>
        <w:t xml:space="preserve">Kanada hat, anders als man bei einem Land mit einer Bundesregierung vielleicht erwarten würde, keine landesweit </w:t>
      </w:r>
      <w:r>
        <w:lastRenderedPageBreak/>
        <w:t>einheitliche Regelung für den Führerschein. Jede Provinz entscheidet für sich, mit welchen Ländern sie ein Reziprozitätsabkommen (eine gegenseitige Anerkennung von Führerscheinen ohne neue Prüfung) unterhält und jede Provinz setzt ihre eigene Frist, bis wann der Umtausch erledigt sein muss. Für Deutsche ist die Nachricht meist gut: Ontario, British Columbia, Québec und, nach übereinstimmenden Quellen, auch Alberta erkennen den deutschen Führerschein ohne theoretische oder praktische Prüfung an. Was sich zwischen den Provinzen dramatisch unterscheidet, ist die Zeit, die dafür bleibt.</w:t>
      </w:r>
    </w:p>
    <w:p w14:paraId="2C2030AB" w14:textId="77777777" w:rsidR="001F7233" w:rsidRDefault="00000000">
      <w:pPr>
        <w:spacing w:after="140"/>
      </w:pPr>
      <w:r>
        <w:rPr>
          <w:i/>
          <w:iCs/>
        </w:rPr>
        <w:t>In Ontario bleibt der deutsche Führerschein 60 Tage ab Wohnsitzbegründung gültig, danach ist der Umtausch bei einem DriveTest-Zentrum oder einem ServiceOntario-Büro Pflicht. British Columbia gewährt 90 Tage; die passende Behörde ICBC (Insurance Corporation of British Columbia, der staatliche Versicherer und zugleich Führerscheinstelle der Provinz) verlangt auch einen Nachweis von mindestens zwei Jahren Fahrerfahrung. Meist reicht dafür der deutsche Führerschein selbst, im Zweifel ergänzt um eine Bestätigung der ausstellenden Behörde. Québec ist mit 6 Monaten die großzügigste der drei sicher geprüften Provinzen: Die SAAQ (Société de l’assurance automobile du Québec, die für Führerschein und Kfz-Versicherung passende Provinzbehörde) tauscht ohne Prüfung um, lässt sich mit der Frist aber deutlich mehr Zeit als Ontario oder British Columbia.</w:t>
      </w:r>
    </w:p>
    <w:p w14:paraId="69F7C95D" w14:textId="77777777" w:rsidR="001F7233" w:rsidRDefault="00000000">
      <w:r>
        <w:rPr>
          <w:b/>
        </w:rPr>
        <w:t xml:space="preserve">ACHTUNG: </w:t>
      </w:r>
    </w:p>
    <w:p w14:paraId="61F4EC4B" w14:textId="77777777" w:rsidR="001F7233" w:rsidRDefault="00000000">
      <w:r>
        <w:t>• Wer die Umtauschfrist seiner Provinz verstreichen lässt, fährt danach ohne gültigen Führerschein. Mit Folgen für Bußgelder und, im Schadensfall, für den Versicherungsschutz. Da Ontario und British Columbia nur 60 oder 90 Tage einräumen, lohnt sich ein Termin bei der passenden Stelle gleich in den ersten Wochen nach der Ankunft, nicht erst, wenn die Frist schon drückt.</w:t>
      </w:r>
    </w:p>
    <w:p w14:paraId="0C19EE96" w14:textId="77777777" w:rsidR="001F7233" w:rsidRDefault="001F7233">
      <w:pPr>
        <w:spacing w:line="220" w:lineRule="exact"/>
      </w:pPr>
    </w:p>
    <w:p w14:paraId="59E2B533" w14:textId="77777777" w:rsidR="001F7233" w:rsidRDefault="001F7233">
      <w:pPr>
        <w:spacing w:line="220" w:lineRule="exact"/>
      </w:pPr>
    </w:p>
    <w:p w14:paraId="694E5505" w14:textId="77777777" w:rsidR="001F7233" w:rsidRDefault="00000000">
      <w:pPr>
        <w:spacing w:after="140"/>
      </w:pPr>
      <w:r>
        <w:t xml:space="preserve">Für alle übrigen Provinzen und Territorien – Manitoba, Saskatchewan, die Atlantikprovinzen, Yukon, Nordwest-Territorien, </w:t>
      </w:r>
      <w:r>
        <w:lastRenderedPageBreak/>
        <w:t>Nunavut. Lässt sich die Reziprozitätslage mit Deutschland nicht pauschal zusammenfassen. Sie sollte vor dem Umzug direkt bei der jeweiligen Führerscheinbehörde geprüft werden, nicht bei einer der zahlreichen kommerziellen Ratgeberseiten, die zu diesem Thema kursieren. Verbreiteter Irrtum: „Der Führerschein gilt, solange das Visum läuft.“ Tatsächlich hängt die Frist am Wohnsitz, nicht am Aufenthaltsstatus. Wer in Kanadas die Provinz wechselt, beginnt rechtlich wieder bei null und sollte die neue Frist am Tag des Umzugs notieren, nicht erst beim nächsten Behördengang.</w:t>
      </w:r>
    </w:p>
    <w:p w14:paraId="7D2085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 ein Flickenteppich mit echten Preisunterschieden</w:t>
      </w:r>
    </w:p>
    <w:p w14:paraId="63AC3E14" w14:textId="77777777" w:rsidR="001F7233" w:rsidRDefault="00000000">
      <w:pPr>
        <w:spacing w:after="140"/>
      </w:pPr>
      <w:r>
        <w:t>Wer aus Deutschland kommt, wo Kfz-Versicherer bundesweit im selben Markt konkurrieren, muss sich in Kanada an einen ausgesprochen unterschiedlichen Aufbau gewöhnen. British Columbia (über die ICBC), Saskatchewan (über die SGI), Manitoba (über die MPI) und Québec (über die SAAQ für die Grunddeckung) betreiben ganz oder teilweise öffentliche Versicherungssysteme mit vergleichsweise stabilen Preisen. Ontario und die meisten übrigen Provinzen überlassen die Kfz-Versicherung dagegen vollständig privaten Anbietern. Mit spürbaren Folgen für den Geldbeutel.</w:t>
      </w:r>
    </w:p>
    <w:p w14:paraId="61D6732F" w14:textId="77777777" w:rsidR="001F7233" w:rsidRDefault="00000000">
      <w:pPr>
        <w:spacing w:after="140"/>
      </w:pPr>
      <w:r>
        <w:t xml:space="preserve">Die Jahresprämie für eine Einzelperson mit einem Fahrzeug liegt national grob zwischen 1.200 und 2.000 CAD, doch die Provinz entscheidet, an welchem Ende dieser Spanne die Rechnung landet. Ontario ist mit rund 1.800 bis über 2.000 CAD pro Jahr die teuerste Provinz überhaupt, Alberta liegt bei etwa 1.735 CAD, British Columbia bei rund 1.500 CAD. Québec bildet mit rund 750 CAD im Jahr das andere Ende der Skala. Weniger als die Hälfte des Ontario-Niveaus für ein vergleichbares Risiko. Wer die Wahl zwischen zwei Provinzen hat und die Kfz-Versicherung als ernsthaften Kostenfaktor </w:t>
      </w:r>
      <w:r>
        <w:lastRenderedPageBreak/>
        <w:t>einplant, findet hier einen der deutlichsten Unterschiede im ganzen Land.</w:t>
      </w:r>
    </w:p>
    <w:p w14:paraId="7B0DBDD1" w14:textId="77777777" w:rsidR="001F7233" w:rsidRDefault="00000000">
      <w:pPr>
        <w:spacing w:after="140"/>
      </w:pPr>
      <w:r>
        <w:t>Als Neuankömmling ohne kanadische Fahr- und Schadenshistorie wirst du von den meisten Versicherern zunächst als höheres Risiko eingestuft und zahlst entsprechend mehr als jemand mit lokaler Historie. Manche Anbieter beachten eine deutsche Schadenfreiheitsbescheinigung bei der Einstufung, andere nicht. Hier lohnt sich echte Marktbeobachtung, kein Verlass auf die erstbeste Offerte.</w:t>
      </w:r>
    </w:p>
    <w:p w14:paraId="593802C5" w14:textId="77777777" w:rsidR="001F7233" w:rsidRDefault="00000000">
      <w:r>
        <w:rPr>
          <w:b/>
        </w:rPr>
        <w:t xml:space="preserve">SPARTIPP: </w:t>
      </w:r>
    </w:p>
    <w:p w14:paraId="54CF258B" w14:textId="77777777" w:rsidR="001F7233" w:rsidRDefault="00000000">
      <w:r>
        <w:t>• Hole vor dem Abschluss mindestens drei Angebote mit identischer Deckung ein und frage jeden Anbieter ausdrücklich, ob eine deutsche Schadenfreiheitsbescheinigung die Einstufung verbessert. Der Unterschied zwischen dem billigsten und dem teuersten vergleichbaren Angebot ist in Kanada oft größer, als man es aus dem deutschen Markt gewohnt ist.</w:t>
      </w:r>
    </w:p>
    <w:p w14:paraId="29E02781" w14:textId="77777777" w:rsidR="001F7233" w:rsidRDefault="001F7233">
      <w:pPr>
        <w:spacing w:line="220" w:lineRule="exact"/>
      </w:pPr>
    </w:p>
    <w:p w14:paraId="175849D2" w14:textId="77777777" w:rsidR="001F7233" w:rsidRDefault="00000000">
      <w:pPr>
        <w:spacing w:after="140"/>
      </w:pPr>
      <w:r>
        <w:t>Der Fahrzeugkauf selbst – ob neu oder gebraucht. Läuft regional unterschiedlich ab, folgt aber überall demselben Grundmuster: Kaufvertrag, Übertragung der Zulassung bei der passenden Provinzbehörde, Nachweis einer gültigen Versicherung vor der Anmeldung. Anders als beim deutschen TÜV gibt es keine bundesweit einheitliche Hauptuntersuchung. Ob und wie oft ein Fahrzeug technisch geprüft werden muss, entscheidet wieder einmal die Provinz. Manche verlangen eine Prüfung nur beim Halterwechsel, andere gar nicht. Beim Händlerkauf übernimmt der Verkäufer die Ummeldung meist automatisch. Beim Privatkauf erledigst du die Übertragung selbst bei der Zulassungsstelle, gegen Vorlage von Kaufvertrag, gültiger Versicherung und einem Identitätsnachweis.</w:t>
      </w:r>
    </w:p>
    <w:p w14:paraId="3114BB7B" w14:textId="77777777" w:rsidR="001F7233" w:rsidRDefault="00000000">
      <w:r>
        <w:t xml:space="preserve">Rostprüfung: In Kanadas schneereichen Provinzen werden Straßen mit Salz und Sand behandelt. Bei Gebrauchtwagen daher Herkunft und Wintereinsatz erfragen und Unterboden, Schweller, Bremsleitungen sowie Fahrwerk unabhängig prüfen lassen. Eine </w:t>
      </w:r>
      <w:r>
        <w:lastRenderedPageBreak/>
        <w:t>glänzende Karosserie sagt wenig über den Unterboden. Ontario beschreibt den Einsatz von Streusalz im Winterdienst: https://www.ontario.ca/page/how-we-clear-ontarios-highways-winter.</w:t>
      </w:r>
    </w:p>
    <w:p w14:paraId="03692E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Verkehrsregeln, die im Alltag überraschen</w:t>
      </w:r>
    </w:p>
    <w:p w14:paraId="75253120" w14:textId="77777777" w:rsidR="001F7233" w:rsidRDefault="00000000">
      <w:pPr>
        <w:spacing w:after="140"/>
      </w:pPr>
      <w:r>
        <w:t>Tempolimits werden in Kanada, wie in fast der gesamten Welt außer der USA, in km/h angegeben. Für Deutsche also keine Umrechnung, sondern höchstens eine andere Zahl. Auf Provinz-Highways liegt das Maximum meist zwischen 90 und 110 km/h. Ontario hebt bis Ende September 2026 rund 89 % seines Provinz-Highway-Netzes auf 110 km/h an, British Columbia erlaubt auf einzelnen Autobahnabschnitten bereits bis zu 120 km/h. Das Mindesttempo auf Highways liegt vielerorts bei 60 km/h. Wer deutlich langsamer fährt, kann selbst zum Verkehrshindernis werden.</w:t>
      </w:r>
    </w:p>
    <w:p w14:paraId="2EDA9C6D" w14:textId="77777777" w:rsidR="001F7233" w:rsidRDefault="00000000">
      <w:pPr>
        <w:spacing w:after="140"/>
      </w:pPr>
      <w:r>
        <w:t>Die wohl überraschendste Einzelregel betrifft das Rechtsabbiegen bei Rot: In den meisten kanadischen Provinzen ist es nach vollständigem Halt erlaubt, sofern kein Schild es ausdrücklich untersagt. Ähnlich wie in den USA. Die einzige große Ausnahme im ganzen Land ist die Insel Montreal: Dort ist Rechtsabbiegen bei Rot flächendeckend verboten. Obwohl es im übrigen Québec seit 2003 erlaubt ist. Große Schilder an allen Zufahrtsbrücken zur Insel weisen darauf hin. Eine Lockerung wird politisch diskutiert, war zuletzt aber nicht beschlossen.</w:t>
      </w:r>
    </w:p>
    <w:p w14:paraId="13AFC88F" w14:textId="77777777" w:rsidR="001F7233" w:rsidRDefault="00000000">
      <w:r>
        <w:rPr>
          <w:b/>
        </w:rPr>
        <w:t xml:space="preserve">MERKE: </w:t>
      </w:r>
    </w:p>
    <w:p w14:paraId="59ADC9F3" w14:textId="77777777" w:rsidR="001F7233" w:rsidRDefault="00000000">
      <w:r>
        <w:t>• Rechtsabbiegen bei Rot ist in Kanada die Regel, nicht die Ausnahme. Außer ausgerechnet auf der Insel Montreal, wo es genau andersherum ist. Wer zwischen Ontario und Québec pendelt oder umzieht, gewöhnt sich zweimal um.</w:t>
      </w:r>
    </w:p>
    <w:p w14:paraId="7B294B5C" w14:textId="77777777" w:rsidR="001F7233" w:rsidRDefault="001F7233">
      <w:pPr>
        <w:spacing w:line="220" w:lineRule="exact"/>
      </w:pPr>
    </w:p>
    <w:p w14:paraId="7A3D11B0" w14:textId="77777777" w:rsidR="001F7233" w:rsidRDefault="00000000">
      <w:pPr>
        <w:spacing w:after="140"/>
      </w:pPr>
      <w:r>
        <w:rPr>
          <w:i/>
          <w:iCs/>
        </w:rPr>
        <w:lastRenderedPageBreak/>
        <w:t>An unbeschilderten Kreuzungen mit vier Stoppschildern (dem All-Way Stop, umgangssprachlich Vierweg-Stopp) gilt eine einfache, aber strikt befolgte Regel: Wer zuerst vollständig anhält, fährt zuerst. Halten zwei Fahrzeuge gleichzeitig, hat das Fahrzeug von rechts Vorfahrt. Wer links abbiegen will, muss dem geradeaus fahrenden Gegenverkehr Vorfahrt gewähren. Ein bundesweit einheitliches Vorfahrtsrecht gibt es nicht. Verkehrsrecht ist Provinzsache –, doch die Grundregeln an Vierweg-Stopps sind landesweit erstaunlich ähnlich, was die Umgewöhnung immerhin erleichtert.</w:t>
      </w:r>
    </w:p>
    <w:p w14:paraId="13DC8427" w14:textId="77777777" w:rsidR="001F7233" w:rsidRDefault="00000000">
      <w:pPr>
        <w:spacing w:after="140"/>
      </w:pPr>
      <w:r>
        <w:t>Schulbusse verdienen besondere Aufmerksamkeit: Klappt ein Schulbus sein rotes Blinklicht und sein Stoppschild aus, müssen Fahrzeuge aus beiden Richtungen anhalten. Nur bei baulich getrennten Fahrbahnen mit Mittelstreifen gilt die Pflicht je nach Provinz oft nur für den Verkehr hinter dem Bus. Die Bußgelder sind empfindlich: In Ontario kostet der erste Verstoß 400 bis 2.000 CAD und 6 Demeritpunkte (Strafpunkte im Führerscheinregister), ein zweiter Verstoß innerhalb von 5 Jahren 1.000 bis 4.000 CAD und im Extremfall bis zu 6 Monate Haft. British Columbia verlangt 368 CAD plus 3 Punkte, Alberta rund 402 CAD.</w:t>
      </w:r>
    </w:p>
    <w:p w14:paraId="0DC67F59" w14:textId="77777777" w:rsidR="001F7233" w:rsidRDefault="00000000">
      <w:pPr>
        <w:spacing w:after="140"/>
      </w:pPr>
      <w:r>
        <w:rPr>
          <w:i/>
          <w:iCs/>
        </w:rPr>
        <w:t>Handynutzung am Steuer ist landesweit verboten, die Bußgelder unterscheiden sich aber erheblich: Ontario staffelt von 615 CAD beim ersten Verstoß bis 3.000 CAD beim dritten, jeweils mit Führerscheinsperre und Demeritpunkten. Alberta verlangt pauschal 325 CAD plus 3 Punkte, British Columbia 368 CAD plus 4 Punkte. Beim Alkohol gilt strafrechtlich landesweit eine Obergrenze von 0,08 % BAC (Blood Alcohol Concentration, Blutalkoholkonzentration). Ontario sanktioniert bereits den „Warn Range“ genannten Bereich von 0,05 bis 0,079 % administrativ, etwa mit Bußgeld und kurzer Führerscheinsperre. Für Fahranfänger im Graduated-Licensing-System (dem provinzweiten Stufenmodell für Fahranfänger, unabhängig vom Alter) gilt in allen Provinzen und Territorien eine Nullgrenze von 0,00 %. In Alberta drohen dafür eine automatische 30-Tage-Sperre und eine 7-tägige Fahrzeugbeschlagnahmung.</w:t>
      </w:r>
    </w:p>
    <w:p w14:paraId="13102F22" w14:textId="77777777" w:rsidR="001F7233" w:rsidRDefault="00000000">
      <w:r>
        <w:rPr>
          <w:b/>
        </w:rPr>
        <w:lastRenderedPageBreak/>
        <w:t xml:space="preserve">ACHTUNG: </w:t>
      </w:r>
    </w:p>
    <w:p w14:paraId="6EECEEDC" w14:textId="77777777" w:rsidR="001F7233" w:rsidRDefault="00000000">
      <w:r>
        <w:t>• Wer mit Familie nach Kanada zieht und Teenager im Haus hat, sollte die Nulltoleranz für Fahranfänger ernst nehmen. Sie gilt für jeden im Graduated-Licensing-System unabhängig vom Lebensalter, nicht nur für Minderjährige. Ein einziges Bier vor der Fahrt reicht für ernsthafte Konsequenzen.</w:t>
      </w:r>
    </w:p>
    <w:p w14:paraId="12946104" w14:textId="77777777" w:rsidR="001F7233" w:rsidRDefault="001F7233">
      <w:pPr>
        <w:spacing w:line="220" w:lineRule="exact"/>
      </w:pPr>
    </w:p>
    <w:p w14:paraId="615A89ED" w14:textId="77777777" w:rsidR="001F7233" w:rsidRDefault="00000000">
      <w:pPr>
        <w:spacing w:after="140"/>
      </w:pPr>
      <w:r>
        <w:rPr>
          <w:i/>
          <w:iCs/>
        </w:rPr>
        <w:t>Anders als das deutsche Fahreignungsregister in Flensburg, das bundesweit einheitlich zählt, führt jede kanadische Provinz ihr eigenes Punktesystem (Demerit Points, Strafpunkte im Führerscheinregister) mit eigenen Schwellenwerten für die Sperre. Wie viele Punkte ein Verstoß kostet und ab wann die Fahrerlaubnis ruht, unterscheidet sich also nicht nur nach Vergehen, sondern auch nach Provinz. Ein Umzug in Kanadas setzt meist auch den eigenen Punktestand auf null, was Neuankömmlinge gelegentlich fälschlich für eine Lücke im System halten, tatsächlich aber schlicht ein weiteres Beispiel für die kanadische Vorliebe für provinzeigene Lösungen ist.</w:t>
      </w:r>
    </w:p>
    <w:p w14:paraId="696A4121" w14:textId="77777777" w:rsidR="001F7233" w:rsidRDefault="00000000">
      <w:pPr>
        <w:spacing w:after="140"/>
      </w:pPr>
      <w:r>
        <w:t>Maut ist in Kanada die Ausnahme. Nur wenige Provinzen betreiben nennenswerte Mautstrecken. Dazu zählt vor allem die Highway 407 ETR rund um Toronto (Ontario), eine 151,4 Kilometer lange Strecke mit zeit-, zonen- und fahrzeugklassenabhängigen Tarifen. Mautgebühren fallen außerdem auf einzelnen Brücken in Québec und den Atlantikprovinzen an, etwa auf der Confederation Bridge zwischen Prince Edward Island und New Brunswick.</w:t>
      </w:r>
    </w:p>
    <w:p w14:paraId="2C518E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Blitzer und Verkehrskontrollen: uneinheitlich und im Wandel</w:t>
      </w:r>
    </w:p>
    <w:p w14:paraId="4FDDDD3F" w14:textId="77777777" w:rsidR="001F7233" w:rsidRDefault="00000000">
      <w:pPr>
        <w:spacing w:after="140"/>
      </w:pPr>
      <w:r>
        <w:rPr>
          <w:i/>
          <w:iCs/>
        </w:rPr>
        <w:t xml:space="preserve">Geschwindigkeitskameras (Photo Radar, automatische Radarblitzer ohne Polizeibeamten vor Ort) sind zwischen den Provinzen so </w:t>
      </w:r>
      <w:r>
        <w:rPr>
          <w:i/>
          <w:iCs/>
        </w:rPr>
        <w:lastRenderedPageBreak/>
        <w:t>uneinheitlich geregelt wie kaum ein anderes Verkehrsthema und die Regeln sind 2025/2026 auch stark in Bewegung. Ontario hat Photo Radar seit November 2025 provinzweit verboten, nachdem es seit 2017 in Schul- und Sicherheitszonen erlaubt war. Alberta untersagt Photo Radar inzwischen auf Provinz-Highways und Verbindungsstraßen. Erlaubt bleiben Kameras in Schul-, Spielplatz- und Baustellenzonen sowie Rotlichtkameras, die nur Rotlichtverstöße erfassen – rund 26 Gemeinden nutzen diese Ausnahmen weiterhin. British Columbia setzt Kameras zurückhaltender ein, vor allem an Kreuzungen mit Rotlicht- und Geschwindigkeitserfassung sowie in Schulzonen. Québec hält an klassischem Photo Radar fest. Für Neuankömmlinge heißt das: Was in der einen Provinz Alltag ist, kann in der nächsten längst abgeschafft sein. Ein Blick auf die aktuelle Regelung der Zielprovinz erspart unnötige Überraschungen im Briefkasten.</w:t>
      </w:r>
    </w:p>
    <w:p w14:paraId="0D7DAC02" w14:textId="77777777" w:rsidR="001F7233" w:rsidRDefault="00000000">
      <w:pPr>
        <w:spacing w:after="140"/>
      </w:pPr>
      <w:r>
        <w:t xml:space="preserve">Bei einer klassischen Verkehrskontrolle durch Polizei oder RCMP (kanadische Bundespolizei, in den meisten Provinzen außer Ontario und Québec auch Provinzpolizei) ist ein formellerer Ton üblich als bei vielen Kontrollen in Deutschland. Bleib im Fahrzeug, lass das Fenster herunter, lege die Hände sichtbar aufs Lenkrad und kündige jede Bewegung – etwa zum Handschuhfach – vorher an. Weitere Hinweise: </w:t>
      </w:r>
      <w:hyperlink w:anchor="tka11">
        <w:r w:rsidR="001F7233">
          <w:rPr>
            <w:color w:val="0563C1"/>
            <w:u w:val="single"/>
          </w:rPr>
          <w:t>Kapitel zur Alltagskultur in diesem Teil</w:t>
        </w:r>
      </w:hyperlink>
      <w:r>
        <w:t>.</w:t>
      </w:r>
    </w:p>
    <w:p w14:paraId="293C6E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Winterreifenpflicht und Wildunfallrisiko: die kanadische Realität abseits der Stadt</w:t>
      </w:r>
    </w:p>
    <w:p w14:paraId="0E61E07E" w14:textId="77777777" w:rsidR="001F7233" w:rsidRDefault="00000000">
      <w:pPr>
        <w:spacing w:after="140"/>
      </w:pPr>
      <w:r>
        <w:t>Québec ist die einzige Provinz mit einer gesetzlichen Winterreifenpflicht: Vom 1. Dezember bis 15. März müssen alle in Québec zugelassenen Fahrzeuge – auch Mietwagen. Mit Winterreifen ausgestattet sein, erkennbar am 3PMS-Symbol (der Alpine-Schneeflocke) oder mit Spikereifen. Wer erwischt wird, zahlt 200 bis 300 CAD Bußgeld. Wer ein Fahrzeug erst im Winter neu kauft oder least, hat 7 Tage Zeit für die Montage; Spikereifen sind auch vom 15. Oktober bis 1. Mai erlaubt. Die meisten anderen Provinzen kennen keine vergleichbare gesetzliche Pflicht, nur regionale Empfehlungen für Bergstraßen. Wer aber tatsächlich in einer kanadischen Provinz mit Schnee, Eis und Minusgraden über mehrere Monate lebt, tut auch ohne Gesetz gut daran, im Herbst auf Winterreifen umzurüsten.</w:t>
      </w:r>
    </w:p>
    <w:p w14:paraId="5BEDEFEE" w14:textId="77777777" w:rsidR="001F7233" w:rsidRDefault="00000000">
      <w:r>
        <w:rPr>
          <w:b/>
        </w:rPr>
        <w:t xml:space="preserve">SPARTIPP: </w:t>
      </w:r>
    </w:p>
    <w:p w14:paraId="521A531A" w14:textId="77777777" w:rsidR="001F7233" w:rsidRDefault="00000000">
      <w:r>
        <w:t>• Plane die Winterreifen-Anschaffung gleich beim Autokauf mit ein, statt sie als spätere Zusatzausgabe zu behandeln. Gerade in Québec sinkt mit den richtigen Reifen nicht nur das Bußgeldrisiko, sondern messbar auch die Versicherungsprämie bei manchen Anbietern.</w:t>
      </w:r>
    </w:p>
    <w:p w14:paraId="56F2FDE3" w14:textId="77777777" w:rsidR="001F7233" w:rsidRDefault="001F7233">
      <w:pPr>
        <w:spacing w:line="220" w:lineRule="exact"/>
      </w:pPr>
    </w:p>
    <w:p w14:paraId="4302C774" w14:textId="77777777" w:rsidR="001F7233" w:rsidRDefault="00000000">
      <w:pPr>
        <w:spacing w:after="140"/>
      </w:pPr>
      <w:r>
        <w:t xml:space="preserve">Das zweite, weniger offensichtliche Risiko kanadischer Landstraßen sind Wildunfälle. Rund 45.000 gemeldete Kollisionen mit Wildtieren ereignen sich jedes Jahr in Kanada, mit vermutlich erheblicher Dunkelziffer. Das sind, grob gerechnet, 4 bis 8 größere Wildunfälle pro Stunde im ganzen Land. Etwa 80 % dieser Unfälle betreffen Hirsche, der Rest verteilt sich auf Elche, Wapitis, Bären, Kojoten und andere Tiere. Zwischen 2000 und 2020 forderten Wildunfälle in Kanada 570 Todesfälle. Gut die Hälfte davon war mit einem Elch verbunden, knapp ein Drittel mit einem Hirsch. Ein Elch bringt bis zu 700 Kilogramm auf die Waage und trifft ein Auto in Kopfhöhe des </w:t>
      </w:r>
      <w:r>
        <w:lastRenderedPageBreak/>
        <w:t>Fahrers, was das Risiko bei einer Kollision deutlich erhöht. Alberta allein meldet in den vergangenen Jahren regelmäßig über 4.250 tote Hirsche sowie 400 bis 500 tote Elche jährlich durch Fahrzeugkollisionen.</w:t>
      </w:r>
    </w:p>
    <w:p w14:paraId="5CAA8CBF" w14:textId="77777777" w:rsidR="001F7233" w:rsidRDefault="001F7233">
      <w:pPr>
        <w:spacing w:line="220" w:lineRule="exact"/>
      </w:pPr>
    </w:p>
    <w:p w14:paraId="15E672E6" w14:textId="77777777" w:rsidR="001F7233" w:rsidRDefault="00000000">
      <w:r>
        <w:rPr>
          <w:b/>
        </w:rPr>
        <w:t xml:space="preserve">MERKE: </w:t>
      </w:r>
    </w:p>
    <w:p w14:paraId="44D2B087" w14:textId="77777777" w:rsidR="001F7233" w:rsidRDefault="00000000">
      <w:r>
        <w:t>• Wildwarnschilder auf kanadischen Landstraßen sind keine Dekoration. Besonders in der Dämmerung und in den ersten und letzten Stunden der Dunkelheit lohnt sich spürbar reduziertes Tempo. Der Bremsweg, den ein Elch oder Hirsch dir schenkt, ist meist kürzer, als man hofft.</w:t>
      </w:r>
    </w:p>
    <w:p w14:paraId="61CB161D" w14:textId="77777777" w:rsidR="001F7233" w:rsidRDefault="001F7233">
      <w:pPr>
        <w:spacing w:line="220" w:lineRule="exact"/>
      </w:pPr>
    </w:p>
    <w:p w14:paraId="471C4607" w14:textId="77777777" w:rsidR="001F7233" w:rsidRDefault="00000000">
      <w:r>
        <w:t>Aktive Funkstörer sind nach Bundesrecht verboten. Kennzeichen dürfen nach Provinzrecht nicht für Foto- oder Mautsysteme unlesbar gemacht werden. Ein passiver Radarwarner ist rechtlich etwas anderes als ein Störer, aber seine Zulässigkeit hängt vom Ort und teils vom Fahrzeugtyp ab. Digital-Scanner unterliegen außerdem eigenen Zulassungs- und Lizenzregeln. Abgefangene Kommunikation darf nicht beliebig weitergegeben oder genutzt werden. Verlass dich nicht auf Scanner-Apps. Halte Kennzeichen sichtbar und fahre nach Tempolimit; Tempomat oder Geschwindigkeitsbegrenzer helfen ohne den Umweg über Geräte.</w:t>
      </w:r>
    </w:p>
    <w:p w14:paraId="22B75F2C" w14:textId="77777777" w:rsidR="001F7233" w:rsidRDefault="00000000">
      <w:pPr>
        <w:pStyle w:val="Heading3"/>
      </w:pPr>
      <w:r>
        <w:t>Messgeräte stören und Kennzeichen verdecken</w:t>
      </w:r>
    </w:p>
    <w:p w14:paraId="6FCAF2A6" w14:textId="77777777" w:rsidR="001F7233" w:rsidRDefault="00000000">
      <w:pPr>
        <w:pStyle w:val="Heading3"/>
      </w:pPr>
      <w:r>
        <w:t>TÜV oder DEKRA? Provinzregel statt Bundesprüfung</w:t>
      </w:r>
    </w:p>
    <w:p w14:paraId="57CBB813" w14:textId="77777777" w:rsidR="001F7233" w:rsidRDefault="00000000">
      <w:r>
        <w:t>Kanada hat keine bundesweite regelmäßige HU für alle Privatwagen. Provinzen/Territorien entscheiden über Sicherheits- und Abgastests. In Ontario ist ein Safety Standards Certificate unter anderem beim Gebrauchtwagen-Transfer und Import nötig. Es ist keine Garantie für den Gesamtzustand.</w:t>
      </w:r>
    </w:p>
    <w:p w14:paraId="3D618ECA" w14:textId="77777777" w:rsidR="001F7233" w:rsidRDefault="00000000">
      <w:pPr>
        <w:pStyle w:val="Heading3"/>
      </w:pPr>
      <w:r>
        <w:t>GPS bedienen: Hände frei und Provinzregeln beachten</w:t>
      </w:r>
    </w:p>
    <w:p w14:paraId="62AFA5B6" w14:textId="77777777" w:rsidR="001F7233" w:rsidRDefault="00000000">
      <w:r>
        <w:lastRenderedPageBreak/>
        <w:t>Ein GPS hilft nur, wenn du nicht auf dem Display suchst. Handheld-Geräte sind in Provinzen wie Ontario am Steuer verboten. Regeln für fest montierte Navigation und erlaubte Bedienung variieren. Route vor Start einstellen, Ton nutzen und für Änderungen sicher anhalten.</w:t>
      </w:r>
    </w:p>
    <w:p w14:paraId="07751827" w14:textId="77777777" w:rsidR="001F7233" w:rsidRDefault="00000000">
      <w:pPr>
        <w:pStyle w:val="Heading3"/>
      </w:pPr>
      <w:r>
        <w:t>Unfall zu Hause oder im Auto: Provinz und Police zählen</w:t>
      </w:r>
    </w:p>
    <w:p w14:paraId="322C4C43" w14:textId="77777777" w:rsidR="001F7233" w:rsidRDefault="00000000">
      <w:r>
        <w:t>Bei Gefahr oder Verletzung rufst du 911. Notiere Kennzeichen und Versicherungsdaten, fotografiere, sammle Zeugen und melde nach den örtlichen Schwellen der Polizei/Collision Reporting Centre sowie dem Versicherer. Pflichtdeckung und Schadenabwicklung unterscheiden sich nach Provinz; Kfz-, Gebäude- und Haftpflichtdeckung sind getrennt.</w:t>
      </w:r>
    </w:p>
    <w:p w14:paraId="687673BD" w14:textId="77777777" w:rsidR="001F7233" w:rsidRDefault="00000000">
      <w:pPr>
        <w:pStyle w:val="Heading3"/>
      </w:pPr>
      <w:r>
        <w:t>Onlinekauf: Händler unabhängig prüfen</w:t>
      </w:r>
    </w:p>
    <w:p w14:paraId="23430BDA"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dem Recht deiner Provinz oder deines Territoriums.</w:t>
      </w:r>
    </w:p>
    <w:p w14:paraId="5E2A7D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Führerschein, Auto und Verkehrsregeln</w:t>
      </w:r>
    </w:p>
    <w:p w14:paraId="1F0FAAD7" w14:textId="77777777" w:rsidR="001F7233" w:rsidRDefault="00000000">
      <w:r>
        <w:rPr>
          <w:b/>
        </w:rPr>
        <w:t>Plus: Rechtsverkehr wie in Deutschland – keine Umgewöhnung der Fahrbahnseite nötig</w:t>
      </w:r>
    </w:p>
    <w:p w14:paraId="3719CF00" w14:textId="77777777" w:rsidR="001F7233" w:rsidRDefault="00000000">
      <w:r>
        <w:rPr>
          <w:b/>
        </w:rPr>
        <w:t xml:space="preserve">Minus: </w:t>
      </w:r>
      <w:r>
        <w:t>Führerschein-Umtausch mit sehr unterschiedlichen Fristen je Provinz</w:t>
      </w:r>
    </w:p>
    <w:p w14:paraId="7427051E" w14:textId="77777777" w:rsidR="001F7233" w:rsidRDefault="00000000">
      <w:r>
        <w:rPr>
          <w:b/>
        </w:rPr>
        <w:lastRenderedPageBreak/>
        <w:t>Plus: Umtausch in den wichtigsten Provinzen ohne Fahrprüfung möglich</w:t>
      </w:r>
    </w:p>
    <w:p w14:paraId="17FC531A" w14:textId="77777777" w:rsidR="001F7233" w:rsidRDefault="00000000">
      <w:r>
        <w:rPr>
          <w:b/>
        </w:rPr>
        <w:t xml:space="preserve">Minus: </w:t>
      </w:r>
      <w:r>
        <w:t>Kfz-Versicherung als Neuankömmling ohne lokale Historie merklich teurer</w:t>
      </w:r>
    </w:p>
    <w:p w14:paraId="460CC205" w14:textId="77777777" w:rsidR="001F7233" w:rsidRDefault="00000000">
      <w:r>
        <w:rPr>
          <w:b/>
        </w:rPr>
        <w:t>Plus: Tempo in km/h, keine Umrechnung wie bei US-Zielen nötig</w:t>
      </w:r>
    </w:p>
    <w:p w14:paraId="727C0EC8" w14:textId="77777777" w:rsidR="001F7233" w:rsidRDefault="00000000">
      <w:r>
        <w:rPr>
          <w:b/>
        </w:rPr>
        <w:t xml:space="preserve">Minus: </w:t>
      </w:r>
      <w:r>
        <w:t>Öffentliche und private Versicherungssysteme unterscheiden sich stark im Preis</w:t>
      </w:r>
    </w:p>
    <w:p w14:paraId="1C500E1D" w14:textId="77777777" w:rsidR="001F7233" w:rsidRDefault="00000000">
      <w:r>
        <w:rPr>
          <w:b/>
        </w:rPr>
        <w:t>Plus: Vierweg-Stopps und Rechtsabbiegen bei Rot folgen klaren, lernbaren Regeln</w:t>
      </w:r>
    </w:p>
    <w:p w14:paraId="463A20F6" w14:textId="77777777" w:rsidR="001F7233" w:rsidRDefault="00000000">
      <w:r>
        <w:rPr>
          <w:b/>
        </w:rPr>
        <w:t xml:space="preserve">Minus: </w:t>
      </w:r>
      <w:r>
        <w:t>Insel Montreal als Ausnahme vom Rechtsabbiegen-bei-Rot verwirrt viele</w:t>
      </w:r>
    </w:p>
    <w:p w14:paraId="3F0F6093" w14:textId="77777777" w:rsidR="001F7233" w:rsidRDefault="00000000">
      <w:r>
        <w:rPr>
          <w:b/>
        </w:rPr>
        <w:t>Plus: Mautfreie Fernstraßen im ganzen Land</w:t>
      </w:r>
    </w:p>
    <w:p w14:paraId="4BF8ADC2" w14:textId="77777777" w:rsidR="001F7233" w:rsidRDefault="00000000">
      <w:r>
        <w:rPr>
          <w:b/>
        </w:rPr>
        <w:t xml:space="preserve">Minus: </w:t>
      </w:r>
      <w:r>
        <w:t>Winterreifenpflicht in Québec und reales Wildunfallrisiko landesweit</w:t>
      </w:r>
    </w:p>
    <w:p w14:paraId="1E2EDAD3" w14:textId="77777777" w:rsidR="001F7233" w:rsidRDefault="00000000">
      <w:r>
        <w:rPr>
          <w:b/>
        </w:rPr>
        <w:t>Plus: Nulltoleranz für Fahranfänger erhöht die Sicherheit auf den Straßen</w:t>
      </w:r>
    </w:p>
    <w:p w14:paraId="068D80FC" w14:textId="77777777" w:rsidR="001F7233" w:rsidRDefault="00000000">
      <w:r>
        <w:rPr>
          <w:b/>
        </w:rPr>
        <w:t xml:space="preserve">Minus: </w:t>
      </w:r>
      <w:r>
        <w:t>Bußgelder für Handy und Schulbus-Verstöße erreichen empfindliche Höhen</w:t>
      </w:r>
    </w:p>
    <w:p w14:paraId="7D99FD17" w14:textId="77777777" w:rsidR="001F7233" w:rsidRDefault="001F7233">
      <w:pPr>
        <w:spacing w:line="180" w:lineRule="exact"/>
      </w:pPr>
    </w:p>
    <w:p w14:paraId="178F48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D86FCD" w14:textId="77777777" w:rsidR="001F7233" w:rsidRDefault="00000000">
      <w:pPr>
        <w:pStyle w:val="ListParagraph"/>
        <w:numPr>
          <w:ilvl w:val="0"/>
          <w:numId w:val="40"/>
        </w:numPr>
        <w:spacing w:after="60"/>
      </w:pPr>
      <w:r>
        <w:t>Vor dem Abflug: Umtauschfrist und Anerkennungsregel der Zielprovinz bei der passenden Behörde direkt bestätigen, nicht nur bei Drittanbieter-Seiten.</w:t>
      </w:r>
    </w:p>
    <w:p w14:paraId="0045FF04" w14:textId="77777777" w:rsidR="001F7233" w:rsidRDefault="00000000">
      <w:pPr>
        <w:pStyle w:val="ListParagraph"/>
        <w:numPr>
          <w:ilvl w:val="0"/>
          <w:numId w:val="2"/>
        </w:numPr>
        <w:spacing w:after="60"/>
      </w:pPr>
      <w:r>
        <w:t>In den ersten Wochen: Termin für den Führerschein-Umtausch buchen, mehrere Kfz-Versicherungsangebote einholen und vergleichen.</w:t>
      </w:r>
    </w:p>
    <w:p w14:paraId="1854F387" w14:textId="77777777" w:rsidR="001F7233" w:rsidRDefault="00000000">
      <w:pPr>
        <w:pStyle w:val="ListParagraph"/>
        <w:numPr>
          <w:ilvl w:val="0"/>
          <w:numId w:val="2"/>
        </w:numPr>
        <w:spacing w:after="60"/>
      </w:pPr>
      <w:r>
        <w:t>Vor der ersten längeren Fahrt solltest du dich mit Vierweg-Stopp-Regeln und der Schulbus-Haltepflicht vertraut machen. Plane außerdem Winterreifenpflicht und Wildunfallrisiko passend zu Provinz und Jahreszeit ein.</w:t>
      </w:r>
    </w:p>
    <w:p w14:paraId="0E0F48EE" w14:textId="77777777" w:rsidR="001F7233" w:rsidRDefault="001F7233">
      <w:pPr>
        <w:spacing w:line="120" w:lineRule="exact"/>
      </w:pPr>
    </w:p>
    <w:p w14:paraId="7B6D8DDB" w14:textId="77777777" w:rsidR="001F7233" w:rsidRDefault="00000000">
      <w:r>
        <w:lastRenderedPageBreak/>
        <w:t>• Umtauschfrist der Zielprovinz bei der passenden Führerscheinbehörde bestätigt (Ontario 60 Tage, British Columbia 90 Tage, Québec 6 Monate)</w:t>
      </w:r>
    </w:p>
    <w:p w14:paraId="34E8142F" w14:textId="77777777" w:rsidR="001F7233" w:rsidRDefault="00000000">
      <w:r>
        <w:t>• Termin für den Führerschein-Umtausch in den ersten Wochen nach Ankunft eingeplant</w:t>
      </w:r>
    </w:p>
    <w:p w14:paraId="465B2445" w14:textId="77777777" w:rsidR="001F7233" w:rsidRDefault="00000000">
      <w:r>
        <w:t>• Bei British Columbia: Nachweis von mindestens 2 Jahren Fahrerfahrung bereitgelegt</w:t>
      </w:r>
    </w:p>
    <w:p w14:paraId="318B32B3" w14:textId="77777777" w:rsidR="001F7233" w:rsidRDefault="00000000">
      <w:r>
        <w:t>• Mindestens drei Kfz-Versicherungsangebote mit identischer Deckung eingeholt</w:t>
      </w:r>
    </w:p>
    <w:p w14:paraId="4424C961" w14:textId="77777777" w:rsidR="001F7233" w:rsidRDefault="00000000">
      <w:r>
        <w:t>• Nachgefragt, ob eine deutsche Schadenfreiheitsbescheinigung die Einstufung verbessert</w:t>
      </w:r>
    </w:p>
    <w:p w14:paraId="524E6B99" w14:textId="77777777" w:rsidR="001F7233" w:rsidRDefault="00000000">
      <w:r>
        <w:t>• Regeln zum Rechtsabbiegen bei Rot der Zielprovinz gekannt (Sonderfall Insel Montreal beachtet)</w:t>
      </w:r>
    </w:p>
    <w:p w14:paraId="2582B2DC" w14:textId="77777777" w:rsidR="001F7233" w:rsidRDefault="00000000">
      <w:r>
        <w:t>• Vierweg-Stopp- und Schulbus-Regeln verinnerlicht</w:t>
      </w:r>
    </w:p>
    <w:p w14:paraId="22147971" w14:textId="77777777" w:rsidR="001F7233" w:rsidRDefault="00000000">
      <w:r>
        <w:t>• Bei Zuzug nach Québec: Winterreifen mit 3PMS-Symbol vor dem 1. Dezember montiert</w:t>
      </w:r>
    </w:p>
    <w:p w14:paraId="06839D86" w14:textId="77777777" w:rsidR="001F7233" w:rsidRDefault="00000000">
      <w:r>
        <w:t>• Fahrweise bei Dämmerung und Dunkelheit an das Wildunfallrisiko angepasst</w:t>
      </w:r>
    </w:p>
    <w:p w14:paraId="023EDD5F" w14:textId="77777777" w:rsidR="001F7233" w:rsidRDefault="00000000">
      <w:r>
        <w:t>• Bei Umzug zwischen Provinzen neue Umtauschfrist ab Wohnsitzwechsel geprüft</w:t>
      </w:r>
    </w:p>
    <w:p w14:paraId="40BF4820" w14:textId="77777777" w:rsidR="001F7233" w:rsidRDefault="001F7233">
      <w:pPr>
        <w:spacing w:line="220" w:lineRule="exact"/>
      </w:pPr>
    </w:p>
    <w:p w14:paraId="053EB9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5DB96F" w14:textId="77777777" w:rsidR="001F7233" w:rsidRDefault="00000000">
      <w:pPr>
        <w:pStyle w:val="ListParagraph"/>
        <w:numPr>
          <w:ilvl w:val="0"/>
          <w:numId w:val="1"/>
        </w:numPr>
        <w:spacing w:after="60"/>
      </w:pPr>
      <w:r>
        <w:t xml:space="preserve">Führerscheinbehörden der Provinzen — Umtausch, Fristen: </w:t>
      </w:r>
      <w:hyperlink r:id="rId866">
        <w:r w:rsidR="001F7233">
          <w:rPr>
            <w:color w:val="0563C1"/>
            <w:u w:val="single"/>
          </w:rPr>
          <w:t>drivetest.ca</w:t>
        </w:r>
      </w:hyperlink>
      <w:r>
        <w:t xml:space="preserve"> (Ontario), </w:t>
      </w:r>
      <w:hyperlink r:id="rId867">
        <w:r w:rsidR="001F7233">
          <w:rPr>
            <w:color w:val="0563C1"/>
            <w:u w:val="single"/>
          </w:rPr>
          <w:t>icbc.com</w:t>
        </w:r>
      </w:hyperlink>
      <w:r>
        <w:t xml:space="preserve"> (British Columbia), </w:t>
      </w:r>
      <w:hyperlink r:id="rId868">
        <w:r w:rsidR="001F7233">
          <w:rPr>
            <w:color w:val="0563C1"/>
            <w:u w:val="single"/>
          </w:rPr>
          <w:t>saaq.gouv.qc.ca</w:t>
        </w:r>
      </w:hyperlink>
      <w:r>
        <w:t xml:space="preserve"> (Québec)</w:t>
      </w:r>
    </w:p>
    <w:p w14:paraId="709FC1CB" w14:textId="77777777" w:rsidR="001F7233" w:rsidRDefault="00000000">
      <w:pPr>
        <w:pStyle w:val="ListParagraph"/>
        <w:numPr>
          <w:ilvl w:val="0"/>
          <w:numId w:val="1"/>
        </w:numPr>
        <w:spacing w:after="60"/>
      </w:pPr>
      <w:r>
        <w:t xml:space="preserve">RCMP — Verhalten bei Verkehrskontrollen für Neuankömmlinge: </w:t>
      </w:r>
      <w:hyperlink r:id="rId869">
        <w:r w:rsidR="001F7233">
          <w:rPr>
            <w:color w:val="0563C1"/>
            <w:u w:val="single"/>
          </w:rPr>
          <w:t>rcmp.ca</w:t>
        </w:r>
      </w:hyperlink>
    </w:p>
    <w:p w14:paraId="3BDA8D38" w14:textId="77777777" w:rsidR="001F7233" w:rsidRDefault="00000000">
      <w:pPr>
        <w:pStyle w:val="ListParagraph"/>
        <w:numPr>
          <w:ilvl w:val="0"/>
          <w:numId w:val="1"/>
        </w:numPr>
        <w:spacing w:after="60"/>
      </w:pPr>
      <w:r>
        <w:t xml:space="preserve">Gouvernement du Québec — Winterreifenpflicht: </w:t>
      </w:r>
      <w:hyperlink r:id="rId870">
        <w:r w:rsidR="001F7233">
          <w:rPr>
            <w:color w:val="0563C1"/>
            <w:u w:val="single"/>
          </w:rPr>
          <w:t>quebec.ca</w:t>
        </w:r>
      </w:hyperlink>
    </w:p>
    <w:p w14:paraId="4A687C94" w14:textId="77777777" w:rsidR="001F7233" w:rsidRDefault="00000000">
      <w:pPr>
        <w:pStyle w:val="ListParagraph"/>
        <w:numPr>
          <w:ilvl w:val="0"/>
          <w:numId w:val="1"/>
        </w:numPr>
        <w:spacing w:after="60"/>
      </w:pPr>
      <w:r>
        <w:t xml:space="preserve">Wildlife Collision Prevention Program — Wildunfallstatistik: </w:t>
      </w:r>
      <w:hyperlink r:id="rId871">
        <w:r w:rsidR="001F7233">
          <w:rPr>
            <w:color w:val="0563C1"/>
            <w:u w:val="single"/>
          </w:rPr>
          <w:t>wildlifecollisions.ca</w:t>
        </w:r>
      </w:hyperlink>
    </w:p>
    <w:p w14:paraId="25800E70" w14:textId="77777777" w:rsidR="001F7233" w:rsidRDefault="00000000">
      <w:pPr>
        <w:pStyle w:val="ListParagraph"/>
        <w:numPr>
          <w:ilvl w:val="0"/>
          <w:numId w:val="1"/>
        </w:numPr>
        <w:spacing w:after="60"/>
      </w:pPr>
      <w:r>
        <w:t xml:space="preserve">Kfz-Versicherungsvergleich — Provinzunterschiede: </w:t>
      </w:r>
      <w:hyperlink r:id="rId872">
        <w:r w:rsidR="001F7233">
          <w:rPr>
            <w:color w:val="0563C1"/>
            <w:u w:val="single"/>
          </w:rPr>
          <w:t>rates.ca</w:t>
        </w:r>
      </w:hyperlink>
    </w:p>
    <w:p w14:paraId="3CB69BE8" w14:textId="77777777" w:rsidR="001F7233" w:rsidRDefault="00000000">
      <w:pPr>
        <w:pStyle w:val="ListParagraph"/>
        <w:numPr>
          <w:ilvl w:val="0"/>
          <w:numId w:val="1"/>
        </w:numPr>
        <w:spacing w:after="60"/>
      </w:pPr>
      <w:r>
        <w:lastRenderedPageBreak/>
        <w:t xml:space="preserve">Deutsche Botschaft Ottawa und Generalkonsulate in Kanada — Führerschein und Ankunft: </w:t>
      </w:r>
      <w:hyperlink r:id="rId873">
        <w:r w:rsidR="001F7233">
          <w:rPr>
            <w:color w:val="0563C1"/>
            <w:u w:val="single"/>
          </w:rPr>
          <w:t>kanada.diplo.de</w:t>
        </w:r>
      </w:hyperlink>
    </w:p>
    <w:p w14:paraId="4487D61E" w14:textId="77777777" w:rsidR="001F7233" w:rsidRDefault="001F7233">
      <w:pPr>
        <w:spacing w:line="120" w:lineRule="exact"/>
      </w:pPr>
    </w:p>
    <w:p w14:paraId="2A2E17A3" w14:textId="77777777" w:rsidR="001F7233" w:rsidRDefault="00000000">
      <w:pPr>
        <w:pStyle w:val="ListParagraph"/>
      </w:pPr>
      <w:r>
        <w:t xml:space="preserve">Innovation, Science and Economic Development Canada — Jammers are Prohibited in Canada: </w:t>
      </w:r>
      <w:hyperlink r:id="rId874">
        <w:r w:rsidR="001F7233">
          <w:rPr>
            <w:rStyle w:val="Hyperlink"/>
          </w:rPr>
          <w:t>ised-isde.canada.ca/site/spectrum-management-telecommunications/en/safety-and-compliance/compliance-and-enforcement/jammers-are-prohibited-canada-thats-law</w:t>
        </w:r>
      </w:hyperlink>
    </w:p>
    <w:p w14:paraId="454DA0C8" w14:textId="77777777" w:rsidR="001F7233" w:rsidRDefault="00000000">
      <w:pPr>
        <w:pStyle w:val="ListParagraph"/>
      </w:pPr>
      <w:r>
        <w:t xml:space="preserve">Ontario Highway Traffic Act — obstruction of number plates: </w:t>
      </w:r>
      <w:hyperlink r:id="rId875">
        <w:r w:rsidR="001F7233">
          <w:rPr>
            <w:rStyle w:val="Hyperlink"/>
          </w:rPr>
          <w:t>ontario.ca/laws/statute/90h08</w:t>
        </w:r>
      </w:hyperlink>
    </w:p>
    <w:p w14:paraId="4E1DE6F5" w14:textId="77777777" w:rsidR="001F7233" w:rsidRDefault="00000000">
      <w:pPr>
        <w:pStyle w:val="ListParagraph"/>
      </w:pPr>
      <w:r>
        <w:t xml:space="preserve">ISED — Digital Scanner Receivers and licensing: </w:t>
      </w:r>
      <w:hyperlink r:id="rId876">
        <w:r w:rsidR="001F7233">
          <w:rPr>
            <w:rStyle w:val="Hyperlink"/>
          </w:rPr>
          <w:t>ised-isde.canada.ca/site/spectrum-management-telecommunications/en/devices-and-equipment/radio-equipment-standards/radio-standards-specifications-rss/rss-135-digital-scanner-receivers</w:t>
        </w:r>
      </w:hyperlink>
    </w:p>
    <w:p w14:paraId="6C3217B9" w14:textId="77777777" w:rsidR="001F7233" w:rsidRDefault="00000000">
      <w:pPr>
        <w:pStyle w:val="ListParagraph"/>
      </w:pPr>
      <w:r>
        <w:t xml:space="preserve">Ontario — Safety Standards Certificate: </w:t>
      </w:r>
      <w:hyperlink r:id="rId877">
        <w:r w:rsidR="001F7233">
          <w:rPr>
            <w:rStyle w:val="Hyperlink"/>
          </w:rPr>
          <w:t>ontario.ca/page/safety-standards-certificate</w:t>
        </w:r>
      </w:hyperlink>
      <w:r>
        <w:t xml:space="preserve">; Highway Traffic Act §78.1: </w:t>
      </w:r>
      <w:hyperlink r:id="rId878">
        <w:r w:rsidR="001F7233">
          <w:rPr>
            <w:rStyle w:val="Hyperlink"/>
          </w:rPr>
          <w:t>ontario.ca/laws/statute/90h08</w:t>
        </w:r>
      </w:hyperlink>
    </w:p>
    <w:p w14:paraId="58C5026D" w14:textId="77777777" w:rsidR="001F7233" w:rsidRDefault="00000000">
      <w:r>
        <w:t>• 23.09.2026. Schnell ändern sich: Führerschein-Umtauschfristen und -listen je Provinz, Tempolimits (v. a. in Ontario und British Columbia), Bußgelder für Handy- und Schulbus-Verstöße sowie die politische Debatte um das Rechtsabbiegen-bei-Rot-Verbot auf der Insel Montreal. Prüfe vor jeder Entscheidung die Seite der passenden Behörde deiner Zielprovinz.</w:t>
      </w:r>
    </w:p>
    <w:p w14:paraId="18FAF0EF" w14:textId="77777777" w:rsidR="001F7233" w:rsidRDefault="00000000">
      <w:pPr>
        <w:spacing w:line="220" w:lineRule="exact"/>
      </w:pPr>
      <w:r>
        <w:br w:type="page"/>
      </w:r>
    </w:p>
    <w:p w14:paraId="6DF9B26D" w14:textId="77777777" w:rsidR="001F7233" w:rsidRDefault="00000000">
      <w:pPr>
        <w:pStyle w:val="Heading2"/>
        <w:keepNext/>
        <w:spacing w:line="341" w:lineRule="auto"/>
        <w:jc w:val="center"/>
      </w:pPr>
      <w:bookmarkStart w:id="120" w:name="tka11"/>
      <w:r>
        <w:rPr>
          <w:rFonts w:ascii="Amazon Ember" w:eastAsia="Amazon Ember" w:hAnsi="Amazon Ember" w:cs="Amazon Ember"/>
          <w:color w:val="0000FF"/>
          <w:sz w:val="36"/>
          <w:szCs w:val="36"/>
        </w:rPr>
        <w:lastRenderedPageBreak/>
        <w:t>Kanada: Alltagskultur und Umgangsformen</w:t>
      </w:r>
      <w:bookmarkEnd w:id="120"/>
    </w:p>
    <w:p w14:paraId="1F3EE2E1" w14:textId="77777777" w:rsidR="001F7233" w:rsidRDefault="00000000">
      <w:r>
        <w:rPr>
          <w:b/>
        </w:rPr>
        <w:t xml:space="preserve">KURZ GESAGT: </w:t>
      </w:r>
    </w:p>
    <w:p w14:paraId="4A929F24" w14:textId="77777777" w:rsidR="001F7233" w:rsidRDefault="00000000">
      <w:r>
        <w:t>• Kanadische Umgangsformen sind höflich, indirekt und auffällig entschuldigungsfreudig. Das berühmte „Sorry“ ist mehr Reflex als echte Entschuldigung.</w:t>
      </w:r>
    </w:p>
    <w:p w14:paraId="75EFF3E7" w14:textId="77777777" w:rsidR="001F7233" w:rsidRDefault="00000000">
      <w:r>
        <w:t>• Deutsche Direktheit, in Deutschland oft als ehrlich und effizient verstanden, wirkt in Kanada schnell hart oder unhöflich; Kritik kommt eher verpackt.</w:t>
      </w:r>
    </w:p>
    <w:p w14:paraId="116CDE3B" w14:textId="77777777" w:rsidR="001F7233" w:rsidRDefault="00000000">
      <w:r>
        <w:t>• Kanada versteht sich offiziell als „Mosaik“ statt als „Schmelztiegel“: Einwanderergruppen sollen ihre kulturelle Eigenheit bewahren, nicht sich vollständig angleichen. Ein bewusster Gegenentwurf zum US-amerikanischen Modell.</w:t>
      </w:r>
    </w:p>
    <w:p w14:paraId="189633E9" w14:textId="77777777" w:rsidR="001F7233" w:rsidRDefault="00000000">
      <w:r>
        <w:t>• Anders als in Deutschland ist es unüblich, Fremde auf Regelverstöße hinzuweisen. Informelle soziale Kontrolle ist schwächer ausgeprägt.</w:t>
      </w:r>
    </w:p>
    <w:p w14:paraId="55522724" w14:textId="77777777" w:rsidR="001F7233" w:rsidRDefault="00000000">
      <w:r>
        <w:t>• Québec bildet den kulturellen Sonderfall: Französisch ist einzige Amtssprache und das Sprachgesetz Bill 96 lässt Neuankömmlingen nur 6 Monate, um noch auf Englisch mit Behörden zu kommunizieren.</w:t>
      </w:r>
    </w:p>
    <w:p w14:paraId="4BB48471" w14:textId="77777777" w:rsidR="001F7233" w:rsidRDefault="00000000">
      <w:r>
        <w:t>• Kleine Alltagsrituale wie Trinkgeld, das kanadische „Eh“ und eine insgesamt zurückhaltendere Gesprächskultur runden das Bild ab.</w:t>
      </w:r>
    </w:p>
    <w:p w14:paraId="6749C042" w14:textId="77777777" w:rsidR="001F7233" w:rsidRDefault="001F7233">
      <w:pPr>
        <w:spacing w:line="220" w:lineRule="exact"/>
      </w:pPr>
    </w:p>
    <w:p w14:paraId="1361A2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Höflichkeit und die „Sorry“-Kultur</w:t>
      </w:r>
    </w:p>
    <w:p w14:paraId="23AACCF9" w14:textId="77777777" w:rsidR="001F7233" w:rsidRDefault="00000000">
      <w:pPr>
        <w:spacing w:after="140"/>
      </w:pPr>
      <w:r>
        <w:t>In vielen Alltagssituationen in Kanada fällt „sorry“ auch ohne einen klaren Fehler. Du hörst es, wenn jemand an dir vorbeigehen möchte, zwei Personen gleichzeitig zu sprechen beginnen oder du selbst im Weg stehst. Manchmal sagt es auch jemand, obwohl objektiv nichts vorgefallen ist. Wer aus Deutschland kommt und Entschuldigungen eher mit einem konkreten Fehler verbindet, muss sich an diesen weiteren Gebrauch erst gewöhnen.</w:t>
      </w:r>
      <w:r/>
    </w:p>
    <w:p w14:paraId="6A86252D" w14:textId="77777777" w:rsidR="001F7233" w:rsidRDefault="00000000">
      <w:pPr>
        <w:spacing w:after="140"/>
      </w:pPr>
      <w:r>
        <w:t>Der kanadische Kommunikationsstil insgesamt gilt im Vergleich zu Deutschland als spürbar indirekter und höflicher. Direkte, in Deutschland oft als ehrlich und effizient verstandene Kritik. „Das funktioniert so nicht“, ohne weitere Verpackung. Kann in Kanada schnell hart oder gar unhöflich wirken. Kanadier verpacken unangenehme Botschaften lieber in eine Frage oder einen beiläufigen Nebensatz, bevor der eigentliche Punkt kommt und erwarten von ihrem Gegen, dass es zwischen den Zeilen liest. Ein zu forsches „Nein, das sehe ich anders“ auf einer Teambesprechung erzeugt eher betretenes Schweigen als eine offene Diskussion.</w:t>
      </w:r>
    </w:p>
    <w:p w14:paraId="374D1C72" w14:textId="77777777" w:rsidR="001F7233" w:rsidRDefault="00000000">
      <w:r>
        <w:rPr>
          <w:b/>
        </w:rPr>
        <w:t xml:space="preserve">ACHTUNG: </w:t>
      </w:r>
    </w:p>
    <w:p w14:paraId="244906E0" w14:textId="77777777" w:rsidR="001F7233" w:rsidRDefault="00000000">
      <w:r>
        <w:t>• Was in Deutschland als sachlich und lösungsorientiert gilt, kommt in Kanada leicht als Angriff an. Formuliere Kritik und Widerspruch meist eine Stufe vorsichtiger, als du es aus deutschen Meetings gewohnt bist. Mit einer einleitenden positiven Bemerkung und einer Frage statt einer Feststellung fährst du in aller Regel besser.</w:t>
      </w:r>
    </w:p>
    <w:p w14:paraId="20998177" w14:textId="77777777" w:rsidR="001F7233" w:rsidRDefault="001F7233">
      <w:pPr>
        <w:spacing w:line="220" w:lineRule="exact"/>
      </w:pPr>
    </w:p>
    <w:p w14:paraId="3C086DA6" w14:textId="77777777" w:rsidR="001F7233" w:rsidRDefault="00000000">
      <w:pPr>
        <w:spacing w:after="140"/>
      </w:pPr>
      <w:r>
        <w:t>Small Talk ist, ähnlich wie in vielen englischsprachigen Kulturen, fester Bestandteil auch geschäftlicher Gespräche: Wetter, Wochenende, Nachbarschaft, gelegentlich Sport, sind der übliche Einstieg, bevor es überhaupt zur Sache geht. Wer zu schnell zum Thema kommt, wirkt reserviert oder ungeduldig. Tiefere persönliche Nähe entsteht meist langsamer als in direkteren Kulturen. Die freundliche Fassade ist echt gemeint, aber sie ist eben zunächst Fassade, keine sofortige Einladung zur Freundschaft.</w:t>
      </w:r>
    </w:p>
    <w:p w14:paraId="2A6354B8" w14:textId="77777777" w:rsidR="001F7233" w:rsidRDefault="00000000">
      <w:pPr>
        <w:spacing w:after="140"/>
      </w:pPr>
      <w:r>
        <w:t>Für den beruflichen Alltag lohnt sich eine bewusste Übersetzungsübung zwischen deutscher und kanadischer Formulierung. Dieselbe Sachaussage lässt sich fast immer eine Stufe vorsichtiger verpacken, ohne an Substanz zu verlieren:</w:t>
      </w:r>
    </w:p>
    <w:p w14:paraId="3FB5E166" w14:textId="77777777" w:rsidR="001F7233" w:rsidRDefault="00000000">
      <w:r>
        <w:rPr>
          <w:b/>
        </w:rPr>
        <w:lastRenderedPageBreak/>
        <w:t>„Das funktioniert so nicht.“</w:t>
      </w:r>
    </w:p>
    <w:p w14:paraId="3F94D5A1" w14:textId="77777777" w:rsidR="001F7233" w:rsidRDefault="00000000">
      <w:r>
        <w:rPr>
          <w:b/>
        </w:rPr>
        <w:t xml:space="preserve">Wirkung in Kanada: </w:t>
      </w:r>
      <w:r>
        <w:t>wirkt wie ein persönlicher Vorwurf</w:t>
      </w:r>
    </w:p>
    <w:p w14:paraId="4BD45795" w14:textId="77777777" w:rsidR="001F7233" w:rsidRDefault="00000000">
      <w:r>
        <w:rPr>
          <w:b/>
        </w:rPr>
        <w:t>Kanadische Alternative: „I’m not sure this approach will get us there. Could we look at it differently?“.</w:t>
      </w:r>
    </w:p>
    <w:p w14:paraId="2C30BDA8" w14:textId="77777777" w:rsidR="001F7233" w:rsidRDefault="00000000">
      <w:r>
        <w:rPr>
          <w:b/>
        </w:rPr>
        <w:t>„Ich bin anderer Meinung.“</w:t>
      </w:r>
    </w:p>
    <w:p w14:paraId="64E8974B" w14:textId="77777777" w:rsidR="001F7233" w:rsidRDefault="00000000">
      <w:r>
        <w:rPr>
          <w:b/>
        </w:rPr>
        <w:t xml:space="preserve">Wirkung in Kanada: </w:t>
      </w:r>
      <w:r>
        <w:t>klingt konfrontativ</w:t>
      </w:r>
    </w:p>
    <w:p w14:paraId="4A00FA1A" w14:textId="77777777" w:rsidR="001F7233" w:rsidRDefault="00000000">
      <w:r>
        <w:rPr>
          <w:b/>
        </w:rPr>
        <w:t xml:space="preserve">Kanadische Alternative: </w:t>
      </w:r>
      <w:r>
        <w:t>„That’s an interesting point – I’d frame it a bit differently.“</w:t>
      </w:r>
    </w:p>
    <w:p w14:paraId="228799D4" w14:textId="77777777" w:rsidR="001F7233" w:rsidRDefault="00000000">
      <w:r>
        <w:rPr>
          <w:b/>
        </w:rPr>
        <w:t>„Das ist falsch.“</w:t>
      </w:r>
    </w:p>
    <w:p w14:paraId="47252073" w14:textId="77777777" w:rsidR="001F7233" w:rsidRDefault="00000000">
      <w:r>
        <w:rPr>
          <w:b/>
        </w:rPr>
        <w:t xml:space="preserve">Wirkung in Kanada: </w:t>
      </w:r>
      <w:r>
        <w:t>wirkt hart, fast unhöflich</w:t>
      </w:r>
    </w:p>
    <w:p w14:paraId="765AABB9" w14:textId="77777777" w:rsidR="001F7233" w:rsidRDefault="00000000">
      <w:r>
        <w:rPr>
          <w:b/>
        </w:rPr>
        <w:t xml:space="preserve">Kanadische Alternative: </w:t>
      </w:r>
      <w:r>
        <w:t>„I think there might be a gap here – can we double-check?“</w:t>
      </w:r>
    </w:p>
    <w:p w14:paraId="0F7AD125" w14:textId="77777777" w:rsidR="001F7233" w:rsidRDefault="00000000">
      <w:r>
        <w:rPr>
          <w:b/>
        </w:rPr>
        <w:t>„Mach das bitte anders.“</w:t>
      </w:r>
    </w:p>
    <w:p w14:paraId="75B63282" w14:textId="77777777" w:rsidR="001F7233" w:rsidRDefault="00000000">
      <w:r>
        <w:rPr>
          <w:b/>
        </w:rPr>
        <w:t xml:space="preserve">Wirkung in Kanada: </w:t>
      </w:r>
      <w:r>
        <w:t>wirkt wie eine Anweisung von oben herab</w:t>
      </w:r>
    </w:p>
    <w:p w14:paraId="69BC9CA9" w14:textId="77777777" w:rsidR="001F7233" w:rsidRDefault="00000000">
      <w:r>
        <w:rPr>
          <w:b/>
        </w:rPr>
        <w:t xml:space="preserve">Kanadische Alternative: </w:t>
      </w:r>
      <w:r>
        <w:t>„Would it work if we tried it this way instead?“</w:t>
      </w:r>
    </w:p>
    <w:p w14:paraId="03D2EDEB" w14:textId="77777777" w:rsidR="001F7233" w:rsidRDefault="001F7233">
      <w:pPr>
        <w:spacing w:line="180" w:lineRule="exact"/>
      </w:pPr>
    </w:p>
    <w:p w14:paraId="4DFE00C6" w14:textId="77777777" w:rsidR="001F7233" w:rsidRDefault="00000000">
      <w:pPr>
        <w:spacing w:after="140"/>
      </w:pPr>
      <w:r>
        <w:t>Keine dieser kanadischen Varianten ist unehrlich. Sie transportiert dieselbe Botschaft, nur mit mehr Rücksicht auf das Gesicht des Gegenübers. Wer diese Übersetzung ein paarmal bewusst geübt hat, wendet sie nach einigen Monaten automatisch an, ohne noch groß darüber nachzudenken.</w:t>
      </w:r>
    </w:p>
    <w:p w14:paraId="247092CF" w14:textId="77777777" w:rsidR="001F7233" w:rsidRDefault="001F7233">
      <w:pPr>
        <w:spacing w:line="220" w:lineRule="exact"/>
      </w:pPr>
    </w:p>
    <w:p w14:paraId="0DBCD1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Mosaik-Modell: Multikulturalismus als Staatsprinzip</w:t>
      </w:r>
    </w:p>
    <w:p w14:paraId="1FC6FE87" w14:textId="77777777" w:rsidR="001F7233" w:rsidRDefault="00000000">
      <w:pPr>
        <w:spacing w:after="140"/>
      </w:pPr>
      <w:r>
        <w:rPr>
          <w:i/>
          <w:iCs/>
        </w:rPr>
        <w:t xml:space="preserve">Kanada ist seit 1971 offiziell multikulturell – als erstes Land der Welt mit einer solchen Politik und hat dieses Prinzip 1982 in der Canadian Charter of Rights and Freedoms (der kanadischen Grundrechtecharta, vergleichbar mit dem deutschen Grundgesetz) verfassungsrechtlich verankert. Anders als das US-amerikanische Bild vom Melting Pot (Schmelztiegel, in dem sich Einwanderergruppen zu einer gemeinsamen Kultur verschmelzen sollen) verfolgt Kanada bewusst </w:t>
      </w:r>
      <w:r>
        <w:rPr>
          <w:i/>
          <w:iCs/>
        </w:rPr>
        <w:lastRenderedPageBreak/>
        <w:t>das Mosaic-Modell (Mosaik): Einwanderergruppen sollen ihre kulturelle Eigenheit bewahren dürfen, statt sich vollständig anzugleichen. Das ist kein informelles Stimmungsbild, sondern erklärte Staatsdoktrin und im Alltag von Toronto, Vancouver oder Calgary durchaus sichtbar, etwa an der Vielzahl von Sprachen, Restaurants und Communitys, die nebeneinander bestehen, statt sich zu vermischen.</w:t>
      </w:r>
    </w:p>
    <w:p w14:paraId="301F43BB" w14:textId="77777777" w:rsidR="001F7233" w:rsidRDefault="00000000">
      <w:pPr>
        <w:spacing w:after="140"/>
      </w:pPr>
      <w:r>
        <w:t xml:space="preserve">Für deutsche Neuankömmlinge bedeutet das in der Praxis vor allem eines: Die eigene Herkunft, der eigene Akzent, die eigene Andersartigkeit fallen in den großen kanadischen Städten schlicht weniger auf, als man es vielleicht erwartet. Wer selbst aus einer anderen Kultur kommt, ist in Toronto oder Vancouver eher Normalfall als Ausnahme. Das erleichtert die Ankunft spürbar – ersetzt aber nicht die eigentliche Integrationsarbeit, die im </w:t>
      </w:r>
      <w:hyperlink w:anchor="tka12">
        <w:r w:rsidR="001F7233">
          <w:rPr>
            <w:color w:val="0563C1"/>
            <w:u w:val="single"/>
          </w:rPr>
          <w:t>Kapitel zum Freundefinden in diesem Teil</w:t>
        </w:r>
      </w:hyperlink>
      <w:r>
        <w:t xml:space="preserve"> ausführlicher behandelt wird.</w:t>
      </w:r>
    </w:p>
    <w:p w14:paraId="3A7629BC" w14:textId="77777777" w:rsidR="001F7233" w:rsidRDefault="00000000">
      <w:r>
        <w:rPr>
          <w:b/>
        </w:rPr>
        <w:t xml:space="preserve">MERKE: </w:t>
      </w:r>
    </w:p>
    <w:p w14:paraId="622BF21A" w14:textId="77777777" w:rsidR="001F7233" w:rsidRDefault="00000000">
      <w:r>
        <w:t>• Das Mosaik-Prinzip bedeutet nicht, dass Integration überflüssig wäre, sondern dass sie anders verläuft: Man muss sich in Kanada weniger anpassen, um dazuzugehören, dafür dauert es oft länger, wirklich Teil einer bestehenden Gemeinschaft statt nur eines freundlichen Nebeneinanders zu werden.</w:t>
      </w:r>
    </w:p>
    <w:p w14:paraId="4AF3C35C" w14:textId="77777777" w:rsidR="001F7233" w:rsidRDefault="001F7233">
      <w:pPr>
        <w:spacing w:line="220" w:lineRule="exact"/>
      </w:pPr>
    </w:p>
    <w:p w14:paraId="049A7A31" w14:textId="77777777" w:rsidR="001F7233" w:rsidRDefault="00000000">
      <w:pPr>
        <w:spacing w:after="140"/>
      </w:pPr>
      <w:r>
        <w:rPr>
          <w:i/>
          <w:iCs/>
        </w:rPr>
        <w:t>Die kulturelle und rechtliche Vielfalt Kanadas endet nicht an ethnischen Gruppen, sondern zieht sich auch durch die Provinzen selbst: Québec unterscheidet sich vom übrigen Land am stärksten, mit eigenem Zivilrechtssystem (dem Code civil du Québec statt des britisch geprägten Common Law), eigener Mehrheitssprache und eigener Einwanderungsbehörde. Dazu mehr im eigenen Abschnitt weiter unten. Das übrige Kanada ist überwiegend englischsprachig, mit regional unterschiedlich ausgeprägter Diversität. Toronto und Vancouver gelten als die vielfältigsten Großstädte des Landes.</w:t>
      </w:r>
    </w:p>
    <w:p w14:paraId="354E4E24" w14:textId="77777777" w:rsidR="001F7233" w:rsidRDefault="00000000">
      <w:pPr>
        <w:spacing w:after="140"/>
      </w:pPr>
      <w:r>
        <w:rPr>
          <w:i/>
          <w:iCs/>
        </w:rPr>
        <w:t xml:space="preserve">Was kanadische Identität eigentlich ausmacht, ist im Land selbst ein gern und mit einer gewissen Selbstironie geführtes Gespräch. Nicht zufällig scherzen Kanadier gern über sich selbst, ihre Identität lasse </w:t>
      </w:r>
      <w:r>
        <w:rPr>
          <w:i/>
          <w:iCs/>
        </w:rPr>
        <w:lastRenderedPageBreak/>
        <w:t>sich am einfachsten darüber definieren, was sie nicht sei: nicht britisch, nicht amerikanisch, dafür freundlich, mehrsprachig und mit einer bemerkenswerten Vorliebe für Ahornsirup. Hinter dem Scherz steckt ein ernster Kern: Die offizielle Zweisprachigkeit auf Bundesebene (Englisch und Französisch, gesetzlich verankert seit dem Official Languages Act von 1969) und die bewusste Abgrenzung vom südlichen Nachbarn prägen das nationale Selbstverständnis stärker, als es von außen oft wahrgenommen wird.</w:t>
      </w:r>
    </w:p>
    <w:p w14:paraId="181898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Regelkultur: warum dich niemand ermahnt</w:t>
      </w:r>
    </w:p>
    <w:p w14:paraId="02A2A6B6" w14:textId="77777777" w:rsidR="001F7233" w:rsidRDefault="00000000">
      <w:pPr>
        <w:spacing w:after="140"/>
      </w:pPr>
      <w:r>
        <w:t>Ein Unterschied, der viele Deutsche zunächst irritiert, weil er sich schwer in Worte fassen lässt: In Kanada ist es unüblich, Mitmenschen aktiv auf Regelverstöße hinzuweisen. Wer in Deutschland auf einem Fahrradweg falsch parkt oder in der Warteschlange drängelt, muss mit einer knappen, oft ziemlich direkten Ermahnung rechnen. In Kanada bleibt diese Reaktion meist aus – nicht, weil den Menschen die Regel egal wäre, sondern weil informelle soziale Kontrolle als Aufgabe einzelner Bürger deutlich schwächer ausgeprägt ist. Eigenverantwortung und Zurückhaltung werden stärker betont als das gegenseitige Ermahnen.</w:t>
      </w:r>
    </w:p>
    <w:p w14:paraId="34E23D07" w14:textId="77777777" w:rsidR="001F7233" w:rsidRDefault="00000000">
      <w:pPr>
        <w:spacing w:after="140"/>
      </w:pPr>
      <w:r>
        <w:t>Für Neuankömmlinge bedeutet das zweierlei. Erstens: Wer selbst versehentlich gegen eine ungeschriebene Regel verstößt, wird seltener direkt korrigiert, als er es aus Deutschland gewohnt ist. Was die eigenen Fehler paradoxerweise erst später auffallen lässt. Zweitens: Wer selbst Fremde auf ihr Verhalten hinweisen möchte, tut gut daran, dies spürbar zurückhaltender zu formulieren, als es in Deutschland üblich wäre, wenn überhaupt. Eine gut gemeinte deutsche Ermahnung kommt in Kanada schnell als übergriffig an.</w:t>
      </w:r>
    </w:p>
    <w:p w14:paraId="664C1620" w14:textId="77777777" w:rsidR="001F7233" w:rsidRDefault="00000000">
      <w:r>
        <w:rPr>
          <w:b/>
        </w:rPr>
        <w:t xml:space="preserve">ACHTUNG: </w:t>
      </w:r>
    </w:p>
    <w:p w14:paraId="0FF9BFA4" w14:textId="77777777" w:rsidR="001F7233" w:rsidRDefault="00000000">
      <w:r>
        <w:t xml:space="preserve">• Vermeide es, Fremde direkt auf vermeintliches Fehlverhalten anzusprechen, so gut die Absicht auch gemeint ist. Was in </w:t>
      </w:r>
      <w:r>
        <w:lastRenderedPageBreak/>
        <w:t>Deutschland als hilfreicher Hinweis gilt, wird in Kanada eher als Einmischung wahrgenommen. Zurückhaltung ist hier fast immer die sicherere Wahl.</w:t>
      </w:r>
    </w:p>
    <w:p w14:paraId="7B39AD46" w14:textId="77777777" w:rsidR="001F7233" w:rsidRDefault="001F7233">
      <w:pPr>
        <w:spacing w:line="220" w:lineRule="exact"/>
      </w:pPr>
    </w:p>
    <w:p w14:paraId="6EB94732" w14:textId="77777777" w:rsidR="001F7233" w:rsidRDefault="00000000">
      <w:pPr>
        <w:spacing w:after="140"/>
      </w:pPr>
      <w:r>
        <w:t>Am sichtbarsten wird diese Zurückhaltung an einer fast schon sprichwörtlichen kanadischen Tugend: dem Anstehen. Warteschlangen – vor dem Café, am Busbahnhof, an der Supermarktkasse. Gelten als eine Art stiller Gesellschaftsvertrag, der ohne jede Beschilderung funktioniert und ein Vordrängler erntet zwar missbilligende Blicke, aber selten eine laute Zurechtweisung. Wer selbst versehentlich die Schlange durcheinanderbringt, tut gut daran, sich zuvorkommend zu entschuldigen. Womit sich der Kreis zur „Sorry“-Kultur vom Anfang dieses Kapitels wieder schließt.</w:t>
      </w:r>
    </w:p>
    <w:p w14:paraId="54ED31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Québec-Sonderfall: Bill 96 und die Sprache</w:t>
      </w:r>
    </w:p>
    <w:p w14:paraId="2A86D68A" w14:textId="77777777" w:rsidR="001F7233" w:rsidRDefault="00000000">
      <w:pPr>
        <w:spacing w:after="140"/>
      </w:pPr>
      <w:r>
        <w:rPr>
          <w:i/>
          <w:iCs/>
        </w:rPr>
        <w:t>Kein anderer Teil Kanadas weicht kulturell so stark vom Rest des Landes ab wie Québec und nirgendwo ist das spürbarer als bei der Sprache. Seit Verabschiedung des Sprachgesetzes Loi 96 (Bill 96) im Juni 2022 ist Französisch die einzige Amtssprache der Provinz, mit verschärften Pflichten für Behörden, Unternehmen und die Kommunikation am Arbeitsplatz, etwa bei Stellenausschreibungen und offizieller schriftlicher Kommunikation mit Angestellten. Neuankömmlinge dürfen für die ersten 6 Monate nach ihrer Ankunft noch in einer anderen Sprache. Meist Englisch – mit Provinzbehörden kommunizieren; danach gilt meist nur noch Französisch. Siedlungsorganisationen kritisieren diese Frist als zu kurz, um eine neue Sprache alltagstauglich zu lernen und für bestimmte Berufszulassungen können zusätzliche Französischanforderungen gelten.</w:t>
      </w:r>
    </w:p>
    <w:p w14:paraId="11E13CC2" w14:textId="77777777" w:rsidR="001F7233" w:rsidRDefault="00000000">
      <w:pPr>
        <w:spacing w:after="140"/>
      </w:pPr>
      <w:r>
        <w:t xml:space="preserve">Wer nach Montreal oder in eine andere Region Québecs zieht, sollte Französischkenntnisse deshalb realistisch als notwendig einplanen, </w:t>
      </w:r>
      <w:r>
        <w:lastRenderedPageBreak/>
        <w:t>nicht als nette Zusatzqualifikation. Konversationsfähiges Französisch erleichtert nicht nur Behördengänge nach Ablauf der Schonfrist, sondern auch die Berufsanerkennung und den sozialen Alltag spürbar. Im übrigen Kanada – von Toronto über Calgary bis Vancouver – reicht Englisch dagegen durchgehend aus. Die Sprachfrage stellt sich dort in dieser Schärfe nicht.</w:t>
      </w:r>
    </w:p>
    <w:p w14:paraId="08E4A30A" w14:textId="77777777" w:rsidR="001F7233" w:rsidRDefault="00000000">
      <w:r>
        <w:rPr>
          <w:b/>
        </w:rPr>
        <w:t xml:space="preserve">ACHTUNG: </w:t>
      </w:r>
    </w:p>
    <w:p w14:paraId="464F71D3" w14:textId="77777777" w:rsidR="001F7233" w:rsidRDefault="00000000">
      <w:r>
        <w:t>• Unterschätze die Sechs-Monats-Frist von Bill 96 nicht, falls Québec dein Zielort ist. Wer erst nach der Ankunft mit dem Französischlernen beginnt, gerät leicht in Zeitdruck. Ein Sprachkurs schon vor dem Umzug spart in Montreal mehr Nerven als anderswo in Kanada.</w:t>
      </w:r>
    </w:p>
    <w:p w14:paraId="70CE9885" w14:textId="77777777" w:rsidR="001F7233" w:rsidRDefault="001F7233">
      <w:pPr>
        <w:spacing w:line="220" w:lineRule="exact"/>
      </w:pPr>
    </w:p>
    <w:p w14:paraId="40BE2399" w14:textId="77777777" w:rsidR="001F7233" w:rsidRDefault="00000000">
      <w:pPr>
        <w:spacing w:after="140"/>
      </w:pPr>
      <w:r>
        <w:t xml:space="preserve">Die politische Debatte um Bill 96 ist weiterhin in Bewegung, insbesondere im Umfeld der Québec-Wahl 2026; eine grundlegende Änderung der Sechs-Monats-Regel war zuletzt aber nicht beschlossen. Wer ausschließlich in den englischsprachigen Teilen Kanadas leben möchte, kann das Thema getrost zur Kenntnis nehmen und beiseitelegen – für Montreal und den Rest Québecs gehört es dagegen zur ehrlichen Standortabwägung dazu, ähnlich wie im </w:t>
      </w:r>
      <w:hyperlink w:anchor="tka09">
        <w:r w:rsidR="001F7233">
          <w:rPr>
            <w:color w:val="0563C1"/>
            <w:u w:val="single"/>
          </w:rPr>
          <w:t>Kapitel zum Wohnen in diesem Teil</w:t>
        </w:r>
      </w:hyperlink>
      <w:r>
        <w:t xml:space="preserve"> beschrieben.</w:t>
      </w:r>
    </w:p>
    <w:p w14:paraId="59687308" w14:textId="77777777" w:rsidR="001F7233" w:rsidRDefault="00000000">
      <w:pPr>
        <w:spacing w:after="140"/>
      </w:pPr>
      <w:r>
        <w:t>Wichtig für die Einordnung: Bill 96 ist keine Ablehnung von Einwanderern, sondern der jüngste Ausläufer einer jahrzehntealten Sprachpolitik, mit der Québec seine frankophone Mehrheit in eines überwiegend englischsprachigen Kontinents bewahren will. Eine Sorge, die von außen leicht unterschätzt wird, in Québecs aber tief verankert ist. Wer diese Hintergrundgeschichte kennt, tut sich leichter, die Sprachregeln als kulturelles Anliegen zu verstehen statt als bloße Bürokratie.</w:t>
      </w:r>
    </w:p>
    <w:p w14:paraId="1711DA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Kleine Rituale: Trinkgeld, „Eh“ und der eigene Humor</w:t>
      </w:r>
    </w:p>
    <w:p w14:paraId="22FAAC4B" w14:textId="77777777" w:rsidR="001F7233" w:rsidRDefault="00000000">
      <w:pPr>
        <w:spacing w:after="140"/>
      </w:pPr>
      <w:r>
        <w:t>Ein paar kleinere Alltagsgewohnheiten runden das Bild ab. Trinkgeld ist in Restaurants, Cafés und Taxis erwartet, meist zwischen 15 und 20 % der Rechnung. Deutlich mehr als das in Deutschland übliche Aufrunden und für viele Neuankömmlinge die erste konkrete Rechenaufgabe im neuen Alltag. Das vielzitierte kanadische „Eh“ (ein Frageanhängsel, ungefähr „nicht wahr?“ oder „oder?“) taucht tatsächlich im Alltag auf, wenn auch seltener und regional unterschiedlicher, als es Klischees vermuten lassen. Es lohnt sich, es zu erkennen, ohne es selbst zu forciert nachzuahmen, solange es einem nicht von allein über die Lippen geht.</w:t>
      </w:r>
    </w:p>
    <w:p w14:paraId="05B074E5" w14:textId="77777777" w:rsidR="001F7233" w:rsidRDefault="00000000">
      <w:pPr>
        <w:spacing w:after="140"/>
      </w:pPr>
      <w:r>
        <w:t>Auch beim Busfahren zeigt sich die kanadische Höflichkeit fast schon rituell: Viele Fahrgäste bedanken sich beim Aussteigen laut beim Busfahrer, ein „Thank you, have a good one“ im Vorbeigehen, das in einer deutschen Stadt eher verwundertes Kopfschütteln als Nachahmung auslösen würde. Kleidung im Alltag ist überwiegend leger, Business Casual gilt in vielen Büros auch dort als angemessen, wo in Deutschland ein Anzug erwartet würde – wer sich für den ersten Behördengang bewusst „ordentlich“ anzieht, fällt eher auf, als dass es honoriert wird. Zur Winterausrüstung, zweisprachigen Pflegeetiketten und Größenumrechnung: Kapitel </w:t>
      </w:r>
      <w:hyperlink w:anchor="k34">
        <w:r w:rsidR="001F7233">
          <w:t>34</w:t>
        </w:r>
      </w:hyperlink>
      <w:r>
        <w:t xml:space="preserve"> im USA-Teil, das Kleidung länderübergreifend behandelt.</w:t>
      </w:r>
    </w:p>
    <w:p w14:paraId="5D8118C8" w14:textId="77777777" w:rsidR="001F7233" w:rsidRDefault="00000000">
      <w:pPr>
        <w:spacing w:after="140"/>
      </w:pPr>
      <w:r>
        <w:rPr>
          <w:i/>
          <w:iCs/>
        </w:rPr>
        <w:t xml:space="preserve">Auch der kanadische Feiertagskalender hält eine kleine Verwechslungsfalle bereit: Der Thanksgiving-Feiertag (Erntedank) fällt in Kanada auf den zweiten Montag im Oktober, gut einen Monat früher als das bekanntere amerikanische Thanksgiving im November. Wer aus Filmen und Serien die US-Variante im Kopf hat, plant das Familienessen sonst versehentlich falsch. Am Canada Day, dem 1. Juli, feiert das Land mit Feuerwerk und Nachbarschaftsfesten seine Staatsgründung von 1867, spürbar unaufgeregter als der </w:t>
      </w:r>
      <w:r>
        <w:rPr>
          <w:i/>
          <w:iCs/>
        </w:rPr>
        <w:lastRenderedPageBreak/>
        <w:t>amerikanische Independence Day und am Remembrance Day (Volkstrauertag) im November tragen viele Kanadier ab Ende Oktober eine rote Mohnblume am Revers. Ein stilles, aber sichtbares Ritual, dem man sich als Neuankömmling nicht anschließen muss, dessen Bedeutung zu kennen aber hilft, es richtig einzuordnen.</w:t>
      </w:r>
    </w:p>
    <w:p w14:paraId="3CA09536" w14:textId="77777777" w:rsidR="001F7233" w:rsidRDefault="00000000">
      <w:r>
        <w:rPr>
          <w:b/>
        </w:rPr>
        <w:t xml:space="preserve">SPARTIPP: </w:t>
      </w:r>
    </w:p>
    <w:p w14:paraId="77890950" w14:textId="77777777" w:rsidR="001F7233" w:rsidRDefault="00000000">
      <w:r>
        <w:t>• Viele Städte und Gemeinden bieten kostenlose oder sehr günstige Newcomer-Programme (Willkommens- und Orientierungsangebote für Neuankömmlinge) an, oft über lokale Settlement-Organisationen oder Bibliotheken. Dort lassen sich Small Talk, Umgangsformen und selbst die feinen Zwischentöne der „Sorry“-Kultur in entspannter Runde üben. Meist unter Leuten, die genau dieselbe Verwirrung gerade selbst durchleben.</w:t>
      </w:r>
    </w:p>
    <w:p w14:paraId="5F3733F4" w14:textId="77777777" w:rsidR="001F7233" w:rsidRDefault="001F7233">
      <w:pPr>
        <w:spacing w:line="220" w:lineRule="exact"/>
      </w:pPr>
    </w:p>
    <w:p w14:paraId="63D0F513" w14:textId="77777777" w:rsidR="001F7233" w:rsidRDefault="00000000">
      <w:pPr>
        <w:spacing w:after="140"/>
      </w:pPr>
      <w:r>
        <w:t>Der kanadische Humor, wo er sich zeigt, ist eher trocken und selbstironisch als lautstark. Näher am britischen Understatement als am amerikanisch-direkten Witz. Ein verpasster Bus wird eher mit einem knappen „Well, that’s Tuesday for you“ kommentiert als mit sichtbarem Ärger, ein verregneter Sommer mit einem trockenen „Classic“. Wer selbst mit einer Prise Selbstironie über die eigene Verwirrung als Neuankömmling reagiert. Über den falsch verstandenen Small Talk, die dritte „Sorry“-Verwechslung in einer Woche –, kommt in Kanada erfahrungsgemäß besser an als mit sichtbarer Ungeduld gegen den vielen kleinen neuen Regeln.</w:t>
      </w:r>
    </w:p>
    <w:p w14:paraId="6256C725" w14:textId="77777777" w:rsidR="001F7233" w:rsidRDefault="001F7233">
      <w:pPr>
        <w:spacing w:line="220" w:lineRule="exact"/>
      </w:pPr>
    </w:p>
    <w:p w14:paraId="3622D033" w14:textId="77777777" w:rsidR="001F7233" w:rsidRDefault="00000000">
      <w:r>
        <w:rPr>
          <w:b/>
        </w:rPr>
        <w:t xml:space="preserve">MERKE: </w:t>
      </w:r>
    </w:p>
    <w:p w14:paraId="709A14BC" w14:textId="77777777" w:rsidR="001F7233" w:rsidRDefault="00000000">
      <w:r>
        <w:t>• Der Unterschied zwischen deutscher und kanadischer Kommunikation liegt selten im Inhalt, sondern fast immer in der Verpackung. Wer denselben Punkt eine Stufe höflicher formuliert, verliert nichts an Substanz. Gewinnt aber spürbar an Gehör.</w:t>
      </w:r>
    </w:p>
    <w:p w14:paraId="621A52D3" w14:textId="77777777" w:rsidR="001F7233" w:rsidRDefault="001F7233">
      <w:pPr>
        <w:spacing w:line="220" w:lineRule="exact"/>
      </w:pPr>
    </w:p>
    <w:p w14:paraId="26E863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Kanadisches Englisch vor der Abreise trainieren</w:t>
      </w:r>
    </w:p>
    <w:p w14:paraId="3C3C748B" w14:textId="77777777" w:rsidR="001F7233" w:rsidRDefault="00000000">
      <w:pPr>
        <w:spacing w:after="140"/>
      </w:pPr>
      <w:r>
        <w:t>Kanadisches Englisch liegt sprachlich näher am amerikanischen als am britischen Schulenglisch, mit eigenen Wörtern wie „washroom“ (Toilette), „toque“ (Wollmütze) oder „double-double“ (Kaffee mit zwei Zucker, zwei Sahne bei Tim Hortons). Bücher mit einfacher, dialoggetriebener Prosa bauen Wortschatz am schnellsten auf: Stephen King, John Grisham oder Lee Child eignen sich unabhängig vom Zielland. Die „Accent Expert“-Reihe von WIRED auf YouTube (Dialektcoach Erik Singer, Kanal youtube.com/@wired, Suchbegriff „Accent Expert“) erklärt anschaulich, woran du kanadisches von amerikanischem Englisch unterscheidest. Die Unterschiede sind subtiler als bei Australien oder Neuseeland, aber hörbar.</w:t>
      </w:r>
    </w:p>
    <w:p w14:paraId="764FC7B1" w14:textId="77777777" w:rsidR="001F7233" w:rsidRDefault="00000000">
      <w:pPr>
        <w:spacing w:after="140"/>
      </w:pPr>
      <w:r>
        <w:t xml:space="preserve">Für den Originalton eignen sich „Schitt’s Creek“ (auf Netflix Deutschland verfügbar, alle sechs Staffeln) und „Letterkenny“ (ebenfalls Netflix, sehr kanadischer Landslang, für Erwachsene) besonders gut. Prüfe die aktuelle Verfügbarkeit auf </w:t>
      </w:r>
      <w:hyperlink r:id="rId879">
        <w:r w:rsidR="001F7233">
          <w:rPr>
            <w:color w:val="0563C1"/>
            <w:u w:val="single"/>
          </w:rPr>
          <w:t>JustWatch.de</w:t>
        </w:r>
      </w:hyperlink>
      <w:r>
        <w:t>,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w14:paraId="6DACD147" w14:textId="77777777" w:rsidR="001F7233" w:rsidRDefault="00000000">
      <w:pPr>
        <w:spacing w:after="140"/>
      </w:pPr>
      <w:r>
        <w:t xml:space="preserve">Für Kinder gilt eine andere, altersabhängige Auswahl – dazu mehr im </w:t>
      </w:r>
      <w:hyperlink w:anchor="tka13">
        <w:r w:rsidR="001F7233">
          <w:rPr>
            <w:color w:val="0563C1"/>
            <w:u w:val="single"/>
          </w:rPr>
          <w:t>Kapitel zu Kindern, Schule und Sprache in diesem Teil</w:t>
        </w:r>
      </w:hyperlink>
      <w:r>
        <w:t>.</w:t>
      </w:r>
    </w:p>
    <w:p w14:paraId="19E573ED" w14:textId="77777777" w:rsidR="001F7233" w:rsidRDefault="00000000">
      <w:pPr>
        <w:pStyle w:val="Heading3"/>
      </w:pPr>
      <w:r>
        <w:t>Deutschland im Rückblick: Was fehlen könnte – und was nicht unbedingt</w:t>
      </w:r>
    </w:p>
    <w:p w14:paraId="129D0A91" w14:textId="77777777" w:rsidR="001F7233" w:rsidRDefault="00000000">
      <w:r>
        <w:t xml:space="preserve">Deutschland kann durch kurze Wege, dichte Bahnverbindungen, vertraute Bäckereien und die Nähe zur Familie fehlen. In Kanada hängt die Umstellung stark von Provinz und Stadt ab: Toronto und </w:t>
      </w:r>
      <w:r>
        <w:lastRenderedPageBreak/>
        <w:t>Montréal bieten andere Alltagswege als kleinere Orte. Im Winter werden Entfernungen und Wartezeiten anders erlebt. Was nicht unbedingt fehlt, ist ebenfalls persönlich: Manche genießen mehr Wohnraum und leichteren Zugang zur Natur, andere vermissen gerade die spontane Erreichbarkeit von Freunden. Prüfe vor der Wohnungswahl Arbeitsweg, Winterverkehr, Hausarztzugang und Besuchskosten.</w:t>
      </w:r>
    </w:p>
    <w:p w14:paraId="2DAB0A62" w14:textId="77777777" w:rsidR="001F7233" w:rsidRDefault="00000000">
      <w:r>
        <w:t>In kleineren kanadischen Orten können Gemeindefeste, saisonale Landwirtschaftsmessen, Eishallen, Curlingclubs, Jagd und Angeln das soziale Leben prägen. Das ist regional verschieden; ein Ort in Québec funktioniert kulturell und sprachlich anders als eine Präriegemeinde oder ein Dorf in Atlantic Canada. Lerne, ob die Frage bei Gemeinde, Provinz oder Bund liegt und prüfe Straßen- und Wetterwarnungen vor längeren Fahrten. First Nations, Inuit und Métis sind unterschiedliche Gemeinschaften mit eigenen Geschichten und Rechten. Sie sind keine dekorative Unterkategorie von „ländlich“. „Hick“ oder ähnliche Etiketten sind keine höfliche Abkürzung für einen Ort oder seine Bewohner.</w:t>
      </w:r>
    </w:p>
    <w:p w14:paraId="15BA23CD" w14:textId="77777777" w:rsidR="001F7233" w:rsidRDefault="00000000">
      <w:pPr>
        <w:pStyle w:val="Heading3"/>
      </w:pPr>
      <w:r>
        <w:t>Kleinstadt und Land: Provinz, Rink und lokale Zuständigkeit</w:t>
      </w:r>
    </w:p>
    <w:p w14:paraId="20FC2CEB" w14:textId="77777777" w:rsidR="001F7233" w:rsidRDefault="00000000">
      <w:pPr>
        <w:pStyle w:val="Heading3"/>
      </w:pPr>
      <w:r>
        <w:t>Höflichkeit: weiche Formulierung, klare Grenze</w:t>
      </w:r>
    </w:p>
    <w:p w14:paraId="0553E4C1" w14:textId="77777777" w:rsidR="001F7233" w:rsidRDefault="00000000">
      <w:r>
        <w:t>„Sorry“ und vorsichtig formulierte Einwände sind häufig; das ist nicht immer Unterwürfigkeit. Freundlicher Ton bedeutet keine Zusage. Frage nach Termin oder nächstem Schritt, wenn du eine feste Antwort brauchst.</w:t>
      </w:r>
    </w:p>
    <w:p w14:paraId="7E7B68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Alltagskultur und Umgangsformen</w:t>
      </w:r>
    </w:p>
    <w:p w14:paraId="5F566D50" w14:textId="77777777" w:rsidR="001F7233" w:rsidRDefault="00000000">
      <w:r>
        <w:rPr>
          <w:b/>
        </w:rPr>
        <w:t>Plus: Freundliche, entschuldigungsfreudige Umgangsformen senken die Hemmschwelle im Alltag</w:t>
      </w:r>
    </w:p>
    <w:p w14:paraId="11AC803D" w14:textId="77777777" w:rsidR="001F7233" w:rsidRDefault="00000000">
      <w:r>
        <w:rPr>
          <w:b/>
        </w:rPr>
        <w:lastRenderedPageBreak/>
        <w:t xml:space="preserve">Minus: </w:t>
      </w:r>
      <w:r>
        <w:t>„Sorry“ und Höflichkeitsfloskeln sind schwer von echter Anteilnahme zu unterscheiden</w:t>
      </w:r>
    </w:p>
    <w:p w14:paraId="21C06666" w14:textId="77777777" w:rsidR="001F7233" w:rsidRDefault="00000000">
      <w:r>
        <w:rPr>
          <w:b/>
        </w:rPr>
        <w:t>Plus: Multikulturelles Mosaik erleichtert die Ankunft für Menschen mit anderer Herkunft</w:t>
      </w:r>
    </w:p>
    <w:p w14:paraId="6D252068" w14:textId="77777777" w:rsidR="001F7233" w:rsidRDefault="00000000">
      <w:r>
        <w:rPr>
          <w:b/>
        </w:rPr>
        <w:t xml:space="preserve">Minus: </w:t>
      </w:r>
      <w:r>
        <w:t>Tiefere Integration in bestehende Gemeinschaften dauert oft länger als erwartet</w:t>
      </w:r>
    </w:p>
    <w:p w14:paraId="44592F51" w14:textId="77777777" w:rsidR="001F7233" w:rsidRDefault="00000000">
      <w:r>
        <w:rPr>
          <w:b/>
        </w:rPr>
        <w:t>Plus: Zurückhaltende Regelkultur schafft ein entspanntes Grundklima</w:t>
      </w:r>
    </w:p>
    <w:p w14:paraId="2C7901E1" w14:textId="77777777" w:rsidR="001F7233" w:rsidRDefault="00000000">
      <w:r>
        <w:rPr>
          <w:b/>
        </w:rPr>
        <w:t xml:space="preserve">Minus: </w:t>
      </w:r>
      <w:r>
        <w:t>Indirekte Kritik ist für direkte deutsche Gemüter schwer zu entschlüsseln</w:t>
      </w:r>
    </w:p>
    <w:p w14:paraId="3949EB35" w14:textId="77777777" w:rsidR="001F7233" w:rsidRDefault="00000000">
      <w:r>
        <w:rPr>
          <w:b/>
        </w:rPr>
        <w:t>Plus: Englisch reicht im größten Teil Kanadas für den kompletten Alltag</w:t>
      </w:r>
    </w:p>
    <w:p w14:paraId="63D11B41" w14:textId="77777777" w:rsidR="001F7233" w:rsidRDefault="00000000">
      <w:r>
        <w:rPr>
          <w:b/>
        </w:rPr>
        <w:t xml:space="preserve">Minus: </w:t>
      </w:r>
      <w:r>
        <w:t>Québec verlangt de facto Französisch, mit nur 6 Monaten Schonfrist</w:t>
      </w:r>
    </w:p>
    <w:p w14:paraId="680F85FF" w14:textId="77777777" w:rsidR="001F7233" w:rsidRDefault="00000000">
      <w:r>
        <w:rPr>
          <w:b/>
        </w:rPr>
        <w:t>Plus: Kanadischer Understatement-Humor wirkt entspannend und verbindend</w:t>
      </w:r>
    </w:p>
    <w:p w14:paraId="36946B5E" w14:textId="77777777" w:rsidR="001F7233" w:rsidRDefault="00000000">
      <w:r>
        <w:rPr>
          <w:b/>
        </w:rPr>
        <w:t xml:space="preserve">Minus: </w:t>
      </w:r>
      <w:r>
        <w:t>Direkte deutsche Kritik kommt schnell als unhöflich oder hart an</w:t>
      </w:r>
    </w:p>
    <w:p w14:paraId="76E7C5EB" w14:textId="77777777" w:rsidR="001F7233" w:rsidRDefault="00000000">
      <w:r>
        <w:rPr>
          <w:b/>
        </w:rPr>
        <w:t>Plus: Höfliche Distanz erleichtert den ersten Kontakt mit Fremden</w:t>
      </w:r>
    </w:p>
    <w:p w14:paraId="34A0C13B" w14:textId="77777777" w:rsidR="001F7233" w:rsidRDefault="00000000">
      <w:r>
        <w:rPr>
          <w:b/>
        </w:rPr>
        <w:t xml:space="preserve">Minus: </w:t>
      </w:r>
      <w:r>
        <w:t>Dieselbe Distanz macht echte Nähe manchmal schwerer greifbar</w:t>
      </w:r>
    </w:p>
    <w:p w14:paraId="1621CDD3" w14:textId="77777777" w:rsidR="001F7233" w:rsidRDefault="001F7233">
      <w:pPr>
        <w:spacing w:line="180" w:lineRule="exact"/>
      </w:pPr>
    </w:p>
    <w:p w14:paraId="29E1E5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A3CB47D" w14:textId="77777777" w:rsidR="001F7233" w:rsidRDefault="00000000">
      <w:pPr>
        <w:pStyle w:val="ListParagraph"/>
        <w:numPr>
          <w:ilvl w:val="0"/>
          <w:numId w:val="41"/>
        </w:numPr>
        <w:spacing w:after="60"/>
      </w:pPr>
      <w:r>
        <w:t>Vor dem Umzug: Eigene Kommunikationsgewohnheiten reflektieren und bei Bedarf ein Stück höflicher, indirekter kalibrieren – besonders bei Kritik und Widerspruch.</w:t>
      </w:r>
    </w:p>
    <w:p w14:paraId="65E511C0" w14:textId="77777777" w:rsidR="001F7233" w:rsidRDefault="00000000">
      <w:pPr>
        <w:pStyle w:val="ListParagraph"/>
        <w:numPr>
          <w:ilvl w:val="0"/>
          <w:numId w:val="2"/>
        </w:numPr>
        <w:spacing w:after="60"/>
      </w:pPr>
      <w:r>
        <w:t>In den ersten Wochen: Small Talk aktiv üben, „Sorry“-Kultur als soziales Schmiergel statt als Schuldeingeständnis verstehen lernen.</w:t>
      </w:r>
    </w:p>
    <w:p w14:paraId="1FE6D3A2" w14:textId="77777777" w:rsidR="001F7233" w:rsidRDefault="00000000">
      <w:pPr>
        <w:pStyle w:val="ListParagraph"/>
        <w:numPr>
          <w:ilvl w:val="0"/>
          <w:numId w:val="2"/>
        </w:numPr>
        <w:spacing w:after="60"/>
      </w:pPr>
      <w:r>
        <w:t>Bei Zielort Québec: Französischkurs möglichst schon vor der Abreise beginnen, nicht erst nach Ablauf der Sechs-Monats-Frist.</w:t>
      </w:r>
    </w:p>
    <w:p w14:paraId="7551C25E" w14:textId="77777777" w:rsidR="001F7233" w:rsidRDefault="001F7233">
      <w:pPr>
        <w:spacing w:line="120" w:lineRule="exact"/>
      </w:pPr>
    </w:p>
    <w:p w14:paraId="5C9A8C27" w14:textId="77777777" w:rsidR="001F7233" w:rsidRDefault="00000000">
      <w:r>
        <w:lastRenderedPageBreak/>
        <w:t>• Eigene Direktheit bei Kritik und Widerspruch bewusst eine Stufe vorsichtiger kalibriert</w:t>
      </w:r>
    </w:p>
    <w:p w14:paraId="2FFFA5B0" w14:textId="77777777" w:rsidR="001F7233" w:rsidRDefault="00000000">
      <w:r>
        <w:t>• „Sorry“-Kultur als Höflichkeitsformel verstanden, nicht als echtes Schuldeingeständnis</w:t>
      </w:r>
    </w:p>
    <w:p w14:paraId="7D840B87" w14:textId="77777777" w:rsidR="001F7233" w:rsidRDefault="00000000">
      <w:r>
        <w:t>• Small-Talk-Themen (Wetter, Wochenende, Nachbarschaft) parat, direkte Kritik an Fremden vermieden</w:t>
      </w:r>
    </w:p>
    <w:p w14:paraId="4DBB3BE5" w14:textId="77777777" w:rsidR="001F7233" w:rsidRDefault="00000000">
      <w:r>
        <w:t>• Bei Zielort Québec: Französischkenntnisse realistisch eingeschätzt und Kurs eingeplant</w:t>
      </w:r>
    </w:p>
    <w:p w14:paraId="22F591CA" w14:textId="77777777" w:rsidR="001F7233" w:rsidRDefault="00000000">
      <w:r>
        <w:t>• Bill-96-Sechs-Monats-Frist für Behördenkommunikation in Québec notiert</w:t>
      </w:r>
    </w:p>
    <w:p w14:paraId="41E6C4CE" w14:textId="77777777" w:rsidR="001F7233" w:rsidRDefault="00000000">
      <w:r>
        <w:t>• Trinkgeld-Erwartung (15 bis 20 %) in Restaurants und Taxis eingeplant</w:t>
      </w:r>
    </w:p>
    <w:p w14:paraId="4D18E52F" w14:textId="77777777" w:rsidR="001F7233" w:rsidRDefault="00000000">
      <w:r>
        <w:t>• Eigene Erwartungen an Tempo und Tiefe neuer Bekanntschaften realistisch angepasst</w:t>
      </w:r>
    </w:p>
    <w:p w14:paraId="4F1D0774" w14:textId="77777777" w:rsidR="001F7233" w:rsidRDefault="00000000">
      <w:r>
        <w:t>• Bei Unsicherheit über eine indirekte Aussage freundlich nachgefragt statt spekuliert</w:t>
      </w:r>
    </w:p>
    <w:p w14:paraId="27B3BCA4" w14:textId="77777777" w:rsidR="001F7233" w:rsidRDefault="001F7233">
      <w:pPr>
        <w:spacing w:line="220" w:lineRule="exact"/>
      </w:pPr>
    </w:p>
    <w:p w14:paraId="3558AE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633020A" w14:textId="77777777" w:rsidR="001F7233" w:rsidRDefault="001F7233">
      <w:pPr>
        <w:pStyle w:val="ListParagraph"/>
        <w:numPr>
          <w:ilvl w:val="0"/>
          <w:numId w:val="1"/>
        </w:numPr>
        <w:spacing w:after="60"/>
      </w:pPr>
      <w:hyperlink r:id="rId880">
        <w:r>
          <w:rPr>
            <w:color w:val="0563C1"/>
            <w:u w:val="single"/>
          </w:rPr>
          <w:t>bpb.de</w:t>
        </w:r>
      </w:hyperlink>
      <w:r>
        <w:t xml:space="preserve"> (Bundeszentrale für politische Bildung) — Multikulturalismus in Kanada: </w:t>
      </w:r>
      <w:hyperlink r:id="rId881">
        <w:r>
          <w:rPr>
            <w:color w:val="0563C1"/>
            <w:u w:val="single"/>
          </w:rPr>
          <w:t>bpb.de</w:t>
        </w:r>
      </w:hyperlink>
    </w:p>
    <w:p w14:paraId="0DE1FA86" w14:textId="77777777" w:rsidR="001F7233" w:rsidRDefault="00000000">
      <w:pPr>
        <w:pStyle w:val="ListParagraph"/>
        <w:numPr>
          <w:ilvl w:val="0"/>
          <w:numId w:val="1"/>
        </w:numPr>
        <w:spacing w:after="60"/>
      </w:pPr>
      <w:r>
        <w:t xml:space="preserve">Regierung von Kanada — Multiculturalism Policy und Charter of Rights and Freedoms: </w:t>
      </w:r>
      <w:hyperlink r:id="rId882">
        <w:r w:rsidR="001F7233">
          <w:rPr>
            <w:color w:val="0563C1"/>
            <w:u w:val="single"/>
          </w:rPr>
          <w:t>canada.ca</w:t>
        </w:r>
      </w:hyperlink>
    </w:p>
    <w:p w14:paraId="3154A5B2" w14:textId="77777777" w:rsidR="001F7233" w:rsidRDefault="00000000">
      <w:pPr>
        <w:pStyle w:val="ListParagraph"/>
        <w:numPr>
          <w:ilvl w:val="0"/>
          <w:numId w:val="1"/>
        </w:numPr>
        <w:spacing w:after="60"/>
      </w:pPr>
      <w:r>
        <w:t xml:space="preserve">Gouvernement du Québec — Sprachgesetz Bill 96 (Loi 96): </w:t>
      </w:r>
      <w:hyperlink r:id="rId883">
        <w:r w:rsidR="001F7233">
          <w:rPr>
            <w:color w:val="0563C1"/>
            <w:u w:val="single"/>
          </w:rPr>
          <w:t>quebec.ca</w:t>
        </w:r>
      </w:hyperlink>
    </w:p>
    <w:p w14:paraId="17656E4A" w14:textId="77777777" w:rsidR="001F7233" w:rsidRDefault="00000000">
      <w:pPr>
        <w:pStyle w:val="ListParagraph"/>
        <w:numPr>
          <w:ilvl w:val="0"/>
          <w:numId w:val="1"/>
        </w:numPr>
        <w:spacing w:after="60"/>
      </w:pPr>
      <w:r>
        <w:t xml:space="preserve">Lexology, CBC News — Einordnung und Kritik an Bill 96: </w:t>
      </w:r>
      <w:hyperlink r:id="rId884">
        <w:r w:rsidR="001F7233">
          <w:rPr>
            <w:color w:val="0563C1"/>
            <w:u w:val="single"/>
          </w:rPr>
          <w:t>lexology.com</w:t>
        </w:r>
      </w:hyperlink>
      <w:r>
        <w:t xml:space="preserve">, </w:t>
      </w:r>
      <w:hyperlink r:id="rId885">
        <w:r w:rsidR="001F7233">
          <w:rPr>
            <w:color w:val="0563C1"/>
            <w:u w:val="single"/>
          </w:rPr>
          <w:t>cbc.ca</w:t>
        </w:r>
      </w:hyperlink>
    </w:p>
    <w:p w14:paraId="2944D172" w14:textId="77777777" w:rsidR="001F7233" w:rsidRDefault="00000000">
      <w:pPr>
        <w:pStyle w:val="ListParagraph"/>
        <w:numPr>
          <w:ilvl w:val="0"/>
          <w:numId w:val="1"/>
        </w:numPr>
        <w:spacing w:after="60"/>
      </w:pPr>
      <w:r>
        <w:t xml:space="preserve">Deutsche Botschaft Ottawa und Generalkonsulate in Kanada — Leben vor Ort: </w:t>
      </w:r>
      <w:hyperlink r:id="rId886">
        <w:r w:rsidR="001F7233">
          <w:rPr>
            <w:color w:val="0563C1"/>
            <w:u w:val="single"/>
          </w:rPr>
          <w:t>kanada.diplo.de</w:t>
        </w:r>
      </w:hyperlink>
    </w:p>
    <w:p w14:paraId="5023BD9B" w14:textId="77777777" w:rsidR="001F7233" w:rsidRDefault="001F7233">
      <w:pPr>
        <w:spacing w:line="120" w:lineRule="exact"/>
      </w:pPr>
    </w:p>
    <w:p w14:paraId="062DD02F" w14:textId="77777777" w:rsidR="001F7233" w:rsidRDefault="00000000">
      <w:r>
        <w:t xml:space="preserve">• 23.09.2026. Die kulturellen Beobachtungen in diesem Kapitel sind allgemeine Tendenzen, keine Statistik. Regionale und individuelle Unterschiede in Kanadas sind groß. Die politische Entwicklung rund </w:t>
      </w:r>
      <w:r>
        <w:lastRenderedPageBreak/>
        <w:t>um Bill 96 in Québec ist im Fluss. Prüfe den aktuellen Stand vor einer konkreten Umzugsentscheidung nach Québec direkt bei den Provinzbehörden.</w:t>
      </w:r>
    </w:p>
    <w:p w14:paraId="26984BA1" w14:textId="77777777" w:rsidR="001F7233" w:rsidRDefault="001F7233">
      <w:pPr>
        <w:spacing w:line="220" w:lineRule="exact"/>
      </w:pPr>
    </w:p>
    <w:p w14:paraId="3B9A2DF0" w14:textId="77777777" w:rsidR="001F7233" w:rsidRDefault="00000000">
      <w:pPr>
        <w:pStyle w:val="Heading3"/>
      </w:pPr>
      <w:r>
        <w:t>Kaffee bestellen: Größen, Cappuccino und Trinkgeld</w:t>
      </w:r>
    </w:p>
    <w:p w14:paraId="24E130D9" w14:textId="77777777" w:rsidR="001F7233" w:rsidRDefault="00000000">
      <w:r>
        <w:t>In Kanada gibt es häufig Filterkaffee und Espresso-Getränke. Ketten haben eigene Größen und Regeln fürs Nachfüllen. Ein Cappuccino besteht aus Espresso und aufgeschäumter Milch; ein Latte enthält mehr Milch. Im Restaurant ist Trinkgeld üblich. Ein Trinkgeldvorschlag am Tresen oder beim Selbstbedienungsgerät ist etwas anderes. Prüfe den Beleg auf eine bereits berechnete Servicegebühr und gehe nur dann von kostenlosem Nachfüllen aus, wenn das Café es ausdrücklich anbietet.</w:t>
      </w:r>
      <w:r>
        <w:br w:type="page"/>
      </w:r>
    </w:p>
    <w:p w14:paraId="6E1BB472" w14:textId="77777777" w:rsidR="001F7233" w:rsidRDefault="00000000">
      <w:pPr>
        <w:pStyle w:val="Heading2"/>
        <w:keepNext/>
        <w:spacing w:line="341" w:lineRule="auto"/>
        <w:jc w:val="center"/>
      </w:pPr>
      <w:bookmarkStart w:id="121" w:name="tka12"/>
      <w:r>
        <w:rPr>
          <w:rFonts w:ascii="Amazon Ember" w:eastAsia="Amazon Ember" w:hAnsi="Amazon Ember" w:cs="Amazon Ember"/>
          <w:color w:val="0000FF"/>
          <w:sz w:val="36"/>
          <w:szCs w:val="36"/>
        </w:rPr>
        <w:lastRenderedPageBreak/>
        <w:t>Kanada: Freunde finden und der Kulturschock des ersten Winters</w:t>
      </w:r>
      <w:bookmarkEnd w:id="121"/>
    </w:p>
    <w:p w14:paraId="37E65B6C" w14:textId="77777777" w:rsidR="001F7233" w:rsidRDefault="00000000">
      <w:pPr>
        <w:spacing w:after="140"/>
      </w:pPr>
      <w:r>
        <w:t>Im Gedränge der Straßenbahn in Toronto rempelt dich jemand an und entschuldigt sich, noch bevor du selbst reagieren kannst. Du murmelst reflexhaft ein „Sorry“ zurück, obwohl du der Angerempelte warst und lernst damit in der ersten Woche die vielleicht wichtigste Regel des kanadischen Alltags: Höflichkeit ist hier kein Zufall, sondern Reflex. Die gute Nachricht: Das macht den ersten Kontakt bemerkenswert leicht. Die schlechte: Es sagt dir noch nichts darüber, wann aus dem freundlichen „Sorry“ wirklich eine Einladung wird und wie du den ersten kanadischen Winter übersteht, ohne dabei den Anschluss an dein altes Leben zu verlieren.</w:t>
      </w:r>
    </w:p>
    <w:p w14:paraId="1B4E0831" w14:textId="77777777" w:rsidR="001F7233" w:rsidRDefault="00000000">
      <w:r>
        <w:rPr>
          <w:b/>
        </w:rPr>
        <w:t xml:space="preserve">KURZ GESAGT: </w:t>
      </w:r>
    </w:p>
    <w:p w14:paraId="1B9CFDFE" w14:textId="77777777" w:rsidR="001F7233" w:rsidRDefault="00000000">
      <w:r>
        <w:t>• Kanadische Freundlichkeit ist echt, aber keine automatische Einladung zu echter Nähe. Die erste Tür öffnet sich leicht, der Rest braucht Wiederholung.</w:t>
      </w:r>
    </w:p>
    <w:p w14:paraId="70C8C9F8" w14:textId="77777777" w:rsidR="001F7233" w:rsidRDefault="00000000">
      <w:r>
        <w:t>• Eishockey, Curling, Wandern und die kommunale Freizeitverwaltung sind schnelle Wege zu festen Kontakten. Ein Vereinswesen im deutschen Sinn gibt es kaum.</w:t>
      </w:r>
    </w:p>
    <w:p w14:paraId="61F920FC" w14:textId="77777777" w:rsidR="001F7233" w:rsidRDefault="00000000">
      <w:r>
        <w:t>• Deutsche Vertretungen, Goethe-Institute und deutsche Sprachschulen konzentrieren sich auf Toronto, Vancouver, Calgary und Montréal – anderswo bleibt vor allem Eigeninitiative.</w:t>
      </w:r>
    </w:p>
    <w:p w14:paraId="2D7340FC" w14:textId="77777777" w:rsidR="001F7233" w:rsidRDefault="00000000">
      <w:r>
        <w:t>• Wer über Express Entry einwandert, bringt den mitreisenden Partner meist von Anfang an mit vollem Aufenthaltstitel und Arbeitsrecht mit. Die eigentliche Hürde liegt oft bei der Berufsanerkennung, nicht beim Visum.</w:t>
      </w:r>
    </w:p>
    <w:p w14:paraId="3990CA6E" w14:textId="77777777" w:rsidR="001F7233" w:rsidRDefault="00000000">
      <w:r>
        <w:t>• Nicht die Entfernung zu Deutschland ist für die meisten Neuankömmlinge der größere Kulturschock, sondern der erste richtige kanadische Winter.</w:t>
      </w:r>
    </w:p>
    <w:p w14:paraId="02B2B15C" w14:textId="77777777" w:rsidR="001F7233" w:rsidRDefault="00000000">
      <w:r>
        <w:lastRenderedPageBreak/>
        <w:t>• Wer isoliert lebt oder ernsthaft belastet ist, findet in Kanada rund um die Uhr erreichbare Hilfe, auch für Jugendliche und auf Französisch.</w:t>
      </w:r>
    </w:p>
    <w:p w14:paraId="1C4AD045" w14:textId="77777777" w:rsidR="001F7233" w:rsidRDefault="001F7233">
      <w:pPr>
        <w:spacing w:line="220" w:lineRule="exact"/>
      </w:pPr>
    </w:p>
    <w:p w14:paraId="7D24A3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„Sorry“ und die kanadische Höflichkeit: was das fürs Freundefinden bedeutet</w:t>
      </w:r>
    </w:p>
    <w:p w14:paraId="0197202C" w14:textId="77777777" w:rsidR="001F7233" w:rsidRDefault="00000000">
      <w:pPr>
        <w:spacing w:after="140"/>
      </w:pPr>
      <w:r>
        <w:t xml:space="preserve">Verbreiteter Irrtum: Kanadier seien im Grunde nur noch entspanntere Amerikaner, da habe man erst recht schnell Freunde. Tatsächlich ist der kanadische Kommunikationsstil spürbar indirekter und konfliktscheuer als der deutsche (die Hintergründe dazu, von der „Sorry“-Kultur bis zum Mosaik-Modell, stehen ausführlich im </w:t>
      </w:r>
      <w:hyperlink w:anchor="tka11">
        <w:r w:rsidR="001F7233">
          <w:rPr>
            <w:color w:val="0563C1"/>
            <w:u w:val="single"/>
          </w:rPr>
          <w:t>Kapitel zur Alltagskultur in diesem Teil</w:t>
        </w:r>
      </w:hyperlink>
      <w:r>
        <w:t>). Für die Freundschaftssuche zählt vor allem eine Folge davon: Weil Kritik, Ablehnung und Desinteresse selten offen ausgesprochen werden, brauchst du länger, um zu erkennen, ob ein „We should get together sometime“ ernst gemeint ist oder reine Höflichkeit. Die freundliche Fassade ist echt gemeint, aber sie ist eben zunächst nur das: eine Fassade, keine sofortige Einladung.</w:t>
      </w:r>
    </w:p>
    <w:p w14:paraId="1DB9F6B4" w14:textId="77777777" w:rsidR="001F7233" w:rsidRDefault="00000000">
      <w:r>
        <w:rPr>
          <w:b/>
        </w:rPr>
        <w:t xml:space="preserve">MERKE: </w:t>
      </w:r>
    </w:p>
    <w:p w14:paraId="023A0C25" w14:textId="77777777" w:rsidR="001F7233" w:rsidRDefault="00000000">
      <w:r>
        <w:t>• Ein freundliches „Sorry“ ist ein Türöffner, keine Einladung ins Wohnzimmer. Nimm die kanadische Freundlichkeit dankbar an, aber miss echte Nähe an Wiederholung, nicht am ersten netten Gespräch.</w:t>
      </w:r>
    </w:p>
    <w:p w14:paraId="07F0A1A1" w14:textId="77777777" w:rsidR="001F7233" w:rsidRDefault="001F7233">
      <w:pPr>
        <w:spacing w:line="220" w:lineRule="exact"/>
      </w:pPr>
    </w:p>
    <w:p w14:paraId="35753F79" w14:textId="77777777" w:rsidR="001F7233" w:rsidRDefault="00000000">
      <w:pPr>
        <w:spacing w:after="140"/>
      </w:pPr>
      <w:r>
        <w:t xml:space="preserve">Für Québec gilt dasselbe Prinzip, nur mit einer zusätzlichen sprachlichen Hürde: Wer nach Montréal zieht, braucht für echten Anschluss über die ersten Kontakte hinaus meist konversationsfähiges Französisch, nicht nur für Behördengänge (Details zur Sprachfrage und zu Bill 96 im </w:t>
      </w:r>
      <w:hyperlink w:anchor="tka11">
        <w:r w:rsidR="001F7233">
          <w:rPr>
            <w:color w:val="0563C1"/>
            <w:u w:val="single"/>
          </w:rPr>
          <w:t>Kapitel zur Alltagskultur in diesem Teil</w:t>
        </w:r>
      </w:hyperlink>
      <w:r>
        <w:t>).</w:t>
      </w:r>
    </w:p>
    <w:p w14:paraId="6E10CA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Anschluss findest: Eishockey, Curling, Nachbarschaft</w:t>
      </w:r>
    </w:p>
    <w:p w14:paraId="153900AA" w14:textId="77777777" w:rsidR="001F7233" w:rsidRDefault="00000000">
      <w:pPr>
        <w:spacing w:after="140"/>
      </w:pPr>
      <w:r>
        <w:rPr>
          <w:i/>
          <w:iCs/>
        </w:rPr>
        <w:t>Ein Vereinswesen mit Satzung und Vorstand wie in Deutschland ist in Kanada selten. Stattdessen dominieren offene Ligen, Kurse und die kommunale Freizeitverwaltung. Eishockey ist überall präsent, keineswegs nur für Profis: Erwachsenenligen mit lockerem Niveau, sogenannte Beer Leagues (Freizeit-Eishockeyligen, benannt nach dem Bier danach, nicht während des Spiels), gibt es in praktisch jeder Stadt mit einer Eishalle, oft über die städtische Freizeitverwaltung organisiert. Wer nie Schlittschuh gelaufen ist, findet ebenso leicht Zugang zu Curling: Curlingclubs bieten fast überall kostenlose oder günstige „Learn to Curl“-Abende für Einsteiger an und ein Bonspiel (ein Curling-Turnier mit ausgiebigem geselligem Rahmenprogramm danach) ist eher gesellschaftliches Ereignis als Hochleistungssport. Der Signature-Drink im Clubhaus gehört oft fest dazu.</w:t>
      </w:r>
    </w:p>
    <w:p w14:paraId="46DB2C56" w14:textId="77777777" w:rsidR="001F7233" w:rsidRDefault="00000000">
      <w:pPr>
        <w:spacing w:after="140"/>
      </w:pPr>
      <w:r>
        <w:rPr>
          <w:i/>
          <w:iCs/>
        </w:rPr>
        <w:t>Weitere verlässliche Türöffner sind Wander- und Laufgruppen (in Gebirgsregionen etwa Ortsgruppen des Alpine Club of Canada), die kommunalen Community Centres (kommunale Freizeitzentren mit Schwimmbad, Fitnessraum, Kursen und Ligen für Erwachsene, vergleichbar mit einer Mischung aus Volkshochschule und Sportverein) sowie öffentliche Bibliotheken mit Vorlesestunden, Konversationsrunden und Buchclubs. Nachbarschaftliche Anlässe wie die Block Party oder Feste rund um den kanadischen Nationalfeiertag (Canada Day, 1. Juli) bieten einen niedrigschwelligen Einstieg; ein kleines Mitbringsel beim ersten Vorstellen („We just moved in next door“) öffnet auch hier mehr Türen als eine Nachricht in der Nachbarschafts-Facebook-Gruppe.</w:t>
      </w:r>
    </w:p>
    <w:p w14:paraId="6140AA05" w14:textId="77777777" w:rsidR="001F7233" w:rsidRDefault="00000000">
      <w:pPr>
        <w:spacing w:after="140"/>
      </w:pPr>
      <w:r>
        <w:t xml:space="preserve">Kinder bleiben der schnellste Weg zu festen Kontakten: Schulsport, Spielplatzverabredungen und der Elternverein der Schule bringen dieselben Eltern Woche für Woche zusammen (mehr dazu im </w:t>
      </w:r>
      <w:hyperlink w:anchor="tka13">
        <w:r w:rsidR="001F7233">
          <w:rPr>
            <w:color w:val="0563C1"/>
            <w:u w:val="single"/>
          </w:rPr>
          <w:t>Kapitel zu Kindern, Schule und Sprache in diesem Teil</w:t>
        </w:r>
      </w:hyperlink>
      <w:r>
        <w:t xml:space="preserve">). Für Erwachsene </w:t>
      </w:r>
      <w:r>
        <w:lastRenderedPageBreak/>
        <w:t>ohne Kinder oder festen Sportverein füllen Meetup-Gruppen und lokale Facebook-Gruppen die Lücke, auch wenn Kanada insgesamt etwas kleinere, dafür beständigere Szenen hat als etwa amerikanische Großstädte.</w:t>
      </w:r>
    </w:p>
    <w:p w14:paraId="08C7664D" w14:textId="77777777" w:rsidR="001F7233" w:rsidRDefault="00000000">
      <w:r>
        <w:rPr>
          <w:b/>
        </w:rPr>
        <w:t>Beer League (Eishockey) oder Curlingclub</w:t>
      </w:r>
    </w:p>
    <w:p w14:paraId="64AC3B56" w14:textId="77777777" w:rsidR="001F7233" w:rsidRDefault="00000000">
      <w:r>
        <w:rPr>
          <w:b/>
        </w:rPr>
        <w:t xml:space="preserve">Passt für: </w:t>
      </w:r>
      <w:r>
        <w:t>Fast alle, auch ohne Vorerfahrung</w:t>
      </w:r>
    </w:p>
    <w:p w14:paraId="3E6D4841" w14:textId="77777777" w:rsidR="001F7233" w:rsidRDefault="00000000">
      <w:r>
        <w:rPr>
          <w:b/>
        </w:rPr>
        <w:t xml:space="preserve">Tempo: </w:t>
      </w:r>
      <w:r>
        <w:t>Mittel; feste wöchentliche Wiederholung</w:t>
      </w:r>
    </w:p>
    <w:p w14:paraId="0179C2AE" w14:textId="77777777" w:rsidR="001F7233" w:rsidRDefault="00000000">
      <w:r>
        <w:rPr>
          <w:b/>
        </w:rPr>
        <w:t>Community Centre (Kurse, Ligen, Schwimmbad)</w:t>
      </w:r>
    </w:p>
    <w:p w14:paraId="372E3141" w14:textId="77777777" w:rsidR="001F7233" w:rsidRDefault="00000000">
      <w:r>
        <w:rPr>
          <w:b/>
        </w:rPr>
        <w:t xml:space="preserve">Passt für: </w:t>
      </w:r>
      <w:r>
        <w:t>Fast alle, günstig</w:t>
      </w:r>
    </w:p>
    <w:p w14:paraId="02244C41" w14:textId="77777777" w:rsidR="001F7233" w:rsidRDefault="00000000">
      <w:r>
        <w:rPr>
          <w:b/>
        </w:rPr>
        <w:t xml:space="preserve">Tempo: </w:t>
      </w:r>
      <w:r>
        <w:t>Mittel</w:t>
      </w:r>
    </w:p>
    <w:p w14:paraId="458E1D0C" w14:textId="77777777" w:rsidR="001F7233" w:rsidRDefault="00000000">
      <w:r>
        <w:rPr>
          <w:b/>
        </w:rPr>
        <w:t>Wander- oder Laufgruppe</w:t>
      </w:r>
    </w:p>
    <w:p w14:paraId="77FD417B" w14:textId="77777777" w:rsidR="001F7233" w:rsidRDefault="00000000">
      <w:r>
        <w:rPr>
          <w:b/>
        </w:rPr>
        <w:t xml:space="preserve">Passt für: </w:t>
      </w:r>
      <w:r>
        <w:t>Sportlich Interessierte, vor allem in Gebirgsnähe</w:t>
      </w:r>
    </w:p>
    <w:p w14:paraId="49C600A5" w14:textId="77777777" w:rsidR="001F7233" w:rsidRDefault="00000000">
      <w:r>
        <w:rPr>
          <w:b/>
        </w:rPr>
        <w:t xml:space="preserve">Tempo: </w:t>
      </w:r>
      <w:r>
        <w:t>Mittel bis schnell</w:t>
      </w:r>
    </w:p>
    <w:p w14:paraId="4C13A89C" w14:textId="77777777" w:rsidR="001F7233" w:rsidRDefault="00000000">
      <w:r>
        <w:rPr>
          <w:b/>
        </w:rPr>
        <w:t>Nachbarschaft, Block Party, Canada Day</w:t>
      </w:r>
    </w:p>
    <w:p w14:paraId="29384D61" w14:textId="77777777" w:rsidR="001F7233" w:rsidRDefault="00000000">
      <w:r>
        <w:rPr>
          <w:b/>
        </w:rPr>
        <w:t xml:space="preserve">Passt für: </w:t>
      </w:r>
      <w:r>
        <w:t>Familien, Hausbesitzer, Mieter</w:t>
      </w:r>
    </w:p>
    <w:p w14:paraId="6FFD3A82" w14:textId="77777777" w:rsidR="001F7233" w:rsidRDefault="00000000">
      <w:r>
        <w:rPr>
          <w:b/>
        </w:rPr>
        <w:t xml:space="preserve">Tempo: </w:t>
      </w:r>
      <w:r>
        <w:t>Langsam</w:t>
      </w:r>
    </w:p>
    <w:p w14:paraId="60BA76E0" w14:textId="77777777" w:rsidR="001F7233" w:rsidRDefault="00000000">
      <w:r>
        <w:rPr>
          <w:b/>
        </w:rPr>
        <w:t>Schule, Kindersport, Elternverein</w:t>
      </w:r>
    </w:p>
    <w:p w14:paraId="6C6F4DB5" w14:textId="77777777" w:rsidR="001F7233" w:rsidRDefault="00000000">
      <w:r>
        <w:rPr>
          <w:b/>
        </w:rPr>
        <w:t xml:space="preserve">Passt für: </w:t>
      </w:r>
      <w:r>
        <w:t>Eltern</w:t>
      </w:r>
    </w:p>
    <w:p w14:paraId="05050CE6" w14:textId="77777777" w:rsidR="001F7233" w:rsidRDefault="00000000">
      <w:r>
        <w:rPr>
          <w:b/>
        </w:rPr>
        <w:t xml:space="preserve">Tempo: </w:t>
      </w:r>
      <w:r>
        <w:t>Schnell</w:t>
      </w:r>
    </w:p>
    <w:p w14:paraId="2DCC75A6" w14:textId="77777777" w:rsidR="001F7233" w:rsidRDefault="00000000">
      <w:r>
        <w:rPr>
          <w:b/>
        </w:rPr>
        <w:t>Meetup, lokale Facebook-Gruppen</w:t>
      </w:r>
    </w:p>
    <w:p w14:paraId="17CA2D96" w14:textId="77777777" w:rsidR="001F7233" w:rsidRDefault="00000000">
      <w:r>
        <w:rPr>
          <w:b/>
        </w:rPr>
        <w:t xml:space="preserve">Passt für: </w:t>
      </w:r>
      <w:r>
        <w:t>Alleinstehende, Zugezogene</w:t>
      </w:r>
    </w:p>
    <w:p w14:paraId="42438385" w14:textId="77777777" w:rsidR="001F7233" w:rsidRDefault="00000000">
      <w:r>
        <w:rPr>
          <w:b/>
        </w:rPr>
        <w:t xml:space="preserve">Tempo: </w:t>
      </w:r>
      <w:r>
        <w:t>Kontakt schnell, Freundschaft langsam</w:t>
      </w:r>
    </w:p>
    <w:p w14:paraId="33196FB7" w14:textId="77777777" w:rsidR="001F7233" w:rsidRDefault="001F7233">
      <w:pPr>
        <w:spacing w:line="180" w:lineRule="exact"/>
      </w:pPr>
    </w:p>
    <w:p w14:paraId="71DF969F" w14:textId="77777777" w:rsidR="001F7233" w:rsidRDefault="00000000">
      <w:r>
        <w:rPr>
          <w:b/>
        </w:rPr>
        <w:t xml:space="preserve">SPARTIPP: </w:t>
      </w:r>
    </w:p>
    <w:p w14:paraId="29A2351E" w14:textId="77777777" w:rsidR="001F7233" w:rsidRDefault="00000000">
      <w:r>
        <w:t>• Community Centres verlangen für Erwachsenenkurse und -ligen meist nur einen kleinen Beitrag, „Learn to Curl“-Abende und Bibliotheksprogramme sind häufig ganz kostenlos. Für den Aufbau eines Freundeskreises brauchst du in Kanada kein großes Budget – nur Wiederholung.</w:t>
      </w:r>
    </w:p>
    <w:p w14:paraId="4EDC9458" w14:textId="77777777" w:rsidR="001F7233" w:rsidRDefault="001F7233">
      <w:pPr>
        <w:spacing w:line="220" w:lineRule="exact"/>
      </w:pPr>
    </w:p>
    <w:p w14:paraId="7F33C2A4" w14:textId="77777777" w:rsidR="001F7233" w:rsidRDefault="001F7233">
      <w:pPr>
        <w:spacing w:line="220" w:lineRule="exact"/>
      </w:pPr>
    </w:p>
    <w:p w14:paraId="7FBF0323" w14:textId="77777777" w:rsidR="001F7233" w:rsidRDefault="00000000">
      <w:pPr>
        <w:pStyle w:val="Heading4"/>
      </w:pPr>
      <w:r>
        <w:t>Malen und Vloggen: Alltag statt Postkartenkulisse</w:t>
      </w:r>
    </w:p>
    <w:p w14:paraId="5DE855C4" w14:textId="77777777" w:rsidR="001F7233" w:rsidRDefault="00000000">
      <w:r>
        <w:t xml:space="preserve">Mit Skizzenbuch oder Smartphone findest du Motive nicht nur in den Rockies: ein Community Centre, ein Wintermorgen, der Weg zum </w:t>
      </w:r>
      <w:r>
        <w:lastRenderedPageBreak/>
        <w:t>Supermarkt oder ein Gespräch über Französisch in Québec erzählen oft mehr. Bei Porträts frag die dargestellte Person; filme Kinder nur mit Zustimmung der Sorgeberechtigten und veröffentliche keine identifizierenden Details aus Schule, Wohnung oder Arbeitsplatz. Halte den Kanal klein und konkret: Was kostet dieser Einkauf heute? Wie funktioniert diese Anmeldung? Was habe ich an diesem Ort falsch eingeschätzt? Preise immer mit Datum und Ort versehen.</w:t>
      </w:r>
    </w:p>
    <w:p w14:paraId="352F2A61" w14:textId="77777777" w:rsidR="001F7233" w:rsidRDefault="00000000">
      <w:r>
        <w:t xml:space="preserve">Für Film- und Fotoarbeiten an Parks-Canada-Orten kann eine Registrierung oder Genehmigung nötig sein; die Einstufung hängt unter anderem von Teamgröße, Ausrüstung, Zweck und Ort ab. Die Behörde empfiehlt, Reise-Medienprojekte früh anzumelden und andere nötige Zustimmungen einzuholen. Einnahmen, Sponsoring und erhaltene Sachleistungen können steuerpflichtig sein; prüfe außerdem vor jeder Monetarisierung deine Arbeitserlaubnis. Quellen: </w:t>
      </w:r>
      <w:hyperlink r:id="rId887">
        <w:r w:rsidR="001F7233">
          <w:rPr>
            <w:color w:val="0563C1"/>
            <w:u w:val="single"/>
          </w:rPr>
          <w:t>Parks Canada: Film- und Fotoprojekte</w:t>
        </w:r>
      </w:hyperlink>
      <w:r>
        <w:t xml:space="preserve"> · </w:t>
      </w:r>
      <w:hyperlink r:id="rId888">
        <w:r w:rsidR="001F7233">
          <w:rPr>
            <w:color w:val="0563C1"/>
            <w:u w:val="single"/>
          </w:rPr>
          <w:t>CRA: Influencer und Plattform-Einkünfte</w:t>
        </w:r>
      </w:hyperlink>
    </w:p>
    <w:p w14:paraId="6D798D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BYOB und ein Erntedankfest im Oktober</w:t>
      </w:r>
    </w:p>
    <w:p w14:paraId="6B354AAC" w14:textId="77777777" w:rsidR="001F7233" w:rsidRDefault="00000000">
      <w:pPr>
        <w:spacing w:after="140"/>
      </w:pPr>
      <w:r>
        <w:rPr>
          <w:i/>
          <w:iCs/>
        </w:rPr>
        <w:t>Zu Hause eingeladen zu werden, ist ein gutes Zeichen und läuft meist unkompliziert ab. Der Potluck (jeder bringt ein Gericht mit) ist auch in Kanada die häufigste Form geselligen Beisammenseins, ob im Büro, in der Nachbarschaft oder bei der Schulklasse. Nachfragen, was noch fehlt, gilt als höflich, nicht als aufdringlich. Bei Grillfesten und lockeren Abenden ist BYOB (Bring Your Own Bottle, du bringst dein eigenes Getränk mit) verbreitet. Sagt der Gastgeber „just bring yourself“, reicht trotzdem eine Kleinigkeit wie Wein oder Dessert. Eine Besonderheit, die viele Neuankömmlinge überrascht: Kanadisches Thanksgiving (Erntedankfest) liegt bereits am zweiten Montag im Oktober, gut sechs Wochen vor dem amerikanischen Pendant im November. Wer aus Erzählungen oder Filmen nur die amerikanische Novemberversion kennt, verpasst sonst leicht die erste Einladung der neuen Nachbarn.</w:t>
      </w:r>
    </w:p>
    <w:p w14:paraId="767EA2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Community: Konsulate, Goethe-Institut, Sprachschulen</w:t>
      </w:r>
    </w:p>
    <w:p w14:paraId="731D4510" w14:textId="77777777" w:rsidR="001F7233" w:rsidRDefault="00000000">
      <w:pPr>
        <w:spacing w:after="140"/>
      </w:pPr>
      <w:r>
        <w:t>Der direkte Draht zur alten Heimat ist in Kanada regional sehr unterschiedlich dicht. Konsularisch bist du, je nach Provinz, dem Generalkonsulat Toronto, Vancouver oder Montréal zugeordnet oder der Botschaft in Ottawa, die für Privatpersonen keinen eigenen Konsularbezirk führt. In mehreren kleineren Städten vertreten Honorarkonsuln die deutschen Interessen ehrenamtlich. Goethe-Institute gibt es in Toronto, Ottawa und Montréal, mit Sprachkursen, Filmabenden und einem ersten Netzwerk für alle, die Deutsch pflegen oder Englisch oder Französisch verbessern wollen.</w:t>
      </w:r>
    </w:p>
    <w:p w14:paraId="44EF68A1" w14:textId="77777777" w:rsidR="001F7233" w:rsidRDefault="00000000">
      <w:r>
        <w:rPr>
          <w:b/>
        </w:rPr>
        <w:t>Toronto</w:t>
      </w:r>
    </w:p>
    <w:p w14:paraId="2F8DBF08" w14:textId="77777777" w:rsidR="001F7233" w:rsidRDefault="00000000">
      <w:r>
        <w:rPr>
          <w:b/>
        </w:rPr>
        <w:t xml:space="preserve">Konsularische Vertretung: </w:t>
      </w:r>
      <w:r>
        <w:t>Generalkonsulat (auch für Ottawa)</w:t>
      </w:r>
    </w:p>
    <w:p w14:paraId="6BE667E0" w14:textId="77777777" w:rsidR="001F7233" w:rsidRDefault="00000000">
      <w:r>
        <w:rPr>
          <w:b/>
        </w:rPr>
        <w:t xml:space="preserve">Goethe-Institut: </w:t>
      </w:r>
      <w:r>
        <w:t>ja</w:t>
      </w:r>
    </w:p>
    <w:p w14:paraId="012BF1A4" w14:textId="77777777" w:rsidR="001F7233" w:rsidRDefault="00000000">
      <w:r>
        <w:rPr>
          <w:b/>
        </w:rPr>
        <w:t xml:space="preserve">Deutsches Sprachangebot: </w:t>
      </w:r>
      <w:r>
        <w:t>German International School Toronto (Vorschule bis Klasse 12)</w:t>
      </w:r>
    </w:p>
    <w:p w14:paraId="0DE1DE66" w14:textId="77777777" w:rsidR="001F7233" w:rsidRDefault="00000000">
      <w:r>
        <w:rPr>
          <w:b/>
        </w:rPr>
        <w:t>Vancouver</w:t>
      </w:r>
    </w:p>
    <w:p w14:paraId="2D1D9CEA" w14:textId="77777777" w:rsidR="001F7233" w:rsidRDefault="00000000">
      <w:r>
        <w:rPr>
          <w:b/>
        </w:rPr>
        <w:t xml:space="preserve">Konsularische Vertretung: </w:t>
      </w:r>
      <w:r>
        <w:t>Generalkonsulat</w:t>
      </w:r>
    </w:p>
    <w:p w14:paraId="64198247" w14:textId="77777777" w:rsidR="001F7233" w:rsidRDefault="00000000">
      <w:r>
        <w:rPr>
          <w:b/>
        </w:rPr>
        <w:t xml:space="preserve">Goethe-Institut: </w:t>
      </w:r>
      <w:r>
        <w:t>nein (nicht identifiziert)</w:t>
      </w:r>
    </w:p>
    <w:p w14:paraId="41A7C801" w14:textId="77777777" w:rsidR="001F7233" w:rsidRDefault="00000000">
      <w:r>
        <w:rPr>
          <w:b/>
        </w:rPr>
        <w:t xml:space="preserve">Deutsches Sprachangebot: </w:t>
      </w:r>
      <w:r>
        <w:t>Vancouver Westside German School (Samstagsschule, seit 1992)</w:t>
      </w:r>
    </w:p>
    <w:p w14:paraId="5CB0A73A" w14:textId="77777777" w:rsidR="001F7233" w:rsidRDefault="00000000">
      <w:r>
        <w:rPr>
          <w:b/>
        </w:rPr>
        <w:t>Calgary</w:t>
      </w:r>
    </w:p>
    <w:p w14:paraId="000C463F" w14:textId="77777777" w:rsidR="001F7233" w:rsidRDefault="00000000">
      <w:r>
        <w:rPr>
          <w:b/>
        </w:rPr>
        <w:t xml:space="preserve">Konsularische Vertretung: </w:t>
      </w:r>
      <w:r>
        <w:t>Honorarkonsul</w:t>
      </w:r>
    </w:p>
    <w:p w14:paraId="71EFA11F" w14:textId="77777777" w:rsidR="001F7233" w:rsidRDefault="00000000">
      <w:r>
        <w:rPr>
          <w:b/>
        </w:rPr>
        <w:t xml:space="preserve">Goethe-Institut: </w:t>
      </w:r>
      <w:r>
        <w:t>nein</w:t>
      </w:r>
    </w:p>
    <w:p w14:paraId="110511FC" w14:textId="77777777" w:rsidR="001F7233" w:rsidRDefault="00000000">
      <w:r>
        <w:rPr>
          <w:b/>
        </w:rPr>
        <w:t xml:space="preserve">Deutsches Sprachangebot: </w:t>
      </w:r>
      <w:r>
        <w:t>Calgary German Language School (Vorschule bis Klasse 12, auch Erwachsenenkurse)</w:t>
      </w:r>
    </w:p>
    <w:p w14:paraId="0A8FAB12" w14:textId="77777777" w:rsidR="001F7233" w:rsidRDefault="00000000">
      <w:r>
        <w:rPr>
          <w:b/>
        </w:rPr>
        <w:t>Montréal</w:t>
      </w:r>
    </w:p>
    <w:p w14:paraId="44A27FB2" w14:textId="77777777" w:rsidR="001F7233" w:rsidRDefault="00000000">
      <w:r>
        <w:rPr>
          <w:b/>
        </w:rPr>
        <w:t xml:space="preserve">Konsularische Vertretung: </w:t>
      </w:r>
      <w:r>
        <w:t>Generalkonsulat (seit 1893)</w:t>
      </w:r>
    </w:p>
    <w:p w14:paraId="2909A54F" w14:textId="77777777" w:rsidR="001F7233" w:rsidRDefault="00000000">
      <w:r>
        <w:rPr>
          <w:b/>
        </w:rPr>
        <w:t xml:space="preserve">Goethe-Institut: </w:t>
      </w:r>
      <w:r>
        <w:t>ja</w:t>
      </w:r>
    </w:p>
    <w:p w14:paraId="721792C6" w14:textId="77777777" w:rsidR="001F7233" w:rsidRDefault="00000000">
      <w:r>
        <w:rPr>
          <w:b/>
        </w:rPr>
        <w:t xml:space="preserve">Deutsches Sprachangebot: </w:t>
      </w:r>
      <w:r>
        <w:t>Alexander-von-Humboldt-Schule (Baie-d’Urfé)</w:t>
      </w:r>
    </w:p>
    <w:p w14:paraId="0D66B649" w14:textId="77777777" w:rsidR="001F7233" w:rsidRDefault="00000000">
      <w:r>
        <w:rPr>
          <w:b/>
        </w:rPr>
        <w:t>Ottawa</w:t>
      </w:r>
    </w:p>
    <w:p w14:paraId="386BC7D7" w14:textId="77777777" w:rsidR="001F7233" w:rsidRDefault="00000000">
      <w:r>
        <w:rPr>
          <w:b/>
        </w:rPr>
        <w:lastRenderedPageBreak/>
        <w:t xml:space="preserve">Konsularische Vertretung: </w:t>
      </w:r>
      <w:r>
        <w:t>Sitz der Botschaft (kein eigenes Konsulat für Privatpersonen)</w:t>
      </w:r>
    </w:p>
    <w:p w14:paraId="19DE5B39" w14:textId="77777777" w:rsidR="001F7233" w:rsidRDefault="00000000">
      <w:r>
        <w:rPr>
          <w:b/>
        </w:rPr>
        <w:t xml:space="preserve">Goethe-Institut: </w:t>
      </w:r>
      <w:r>
        <w:t>ja</w:t>
      </w:r>
    </w:p>
    <w:p w14:paraId="025E6491" w14:textId="77777777" w:rsidR="001F7233" w:rsidRDefault="00000000">
      <w:r>
        <w:rPr>
          <w:b/>
        </w:rPr>
        <w:t xml:space="preserve">Deutsches Sprachangebot: </w:t>
      </w:r>
      <w:r>
        <w:t>–</w:t>
      </w:r>
    </w:p>
    <w:p w14:paraId="7A44AD65" w14:textId="77777777" w:rsidR="001F7233" w:rsidRDefault="001F7233">
      <w:pPr>
        <w:spacing w:line="180" w:lineRule="exact"/>
      </w:pPr>
    </w:p>
    <w:p w14:paraId="37BCE7AB" w14:textId="77777777" w:rsidR="001F7233" w:rsidRDefault="00000000">
      <w:pPr>
        <w:spacing w:after="140"/>
      </w:pPr>
      <w:r>
        <w:t>Weitere deutschsprachige Sprachschulen gibt es unter anderem in Surrey, Victoria, Comox Valley, Regina und Saskatoon. Ob eine Gruppe in deiner Zielstadt aktiv ist, findest du am schnellsten über eine Suche nach „Germans in“ plus Stadtname bei Meetup und Facebook, sowie über die deutschsprachigen evangelischen und katholischen Auslandsgemeinden, die es in mehreren Großstädten gibt.</w:t>
      </w:r>
    </w:p>
    <w:p w14:paraId="65104BC8" w14:textId="77777777" w:rsidR="001F7233" w:rsidRDefault="00000000">
      <w:r>
        <w:rPr>
          <w:b/>
        </w:rPr>
        <w:t xml:space="preserve">ACHTUNG: </w:t>
      </w:r>
    </w:p>
    <w:p w14:paraId="3D382E7E" w14:textId="77777777" w:rsidR="001F7233" w:rsidRDefault="00000000">
      <w:r>
        <w:t>• Die deutsche Community ist gemütlich, aber auch eine Blase: Wer nur unter Landsleuten bleibt, übt kaum Alltagsenglisch (oder -französisch) und lernt das Land selbst kaum kennen. Plane bewusst ein, dass mindestens die Hälfte deiner festen Termine unter Englisch- oder Französischsprachigen stattfindet.</w:t>
      </w:r>
    </w:p>
    <w:p w14:paraId="2F5C74C3" w14:textId="77777777" w:rsidR="001F7233" w:rsidRDefault="001F7233">
      <w:pPr>
        <w:spacing w:line="220" w:lineRule="exact"/>
      </w:pPr>
    </w:p>
    <w:p w14:paraId="08F820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31FB098D" w14:textId="77777777" w:rsidR="001F7233" w:rsidRDefault="00000000">
      <w:r>
        <w:rPr>
          <w:b/>
        </w:rPr>
        <w:t xml:space="preserve">ACHTUNG: </w:t>
      </w:r>
    </w:p>
    <w:p w14:paraId="06AA4430" w14:textId="77777777" w:rsidR="001F7233" w:rsidRDefault="00000000">
      <w:r>
        <w:t>• Warte mit dem eigenen Netzwerkaufbau nicht, bis die Berufszulassung durchgekommen ist. Wer die Wartemonate isoliert zu Hause verbringt, verstärkt genau die Talsohle, die weiter unten beschrieben wird. Ein Kurs, ein Ehrenamt oder ein fester Sporttermin wirken dagegen doppelt: gegen die Einsamkeit und für das spätere berufliche Netzwerk.</w:t>
      </w:r>
    </w:p>
    <w:p w14:paraId="4D06905F" w14:textId="77777777" w:rsidR="001F7233" w:rsidRDefault="001F7233">
      <w:pPr>
        <w:spacing w:line="220" w:lineRule="exact"/>
      </w:pPr>
    </w:p>
    <w:p w14:paraId="0FDD69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erste kanadische Winter statt der großen Distanz</w:t>
      </w:r>
    </w:p>
    <w:p w14:paraId="3C223711" w14:textId="77777777" w:rsidR="001F7233" w:rsidRDefault="00000000">
      <w:pPr>
        <w:spacing w:after="140"/>
      </w:pPr>
      <w:r>
        <w:t>Anders als bei den anderen Länder-Teilen dieses Buches ist die schiere Entfernung zu Deutschland in Kanada selten das größte Problem. Frankfurt und Toronto trennen rund 6.400 Kilometer Luftlinie, mit Direktflügen (unter anderem Lufthansa, Air Canada, Condor) und einer Flugzeit von etwa acht bis neun Stunden. Die Zeitverschiebung liegt bei etwa sechs Stunden, in Calgary und Vancouver bei etwa acht bis neun Stunden, mit leichten Schwankungen, weil kanada und Deutschland zu unterschiedlichen Terminen zwischen Sommer- und Winterzeit wechseln. Ein Wochenendbesuch ist damit anstrengend, aber tatsächlich möglich. Anders als bei einer Zielregion auf der anderen Seite der Erdkugel.</w:t>
      </w:r>
    </w:p>
    <w:p w14:paraId="07A7510F" w14:textId="77777777" w:rsidR="001F7233" w:rsidRDefault="00000000">
      <w:pPr>
        <w:spacing w:after="140"/>
      </w:pPr>
      <w:r>
        <w:rPr>
          <w:i/>
          <w:iCs/>
        </w:rPr>
        <w:t>Was viele Neuankömmlinge stattdessen kalt erwischt, ist im Wortsinn der erste richtige Winter. In Toronto und Montréal bedeutet das feuchte Kälte, viel Schnee und gelegentliche Eisstürme. In Calgary wechseln sich Kälteeinbrüche bis −30 °C mit dem Chinook ab, einem warmen Fallwind von den Rocky Mountains, der die Temperatur binnen weniger Stunden um bis zu 20 °C anheben kann. Ein Wetterphänomen, das selbst gestandene Albertaner noch verblüfft, wenn es Mitte Januar plötzlich nach Frühling riecht. Kürzere Tage, mehr Zeit drinnen und ein noch dünner Freundeskreis verstärken sich in diesen ersten Monaten gegenseitig.</w:t>
      </w:r>
    </w:p>
    <w:p w14:paraId="38DD63AC" w14:textId="77777777" w:rsidR="001F7233" w:rsidRDefault="00000000">
      <w:pPr>
        <w:spacing w:after="140"/>
      </w:pPr>
      <w:r>
        <w:t>Der Verlauf folgt dabei einem bekannten Muster: einer Anfangseuphorie folgt meist zwischen dem dritten und sechsten Monat eine Talsohle aus Erschöpfung, Reizbarkeit und Zweifeln an der ganzen Entscheidung, bevor sich der Alltag ab etwa einem halben bis einem Jahr normalisiert. Dieser erste Winter fällt in vielen Fällen genau in diese kritische Phase. Eine unglückliche, aber vorhersehbare Überschneidung.</w:t>
      </w:r>
    </w:p>
    <w:p w14:paraId="2045924E" w14:textId="77777777" w:rsidR="001F7233" w:rsidRDefault="00000000">
      <w:r>
        <w:rPr>
          <w:b/>
        </w:rPr>
        <w:t xml:space="preserve">MERKE: </w:t>
      </w:r>
    </w:p>
    <w:p w14:paraId="280A857E" w14:textId="77777777" w:rsidR="001F7233" w:rsidRDefault="00000000">
      <w:r>
        <w:lastRenderedPageBreak/>
        <w:t>• Der erste Winter ist zeitlich begrenzt, so unwahrscheinlich sich das im Februar anfühlt. Er ist kein Beweis, dass die Entscheidung für Kanada falsch war, sondern der vorhersehbare Tiefpunkt einer Kurve, die danach wieder nach oben zeigt.</w:t>
      </w:r>
    </w:p>
    <w:p w14:paraId="36AFED5E" w14:textId="77777777" w:rsidR="001F7233" w:rsidRDefault="001F7233">
      <w:pPr>
        <w:spacing w:line="220" w:lineRule="exact"/>
      </w:pPr>
    </w:p>
    <w:p w14:paraId="16320A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Hilfe finden</w:t>
      </w:r>
    </w:p>
    <w:p w14:paraId="18CEE0BD" w14:textId="77777777" w:rsidR="001F7233" w:rsidRDefault="00000000">
      <w:pPr>
        <w:spacing w:after="140"/>
      </w:pPr>
      <w:r>
        <w:rPr>
          <w:i/>
          <w:iCs/>
        </w:rPr>
        <w:t>Heimweh und ein hartes erstes Jahr sind normal. Professionelle Unterstützung ist sinnvoll, wenn anhaltende Traurigkeit, Schlafprobleme, Rückzug von Familie und den wenigen neuen Kontakten oder ein deutlich schlechteres Funktionieren im Alltag über mehrere Wochen fast täglich auftreten. Viele Arbeitgeber bieten, wie in den USA, ein Employee Assistance Program (EAP, ein betriebliches Beratungs- und Vermittlungsprogramm mit meist mehreren kostenlosen Sitzungen pro Jahr) an. Frage gezielt danach, auch für mitversicherte Angehörige. Deutschsprachige Therapeutinnen und Therapeuten findest du über internationale Verzeichnisse wie Psychology Today, viele davon per Videositzung erreichbar, sofern sie in deiner Provinz zugelassen sind.</w:t>
      </w:r>
    </w:p>
    <w:p w14:paraId="53907E1D" w14:textId="77777777" w:rsidR="001F7233" w:rsidRDefault="00000000">
      <w:pPr>
        <w:spacing w:after="140"/>
      </w:pPr>
      <w:r>
        <w:rPr>
          <w:i/>
          <w:iCs/>
        </w:rPr>
        <w:t>Für akute Krisen ist die 9-8-8: Suicide Crisis Helpline seit dem 30. November 2023 landesweit rund um die Uhr per Anruf oder Textnachricht erreichbar, kostenlos, auf Englisch und Französisch. Für Kinder und Jugendliche steht auch Kids Help Phone bereit: Anruf oder eine Textnachricht mit „CONNECT“ an 686868 verbindet rund um die Uhr mit einer geschulten, freiwilligen Ansprechperson, ganz ohne Datentarif oder App. Bei unmittelbarer Gefahr wählst du wie überall in Kanada 911.</w:t>
      </w:r>
    </w:p>
    <w:p w14:paraId="6942F500" w14:textId="77777777" w:rsidR="001F7233" w:rsidRDefault="00000000">
      <w:r>
        <w:rPr>
          <w:b/>
        </w:rPr>
        <w:t xml:space="preserve">ACHTUNG: </w:t>
      </w:r>
    </w:p>
    <w:p w14:paraId="48BDF25E" w14:textId="77777777" w:rsidR="001F7233" w:rsidRDefault="00000000">
      <w:r>
        <w:t>• Bei akuten Gedanken, sich selbst oder anderen etwas anzutun, wartest du nicht ab. Ruf oder schreib sofort 9-8-8, oder wähle bei unmittelbarer Gefahr 911. Die deutsche Auslandsvertretung ist keine Krisenhotline, hilft aber in echten Notlagen rund um die Uhr weiter.</w:t>
      </w:r>
    </w:p>
    <w:p w14:paraId="3A07D32B" w14:textId="77777777" w:rsidR="001F7233" w:rsidRDefault="001F7233">
      <w:pPr>
        <w:spacing w:line="220" w:lineRule="exact"/>
      </w:pPr>
    </w:p>
    <w:p w14:paraId="593CFC59" w14:textId="77777777" w:rsidR="001F7233" w:rsidRDefault="001F7233">
      <w:pPr>
        <w:spacing w:line="220" w:lineRule="exact"/>
      </w:pPr>
    </w:p>
    <w:p w14:paraId="13A9D9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Freunde finden und der Kulturschock des ersten Winters</w:t>
      </w:r>
    </w:p>
    <w:p w14:paraId="7608A316" w14:textId="77777777" w:rsidR="001F7233" w:rsidRDefault="00000000">
      <w:r>
        <w:rPr>
          <w:b/>
        </w:rPr>
        <w:t>Plus: Kontakt zu Fremden gelingt schnell; Höflichkeit senkt die Hemmschwelle für den ersten Schritt</w:t>
      </w:r>
    </w:p>
    <w:p w14:paraId="446582AC" w14:textId="77777777" w:rsidR="001F7233" w:rsidRDefault="00000000">
      <w:r>
        <w:rPr>
          <w:b/>
        </w:rPr>
        <w:t xml:space="preserve">Minus: </w:t>
      </w:r>
      <w:r>
        <w:t>Freundlichkeit sagt wenig über echte Nähe aus; Kritik und Ablehnung bleiben oft unausgesprochen</w:t>
      </w:r>
    </w:p>
    <w:p w14:paraId="0552C7BF" w14:textId="77777777" w:rsidR="001F7233" w:rsidRDefault="00000000">
      <w:r>
        <w:rPr>
          <w:b/>
        </w:rPr>
        <w:t>Plus: Eishockey, Curling und Community Centres bieten günstigen, verlässlichen Anschluss</w:t>
      </w:r>
    </w:p>
    <w:p w14:paraId="53C593E5" w14:textId="77777777" w:rsidR="001F7233" w:rsidRDefault="00000000">
      <w:r>
        <w:rPr>
          <w:b/>
        </w:rPr>
        <w:t xml:space="preserve">Minus: </w:t>
      </w:r>
      <w:r>
        <w:t>Ein Vereinswesen im deutschen Sinn gibt es kaum; du musst selbst aktiv werden</w:t>
      </w:r>
    </w:p>
    <w:p w14:paraId="5DC7AA28" w14:textId="77777777" w:rsidR="001F7233" w:rsidRDefault="00000000">
      <w:r>
        <w:rPr>
          <w:b/>
        </w:rPr>
        <w:t>Plus: Express Entry gibt vielen mitreisenden Partnern von Anfang an volle Arbeitsrechte</w:t>
      </w:r>
    </w:p>
    <w:p w14:paraId="4FD7A4EF" w14:textId="77777777" w:rsidR="001F7233" w:rsidRDefault="00000000">
      <w:r>
        <w:rPr>
          <w:b/>
        </w:rPr>
        <w:t xml:space="preserve">Minus: </w:t>
      </w:r>
      <w:r>
        <w:t>Berufsanerkennung bei reglementierten Berufen kann trotzdem Monate dauern</w:t>
      </w:r>
    </w:p>
    <w:p w14:paraId="1EDF4DF3" w14:textId="77777777" w:rsidR="001F7233" w:rsidRDefault="00000000">
      <w:r>
        <w:rPr>
          <w:b/>
        </w:rPr>
        <w:t>Plus: Deutsche Community in Toronto, Vancouver, Calgary und Montréal gut organisiert</w:t>
      </w:r>
    </w:p>
    <w:p w14:paraId="77BE370B" w14:textId="77777777" w:rsidR="001F7233" w:rsidRDefault="00000000">
      <w:r>
        <w:rPr>
          <w:b/>
        </w:rPr>
        <w:t xml:space="preserve">Minus: </w:t>
      </w:r>
      <w:r>
        <w:t>Anderswo kaum deutsche Infrastruktur; Eigeninitiative bleibt Pflicht</w:t>
      </w:r>
    </w:p>
    <w:p w14:paraId="5752A40B" w14:textId="77777777" w:rsidR="001F7233" w:rsidRDefault="00000000">
      <w:r>
        <w:rPr>
          <w:b/>
        </w:rPr>
        <w:t>Plus: Direktflüge und moderate Zeitverschiebung machen Heimatbesuche realistisch</w:t>
      </w:r>
    </w:p>
    <w:p w14:paraId="186C2E5D" w14:textId="77777777" w:rsidR="001F7233" w:rsidRDefault="00000000">
      <w:r>
        <w:rPr>
          <w:b/>
        </w:rPr>
        <w:t xml:space="preserve">Minus: </w:t>
      </w:r>
      <w:r>
        <w:t>Der erste Winter trifft oft genau in die kritischste Kulturschock-Phase</w:t>
      </w:r>
    </w:p>
    <w:p w14:paraId="093B5CA3" w14:textId="77777777" w:rsidR="001F7233" w:rsidRDefault="00000000">
      <w:r>
        <w:rPr>
          <w:b/>
        </w:rPr>
        <w:t>Plus: Hilfe (988, Kids Help Phone, EAP) ist rund um die Uhr erreichbar, auch auf Französisch</w:t>
      </w:r>
    </w:p>
    <w:p w14:paraId="455D8B31" w14:textId="77777777" w:rsidR="001F7233" w:rsidRDefault="00000000">
      <w:r>
        <w:rPr>
          <w:b/>
        </w:rPr>
        <w:t xml:space="preserve">Minus: </w:t>
      </w:r>
      <w:r>
        <w:t>Deutschsprachige Angebote sind dünner gesät als in Deutschland</w:t>
      </w:r>
    </w:p>
    <w:p w14:paraId="30B1B68F" w14:textId="77777777" w:rsidR="001F7233" w:rsidRDefault="001F7233">
      <w:pPr>
        <w:spacing w:line="180" w:lineRule="exact"/>
      </w:pPr>
    </w:p>
    <w:p w14:paraId="2CB56B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46D7FF00" w14:textId="77777777" w:rsidR="001F7233" w:rsidRDefault="00000000">
      <w:pPr>
        <w:spacing w:after="140"/>
      </w:pPr>
      <w:r>
        <w:t>Wähle vor dem Umzug einen Sport oder ein Community Centre deiner Zielstadt aus, tritt den passenden Online-Gruppen bei und plane für den ersten Winter bewusst feste Termine ein, die nicht am Wetter hängen. Kläre für den mitreisenden Partner früh, ob eine Berufszulassung nötig ist und beginne diesen Prozess parallel zum eigenen Ankommen, nicht danach.</w:t>
      </w:r>
    </w:p>
    <w:p w14:paraId="675E8ED2" w14:textId="77777777" w:rsidR="001F7233" w:rsidRDefault="00000000">
      <w:r>
        <w:t>• Vor dem Umzug ein Community Centre, eine Beer League, einen Curlingclub oder eine Wandergruppe der Zielstadt recherchiert.</w:t>
      </w:r>
    </w:p>
    <w:p w14:paraId="3199F6BE" w14:textId="77777777" w:rsidR="001F7233" w:rsidRDefault="00000000">
      <w:r>
        <w:t>• Facebook- und Meetup-Gruppen „Germans in [Stadt]“ gesucht und beigetreten</w:t>
      </w:r>
    </w:p>
    <w:p w14:paraId="7A9B9270" w14:textId="77777777" w:rsidR="001F7233" w:rsidRDefault="00000000">
      <w:r>
        <w:t>• Zuständiges Generalkonsulat oder Honorarkonsulat sowie nächstes Goethe-Institut notiert</w:t>
      </w:r>
    </w:p>
    <w:p w14:paraId="3D4DD477" w14:textId="77777777" w:rsidR="001F7233" w:rsidRDefault="00000000">
      <w:r>
        <w:t>• Für den mitreisenden Partner geprüft: volle Arbeitserlaubnis von Anfang an oder Antrag auf Open Work Permit nötig?</w:t>
      </w:r>
    </w:p>
    <w:p w14:paraId="6DDCA3C8" w14:textId="77777777" w:rsidR="001F7233" w:rsidRDefault="00000000">
      <w:r>
        <w:t>• Bei reglementiertem Beruf des Partners die zuständige provinzielle Zulassungsstelle frühzeitig kontaktiert</w:t>
      </w:r>
    </w:p>
    <w:p w14:paraId="44842598" w14:textId="77777777" w:rsidR="001F7233" w:rsidRDefault="00000000">
      <w:r>
        <w:t>• Festen Wochentermin für Kontakt nach Deutschland trotz Zeitverschiebung vereinbart</w:t>
      </w:r>
    </w:p>
    <w:p w14:paraId="1CA30E77" w14:textId="77777777" w:rsidR="001F7233" w:rsidRDefault="00000000">
      <w:r>
        <w:t>• Für den ersten Winter mindestens zwei feste Termine außer der Wohnung eingeplant, die nicht vom Wetter abhängen</w:t>
      </w:r>
    </w:p>
    <w:p w14:paraId="366EA154" w14:textId="77777777" w:rsidR="001F7233" w:rsidRDefault="00000000">
      <w:r>
        <w:t>• 9-8-8 sowie, bei Kindern und Jugendlichen, Kids Help Phone (Text „CONNECT“ an 686868) gespeichert</w:t>
      </w:r>
    </w:p>
    <w:p w14:paraId="4D2FF2E6" w14:textId="77777777" w:rsidR="001F7233" w:rsidRDefault="00000000">
      <w:r>
        <w:t>• Vorgenommen, mindestens die Hälfte der festen Termine unter Englisch- oder Französischsprachigen zu verbringen</w:t>
      </w:r>
    </w:p>
    <w:p w14:paraId="43864429" w14:textId="77777777" w:rsidR="001F7233" w:rsidRDefault="001F7233">
      <w:pPr>
        <w:spacing w:line="220" w:lineRule="exact"/>
      </w:pPr>
    </w:p>
    <w:p w14:paraId="10F1B4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39C2562" w14:textId="77777777" w:rsidR="001F7233" w:rsidRDefault="00000000">
      <w:pPr>
        <w:pStyle w:val="ListParagraph"/>
        <w:numPr>
          <w:ilvl w:val="0"/>
          <w:numId w:val="1"/>
        </w:numPr>
        <w:spacing w:after="60"/>
      </w:pPr>
      <w:r>
        <w:t>Deutsche Auslandsvertretungen in Kanada — Zuständigkeiten, Kontakt (</w:t>
      </w:r>
      <w:hyperlink r:id="rId889">
        <w:r w:rsidR="001F7233">
          <w:rPr>
            <w:color w:val="0563C1"/>
            <w:u w:val="single"/>
          </w:rPr>
          <w:t>kanada.diplo.de</w:t>
        </w:r>
      </w:hyperlink>
      <w:r>
        <w:t>)</w:t>
      </w:r>
    </w:p>
    <w:p w14:paraId="3852F44C" w14:textId="77777777" w:rsidR="001F7233" w:rsidRDefault="00000000">
      <w:pPr>
        <w:pStyle w:val="ListParagraph"/>
        <w:numPr>
          <w:ilvl w:val="0"/>
          <w:numId w:val="1"/>
        </w:numPr>
        <w:spacing w:after="60"/>
      </w:pPr>
      <w:r>
        <w:t>Goethe-Institut Kanada — Standorte Toronto, Ottawa, Montréal (</w:t>
      </w:r>
      <w:hyperlink r:id="rId890">
        <w:r w:rsidR="001F7233">
          <w:rPr>
            <w:color w:val="0563C1"/>
            <w:u w:val="single"/>
          </w:rPr>
          <w:t>goethe.de/ins/ca</w:t>
        </w:r>
      </w:hyperlink>
      <w:r>
        <w:t>)</w:t>
      </w:r>
    </w:p>
    <w:p w14:paraId="6172DD53" w14:textId="77777777" w:rsidR="001F7233" w:rsidRDefault="00000000">
      <w:pPr>
        <w:pStyle w:val="ListParagraph"/>
        <w:numPr>
          <w:ilvl w:val="0"/>
          <w:numId w:val="1"/>
        </w:numPr>
        <w:spacing w:after="60"/>
      </w:pPr>
      <w:r>
        <w:lastRenderedPageBreak/>
        <w:t>9-8-8: Suicide Crisis Helpline — Krisenhilfe rund um die Uhr (</w:t>
      </w:r>
      <w:hyperlink r:id="rId891">
        <w:r w:rsidR="001F7233">
          <w:rPr>
            <w:color w:val="0563C1"/>
            <w:u w:val="single"/>
          </w:rPr>
          <w:t>988.ca</w:t>
        </w:r>
      </w:hyperlink>
      <w:r>
        <w:t>)</w:t>
      </w:r>
    </w:p>
    <w:p w14:paraId="0EA1B191" w14:textId="77777777" w:rsidR="001F7233" w:rsidRDefault="00000000">
      <w:pPr>
        <w:pStyle w:val="ListParagraph"/>
        <w:numPr>
          <w:ilvl w:val="0"/>
          <w:numId w:val="1"/>
        </w:numPr>
        <w:spacing w:after="60"/>
      </w:pPr>
      <w:r>
        <w:t>Kids Help Phone — Hilfe für Kinder und Jugendliche (</w:t>
      </w:r>
      <w:hyperlink r:id="rId892">
        <w:r w:rsidR="001F7233">
          <w:rPr>
            <w:color w:val="0563C1"/>
            <w:u w:val="single"/>
          </w:rPr>
          <w:t>kidshelpphone.ca</w:t>
        </w:r>
      </w:hyperlink>
      <w:r>
        <w:t>)</w:t>
      </w:r>
    </w:p>
    <w:p w14:paraId="6C25B72E" w14:textId="77777777" w:rsidR="001F7233" w:rsidRDefault="00000000">
      <w:pPr>
        <w:pStyle w:val="ListParagraph"/>
        <w:numPr>
          <w:ilvl w:val="0"/>
          <w:numId w:val="1"/>
        </w:numPr>
        <w:spacing w:after="60"/>
      </w:pPr>
      <w:r>
        <w:t>Immigration, Refugees and Citizenship Canada (IRCC) — Regeln zu Open Work Permits für Partner (</w:t>
      </w:r>
      <w:hyperlink r:id="rId893">
        <w:r w:rsidR="001F7233">
          <w:rPr>
            <w:color w:val="0563C1"/>
            <w:u w:val="single"/>
          </w:rPr>
          <w:t>canada.ca</w:t>
        </w:r>
      </w:hyperlink>
      <w:r>
        <w:t>, Suche: open work permit spouse)</w:t>
      </w:r>
    </w:p>
    <w:p w14:paraId="7DF13FB1" w14:textId="77777777" w:rsidR="001F7233" w:rsidRDefault="00000000">
      <w:pPr>
        <w:pStyle w:val="ListParagraph"/>
        <w:numPr>
          <w:ilvl w:val="0"/>
          <w:numId w:val="1"/>
        </w:numPr>
        <w:spacing w:after="60"/>
      </w:pPr>
      <w:r>
        <w:t>Vancouver Westside German School und Calgary German Language School — deutsche Sprachschulen vor Ort (</w:t>
      </w:r>
      <w:hyperlink r:id="rId894">
        <w:r w:rsidR="001F7233">
          <w:rPr>
            <w:color w:val="0563C1"/>
            <w:u w:val="single"/>
          </w:rPr>
          <w:t>vwgs.org</w:t>
        </w:r>
      </w:hyperlink>
      <w:r>
        <w:t xml:space="preserve">, </w:t>
      </w:r>
      <w:hyperlink r:id="rId895">
        <w:r w:rsidR="001F7233">
          <w:rPr>
            <w:color w:val="0563C1"/>
            <w:u w:val="single"/>
          </w:rPr>
          <w:t>calgarygermanschool.com</w:t>
        </w:r>
      </w:hyperlink>
      <w:r>
        <w:t>)</w:t>
      </w:r>
    </w:p>
    <w:p w14:paraId="2B255D5E" w14:textId="77777777" w:rsidR="001F7233" w:rsidRDefault="001F7233">
      <w:pPr>
        <w:spacing w:line="120" w:lineRule="exact"/>
      </w:pPr>
    </w:p>
    <w:p w14:paraId="537BA08F" w14:textId="77777777" w:rsidR="001F7233" w:rsidRDefault="00000000">
      <w:r>
        <w:t>• Quellen- und Datenstand: September 2026; Redaktionsschluss: Oktober 2026. Diese Angaben ändern sich schnell: Zuständigkeiten von Konsulaten und Goethe-Instituten, Flugverbindungen und -preise, die Regeln zu Open Work Permits für Partner sowie Kontaktdaten von Hilfsangeboten. Prüfe vor jeder Entscheidung die aktuellen Angaben der genannten Stellen.</w:t>
      </w:r>
    </w:p>
    <w:p w14:paraId="48CB7DBE" w14:textId="77777777" w:rsidR="001F7233" w:rsidRDefault="001F7233">
      <w:pPr>
        <w:spacing w:line="220" w:lineRule="exact"/>
      </w:pPr>
    </w:p>
    <w:p w14:paraId="41A3BC2A" w14:textId="77777777" w:rsidR="001F7233" w:rsidRDefault="00000000">
      <w:pPr>
        <w:pStyle w:val="Heading3"/>
      </w:pPr>
      <w:r>
        <w:t>Obdachlosigkeit, Ansprechen auf der Straße und Haustürbesuche</w:t>
      </w:r>
    </w:p>
    <w:p w14:paraId="41765E71" w14:textId="77777777" w:rsidR="001F7233" w:rsidRDefault="00000000">
      <w:r>
        <w:t xml:space="preserve">In kanadischen Städten siehst du vielleicht Menschen, die um Geld bitten oder in Notunterkünften, Lagern, Fahrzeugen oder Übergangsunterkünften leben. Wohnungslosigkeit kann nach Jobverlust, unbezahlbarer Miete, Krankheit, familiärer Gewalt oder mehreren Belastungen entstehen; das Aussehen verrät weder die Geschichte eines Menschen noch, ob von ihm Gefahr ausgeht. „Hobo“ ist veraltet; respektvoller sind „wohnungslose Menschen“ oder „Menschen ohne sicheren Wohnraum“. Wenn du helfen möchtest, informiere dich bei der Gemeinde, in ihrem Verzeichnis für Hilfsangebote oder bei einer örtlichen Organisation. Angebote und Zugangsregeln unterscheiden sich nach Provinz und Stadt. Achte auf deine Umgebung, vermeide eine Eskalation und rufe den Notruf bei unmittelbarer Gefahr oder einem medizinischen Notfall. An der </w:t>
      </w:r>
      <w:r>
        <w:lastRenderedPageBreak/>
        <w:t xml:space="preserve">Haustür kann es um Religion, Wohltätigkeit, Vereine, Spendenaktionen oder Verkäufe gehen. Du kannst höflich ablehnen, die Organisation selbst überprüfen und die örtlichen Haus- und Gemeinderegeln beachten. Die Mitwirkung in einer Strata- oder Eigentümergemeinschaft, Schule, Glaubensgemeinschaft oder öffentlichen Anhörung ist vom Wahlrecht auf Provinz- und Bundesebene getrennt. </w:t>
      </w:r>
      <w:hyperlink r:id="rId896">
        <w:r w:rsidR="001F7233">
          <w:rPr>
            <w:color w:val="0563C1"/>
            <w:u w:val="single"/>
          </w:rPr>
          <w:t>Government of Canada: Reaching Home and local homelessness response</w:t>
        </w:r>
      </w:hyperlink>
      <w:r>
        <w:br w:type="page"/>
      </w:r>
    </w:p>
    <w:p w14:paraId="7511DDF4" w14:textId="77777777" w:rsidR="001F7233" w:rsidRDefault="00000000">
      <w:pPr>
        <w:pStyle w:val="Heading2"/>
        <w:keepNext/>
        <w:spacing w:line="341" w:lineRule="auto"/>
        <w:jc w:val="center"/>
      </w:pPr>
      <w:bookmarkStart w:id="122" w:name="tka13"/>
      <w:r>
        <w:rPr>
          <w:rFonts w:ascii="Amazon Ember" w:eastAsia="Amazon Ember" w:hAnsi="Amazon Ember" w:cs="Amazon Ember"/>
          <w:color w:val="0000FF"/>
          <w:sz w:val="36"/>
          <w:szCs w:val="36"/>
        </w:rPr>
        <w:lastRenderedPageBreak/>
        <w:t>Kanada: Kinder, Schule und Spracheingewöhnung</w:t>
      </w:r>
      <w:bookmarkEnd w:id="122"/>
    </w:p>
    <w:p w14:paraId="497CCFBA" w14: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w14:paraId="5439F699" w14:textId="77777777" w:rsidR="001F7233" w:rsidRDefault="00000000">
      <w:pPr>
        <w:spacing w:after="140"/>
      </w:pPr>
      <w:r>
        <w:t>Der Elternabend an Finns neuer Schule in Toronto beginnt mit einer Überraschung, die eigentlich keine sein sollte: Es gibt in Kanada gar kein Bundesbildungsministerium. Wer aus Deutschland kommt, wo die Kulturhoheit der Länder ohnehin vertraut ist, findet sich hier schneller zurecht, als mancher Ratgeber verspricht. Nur dass es in Kanada zehn Provinzen und drei Territorien sind, nicht sechzehn Bundesländer und dass Québec dabei eine ganz eigene Geschichte schreibt, die eigene Fragen aufwirft, bevor die erste Hausaufgabe überhaupt ansteht.</w:t>
      </w:r>
    </w:p>
    <w:p w14:paraId="4EB6383A" w14:textId="77777777" w:rsidR="001F7233" w:rsidRDefault="00000000">
      <w:r>
        <w:rPr>
          <w:b/>
        </w:rPr>
        <w:t xml:space="preserve">KURZ GESAGT: </w:t>
      </w:r>
    </w:p>
    <w:p w14:paraId="3F97F172" w14:textId="77777777" w:rsidR="001F7233" w:rsidRDefault="00000000">
      <w:r>
        <w:t>• Bildung ist reine Provinzsache; ein einheitliches kanadisches Schulsystem gibt es nicht, auch wenn sich die Grundstruktur stark ähnelt.</w:t>
      </w:r>
    </w:p>
    <w:p w14:paraId="43167D3A" w14:textId="77777777" w:rsidR="001F7233" w:rsidRDefault="00000000">
      <w:r>
        <w:t>• Der Weg führt meist von einem freiwilligen Vorschuljahr über die Elementary School bis zur Secondary/High School. Wo genau die Grenzen liegen, legt jede Provinz selbst fest.</w:t>
      </w:r>
    </w:p>
    <w:p w14:paraId="50CEF99A" w14:textId="77777777" w:rsidR="001F7233" w:rsidRDefault="00000000">
      <w:r>
        <w:t>• Québec ist der große Sonderfall: Französisch ist Pflichtunterrichtssprache für die meisten Kinder, mit engen Ausnahmen für Kinder mit kanadischer Vorbildung auf Englisch.</w:t>
      </w:r>
    </w:p>
    <w:p w14:paraId="2F4A797D" w14:textId="77777777" w:rsidR="001F7233" w:rsidRDefault="00000000">
      <w:r>
        <w:t>• Öffentliche Schulen sind kostenlos und prüfen in der Regel keinen Aufenthaltsstatus, verlangen aber Wohnsitz-, Alters- und Impfnachweise.</w:t>
      </w:r>
    </w:p>
    <w:p w14:paraId="57238381" w14:textId="77777777" w:rsidR="001F7233" w:rsidRDefault="00000000">
      <w:r>
        <w:t>• Sprachförderung (ESL) gehört an kanadischen Schulen zum Alltag, nicht zur Ausnahme. Kinder lernen die neue Sprache meist deutlich schneller als ihre Eltern.</w:t>
      </w:r>
    </w:p>
    <w:p w14:paraId="0878D691" w14:textId="77777777" w:rsidR="001F7233" w:rsidRDefault="00000000">
      <w:r>
        <w:lastRenderedPageBreak/>
        <w:t>• Deutsche Schulen und Sprachangebote gibt es vor allem in Toronto, Vancouver, Calgary und Montréal. Anderswo bleibt vor allem die eigene Initiative zu Hause.</w:t>
      </w:r>
    </w:p>
    <w:p w14:paraId="1ECC1EF7" w14:textId="77777777" w:rsidR="001F7233" w:rsidRDefault="001F7233">
      <w:pPr>
        <w:spacing w:line="220" w:lineRule="exact"/>
      </w:pPr>
    </w:p>
    <w:p w14:paraId="17CCBC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Aufbau des Systems: zehn Provinzen, ein Grundmuster</w:t>
      </w:r>
    </w:p>
    <w:p w14:paraId="246C35BD" w14:textId="77777777" w:rsidR="001F7233" w:rsidRDefault="00000000">
      <w:pPr>
        <w:spacing w:after="140"/>
      </w:pPr>
      <w:r>
        <w:rPr>
          <w:i/>
          <w:iCs/>
        </w:rPr>
        <w:t>Jede Provinz und jedes Territorium führt ein eigenes Bildungsministerium (Ministry oder Department of Education) und überträgt die Umsetzung an lokale School Boards (Schulbehörden, mit gewähltem Gremium und eigenem Budget. Vergleichbar den deutschen Schulämtern, nur mit mehr eigener Entscheidungsbefugnis). Ein Kind besucht damit nicht „die kanadische Schule“, sondern die Schule seines School Board und dessen Regeln zu Einschulungsalter, Notenskala und Lehrplan können sich vom Nachbardistrikt spürbar unterscheiden.</w:t>
      </w:r>
    </w:p>
    <w:p w14:paraId="66566CAC" w14:textId="77777777" w:rsidR="001F7233" w:rsidRDefault="00000000">
      <w:pPr>
        <w:spacing w:after="140"/>
      </w:pPr>
      <w:r>
        <w:rPr>
          <w:i/>
          <w:iCs/>
        </w:rPr>
        <w:t>Trotz der föderalen Vielfalt ähnelt sich der Grundaufbau landesweit: einem freiwilligen, aber verbreiteten Vorschuljahr folgt die Elementary School (Grundschule, meist bis Grade 6, in manchen Provinzen bis Grade 7 oder 8) und danach die Secondary School oder High School (meist Grade 9 bis 12). Ontario geht beim Vorschuljahr weiter als die meisten anderen Provinzen: Dort ist die zweijährige, ganztägige Junior Kindergarten/Senior Kindergarten (JK/SK) für Vier- und Fünfjährige Teil des öffentlichen Schulsystems und kostenlos, während anderswo in Kanada ein einziges, oft nur halbtägiges Kindergartenjahr üblich ist. Die Schulpflicht beginnt je nach Provinz zwischen fünf und sieben Jahren und endet zwischen 16 und 18 Jahren. Auch das Schuljahresende (meist Ende Juni) und der Beginn (meist unmittelbar nach dem Labour Day, dem ersten Montag im September) liegen näher an Deutschland als an manch anderem Zielland dieses Buches.</w:t>
      </w:r>
    </w:p>
    <w:p w14:paraId="1C93FA99" w14:textId="77777777" w:rsidR="001F7233" w:rsidRDefault="00000000">
      <w:r>
        <w:rPr>
          <w:b/>
        </w:rPr>
        <w:t xml:space="preserve">MERKE: </w:t>
      </w:r>
    </w:p>
    <w:p w14:paraId="74017993" w14:textId="77777777" w:rsidR="001F7233" w:rsidRDefault="00000000">
      <w:r>
        <w:t xml:space="preserve">• Vergiss die Suche nach „der einen kanadischen Schulordnung“. Wichtiger ist der Stichtag und die Einstufungspraxis des passenden </w:t>
      </w:r>
      <w:r>
        <w:lastRenderedPageBreak/>
        <w:t>School Boards am Zielort. Frag dort direkt nach, statt dich auf allgemeine Ratgeber zu verlassen.</w:t>
      </w:r>
    </w:p>
    <w:p w14:paraId="77A1ECDE" w14:textId="77777777" w:rsidR="001F7233" w:rsidRDefault="001F7233">
      <w:pPr>
        <w:spacing w:line="220" w:lineRule="exact"/>
      </w:pPr>
    </w:p>
    <w:p w14:paraId="1A08F337" w14:textId="77777777" w:rsidR="001F7233" w:rsidRDefault="00000000">
      <w:pPr>
        <w:spacing w:after="140"/>
      </w:pPr>
      <w:r>
        <w:rPr>
          <w:i/>
          <w:iCs/>
        </w:rPr>
        <w:t>Zum Abschluss vergibt jede Provinz ihr eigenes Zeugnis (etwa das Ontario Secondary School Diploma, OSSD, mit einer Mindestzahl an Kurspunkten, einem Lese- und Schreibtest sowie einer Pflicht zu ehrenamtlichen Stunden). Ein bundesweit einheitliches Abschlusszeugnis wie ein Abitur gibt es nicht. Notenskalen unterscheiden sich ebenfalls: Manche Provinzen arbeiten mit Prozentwerten, andere mit Buchstaben oder einer Mischung aus beidem. Frage die Zielschule direkt, wie sie bewertet.</w:t>
      </w:r>
    </w:p>
    <w:p w14:paraId="6467547A" w14:textId="77777777" w:rsidR="001F7233" w:rsidRDefault="00000000">
      <w:pPr>
        <w:spacing w:after="140"/>
      </w:pPr>
      <w:r>
        <w:t>Standardisierte Tests gibt es, anders als in den USA, nicht bundesweit, sondern je Provinz: Ontario etwa testet über die Prüfungsbehörde EQAO Lesen, Schreiben und Mathematik in bestimmten Klassenstufen, andere Provinzen nutzen eigene Verfahren oder verzichten weitgehend darauf. Die Ergebnisse dienen meist dem Vergleich zwischen Schulen, seltener der Versetzung des einzelnen Kindes. Für neu zugewanderte Kinder gelten in den ersten Jahren häufig Sonderregeln oder Rücksichtnahmen bei der Auswertung.</w:t>
      </w:r>
    </w:p>
    <w:p w14:paraId="6B20C1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Öffentlich, katholisch, französischsprachig, privat: vier Schulwelten</w:t>
      </w:r>
    </w:p>
    <w:p w14:paraId="62B7F4D8" w14:textId="77777777" w:rsidR="001F7233" w:rsidRDefault="00000000">
      <w:pPr>
        <w:spacing w:after="140"/>
      </w:pPr>
      <w:r>
        <w:rPr>
          <w:i/>
          <w:iCs/>
        </w:rPr>
        <w:t xml:space="preserve">Anders, als viele Neuankömmlinge erwarten, gibt es in weiten Teilen Kanadas nicht nur eine, sondern gleich mehrere öffentlich finanzierte Schulformen nebeneinander. Neben dem säkularen öffentlichen School Board führen Ontario, Alberta und Saskatchewan eigene, ebenfalls öffentlich finanzierte katholische School Boards. Ein historisches Zugeständnis an die katholische Minderheit bei der Gründung Kanadas, das bis heute gilt. Der Unterricht ist dort ebenso kostenlos </w:t>
      </w:r>
      <w:r>
        <w:rPr>
          <w:i/>
          <w:iCs/>
        </w:rPr>
        <w:lastRenderedPageBreak/>
        <w:t>wie an der säkularen Schule, mit religiös geprägtem Zusatzprogramm. Die Aufnahme läuft meist unabhängig von der eigenen Konfession der Familie, wird aber von Schule zu Schule unterschiedlich gehandhabt.</w:t>
      </w:r>
    </w:p>
    <w:p w14:paraId="4638E9CB" w14:textId="77777777" w:rsidR="001F7233" w:rsidRDefault="00000000">
      <w:pPr>
        <w:spacing w:after="140"/>
      </w:pPr>
      <w:r>
        <w:rPr>
          <w:i/>
          <w:iCs/>
        </w:rPr>
        <w:t>Auch betreiben viele Provinzen außerhalb Québecs eigene französischsprachige öffentliche School Boards für die dortige französischsprachige Minderheit. Das Recht darauf ist in der kanadischen Grundrechtecharta verankert. Für zugewanderte Familien ohne französischen Bezug sind diese Schulen meist nicht die erste Anlaufstelle, wohl aber die im nächsten Abschnitt beschriebene French Immersion an regulären englischsprachigen Schulen.</w:t>
      </w:r>
    </w:p>
    <w:p w14:paraId="106DFD18" w14:textId="77777777" w:rsidR="001F7233" w:rsidRDefault="00000000">
      <w:pPr>
        <w:spacing w:after="140"/>
      </w:pPr>
      <w:r>
        <w:t>Private und unabhängige Schulen verlangen Schulgeld, dessen Höhe stark schwankt. Von wenigen Tausend Dollar bei manchen konfessionellen Schulen bis zu einem hohen fünfstelligen Betrag pro Jahr an renommierten unabhängigen Schulen der großen Städte. Homeschooling ist in allen Provinzen und Territorien meist erlaubt, wobei Meldepflichten und Aufsicht von Provinz zu Provinz unterschiedlich streng ausfallen.</w:t>
      </w:r>
    </w:p>
    <w:p w14:paraId="66934E38" w14:textId="77777777" w:rsidR="001F7233" w:rsidRDefault="00000000">
      <w:r>
        <w:rPr>
          <w:b/>
        </w:rPr>
        <w:t xml:space="preserve">ACHTUNG: </w:t>
      </w:r>
    </w:p>
    <w:p w14:paraId="3C2CA5A4" w14:textId="77777777" w:rsidR="001F7233" w:rsidRDefault="00000000">
      <w:r>
        <w:t>• „Kostenlos“ heißt an öffentlichen Schulen nur der eigentliche Unterricht. Für Ausflüge, Sportuniformen, Musikinstrumente und Materiallisten wird trotzdem regelmäßig eine „freiwillige“ Schulgebühr im niedrigen dreistelligen Bereich fällig, die sozial erwartet, rechtlich aber nicht erzwingbar ist.</w:t>
      </w:r>
    </w:p>
    <w:p w14:paraId="17DB629E" w14:textId="77777777" w:rsidR="001F7233" w:rsidRDefault="001F7233">
      <w:pPr>
        <w:spacing w:line="220" w:lineRule="exact"/>
      </w:pPr>
    </w:p>
    <w:p w14:paraId="5662F94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French Immersion: ein typisch kanadisches Angebot</w:t>
      </w:r>
    </w:p>
    <w:p w14:paraId="2E02D7C4" w14:textId="77777777" w:rsidR="001F7233" w:rsidRDefault="00000000">
      <w:pPr>
        <w:spacing w:after="140"/>
      </w:pPr>
      <w:r>
        <w:rPr>
          <w:i/>
          <w:iCs/>
        </w:rPr>
        <w:t xml:space="preserve">Ein Angebot, das es in dieser Form in kaum einem anderen Land dieses Buches gibt, ist French Immersion: ein optionaler Schulzweig an regulären englischsprachigen öffentlichen Schulen, in dem ein erheblicher Teil des Unterrichts. Oft der überwiegende Teil in den </w:t>
      </w:r>
      <w:r>
        <w:rPr>
          <w:i/>
          <w:iCs/>
        </w:rPr>
        <w:lastRenderedPageBreak/>
        <w:t>ersten Grundschuljahren. Auf Französisch stattfindet, mit wachsendem Englischanteil in höheren Klassen. Kinder ohne jede Französischvorkenntnis werden dabei in aller Regel aufgenommen. Der Einstieg gelingt jüngeren Kindern erfahrungsgemäß leichter als Kindern, die erst in der Mittelstufe dazustoßen.</w:t>
      </w:r>
    </w:p>
    <w:p w14:paraId="3E1C370C" w14:textId="77777777" w:rsidR="001F7233" w:rsidRDefault="00000000">
      <w:pPr>
        <w:spacing w:after="140"/>
      </w:pPr>
      <w:r>
        <w:t>Die Nachfrage ist in vielen Städten hoch, mit entsprechenden Wartelisten oder einem Losverfahren bei mehr Bewerbungen als Plätzen. Ein Teil der Motivation liegt darin, dass der kanadische Bundesöffentliche Dienst und viele Konzerne Zweisprachigkeit bei Einstellungen bevorzugen oder sogar voraussetzen. Für Familien, die ohnehin überlegen, ob sie Französisch als Familiensprache pflegen wollen, ist French Immersion eine kostenlose Option in des öffentlichen Systems. Ein Kontrast zu Einwanderungsländern, in denen Zweisprachigkeit nur über kostenpflichtige Zusatzangebote zu haben ist.</w:t>
      </w:r>
    </w:p>
    <w:p w14:paraId="5B788DB7" w14:textId="77777777" w:rsidR="001F7233" w:rsidRDefault="00000000">
      <w:r>
        <w:rPr>
          <w:b/>
        </w:rPr>
        <w:t xml:space="preserve">SPARTIPP: </w:t>
      </w:r>
    </w:p>
    <w:p w14:paraId="3AE194D3" w14:textId="77777777" w:rsidR="001F7233" w:rsidRDefault="00000000">
      <w:r>
        <w:t>• Frage schon bei der Wohnortwahl, ob die passende Schule French Immersion anbietet und wie lang die Warteliste ist. Wer sich erst nach dem Umzug bewirbt, kommt in gefragten Stadtteilen oft ein Jahr zu spät.</w:t>
      </w:r>
    </w:p>
    <w:p w14:paraId="7B173957" w14:textId="77777777" w:rsidR="001F7233" w:rsidRDefault="001F7233">
      <w:pPr>
        <w:spacing w:line="220" w:lineRule="exact"/>
      </w:pPr>
    </w:p>
    <w:p w14:paraId="44FFC4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Sonderfall Québec: Französisch als Unterrichtssprache</w:t>
      </w:r>
    </w:p>
    <w:p w14:paraId="2330B266" w14:textId="77777777" w:rsidR="001F7233" w:rsidRDefault="00000000">
      <w:pPr>
        <w:spacing w:after="140"/>
      </w:pPr>
      <w:r>
        <w:t xml:space="preserve">Wer nach Québec, insbesondere nach Montréal, zieht, trifft auf ein grundlegend anderes System (zur Sprachpolitik der Provinz allgemein siehe das </w:t>
      </w:r>
      <w:hyperlink w:anchor="tka11">
        <w:r w:rsidR="001F7233">
          <w:rPr>
            <w:color w:val="0563C1"/>
            <w:u w:val="single"/>
          </w:rPr>
          <w:t>Kapitel zur Alltagskultur in diesem Teil</w:t>
        </w:r>
      </w:hyperlink>
      <w:r>
        <w:t xml:space="preserve">). Die </w:t>
      </w:r>
      <w:r>
        <w:rPr>
          <w:i/>
          <w:iCs/>
        </w:rPr>
        <w:t>Charter of the French Language</w:t>
      </w:r>
      <w:r>
        <w:t xml:space="preserve"> (bekannt als Bill 101, zuletzt verschärft durch Bill 96 im Jahr 2022) schreibt vor, dass Kinder unter 16 Jahren ihre Grund- und Sekundarschulbildung auf Französisch erhalten müssen – mit engen Ausnahmen. Anspruch auf englischsprachigen Unterricht (über ein </w:t>
      </w:r>
      <w:r>
        <w:rPr>
          <w:i/>
          <w:iCs/>
        </w:rPr>
        <w:t>Certificate of Eligibility</w:t>
      </w:r>
      <w:r>
        <w:t xml:space="preserve">, eine </w:t>
      </w:r>
      <w:r>
        <w:lastRenderedPageBreak/>
        <w:t xml:space="preserve">Berechtigungsbescheinigung) hat im Kern nur, wessen Elternteil selbst den größeren Teil der eigenen Grund- oder Sekundarschulzeit auf Englisch in Kanada absolviert hat, oder wessen Geschwister das bereits tun. Für Familien mit befristetem Aufenthaltstitel – etwa mit einem Arbeits- oder Studienvisum, aber ohne kanadische Staatsangehörigkeit eines Elternteils – ist normalerweise nur eine befristete Berechtigung für die Dauer des Aufenthaltstitels möglich, keine dauerhafte; Berichten zufolge wurden Verlängerungen dieser befristeten Bescheinigung zuletzt eingeschränkt. Prüfe die aktuellen Regeln direkt beim zuständigen </w:t>
      </w:r>
      <w:r>
        <w:rPr>
          <w:i/>
          <w:iCs/>
        </w:rPr>
        <w:t>School Board</w:t>
      </w:r>
      <w:r>
        <w:t xml:space="preserve"> oder beim </w:t>
      </w:r>
      <w:r>
        <w:rPr>
          <w:i/>
          <w:iCs/>
        </w:rPr>
        <w:t>Ministère de l’Éducation</w:t>
      </w:r>
      <w:r>
        <w:t>, bevor du fest mit einer englischsprachigen Schule für dein Kind planst.</w:t>
      </w:r>
    </w:p>
    <w:p w14:paraId="1E38B18C" w14:textId="77777777" w:rsidR="001F7233" w:rsidRDefault="00000000">
      <w:pPr>
        <w:spacing w:after="140"/>
      </w:pPr>
      <w:r>
        <w:rPr>
          <w:i/>
          <w:iCs/>
        </w:rPr>
        <w:t>Kinder ohne ausreichende Französischkenntnisse besuchen beim Einstieg häufig eine classe d’accueil (wörtlich „Empfangsklasse“, eine Willkommens- oder Vorbereitungsklasse mit intensivem Französischunterricht), bevor sie in die reguläre Klasse wechseln. Ein Modell, das dem deutschen Konzept der Willkommensklasse ähnelt und sich damit vom übrigen Kanada unterscheidet, wo neu zugewanderte Kinder meist von Anfang an in der Regelklasse sitzen und Förderstunden auch erhalten.</w:t>
      </w:r>
    </w:p>
    <w:p w14:paraId="00000E12" w14:textId="77777777" w:rsidR="001F7233" w:rsidRDefault="00000000">
      <w:pPr>
        <w:spacing w:after="140"/>
      </w:pPr>
      <w:r>
        <w:rPr>
          <w:i/>
          <w:iCs/>
        </w:rPr>
        <w:t>Nach der Sekundarstufe (secondaire, fünf statt vier Jahre wie im übrigen Kanada) folgt in Québec das CEGEP (Collège d’enseignement général et professionnel). Dieses zwei- bis dreijährige Zwischenglied zwischen Schule und Universität gibt es in keiner anderen Provinz. Es prägt den Übergang von Québecer Schulabgängern ins Studium.</w:t>
      </w:r>
    </w:p>
    <w:p w14:paraId="1D288396" w14:textId="77777777" w:rsidR="001F7233" w:rsidRDefault="00000000">
      <w:r>
        <w:rPr>
          <w:b/>
        </w:rPr>
        <w:t xml:space="preserve">ACHTUNG: </w:t>
      </w:r>
    </w:p>
    <w:p w14:paraId="364CCA11" w14:textId="77777777" w:rsidR="001F7233" w:rsidRDefault="00000000">
      <w:r>
        <w:t>• Wer mit Kindern nach Québec zieht und auf einen englischsprachigen Schulplatz angewiesen ist, sollte die Eligibility-Frage vor der Zusage zum Job klären, nicht danach. Ein gescheiterter Antrag bedeutet in der Praxis: Das Kind besucht die französischsprachige Schule, unabhängig vom eigenen Sprachniveau.</w:t>
      </w:r>
    </w:p>
    <w:p w14:paraId="3AF0B4C2" w14:textId="77777777" w:rsidR="001F7233" w:rsidRDefault="001F7233">
      <w:pPr>
        <w:spacing w:line="220" w:lineRule="exact"/>
      </w:pPr>
    </w:p>
    <w:p w14:paraId="3F5354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w14:paraId="7AD83E1C" w14:textId="77777777" w:rsidR="001F7233" w:rsidRDefault="00000000">
      <w:pPr>
        <w:spacing w:after="140"/>
      </w:pPr>
      <w:r>
        <w:rPr>
          <w:i/>
          <w:iCs/>
        </w:rPr>
        <w:t>Die Anmeldung läuft über das passende School Board am Wohnort, meist online mit anschließendem Termin im Schulsekretariat. Ein bundesweites Portal gibt es nicht. Üblich sind: ein Altersnachweis (Geburtsurkunde oder Reisepass), ein Wohnsitznachweis (Mietvertrag oder eine Rechnung mit der neuen Adresse), der Nachweis des Aufenthaltstitels des Kindes (Permanent-Resident-Karte oder Visumsunterlagen) sowie ein Impfnachweis nach den Vorgaben der Provinz. Öffentliche Schulen prüfen in aller Regel keinen Einwanderungsstatus, um den eigentlichen Schulbesuch zu verweigern. Die Praxis kann sich je nach Provinz und Aufenthaltstitel im Detail unterscheiden, weshalb eine frühzeitige Nachfrage beim Zielschulbezirk sich lohnt. Zeugnisse der letzten Schuljahre, möglichst mit englischer oder französischer Übersetzung, helfen bei der Einstufung, ersetzen aber selten ein eigenes Einstufungsgespräch oder einen kurzen Test der Schule.</w:t>
      </w:r>
    </w:p>
    <w:p w14:paraId="54D3BF91" w14:textId="77777777" w:rsidR="001F7233" w:rsidRDefault="001F7233">
      <w:pPr>
        <w:spacing w:line="220" w:lineRule="exact"/>
      </w:pPr>
    </w:p>
    <w:p w14:paraId="5A69003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vor der Schule</w:t>
      </w:r>
    </w:p>
    <w:p w14:paraId="0939C5A0" w14:textId="77777777" w:rsidR="001F7233" w:rsidRDefault="00000000">
      <w:pPr>
        <w:spacing w:after="140"/>
      </w:pPr>
      <w:r>
        <w:rPr>
          <w:i/>
          <w:iCs/>
        </w:rPr>
        <w:t xml:space="preserve">Für Kinder unter dem Schulalter gibt es kein flächendeckendes öffentliches Netz wie die deutsche Kita, aber ein spürbar günstigeres System, als viele Neuankömmlinge erwarten. Über die Canada-Wide Early Learning and Child Care-Vereinbarungen (CWELCC) senken Bund und Provinzen gemeinsam die Elternbeiträge für lizenzierte Betreuungsplätze. Québec, Saskatchewan, Manitoba, Prince Edward Island, Neufundland und Labrador sowie Nunavut liegen bereits bei rund 10 CAD pro Tag oder darunter (Québec traditionell bei etwa 9,65 CAD, unabhängig von CWELCC). Ontario deckelt die Gebühren aktuell bei 22 CAD pro Tag, Alberta bei 15 CAD. British Columbia, Nova Scotia, Yukon und die Nordwest-Territorien arbeiten weiterhin mit </w:t>
      </w:r>
      <w:r>
        <w:rPr>
          <w:i/>
          <w:iCs/>
        </w:rPr>
        <w:lastRenderedPageBreak/>
        <w:t>marktüblichen, anbieterabhängigen Preisen. Die genaue Höhe und der Zeitplan bis zum landesweiten 10-CAD-Ziel ändern sich laufend. Informiere dich vor der Ortswahl über den aktuellen Stand deiner Zielprovinz.</w:t>
      </w:r>
    </w:p>
    <w:p w14:paraId="085F52D6" w14:textId="77777777" w:rsidR="001F7233" w:rsidRDefault="00000000">
      <w:pPr>
        <w:spacing w:after="140"/>
      </w:pPr>
      <w:r>
        <w:t>Wartelisten für begehrte Plätze in Toronto, Vancouver und Montréal sind lang. Wer einen Platz zum gewünschten Zeitpunkt braucht, meldet sein Kind am besten schon Monate vor dem Umzug vor. Nach der Einschulung bieten die meisten Grundschulen kostenpflichtige Betreuung vor und nach dem Unterricht an, deren genaue Bezeichnung und Organisation je nach Provinz und School Board variiert.</w:t>
      </w:r>
    </w:p>
    <w:p w14:paraId="4BF988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ESL, Willkommensklassen und Geduld</w:t>
      </w:r>
    </w:p>
    <w:p w14:paraId="3EFE1444" w14:textId="77777777" w:rsidR="001F7233" w:rsidRDefault="00000000">
      <w:pPr>
        <w:spacing w:after="140"/>
      </w:pPr>
      <w:r>
        <w:rPr>
          <w:i/>
          <w:iCs/>
        </w:rPr>
        <w:t>Kinder, die noch nicht ausreichend Englisch (oder in Québec Französisch) sprechen, werden in Kanada meist als English Language Learners (ELL) oder unter dem Sammelbegriff ESL (English as a Second Language) geführt. Öffentliche Schulen müssen ihnen helfen, dem Unterricht zu folgen, unabhängig vom Aufenthaltsstatus der Familie. Wie genau diese Förderung aussieht, entscheidet jedes School Board selbst: Häufig verlässt das Kind für einige Stunden pro Woche die Klasse für Extra-Unterricht (ähnlich dem Pull-out-Modell) oder eine zusätzliche Lehrkraft unterstützt direkt im Klassenzimmer. In Städten mit vielen neu zugewanderten Familien gibt es außerdem eigene Willkommens- oder Neuankömmlingsprogramme, oft mit mehrsprachigen Assistenzkräften für die ersten Wochen.</w:t>
      </w:r>
    </w:p>
    <w:p w14:paraId="345C5B5B" w14:textId="77777777" w:rsidR="001F7233" w:rsidRDefault="00000000">
      <w:r>
        <w:rPr>
          <w:b/>
        </w:rPr>
        <w:t>Pull-out</w:t>
      </w:r>
    </w:p>
    <w:p w14:paraId="5629860D" w14:textId="77777777" w:rsidR="001F7233" w:rsidRDefault="00000000">
      <w:r>
        <w:rPr>
          <w:b/>
        </w:rPr>
        <w:t xml:space="preserve">So läuft es: </w:t>
      </w:r>
      <w:r>
        <w:t>Das Kind verlässt die Klasse für einige Stunden Extra-Unterricht pro Woche</w:t>
      </w:r>
    </w:p>
    <w:p w14:paraId="12089251" w14:textId="77777777" w:rsidR="001F7233" w:rsidRDefault="00000000">
      <w:r>
        <w:rPr>
          <w:b/>
        </w:rPr>
        <w:t xml:space="preserve">Worauf achten: </w:t>
      </w:r>
      <w:r>
        <w:t>Welche Fächer fallen dafür aus?</w:t>
      </w:r>
    </w:p>
    <w:p w14:paraId="6DE1EEFC" w14:textId="77777777" w:rsidR="001F7233" w:rsidRDefault="00000000">
      <w:r>
        <w:rPr>
          <w:b/>
        </w:rPr>
        <w:t>Unterstützung im Klassenzimmer</w:t>
      </w:r>
    </w:p>
    <w:p w14:paraId="0F9A3748" w14:textId="77777777" w:rsidR="001F7233" w:rsidRDefault="00000000">
      <w:r>
        <w:rPr>
          <w:b/>
        </w:rPr>
        <w:lastRenderedPageBreak/>
        <w:t xml:space="preserve">So läuft es: </w:t>
      </w:r>
      <w:r>
        <w:t>Eine zusätzliche Lehrkraft hilft direkt während des Regelunterrichts</w:t>
      </w:r>
    </w:p>
    <w:p w14:paraId="2A4770D7" w14:textId="77777777" w:rsidR="001F7233" w:rsidRDefault="00000000">
      <w:r>
        <w:rPr>
          <w:b/>
        </w:rPr>
        <w:t xml:space="preserve">Worauf achten: </w:t>
      </w:r>
      <w:r>
        <w:t>Wie viel Einzelzeit bleibt für dein Kind?</w:t>
      </w:r>
    </w:p>
    <w:p w14:paraId="11C0BDFA" w14:textId="77777777" w:rsidR="001F7233" w:rsidRDefault="00000000">
      <w:r>
        <w:rPr>
          <w:b/>
        </w:rPr>
        <w:t>Willkommens- oder Neuankömmlingsprogramm</w:t>
      </w:r>
    </w:p>
    <w:p w14:paraId="2A44D971" w14:textId="77777777" w:rsidR="001F7233" w:rsidRDefault="00000000">
      <w:r>
        <w:rPr>
          <w:b/>
        </w:rPr>
        <w:t xml:space="preserve">So läuft es: </w:t>
      </w:r>
      <w:r>
        <w:t>Zeitlich begrenzte Intensivförderung, oft mit mehrsprachigen Assistenzkräften</w:t>
      </w:r>
    </w:p>
    <w:p w14:paraId="2E5691AE" w14:textId="77777777" w:rsidR="001F7233" w:rsidRDefault="00000000">
      <w:r>
        <w:rPr>
          <w:b/>
        </w:rPr>
        <w:t xml:space="preserve">Worauf achten: </w:t>
      </w:r>
      <w:r>
        <w:t>Nicht an jeder Schule vorhanden; nach Verfügbarkeit fragen</w:t>
      </w:r>
    </w:p>
    <w:p w14:paraId="4A1F7A94" w14:textId="77777777" w:rsidR="001F7233" w:rsidRDefault="001F7233">
      <w:pPr>
        <w:spacing w:line="180" w:lineRule="exact"/>
      </w:pPr>
    </w:p>
    <w:p w14:paraId="34AE6CB6" w14:textId="77777777" w:rsidR="001F7233" w:rsidRDefault="00000000">
      <w:pPr>
        <w:spacing w:after="140"/>
      </w:pPr>
      <w:r>
        <w:t>Welches Modell dein Kind bekommt, hängt vom School Board, der Schulgröße und der Zahl anderer Kinder mit Förderbedarf ab. Frage bei der Anmeldung gezielt nach der konkreten Umsetzung an der Zielschule, nicht nur nach dem Namen des Programms.</w:t>
      </w:r>
    </w:p>
    <w:p w14:paraId="228D6001" w14:textId="77777777" w:rsidR="001F7233" w:rsidRDefault="00000000">
      <w:pPr>
        <w:spacing w:after="140"/>
      </w:pPr>
      <w:r>
        <w:t xml:space="preserve">Wie in anderen Ländern dieses Buches gilt auch hier die Faustregel aus der Sprachforschung: Alltagssprache auf dem Pausenhof sitzt meist nach ein bis zwei Jahren, die akademische Fach- und Schriftsprache braucht häufig fünf bis sieben Jahre. Kinder im Grundschulalter gewöhnen sich in aller Regel spürbar schneller ein als Teenager, für die zusätzlich Fachsprache in Geschichte oder Naturwissenschaften und der soziale Anschluss über Wortwitz und schnelle Antworten zusammenkommen (mehr zu dieser sozialen Seite im </w:t>
      </w:r>
      <w:hyperlink w:anchor="tka12">
        <w:r w:rsidR="001F7233">
          <w:rPr>
            <w:color w:val="0563C1"/>
            <w:u w:val="single"/>
          </w:rPr>
          <w:t>Kapitel zu Freunden und Kulturschock in diesem Teil</w:t>
        </w:r>
      </w:hyperlink>
      <w:r>
        <w:t xml:space="preserve">). Ein </w:t>
      </w:r>
      <w:r>
        <w:rPr>
          <w:i/>
          <w:iCs/>
        </w:rPr>
        <w:t>School Counsellor</w:t>
      </w:r>
      <w:r>
        <w:t xml:space="preserve"> (Schulberater, an kanadischen Schulen üblich und für die Familie kostenlos) ist die richtige Anlaufstelle, wenn Rückzug, Schlafprobleme oder anhaltende schulische Frustration über die reine Sprachlücke hinausgehen.</w:t>
      </w:r>
    </w:p>
    <w:p w14:paraId="24A8D0B2" w14:textId="77777777" w:rsidR="001F7233" w:rsidRDefault="00000000">
      <w:r>
        <w:rPr>
          <w:b/>
        </w:rPr>
        <w:t xml:space="preserve">MERKE: </w:t>
      </w:r>
    </w:p>
    <w:p w14:paraId="7B5AF754" w14:textId="77777777" w:rsidR="001F7233" w:rsidRDefault="00000000">
      <w:r>
        <w:t>• Fließend auf dem Pausenhof plaudern heißt nicht „fertig“. Schulsprache und Fachbegriffe brauchen oft noch Jahre Unterstützung, auch wenn niemand mehr einen Akzent bemerkt.</w:t>
      </w:r>
    </w:p>
    <w:p w14:paraId="6BCF5A55" w14:textId="77777777" w:rsidR="001F7233" w:rsidRDefault="001F7233">
      <w:pPr>
        <w:spacing w:line="220" w:lineRule="exact"/>
      </w:pPr>
    </w:p>
    <w:p w14:paraId="0CC962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Englisch zu Hause vorbereiten: Medien nach Alter</w:t>
      </w:r>
    </w:p>
    <w:p w14:paraId="24DFDF96" w14:textId="77777777" w:rsidR="001F7233" w:rsidRDefault="00000000">
      <w:pPr>
        <w:spacing w:after="140"/>
      </w:pPr>
      <w:r>
        <w:t xml:space="preserve">Vor dem Umzug hilft altersgerechtes Einhören mehr als Vokabellisten. Kleinkinder (2–5) kennen „Paw Patrol“ oft schon auf Deutsch – die Serie wird tatsächlich in Toronto produziert, im englischen Original hört sich der kanadische Grundton gleich vertrauter an; dazu „Sesame Street“ und einfache Bilderbücher. Grundschulkinder (6–9) wachsen gut mit „Odd Squad“ (kanadische Kinderserie mit Wissenschaftsbezug) und ersten Kapitelbüchern wie „Diary of a Wimpy Kid“. Für die Mittelstufe (10–13) eignen sich „Percy Jackson“-Bücher und die kanadische Netflix-Serie „Anne with an E“ (ruhiges Erzähltempo, gut verständliches Englisch). Bei Teenagern (14–17) hilft aktuelle Jugendliteratur; prüfe für kanadische Teen-Serien die Verfügbarkeit auf </w:t>
      </w:r>
      <w:hyperlink r:id="rId897">
        <w:r w:rsidR="001F7233">
          <w:rPr>
            <w:color w:val="0563C1"/>
            <w:u w:val="single"/>
          </w:rPr>
          <w:t>JustWatch.de</w:t>
        </w:r>
      </w:hyperlink>
      <w:r>
        <w:t>, da sich Kataloge häufig ändern.</w:t>
      </w:r>
    </w:p>
    <w:p w14:paraId="3B914F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Samstagsschule, Familienalltag</w:t>
      </w:r>
    </w:p>
    <w:p w14:paraId="5096D7A6" w14:textId="77777777" w:rsidR="001F7233" w:rsidRDefault="00000000">
      <w:r>
        <w:t xml:space="preserve">In Kanada erreichst du deutsche Sendungen zuerst über ARD- und ZDF-Mediatheken und die deutschsprachigen Onlineangebote der DW. Die Auslandsrechte unterscheiden sich je Sendung: Manche ARD-Inhalte sind geoblockiert. Die ZDF-24/7-Livestreams sind meist Deutschland vorbehalten, einzelne Auslandsstreams nicht. Teste konkrete Sendungen vor einem längeren Abo. Auf dem Fernseher nutzt du eine verfügbare Smart-TV-App, einen Streaming-Stick oder unterstütztes AirPlay/Chromecast. Bluetooth liefert meist nur den Ton. Lokale Kabel- und IPTV-Anbieter können deutsche Kanäle bündeln. Prüfe, welche Sender tatsächlich enthalten sind und ob das Angebot am Wohnort läuft. Links: ardmediathek.de; zdf.de/fragen-und-antworten-zdf-streaming-100; dw.com/de. Für Englisch und </w:t>
      </w:r>
      <w:r>
        <w:lastRenderedPageBreak/>
        <w:t>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45DBC988" w14:textId="77777777" w:rsidR="001F7233" w:rsidRDefault="00000000">
      <w:pPr>
        <w:spacing w:after="140"/>
      </w:pPr>
      <w:r>
        <w:t xml:space="preserve">Wo eine passende Tagesschule fehlt, helfen Samstagsschulen. Die Vancouver Westside German School (seit 1992, vom Kindergarten bis Klasse 12) und die Calgary German Language School (Vorschule bis Klasse 12, zusätzlich Abendkurse für Erwachsene) unterrichten am Wochenende Deutsch als Fach – ergänzend zur regulären englischsprachigen Schule. Weitere Standorte: </w:t>
      </w:r>
      <w:hyperlink w:anchor="tka12">
        <w:r w:rsidR="001F7233">
          <w:rPr>
            <w:color w:val="0563C1"/>
            <w:u w:val="single"/>
          </w:rPr>
          <w:t>Kapitel zu Freunden und Kulturschock in diesem Teil</w:t>
        </w:r>
      </w:hyperlink>
      <w:r>
        <w:t>.</w:t>
      </w:r>
    </w:p>
    <w:p w14:paraId="1BCF3229" w14:textId="77777777" w:rsidR="001F7233" w:rsidRDefault="00000000">
      <w:pPr>
        <w:spacing w:after="140"/>
      </w:pPr>
      <w:r>
        <w:t xml:space="preserve">Zu Hause zählt vor allem Konsequenz: eine feste Familienregel für Deutsch, 15 bis 20 Minuten tägliches Vorlesen oder Lesen, Videoanrufe mit den Großeltern und – dank der überschaubaren Zeitverschiebung und guter Flugverbindungen (siehe das </w:t>
      </w:r>
      <w:hyperlink w:anchor="tka12">
        <w:r w:rsidR="001F7233">
          <w:rPr>
            <w:color w:val="0563C1"/>
            <w:u w:val="single"/>
          </w:rPr>
          <w:t>Kapitel zu Freunden und Kulturschock in diesem Teil</w:t>
        </w:r>
      </w:hyperlink>
      <w:r>
        <w:t xml:space="preserve">) – realistisch planbare Ferienbesuche in Deutschland. Antwortet das Kind zunehmend auf </w:t>
      </w:r>
      <w:r>
        <w:lastRenderedPageBreak/>
        <w:t>Englisch oder Französisch, ist das normal und kein Grund zur Sorge; wiederhole den Satz einfach auf Deutsch, ohne zu tadeln.</w:t>
      </w:r>
    </w:p>
    <w:p w14:paraId="76C41ADE" w14:textId="77777777" w:rsidR="001F7233" w:rsidRDefault="00000000">
      <w:r>
        <w:rPr>
          <w:b/>
        </w:rPr>
        <w:t xml:space="preserve">SPARTIPP: </w:t>
      </w:r>
    </w:p>
    <w:p w14:paraId="5C47BDE5" w14:textId="77777777" w:rsidR="001F7233" w:rsidRDefault="00000000">
      <w:r>
        <w:t>• Bevor du eine kostenpflichtige deutsche Tagesschule ins Auge fasst, prüfe, ob dir die kostenlose öffentliche Schule plus eine Samstagsschule und konsequentes Deutsch zu Hause für eure Ziele reicht. Für die meisten Familien ist das die deutlich günstigere und oft ausreichende Lösung.</w:t>
      </w:r>
    </w:p>
    <w:p w14:paraId="474CCEC9" w14:textId="77777777" w:rsidR="001F7233" w:rsidRDefault="001F7233">
      <w:pPr>
        <w:spacing w:line="220" w:lineRule="exact"/>
      </w:pPr>
    </w:p>
    <w:p w14:paraId="68A5D1A1" w14:textId="77777777" w:rsidR="001F7233" w:rsidRDefault="00000000">
      <w:pPr>
        <w:pStyle w:val="Heading3"/>
      </w:pPr>
      <w:r>
        <w:t>Unterricht, Homeschooling und Sport</w:t>
      </w:r>
    </w:p>
    <w:p w14:paraId="3C67FACF" w14:textId="77777777" w:rsidR="001F7233" w:rsidRDefault="00000000">
      <w:r>
        <w:t>Kanadas möglicher didaktischer Vorteil ist die regionale Anpassung: Provinzen und Territorien bestimmen Lehrpläne und Abschlüsse. Sodass schulen örtliche Sprachen und Bedürfnisse beachten können. French Immersion eröffnet außer Quebecs auch einen zweisprachigen Lernweg. Die Kehrseite derselben Vielfalt: Einstufung, Fächer und Abschlussanforderungen lassen sich nicht landesweit übertragen. Prüfe sie beim passenden School Board. Homeschooling ist meist möglich, doch Anmeldung und Aufsicht sind Provinz- und Territorialrecht. Die Schulbehörde vor Ort ist die verlässliche Anlaufstelle.</w:t>
      </w:r>
    </w:p>
    <w:p w14:paraId="7C0DB18F" w14:textId="77777777" w:rsidR="001F7233" w:rsidRDefault="00000000">
      <w:r>
        <w:t>Sport läuft häufig über eine Mischung aus Schule, kommunalen Angeboten und eigenständigen Clubs; Eishockey ist nur ein Beispiel und kann wegen Ausrüstung, Eiszeit und Reisen teuer werden. Frage nach Freizeit- und Anfängerangeboten, Gebühren, Transport und Leihmaterial. Eine Schulmannschaft kann Zusammenhalt schaffen, ersetzt aber nicht automatisch den lokalen Verein. Für die Länder- und Provinzunterschiede bei Bildung: Council of Ministers of Education, Canada, https://www.cmec.ca/.</w:t>
      </w:r>
    </w:p>
    <w:p w14:paraId="3461BD67" w14:textId="77777777" w:rsidR="001F7233" w:rsidRDefault="00000000">
      <w:pPr>
        <w:pStyle w:val="Heading3"/>
      </w:pPr>
      <w:r>
        <w:t>Schlechte Zeugnisse: erst Ursache, dann Weg</w:t>
      </w:r>
    </w:p>
    <w:p w14:paraId="24ABD509" w14:textId="77777777" w:rsidR="001F7233" w:rsidRDefault="00000000">
      <w:r>
        <w:t xml:space="preserve">Schlechte Zeugnisse? Lass das School Board die bisherigen Fächer prüfen und erklären, welche Leistungen als Credits übertragen werden. Sprachförderung und Fachförderung getrennt besprechen; </w:t>
      </w:r>
      <w:r>
        <w:lastRenderedPageBreak/>
        <w:t>eine schwache Anfangsnote beweist keine Lernschwäche. Frage nach Nachholkursen, Credit Recovery, Beratung und den Provinzregeln für den Abschluss.</w:t>
      </w:r>
    </w:p>
    <w:p w14:paraId="6F18921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Kinder, Schule und Spracheingewöhnung</w:t>
      </w:r>
    </w:p>
    <w:p w14:paraId="1CA92B57" w14:textId="77777777" w:rsidR="001F7233" w:rsidRDefault="00000000">
      <w:r>
        <w:rPr>
          <w:b/>
        </w:rPr>
        <w:t>Plus: Öffentliche Schulen sind kostenlos und prüfen in der Regel keinen Aufenthaltsstatus</w:t>
      </w:r>
    </w:p>
    <w:p w14:paraId="20F057E3" w14:textId="77777777" w:rsidR="001F7233" w:rsidRDefault="00000000">
      <w:r>
        <w:rPr>
          <w:b/>
        </w:rPr>
        <w:t xml:space="preserve">Minus: </w:t>
      </w:r>
      <w:r>
        <w:t>Ausstattung, Notenskala und Regeln hängen stark von Provinz und School Board ab</w:t>
      </w:r>
    </w:p>
    <w:p w14:paraId="3F686A8B" w14:textId="77777777" w:rsidR="001F7233" w:rsidRDefault="00000000">
      <w:r>
        <w:rPr>
          <w:b/>
        </w:rPr>
        <w:t>Plus: French Immersion bietet kostenlose Zweisprachigkeit innerhalb des öffentlichen Systems</w:t>
      </w:r>
    </w:p>
    <w:p w14:paraId="23CC307D" w14:textId="77777777" w:rsidR="001F7233" w:rsidRDefault="00000000">
      <w:r>
        <w:rPr>
          <w:b/>
        </w:rPr>
        <w:t xml:space="preserve">Minus: </w:t>
      </w:r>
      <w:r>
        <w:t>Beliebte Programme haben lange Wartelisten oder ein Losverfahren</w:t>
      </w:r>
    </w:p>
    <w:p w14:paraId="6B6CE4A7" w14:textId="77777777" w:rsidR="001F7233" w:rsidRDefault="00000000">
      <w:r>
        <w:rPr>
          <w:b/>
        </w:rPr>
        <w:t>Plus: Kinderbetreuung wird durch CWELCC in den meisten Provinzen spürbar günstiger</w:t>
      </w:r>
    </w:p>
    <w:p w14:paraId="4B8CD22E" w14:textId="77777777" w:rsidR="001F7233" w:rsidRDefault="00000000">
      <w:r>
        <w:rPr>
          <w:b/>
        </w:rPr>
        <w:t xml:space="preserve">Minus: </w:t>
      </w:r>
      <w:r>
        <w:t>Ontario und Alberta liegen mit 22 beziehungsweise 15 CAD pro Tag noch über dem 10-CAD-Ziel</w:t>
      </w:r>
    </w:p>
    <w:p w14:paraId="7467FDC2" w14:textId="77777777" w:rsidR="001F7233" w:rsidRDefault="00000000">
      <w:r>
        <w:rPr>
          <w:b/>
        </w:rPr>
        <w:t>Plus: ESL-Förderung ist an vielen Schulen Standard, nicht Ausnahme</w:t>
      </w:r>
    </w:p>
    <w:p w14:paraId="547EED84" w14:textId="77777777" w:rsidR="001F7233" w:rsidRDefault="00000000">
      <w:r>
        <w:rPr>
          <w:b/>
        </w:rPr>
        <w:t xml:space="preserve">Minus: </w:t>
      </w:r>
      <w:r>
        <w:t>Außerhalb der vier großen Städte kaum organisierte deutsche Sprachangebote</w:t>
      </w:r>
    </w:p>
    <w:p w14:paraId="246ACC7A" w14:textId="77777777" w:rsidR="001F7233" w:rsidRDefault="00000000">
      <w:r>
        <w:rPr>
          <w:b/>
        </w:rPr>
        <w:t>Plus: Schuljahresrhythmus (September bis Juni) ähnelt dem deutschen, kein Umdenken bei der Jahreszeit nötig</w:t>
      </w:r>
    </w:p>
    <w:p w14:paraId="303330E6" w14:textId="77777777" w:rsidR="001F7233" w:rsidRDefault="00000000">
      <w:r>
        <w:rPr>
          <w:b/>
        </w:rPr>
        <w:t xml:space="preserve">Minus: </w:t>
      </w:r>
      <w:r>
        <w:t>Québec verlangt für die meisten Kinder verbindlich Französisch als Unterrichtssprache</w:t>
      </w:r>
    </w:p>
    <w:p w14:paraId="36E7B375" w14:textId="77777777" w:rsidR="001F7233" w:rsidRDefault="00000000">
      <w:r>
        <w:rPr>
          <w:b/>
        </w:rPr>
        <w:t>Plus: Katholische und französischsprachige Schulen erweitern die kostenlose Auswahl zusätzlich</w:t>
      </w:r>
    </w:p>
    <w:p w14:paraId="71DC696A" w14:textId="77777777" w:rsidR="001F7233" w:rsidRDefault="00000000">
      <w:r>
        <w:rPr>
          <w:b/>
        </w:rPr>
        <w:t xml:space="preserve">Minus: </w:t>
      </w:r>
      <w:r>
        <w:t>Kein bundesweit einheitliches Abschlusszeugnis; Anerkennung in Deutschland im Einzelfall zu klären</w:t>
      </w:r>
    </w:p>
    <w:p w14:paraId="2FC50683" w14:textId="77777777" w:rsidR="001F7233" w:rsidRDefault="001F7233">
      <w:pPr>
        <w:spacing w:line="180" w:lineRule="exact"/>
      </w:pPr>
    </w:p>
    <w:p w14:paraId="3497A4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389F3A65" w14:textId="77777777" w:rsidR="001F7233" w:rsidRDefault="00000000">
      <w:pPr>
        <w:spacing w:after="140"/>
      </w:pPr>
      <w:r>
        <w:t>Kläre vor dem Umzug, welches School Board zuständig ist und welcher Stichtag für die Einstufung gilt. Sammle Geburtsurkunde, Impfnachweis und übersetzte Zeugnisse. Entscheide außerdem früh, ob French Immersion für eure Familie infrage kommt. In Québec solltest du auch klären, ob die Voraussetzungen für den Schulbesuch für euch gelten. Melde jüngere Kinder frühzeitig für einen Betreuungsplatz an.</w:t>
      </w:r>
    </w:p>
    <w:p w14:paraId="4F8FF8CD" w14:textId="77777777" w:rsidR="001F7233" w:rsidRDefault="00000000">
      <w:r>
        <w:t>• Zuständigen School Board der Zieladresse ermittelt und Schulzuordnung schriftlich bestätigen lassen</w:t>
      </w:r>
    </w:p>
    <w:p w14:paraId="6148AE95" w14:textId="77777777" w:rsidR="001F7233" w:rsidRDefault="00000000">
      <w:r>
        <w:t>• Stichtag und Einstufung des Kindes beim School Board geklärt</w:t>
      </w:r>
    </w:p>
    <w:p w14:paraId="3C5E695D" w14:textId="77777777" w:rsidR="001F7233" w:rsidRDefault="00000000">
      <w:r>
        <w:t>• Geburtsurkunde, Reisepass, Impfnachweis und übersetzte Zeugnisse zusammengestellt</w:t>
      </w:r>
    </w:p>
    <w:p w14:paraId="0CFCE975" w14:textId="77777777" w:rsidR="001F7233" w:rsidRDefault="00000000">
      <w:r>
        <w:t>• Bei Interesse an French Immersion die Warteliste der Zielschule frühzeitig erfragt</w:t>
      </w:r>
    </w:p>
    <w:p w14:paraId="5D94EAB8" w14:textId="77777777" w:rsidR="001F7233" w:rsidRDefault="00000000">
      <w:r>
        <w:t>• Bei Umzug nach Québec die Eligibility-Frage für englischsprachigen Unterricht vor der Jobzusage geklärt</w:t>
      </w:r>
    </w:p>
    <w:p w14:paraId="34FD7E0B" w14:textId="77777777" w:rsidR="001F7233" w:rsidRDefault="00000000">
      <w:r>
        <w:t>• Betreuungsplatz (CWELCC-Anbieter) für jüngere Kinder Monate vor dem Umzug angefragt</w:t>
      </w:r>
    </w:p>
    <w:p w14:paraId="7BD946BB" w14:textId="77777777" w:rsidR="001F7233" w:rsidRDefault="00000000">
      <w:r>
        <w:t>• Vor- und Nachmittagsbetreuung (Before/After School Care) bei der Zielschule mit angefragt</w:t>
      </w:r>
    </w:p>
    <w:p w14:paraId="597B72DC" w14:textId="77777777" w:rsidR="001F7233" w:rsidRDefault="00000000">
      <w:r>
        <w:t>• Bei Sprachförderbedarf früh das Gespräch mit dem School Board über ESL-Angebote gesucht</w:t>
      </w:r>
    </w:p>
    <w:p w14:paraId="6FF256BC" w14:textId="77777777" w:rsidR="001F7233" w:rsidRDefault="00000000">
      <w:r>
        <w:t>• Deutsche Tagesschule oder Samstagsschule in der Zielstadt recherchiert, Fristen notiert</w:t>
      </w:r>
    </w:p>
    <w:p w14:paraId="3EF64AF4" w14:textId="77777777" w:rsidR="001F7233" w:rsidRDefault="00000000">
      <w:r>
        <w:t>• Familienregel für Deutsch und ein tägliches Vorleseritual festgelegt</w:t>
      </w:r>
    </w:p>
    <w:p w14:paraId="09A658C6" w14:textId="77777777" w:rsidR="001F7233" w:rsidRDefault="001F7233">
      <w:pPr>
        <w:spacing w:line="220" w:lineRule="exact"/>
      </w:pPr>
    </w:p>
    <w:p w14:paraId="4DA847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BBE3E84" w14:textId="77777777" w:rsidR="001F7233" w:rsidRDefault="00000000">
      <w:pPr>
        <w:pStyle w:val="ListParagraph"/>
        <w:numPr>
          <w:ilvl w:val="0"/>
          <w:numId w:val="1"/>
        </w:numPr>
        <w:spacing w:after="60"/>
      </w:pPr>
      <w:r>
        <w:t>Bildungsministerien der Provinzen, z. B. Ontario (</w:t>
      </w:r>
      <w:hyperlink r:id="rId898">
        <w:r w:rsidR="001F7233">
          <w:rPr>
            <w:color w:val="0563C1"/>
            <w:u w:val="single"/>
          </w:rPr>
          <w:t>ontario.ca/page/education-and-training</w:t>
        </w:r>
      </w:hyperlink>
      <w:r>
        <w:t>) und Québec (</w:t>
      </w:r>
      <w:hyperlink r:id="rId899">
        <w:r w:rsidR="001F7233">
          <w:rPr>
            <w:color w:val="0563C1"/>
            <w:u w:val="single"/>
          </w:rPr>
          <w:t>education.gouv.qc.ca</w:t>
        </w:r>
      </w:hyperlink>
      <w:r>
        <w:t>)</w:t>
      </w:r>
    </w:p>
    <w:p w14:paraId="5C713341" w14:textId="77777777" w:rsidR="001F7233" w:rsidRDefault="00000000">
      <w:pPr>
        <w:pStyle w:val="ListParagraph"/>
        <w:numPr>
          <w:ilvl w:val="0"/>
          <w:numId w:val="1"/>
        </w:numPr>
        <w:spacing w:after="60"/>
      </w:pPr>
      <w:r>
        <w:lastRenderedPageBreak/>
        <w:t>Ministère de l’Éducation du Québec — Charter of the French Language, Certificate of Eligibility (</w:t>
      </w:r>
      <w:hyperlink r:id="rId900">
        <w:r w:rsidR="001F7233">
          <w:rPr>
            <w:color w:val="0563C1"/>
            <w:u w:val="single"/>
          </w:rPr>
          <w:t>quebec.ca</w:t>
        </w:r>
      </w:hyperlink>
      <w:r>
        <w:t>, Suche: certificate of eligibility english instruction)</w:t>
      </w:r>
    </w:p>
    <w:p w14:paraId="7DC834A1" w14:textId="77777777" w:rsidR="001F7233" w:rsidRDefault="00000000">
      <w:pPr>
        <w:pStyle w:val="ListParagraph"/>
        <w:numPr>
          <w:ilvl w:val="0"/>
          <w:numId w:val="1"/>
        </w:numPr>
        <w:spacing w:after="60"/>
      </w:pPr>
      <w:r>
        <w:t>Employment and Social Development Canada — Canada-Wide Early Learning and Child Care, Gebühren je Provinz (</w:t>
      </w:r>
      <w:hyperlink r:id="rId901">
        <w:r w:rsidR="001F7233">
          <w:rPr>
            <w:color w:val="0563C1"/>
            <w:u w:val="single"/>
          </w:rPr>
          <w:t>canada.ca/en/employment-social-development/campaigns/child-care.html</w:t>
        </w:r>
      </w:hyperlink>
      <w:r>
        <w:t>)</w:t>
      </w:r>
    </w:p>
    <w:p w14:paraId="0497F389" w14:textId="77777777" w:rsidR="001F7233" w:rsidRDefault="00000000">
      <w:pPr>
        <w:pStyle w:val="ListParagraph"/>
        <w:numPr>
          <w:ilvl w:val="0"/>
          <w:numId w:val="1"/>
        </w:numPr>
        <w:spacing w:after="60"/>
      </w:pPr>
      <w:r>
        <w:t>Zentralstelle für das Auslandsschulwesen — deutsche Schulen im Ausland (</w:t>
      </w:r>
      <w:hyperlink r:id="rId902">
        <w:r w:rsidR="001F7233">
          <w:rPr>
            <w:color w:val="0563C1"/>
            <w:u w:val="single"/>
          </w:rPr>
          <w:t>auslandsschulwesen.de</w:t>
        </w:r>
      </w:hyperlink>
      <w:r>
        <w:t>)</w:t>
      </w:r>
    </w:p>
    <w:p w14:paraId="546689BD" w14:textId="77777777" w:rsidR="001F7233" w:rsidRDefault="00000000">
      <w:pPr>
        <w:pStyle w:val="ListParagraph"/>
        <w:numPr>
          <w:ilvl w:val="0"/>
          <w:numId w:val="1"/>
        </w:numPr>
        <w:spacing w:after="60"/>
      </w:pPr>
      <w:r>
        <w:t>German International School Toronto (</w:t>
      </w:r>
      <w:hyperlink r:id="rId903">
        <w:r w:rsidR="001F7233">
          <w:rPr>
            <w:color w:val="0563C1"/>
            <w:u w:val="single"/>
          </w:rPr>
          <w:t>gistonline.ca</w:t>
        </w:r>
      </w:hyperlink>
      <w:r>
        <w:t>)</w:t>
      </w:r>
    </w:p>
    <w:p w14:paraId="7CBEEF9F" w14:textId="77777777" w:rsidR="001F7233" w:rsidRDefault="00000000">
      <w:pPr>
        <w:pStyle w:val="ListParagraph"/>
        <w:numPr>
          <w:ilvl w:val="0"/>
          <w:numId w:val="1"/>
        </w:numPr>
        <w:spacing w:after="60"/>
      </w:pPr>
      <w:r>
        <w:t>Vancouver Westside German School und Calgary German Language School (</w:t>
      </w:r>
      <w:hyperlink r:id="rId904">
        <w:r w:rsidR="001F7233">
          <w:rPr>
            <w:color w:val="0563C1"/>
            <w:u w:val="single"/>
          </w:rPr>
          <w:t>vwgs.org</w:t>
        </w:r>
      </w:hyperlink>
      <w:r>
        <w:t xml:space="preserve">, </w:t>
      </w:r>
      <w:hyperlink r:id="rId905">
        <w:r w:rsidR="001F7233">
          <w:rPr>
            <w:color w:val="0563C1"/>
            <w:u w:val="single"/>
          </w:rPr>
          <w:t>calgarygermanschool.com</w:t>
        </w:r>
      </w:hyperlink>
      <w:r>
        <w:t>)</w:t>
      </w:r>
    </w:p>
    <w:p w14:paraId="43FBB068" w14:textId="77777777" w:rsidR="001F7233" w:rsidRDefault="001F7233">
      <w:pPr>
        <w:spacing w:line="120" w:lineRule="exact"/>
      </w:pPr>
    </w:p>
    <w:p w14:paraId="29AB532F" w14:textId="77777777" w:rsidR="001F7233" w:rsidRDefault="00000000">
      <w:r>
        <w:t>• Quellen- und Datenstand: September 2026; Redaktionsschluss: Oktober 2026. Diese Angaben ändern sich schnell: Kinderbetreuungsgebühren je Provinz auf dem Weg zum 10-CAD-Ziel, die genauen Eligibility-Regeln in Québec, Stichtage und Einstufungsregeln der School Boards sowie Schulgelder privater und deutscher Schulen. Prüfe vor jeder Entscheidung die aktuellen Angaben deiner Zielprovinz und Zielschule.</w:t>
      </w:r>
    </w:p>
    <w:p w14:paraId="2CA2FDE7" w14:textId="77777777" w:rsidR="001F7233" w:rsidRDefault="00000000">
      <w:pPr>
        <w:spacing w:line="220" w:lineRule="exact"/>
      </w:pPr>
      <w:r>
        <w:br w:type="page"/>
      </w:r>
    </w:p>
    <w:p w14:paraId="03F359DE" w14:textId="77777777" w:rsidR="001F7233" w:rsidRDefault="00000000">
      <w:pPr>
        <w:pStyle w:val="Heading2"/>
        <w:keepNext/>
        <w:spacing w:line="341" w:lineRule="auto"/>
        <w:jc w:val="center"/>
      </w:pPr>
      <w:bookmarkStart w:id="123" w:name="tka14"/>
      <w:r>
        <w:rPr>
          <w:rFonts w:ascii="Amazon Ember" w:eastAsia="Amazon Ember" w:hAnsi="Amazon Ember" w:cs="Amazon Ember"/>
          <w:color w:val="0000FF"/>
          <w:sz w:val="36"/>
          <w:szCs w:val="36"/>
        </w:rPr>
        <w:lastRenderedPageBreak/>
        <w:t>Kanada: Arbeitswelt und Jobwechsel</w:t>
      </w:r>
      <w:bookmarkEnd w:id="123"/>
    </w:p>
    <w:p w14:paraId="29CB500C" w14: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w14:paraId="77CAB140" w14:textId="77777777" w:rsidR="001F7233" w:rsidRDefault="00000000">
      <w:r>
        <w:rPr>
          <w:b/>
        </w:rPr>
        <w:t xml:space="preserve">KURZ GESAGT: </w:t>
      </w:r>
    </w:p>
    <w:p w14:paraId="35FEDCBC" w14:textId="77777777" w:rsidR="001F7233" w:rsidRDefault="00000000">
      <w:r>
        <w:t>• Der Urlaubsanspruch ist Provinzsache und startet meist bei nur zwei Wochen im Jahr. Spürbar weniger als das deutsche Minimum von 20 Tagen, wächst aber mit der Betriebszugehörigkeit.</w:t>
      </w:r>
    </w:p>
    <w:p w14:paraId="0D66F523" w14:textId="77777777" w:rsidR="001F7233" w:rsidRDefault="00000000">
      <w:r>
        <w:t>• Kündigen ohne Grund ist möglich, aber nicht ohne Ankündigungsfrist oder Abfindung: Kanada kennt weder ein deutsches Kündigungsschutzgesetz noch ein „Hire and Fire“ nach US-Vorbild.</w:t>
      </w:r>
    </w:p>
    <w:p w14:paraId="41D6F537" w14:textId="77777777" w:rsidR="001F7233" w:rsidRDefault="00000000">
      <w:r>
        <w:t>• Der Umgangston ist höflicher und indirekter als in Deutschland; direkte Kritik kommt selten unverpackt.</w:t>
      </w:r>
    </w:p>
    <w:p w14:paraId="6E8A0CFA" w14:textId="77777777" w:rsidR="001F7233" w:rsidRDefault="00000000">
      <w:r>
        <w:t>• Mit einem arbeitgebergebundenen, LMIA-pflichtigen Work Permit brauchst du für jeden Arbeitgeberwechsel meist eine neue Arbeitsmarktprüfung des neuen Arbeitgebers und ein neues Arbeitsvisum und musst dessen Genehmigung meist abwarten, bevor du dort anfängst.</w:t>
      </w:r>
    </w:p>
    <w:p w14:paraId="4120D665" w14:textId="77777777" w:rsidR="001F7233" w:rsidRDefault="00000000">
      <w:r>
        <w:t>• Offene Arbeitsvisa (etwa nach dem PGWP oder für mitreisende Ehepartner) erlauben dagegen den Wechsel ohne neuen Antrag.</w:t>
      </w:r>
    </w:p>
    <w:p w14:paraId="23CDB909" w14:textId="77777777" w:rsidR="001F7233" w:rsidRDefault="00000000">
      <w:r>
        <w:t>• Networking über Empfehlungen zählt auch hier mehr als die Bewerbung auf gut Glück.</w:t>
      </w:r>
    </w:p>
    <w:p w14:paraId="264047AB" w14:textId="77777777" w:rsidR="001F7233" w:rsidRDefault="001F7233">
      <w:pPr>
        <w:spacing w:line="220" w:lineRule="exact"/>
      </w:pPr>
    </w:p>
    <w:p w14:paraId="0B0A23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Arbeitsrecht: Bundessache oder Provinzsache?</w:t>
      </w:r>
    </w:p>
    <w:p w14:paraId="1F0DDC34" w14:textId="77777777" w:rsidR="001F7233" w:rsidRDefault="00000000">
      <w:pPr>
        <w:spacing w:after="140"/>
      </w:pPr>
      <w:r>
        <w:t xml:space="preserve">Anders als das Einwanderungsrecht, das ausschließlich der Bund regelt (siehe das </w:t>
      </w:r>
      <w:hyperlink w:anchor="tka03">
        <w:r w:rsidR="001F7233">
          <w:rPr>
            <w:color w:val="0563C1"/>
            <w:u w:val="single"/>
          </w:rPr>
          <w:t>Kapitel zum Arbeitsweg in diesem Teil</w:t>
        </w:r>
      </w:hyperlink>
      <w:r>
        <w:t xml:space="preserve">), ist das Arbeitsrecht in Kanada überwiegend Provinzsache. Für die große Mehrheit der Beschäftigten gilt das </w:t>
      </w:r>
      <w:r>
        <w:rPr>
          <w:i/>
          <w:iCs/>
        </w:rPr>
        <w:t>Employment Standards Act</w:t>
      </w:r>
      <w:r>
        <w:t xml:space="preserve"> </w:t>
      </w:r>
      <w:r>
        <w:lastRenderedPageBreak/>
        <w:t xml:space="preserve">beziehungsweise </w:t>
      </w:r>
      <w:r>
        <w:rPr>
          <w:i/>
          <w:iCs/>
        </w:rPr>
        <w:t>Employment Standards Code</w:t>
      </w:r>
      <w:r>
        <w:t xml:space="preserve"> (Arbeitsstandardgesetz) der Provinz, in der konkret gearbeitet wird – nicht der Pass oder Wohnsitz entscheidet, sondern der Arbeitsort. Nur eine Minderheit der Beschäftigten fällt unter Bundesrecht: Banken, Telekommunikation, Rundfunk, Luft- und Bahnverkehr sowie zwischen Provinzen tätige Speditionen unterliegen dem </w:t>
      </w:r>
      <w:r>
        <w:rPr>
          <w:i/>
          <w:iCs/>
        </w:rPr>
        <w:t>Canada Labour Code</w:t>
      </w:r>
      <w:r>
        <w:t xml:space="preserve"> (Bundesarbeitsgesetzbuch). Ein einheitliches nationales Arbeitsgesetz wie in manchen anderen Ländern gibt es in Kanada also nicht – wer von Ontario nach Alberta wechselt, wechselt damit auch das anwendbare Arbeitsrecht.</w:t>
      </w:r>
    </w:p>
    <w:p w14:paraId="71C57C59" w14:textId="77777777" w:rsidR="001F7233" w:rsidRDefault="00000000">
      <w:pPr>
        <w:spacing w:after="140"/>
      </w:pPr>
      <w:r>
        <w:t>Gewerkschaften sind in bestimmten Branchen präsent (öffentlicher Dienst, Bauwesen, Teile der Ressourcenindustrie), ein Betriebsrat nach deutschem Muster existiert nicht. Dein Arbeitsvertrag sollte Grundgehalt, Wochenstunden, Probezeit und die Kündigungsklausel klar benennen. Das gesetzliche Minimum der jeweiligen Provinz gilt als Fußboden, den kein Vertrag unterschreiten darf.</w:t>
      </w:r>
    </w:p>
    <w:p w14:paraId="40404A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w14:paraId="7D81BC96" w14:textId="77777777" w:rsidR="001F7233" w:rsidRDefault="00000000">
      <w:pPr>
        <w:spacing w:after="140"/>
      </w:pPr>
      <w:r>
        <w:t>Verbreiteter Irrtum: Wer aus einem europäischen Wohlfahrtsstaat kommt, nimmt oft an, ein wirtschaftlich vergleichbares Land wie Kanada biete ähnlich großzügige gesetzliche Mindestansprüche. Tatsächlich ist das Startniveau spürbar niedriger als in Deutschland und wächst erst mit der Zeit im Betrieb.</w:t>
      </w:r>
    </w:p>
    <w:p w14:paraId="752CAFD7" w14:textId="77777777" w:rsidR="001F7233" w:rsidRDefault="00000000">
      <w:r>
        <w:rPr>
          <w:b/>
        </w:rPr>
        <w:t>Urlaub</w:t>
      </w:r>
    </w:p>
    <w:p w14:paraId="4E62B3EE" w14:textId="77777777" w:rsidR="001F7233" w:rsidRDefault="00000000">
      <w:r>
        <w:rPr>
          <w:b/>
        </w:rPr>
        <w:t xml:space="preserve">Deutschland: </w:t>
      </w:r>
      <w:r>
        <w:t>mind. 20 Tage bei Fünftagewoche, meist 25–30</w:t>
      </w:r>
    </w:p>
    <w:p w14:paraId="3B9D8FCC" w14:textId="77777777" w:rsidR="001F7233" w:rsidRDefault="00000000">
      <w:r>
        <w:rPr>
          <w:b/>
        </w:rPr>
        <w:t>Kanada (Provinzrecht, Richtwerte): meist 2 Wochen ab dem ersten Jahr, 3 Wochen nach rund 5 Jahren. Québec hebt die dritte Woche oft schon nach 3 Jahren an.</w:t>
      </w:r>
    </w:p>
    <w:p w14:paraId="26A252E3" w14:textId="77777777" w:rsidR="001F7233" w:rsidRDefault="00000000">
      <w:r>
        <w:rPr>
          <w:b/>
        </w:rPr>
        <w:t>Feiertage</w:t>
      </w:r>
    </w:p>
    <w:p w14:paraId="3C5296C5" w14:textId="77777777" w:rsidR="001F7233" w:rsidRDefault="00000000">
      <w:r>
        <w:rPr>
          <w:b/>
        </w:rPr>
        <w:t xml:space="preserve">Deutschland: </w:t>
      </w:r>
      <w:r>
        <w:t>9–13, je Bundesland</w:t>
      </w:r>
    </w:p>
    <w:p w14:paraId="476EE845" w14:textId="77777777" w:rsidR="001F7233" w:rsidRDefault="00000000">
      <w:r>
        <w:rPr>
          <w:b/>
        </w:rPr>
        <w:t xml:space="preserve">Kanada (Provinzrecht, Richtwerte): </w:t>
      </w:r>
      <w:r>
        <w:t>meist 9–10, je Provinz unterschiedlich</w:t>
      </w:r>
    </w:p>
    <w:p w14:paraId="04D17DB4" w14:textId="77777777" w:rsidR="001F7233" w:rsidRDefault="00000000">
      <w:r>
        <w:rPr>
          <w:b/>
        </w:rPr>
        <w:t>Krankheit</w:t>
      </w:r>
    </w:p>
    <w:p w14:paraId="73D025AC" w14:textId="77777777" w:rsidR="001F7233" w:rsidRDefault="00000000">
      <w:r>
        <w:rPr>
          <w:b/>
        </w:rPr>
        <w:lastRenderedPageBreak/>
        <w:t xml:space="preserve">Deutschland: </w:t>
      </w:r>
      <w:r>
        <w:t>Lohnfortzahlung bis zu 6 Wochen</w:t>
      </w:r>
    </w:p>
    <w:p w14:paraId="13423C09" w14:textId="77777777" w:rsidR="001F7233" w:rsidRDefault="00000000">
      <w:r>
        <w:rPr>
          <w:b/>
        </w:rPr>
        <w:t>Kanada (Provinzrecht, Richtwerte): uneinheitlich: teils nur unbezahlter, gesetzlich geschützter Anspruch, teils einzelne bezahlte Tage. Abhängig von Provinz und Arbeitgeberpolitik.</w:t>
      </w:r>
    </w:p>
    <w:p w14:paraId="6F05E52E" w14:textId="77777777" w:rsidR="001F7233" w:rsidRDefault="001F7233">
      <w:pPr>
        <w:spacing w:line="180" w:lineRule="exact"/>
      </w:pPr>
    </w:p>
    <w:p w14:paraId="50361397" w14:textId="77777777" w:rsidR="001F7233" w:rsidRDefault="00000000">
      <w:pPr>
        <w:spacing w:after="140"/>
      </w:pPr>
      <w:r>
        <w:t>Die zwei Wochen Mindesturlaub sind ein gesetzlicher Boden, keine übliche Norm nach oben: Viele Arbeitgeber im Fachkräftemarkt, besonders in Technik und IT rund um Toronto, bieten von Beginn an drei oder vier Wochen an, um im Wettbewerb um Personal zu bestehen. Frage im Vorstellungsgespräch aktiv danach, denn im Angebot steht es nicht automatisch großzügiger, nur weil das Land wohlhabend ist. Bezahlte Krankheitstage sind, anders als die deutsche Lohnfortzahlung, keineswegs überall gesetzlich garantiert. Das unterscheidet sich von Provinz zu Provinz erheblich. Kläre das konkret mit der Personalabteilung, bevor du dich auf einen informellen Eindruck verlässt.</w:t>
      </w:r>
    </w:p>
    <w:p w14:paraId="459A67B0" w14:textId="77777777" w:rsidR="001F7233" w:rsidRDefault="00000000">
      <w:r>
        <w:rPr>
          <w:b/>
        </w:rPr>
        <w:t xml:space="preserve">ACHTUNG: </w:t>
      </w:r>
    </w:p>
    <w:p w14:paraId="4F88B0FD" w14:textId="77777777" w:rsidR="001F7233" w:rsidRDefault="00000000">
      <w:r>
        <w:t>• Verlasse dich nie auf mündliche Zusagen zu Urlaub oder Krankheitstagen. Lass dir die genauen Ansprüche schriftlich im Vertrag oder im Mitarbeiterhandbuch bestätigen und vergleiche sie mit dem gesetzlichen Minimum deiner Provinz.</w:t>
      </w:r>
    </w:p>
    <w:p w14:paraId="49FAC2E2" w14:textId="77777777" w:rsidR="001F7233" w:rsidRDefault="001F7233">
      <w:pPr>
        <w:spacing w:line="220" w:lineRule="exact"/>
      </w:pPr>
    </w:p>
    <w:p w14:paraId="3413444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Notice statt Kündigungsschutzgesetz</w:t>
      </w:r>
    </w:p>
    <w:p w14:paraId="622FFC89" w14:textId="77777777" w:rsidR="001F7233" w:rsidRDefault="00000000">
      <w:pPr>
        <w:spacing w:after="140"/>
      </w:pPr>
      <w:r>
        <w:rPr>
          <w:i/>
          <w:iCs/>
        </w:rPr>
        <w:t xml:space="preserve">Kanada liegt zwischen zwei Extremen, die du vielleicht aus diesem Buch kennst: kein Kündigungsschutzgesetz wie in Deutschland, aber auch kein grundloses „Hire and Fire“ ohne jede Konsequenz. Ein Arbeitgeber darf ohne Angabe von Gründen kündigen, muss dafür aber je nach Provinz eine Ankündigungsfrist (Notice of Termination) einhalten oder eine entsprechende Abfindung anstelle der Frist zahlen (Pay in Lieu of Notice). In Ontario etwa steigt die gesetzliche Mindestfrist mit der Betriebszugehörigkeit von einer Woche auf bis zu </w:t>
      </w:r>
      <w:r>
        <w:rPr>
          <w:i/>
          <w:iCs/>
        </w:rPr>
        <w:lastRenderedPageBreak/>
        <w:t>acht Wochen bei sehr langer Beschäftigung. Alberta staffelt ähnlich, wenn auch mit anderen Sprungpunkten. Nur bei einem schwerwiegenden Fehlverhalten (Just Cause, etwa Diebstahl oder grobe Pflichtverletzung) entfällt die Frist vollständig.</w:t>
      </w:r>
    </w:p>
    <w:p w14:paraId="65F8074F" w14:textId="77777777" w:rsidR="001F7233" w:rsidRDefault="00000000">
      <w:pPr>
        <w:spacing w:after="140"/>
      </w:pPr>
      <w:r>
        <w:rPr>
          <w:i/>
          <w:iCs/>
        </w:rPr>
        <w:t>Was viele deutsche Neuankömmlinge überrascht: Die gesetzliche Mindestfrist ist oft nicht das letzte Wort. Nach dem Fallrecht (Common Law) kann ein Gericht bei ungerechtfertigter Kündigung eine deutlich längere „angemessene Frist“ zusprechen, orientiert an Lebensalter, Position, Betriebszugehörigkeit und Aussicht auf eine neue Stelle. Anwälte nennen als grobe Faustregel oft rund einen Monat pro Beschäftigungsjahr, ohne dass dies eine feste Formel wäre. Viele Arbeitsverträge versuchen, diese längere Frist vertraglich auf das gesetzliche Minimum zu begrenzen. Ob eine solche Klausel wirksam ist, hängt stark vom genauen Wortlaut ab und wird von kanadischen Gerichten regelmäßig verworfen, wenn sie unklar oder zu weitgehend formuliert ist. In Ontario kommt bei mindestens fünf Jahren Betriebszugehörigkeit und einer Lohnsumme des Arbeitgebers ab 2,5 Millionen CAD auch eine gesetzliche Abfindung (Severance Pay) hinzu, oben auf die Kündigungsfrist.</w:t>
      </w:r>
    </w:p>
    <w:p w14:paraId="773D3EFB" w14:textId="77777777" w:rsidR="001F7233" w:rsidRDefault="00000000">
      <w:r>
        <w:rPr>
          <w:b/>
        </w:rPr>
        <w:t xml:space="preserve">MERKE: </w:t>
      </w:r>
    </w:p>
    <w:p w14:paraId="03A628DC" w14:textId="77777777" w:rsidR="001F7233" w:rsidRDefault="00000000">
      <w:r>
        <w:t>• Ohne Grund kündigen darf dein Arbeitgeber auch in Kanada, aber nie ohne Frist oder Ausgleich, es sei denn, es liegt ein schwerwiegender Grund vor. Das ist weder deutscher Kündigungsschutz noch amerikanisches At-will Employment, sondern ein eigenes, drittes System.</w:t>
      </w:r>
    </w:p>
    <w:p w14:paraId="187A3533" w14:textId="77777777" w:rsidR="001F7233" w:rsidRDefault="001F7233">
      <w:pPr>
        <w:spacing w:line="220" w:lineRule="exact"/>
      </w:pPr>
    </w:p>
    <w:p w14:paraId="23579EA0" w14:textId="77777777" w:rsidR="001F7233" w:rsidRDefault="00000000">
      <w:pPr>
        <w:spacing w:after="140"/>
      </w:pPr>
      <w:r>
        <w:rPr>
          <w:i/>
          <w:iCs/>
        </w:rPr>
        <w:t xml:space="preserve">Streicht ein Arbeitgeber gleich mehrere Stellen auf einmal (Mass Termination, in Ontario ab 50 Betroffenen innerhalb von vier Wochen), verlangen mehrere Provinzen zusätzliche, längere Ankündigungsfristen und eine Meldung an die passende Arbeitsbehörde. Ähnlich dem Gedanken hinter dem amerikanischen WARN Act, nur mit anderen Schwellenwerten. Nach einem Jobverlust hilft zudem, anders als bei vielen befristeten US-Visa, die Employment Insurance (EI, die Arbeitslosenversicherung): Wer rechtmäßig </w:t>
      </w:r>
      <w:r>
        <w:rPr>
          <w:i/>
          <w:iCs/>
        </w:rPr>
        <w:lastRenderedPageBreak/>
        <w:t>gearbeitet und ausreichend Beitragsstunden gesammelt hat, kann unabhängig von der Staatsangehörigkeit Leistungen beantragen, solange das eigene Work Permit die Arbeitssuche in Kanada nicht ausschließt. Kläre die genauen Voraussetzungen frühzeitig bei Service Canada, statt dich erst im Ernstfall damit zu befassen.</w:t>
      </w:r>
    </w:p>
    <w:p w14:paraId="736D2355" w14:textId="77777777" w:rsidR="001F7233" w:rsidRDefault="00000000">
      <w:r>
        <w:t>• Dieser Abschnitt gibt eine Orientierung, keine Rechtsberatung. Ob eine Kündigungsklausel in deinem Vertrag wirksam ist und welche Frist im Einzelfall gilt, hängt von Provinz, Vertragswortlaut und Rechtsprechung ab. Lass wichtige Arbeitsverträge und jede Kündigung von einer kanadischen Arbeitsrechtskanzlei prüfen.</w:t>
      </w:r>
    </w:p>
    <w:p w14:paraId="3CF17176" w14:textId="77777777" w:rsidR="001F7233" w:rsidRDefault="001F7233">
      <w:pPr>
        <w:spacing w:line="220" w:lineRule="exact"/>
      </w:pPr>
    </w:p>
    <w:p w14:paraId="159A7F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höflich, indirekt, pünktlich</w:t>
      </w:r>
    </w:p>
    <w:p w14:paraId="6326B830" w14:textId="77777777" w:rsidR="001F7233" w:rsidRDefault="00000000">
      <w:pPr>
        <w:spacing w:after="140"/>
      </w:pPr>
      <w:r>
        <w:t>Die Standardarbeitswoche liegt häufig bei rund 40 Stunden; Überstundenzuschläge und Ausnahmen richten sich nach Provinz, Beruf und Beschäftigungsstatus. Der Umgangston variiert ebenfalls nach Branche und Team. In vielen Büros wird Kritik höflich und vorsichtig formuliert. Das ist eine Tendenz, keine feste Landesregel. Wenn eine Rückmeldung vage ist, frage konkret nach dem gewünschten Ergebnis und dem nächsten Schritt. Formulierungen wie „let’s circle back“ versprechen für sich genommen noch keinen Termin. „No worries“ kann die Entschuldigung annehmen oder die Situation entspannen, sagt allein aber nicht, ob eine Aufgabe erledigt oder ein Fehler folgenlos ist.</w:t>
      </w:r>
    </w:p>
    <w:p w14:paraId="5F74F0E9" w14:textId="77777777" w:rsidR="001F7233" w:rsidRDefault="00000000">
      <w:pPr>
        <w:spacing w:after="140"/>
      </w:pPr>
      <w:r>
        <w:t xml:space="preserve">Formulierungen wie „let’s circle back“ bedeuten zunächst nur, dass ein Thema später wieder aufgenommen werden soll. Ein Datum ist damit nicht gesetzt. „No worries“ kann eine Entschuldigung annehmen oder die Situation entspannen, sagt allein aber nicht, ob der Fehler folgenlos bleibt. Frag bei einer Aufgabe nach Verantwortlichem, Frist und erwartetem Ergebnis. Das gilt </w:t>
      </w:r>
      <w:r>
        <w:lastRenderedPageBreak/>
        <w:t>unabhängig davon, wie vorsichtig oder direkt das Team kommuniziert.</w:t>
      </w:r>
    </w:p>
    <w:p w14:paraId="244B14EE" w14:textId="77777777" w:rsidR="001F7233" w:rsidRDefault="00000000">
      <w:r>
        <w:rPr>
          <w:b/>
        </w:rPr>
        <w:t xml:space="preserve">MERKE: </w:t>
      </w:r>
    </w:p>
    <w:p w14:paraId="6F6EB2B8" w14:textId="77777777" w:rsidR="001F7233" w:rsidRDefault="00000000">
      <w:r>
        <w:t>• Wer in Kanada zu direkt auftritt, wird nicht als ehrlich gelobt, sondern als schwierig empfunden. Übe die höflichere Formulierung so lange, bis sie sich nicht mehr künstlich anfühlt.</w:t>
      </w:r>
    </w:p>
    <w:p w14:paraId="04CB28E5" w14:textId="77777777" w:rsidR="001F7233" w:rsidRDefault="001F7233">
      <w:pPr>
        <w:spacing w:line="220" w:lineRule="exact"/>
      </w:pPr>
    </w:p>
    <w:p w14:paraId="00EC89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Networking und Bewerbung</w:t>
      </w:r>
    </w:p>
    <w:p w14:paraId="0D75D274" w14:textId="77777777" w:rsidR="001F7233" w:rsidRDefault="00000000">
      <w:pPr>
        <w:spacing w:after="140"/>
      </w:pPr>
      <w:r>
        <w:rPr>
          <w:i/>
          <w:iCs/>
        </w:rPr>
        <w:t>Auch in Kanada werden viele Stellen über Empfehlungen besetzt, bevor sie überhaupt öffentlich ausgeschrieben sind. LinkedIn-Profil auf Englisch, ein knappes, ergebnisorientiertes Resume (Lebenslauf ohne Foto, Geburtsdatum oder Familienstand) und, anders als im rein amerikanischen Bewerbungsstil, häufig weiterhin ein kurzes Cover Letter (Anschreiben) gehören zum Standard. Berufsverbände, Alumni-Netzwerke der eigenen Hochschule und – für technische Berufe. Fachgesellschaften sind gute Anlaufstellen, ebenso informelle Gespräche mit jemandem in der Zielfirma, um Einblick zu bekommen, nicht um direkt um eine Stelle zu bitten.</w:t>
      </w:r>
    </w:p>
    <w:p w14:paraId="7C175A12" w14:textId="77777777" w:rsidR="001F7233" w:rsidRDefault="00000000">
      <w:r>
        <w:rPr>
          <w:b/>
        </w:rPr>
        <w:t xml:space="preserve">SPARTIPP: </w:t>
      </w:r>
    </w:p>
    <w:p w14:paraId="26E75725" w14:textId="77777777" w:rsidR="001F7233" w:rsidRDefault="00000000">
      <w:r>
        <w:t>• Job Bank (</w:t>
      </w:r>
      <w:hyperlink r:id="rId906">
        <w:r w:rsidR="001F7233">
          <w:rPr>
            <w:color w:val="0563C1"/>
            <w:u w:val="single"/>
          </w:rPr>
          <w:t>jobbank.gc.ca</w:t>
        </w:r>
      </w:hyperlink>
      <w:r>
        <w:t>), die kostenlose Jobbörse des kanadischen Arbeitsministeriums, bietet neben Stellenanzeigen auch kostenlose Werkzeuge für Lebenslauf und Anschreiben sowie regionale Lohnvergleiche. Viele gemeinnützige Ankommensorganisationen (Settlement Agencies) bieten zusätzlich kostenlose Bewerbungsberatung für Neuankömmlinge an; die genaue Berechtigung hängt vom Aufenthaltsstatus ab und lohnt eine kurze Nachfrage vor Ort.</w:t>
      </w:r>
    </w:p>
    <w:p w14:paraId="1406E635" w14:textId="77777777" w:rsidR="001F7233" w:rsidRDefault="001F7233">
      <w:pPr>
        <w:spacing w:line="220" w:lineRule="exact"/>
      </w:pPr>
    </w:p>
    <w:p w14:paraId="67BA48D5" w14:textId="77777777" w:rsidR="001F7233" w:rsidRDefault="00000000">
      <w:pPr>
        <w:spacing w:after="140"/>
      </w:pPr>
      <w:r>
        <w:t xml:space="preserve">Im Vorstellungsgespräch selbst zählt Pünktlichkeit als selbstverständlich, Verspätung ohne Vorwarnung gilt als schwerer Fauxpas, als es in manchen südeuropäischen oder auch deutschen Betrieben empfunden würde. Verhaltensfragen nach dem Muster </w:t>
      </w:r>
      <w:r>
        <w:lastRenderedPageBreak/>
        <w:t xml:space="preserve">„Erzähl mir von einer Situation, in der …“ beantwortest du am besten strukturiert mit Situation, Aufgabe, Handlung und Ergebnis, in der Ich-Form – „wir“ zu sagen, wo „ich“ gemeint ist, wirkt auch hier eher bescheiden als überzeugend. Für reglementierte Berufe (Medizin, Pflege, bestimmte Ingenieurdisziplinen mit Berufsordnung, Lehramt) braucht es außerdem eine Anerkennung der Qualifikation durch die zuständige Provinzbehörde oder Berufskammer, bevor du unter dem geschützten Titel arbeiten darfst. Für die meisten Ingenieur- und IT-Stellen ist der ausländische Abschluss ein Qualifikationsnachweis unter vielen, keine Zulassungsvoraussetzung. Der Fahrplan nach Berufen steht im Kapitel </w:t>
      </w:r>
      <w:hyperlink w:anchor="tka03a">
        <w:r w:rsidR="001F7233">
          <w:rPr>
            <w:color w:val="0563C1"/>
            <w:u w:val="single"/>
          </w:rPr>
          <w:t>Anerkennung deutscher Berufsabschlüsse</w:t>
        </w:r>
      </w:hyperlink>
      <w:r>
        <w:t xml:space="preserve">. Die deutsche Abmeldung steht in </w:t>
      </w:r>
      <w:hyperlink w:anchor="t0003">
        <w:r w:rsidR="001F7233">
          <w:rPr>
            <w:color w:val="0563C1"/>
            <w:u w:val="single"/>
          </w:rPr>
          <w:t>Deutschland vor dem Abflug</w:t>
        </w:r>
      </w:hyperlink>
      <w:r>
        <w:t>.</w:t>
      </w:r>
    </w:p>
    <w:p w14:paraId="7088FB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Work Permit: Was das LMIA-pflichtige Visum bedeutet</w:t>
      </w:r>
    </w:p>
    <w:p w14:paraId="52237671" w14:textId="77777777" w:rsidR="001F7233" w:rsidRDefault="00000000">
      <w:pPr>
        <w:spacing w:after="140"/>
      </w:pPr>
      <w:r>
        <w:t xml:space="preserve">Ein solches Work Permit ist nicht einfach eine Arbeitserlaubnis, sondern an vier feste Bedingungen gekoppelt: einen bestimmten Arbeitgeber, eine bestimmte Tätigkeit (klassifiziert nach dem </w:t>
      </w:r>
      <w:r>
        <w:rPr>
          <w:i/>
          <w:iCs/>
        </w:rPr>
        <w:t>NOC</w:t>
      </w:r>
      <w:r>
        <w:t xml:space="preserve">, dem </w:t>
      </w:r>
      <w:r>
        <w:rPr>
          <w:i/>
          <w:iCs/>
        </w:rPr>
        <w:t>National Occupational Classification</w:t>
      </w:r>
      <w:r>
        <w:t>-Berufscode), einen bestimmten Arbeitsort und eine feste Gültigkeitsdauer. Ändert sich einer dieser vier Punkte, reicht die bestehende Erlaubnis nicht mehr aus.</w:t>
      </w:r>
    </w:p>
    <w:p w14:paraId="3583BD12" w14:textId="77777777" w:rsidR="001F7233" w:rsidRDefault="00000000">
      <w:pPr>
        <w:spacing w:after="140"/>
      </w:pPr>
      <w:r>
        <w:rPr>
          <w:i/>
          <w:iCs/>
        </w:rPr>
        <w:t>Der neue Arbeitgeber muss in aller Regel zunächst selbst einen Antrag stellen. Dafür zahlt er 1.000 CAD; die Gebühr ist nicht erstattungsfähig und darf gesetzlich nicht auf dich abgewälzt werden. Je nach Berufsgruppe und Lohnstream dauert das Verfahren Wochen bis mehrere Monate. Für den Global-Talent-Stream nennt die Behörde als Ziel rund zehn Werktage, für eine gewöhnliche High-Wage-Stelle rund 88 Werktage (ESDC-Zielwerte, Stand: August 2026).</w:t>
      </w:r>
      <w:r>
        <w:rPr>
          <w:i/>
          <w:iCs/>
        </w:rPr>
      </w:r>
    </w:p>
    <w:p w14:paraId="19F92439" w14:textId="77777777" w:rsidR="001F7233" w:rsidRDefault="00000000">
      <w:pPr>
        <w:spacing w:after="140"/>
      </w:pPr>
      <w:r>
        <w:rPr>
          <w:i/>
          <w:iCs/>
        </w:rPr>
        <w:t>Verbreiteter Irrtum: Wer aus dem US-Teil dieses Buches oder aus Berichten über den amerikanischen H-1B-Transfer eine ähnliche Regelung erwartet, geht oft davon aus, mit der bloßen Antragstellung beim neuen Arbeitgeber schon anfangen zu dürfen. Genau das gilt in Kanada meist nicht: Solange du nicht schon zuvor ein gültiges, auf diesen Arbeitgeber ausgestelltes Work Permit besitzt, darfst du beim neuen Arbeitgeber erst arbeiten, wenn das neue Permit tatsächlich genehmigt ist. Der bloße Eingang des Antrags reicht anders als in den USA nicht aus. Die sogenannte „aufrechterhaltene Zulassung“ (Maintained Status, umgangssprachlich Implied Status) hilft dir nur, wenn du deinen bestehenden Antrag beim selben Arbeitgeber vor Ablauf verlängerst. Sie erlaubt keinen vorzeitigen Start bei einem neuen Arbeitgeber.</w:t>
      </w:r>
    </w:p>
    <w:p w14:paraId="05EF5988" w14:textId="77777777" w:rsidR="001F7233" w:rsidRDefault="00000000">
      <w:r>
        <w:rPr>
          <w:b/>
        </w:rPr>
        <w:t xml:space="preserve">ACHTUNG: </w:t>
      </w:r>
    </w:p>
    <w:p w14:paraId="4A4A5A12" w14:textId="77777777" w:rsidR="001F7233" w:rsidRDefault="00000000">
      <w:r>
        <w:t>• Kündige beim bisherigen Arbeitgeber nie, bevor dein neues Work Permit genehmigt ist, nicht schon bei Antragstellung. Wer vorzeitig beim neuen Arbeitgeber anfängt, arbeitet ohne gültige Erlaubnis. Mit Risiko für Status und künftige Anträge, auch bei bester Absicht auf beiden Seiten.</w:t>
      </w:r>
    </w:p>
    <w:p w14:paraId="216E5010" w14:textId="77777777" w:rsidR="001F7233" w:rsidRDefault="001F7233">
      <w:pPr>
        <w:spacing w:line="220" w:lineRule="exact"/>
      </w:pPr>
    </w:p>
    <w:p w14:paraId="20024264" w14:textId="77777777" w:rsidR="001F7233" w:rsidRDefault="00000000">
      <w:pPr>
        <w:spacing w:after="140"/>
      </w:pPr>
      <w:r>
        <w:rPr>
          <w:i/>
          <w:iCs/>
        </w:rPr>
        <w:t>Es gibt Auswege, die den Prozess beschleunigen oder ganz überflüssig machen. Ist der neue Arbeitgeber von der LMIA-Pflicht befreit (LMIA-exempt, etwa bei bestimmten konzerninternen Transfers oder Handelsabkommen wie CETA für einzelne Berufsgruppen), entfällt der zeitaufwendigste Schritt. Dann brauchst du nur noch das neue Work Permit. Hast du bereits ein PR-Verfahren über Express Entry angestoßen und läuft dein bestehendes Work Permit aus, kannst du unter bestimmten Voraussetzungen ein Bridging Open Work Permit (Überbrückungs-Arbeitsvisum ohne Arbeitgeberbindung) beantragen. Es kann dir bis zur endgültigen Entscheidung die Arbeit für praktisch jeden Arbeitgeber erlauben. Wer in einem eindeutig missbräuchlichen Arbeitsverhältnis steckt, kann bei IRCC ein offenes Arbeitsvisum für gefährdete Arbeitnehmer (Open Work Permit for Vulnerable Workers) beantragen. Damit kannst du den Arbeitgeber sofort verlassen, ohne erst eine neue LMIA des nächsten Arbeitgebers abzuwarten.</w:t>
      </w:r>
      <w:r>
        <w:rPr>
          <w:i/>
          <w:iCs/>
        </w:rPr>
      </w:r>
    </w:p>
    <w:p w14:paraId="11B9C23C" w14:textId="77777777" w:rsidR="001F7233" w:rsidRDefault="00000000">
      <w:pPr>
        <w:spacing w:after="140"/>
      </w:pPr>
      <w:r>
        <w:rPr>
          <w:i/>
          <w:iCs/>
        </w:rPr>
        <w:t>Deutlich einfacher haben es Inhaber eines offenen Arbeitsvisums (Open Work Permit). Etwa nach einem Post-Graduation Work Permit (PGWP) nach einem kanadischen Studienabschluss oder als mitreisender Ehepartner eines Hauptantragstellers. Ein offenes Visum ist nicht an einen einzelnen Arbeitgeber gebunden. Ein Wechsel braucht dann in aller Regel weder eine neue LMIA noch ein neues Permit, von wenigen ausgeschlossenen Arbeitgeberkategorien abgesehen.</w:t>
      </w:r>
    </w:p>
    <w:p w14:paraId="1E5D2B5A" w14:textId="77777777" w:rsidR="001F7233" w:rsidRDefault="001F7233">
      <w:pPr>
        <w:spacing w:line="220" w:lineRule="exact"/>
      </w:pPr>
    </w:p>
    <w:p w14:paraId="7754CDF8" w14:textId="77777777" w:rsidR="001F7233" w:rsidRDefault="00000000">
      <w:r>
        <w:t>Arbeitgeber wollen hören, wie du deine Erfahrung auf die Aufgaben überträgst, mit anderen zusammenarbeitest und ein konkretes Problem gelöst hast. Das Gespräch kann informell sein oder als strukturiertes Panel mit denselben Fragen für alle stattfinden. Bereite kurze STAR-Beispiele mit deinem eigenen Beitrag und Ergebnis vor. Wenn du eine Frage nicht verstehst, bitte um eine Umformulierung. Erkläre knapp, warum diese Stelle und dieser Arbeitgeber passen und frag nach den ersten Aufgaben, dem Team und dem weiteren Auswahlprozess. Sag offen, ob du bereits arbeiten darfst und ob du für diese Stelle einen Sponsor brauchst. Referenzen und überprüfbare Zeugnisse können Teil des nächsten Schritts sein.</w:t>
      </w:r>
    </w:p>
    <w:p w14:paraId="0B6E9EBB" w14:textId="77777777" w:rsidR="001F7233" w:rsidRDefault="00000000">
      <w:pPr>
        <w:pStyle w:val="Heading3"/>
      </w:pPr>
      <w:r>
        <w:t>Vorstellungsgespräch: passende Beispiele und klare Fragen</w:t>
      </w:r>
    </w:p>
    <w:p w14:paraId="2DCC1452" w14:textId="77777777" w:rsidR="001F7233" w:rsidRDefault="00000000">
      <w:pPr>
        <w:pStyle w:val="Heading3"/>
      </w:pPr>
      <w:bookmarkStart w:id="124" w:name="sponsor_canada"/>
      <w:r>
        <w:t>Kanadische Stellen mit LMIA-Hinweis suchen</w:t>
      </w:r>
      <w:bookmarkEnd w:id="124"/>
    </w:p>
    <w:p w14:paraId="093463F6" w14:textId="77777777" w:rsidR="001F7233" w:rsidRDefault="00000000">
      <w:r>
        <w:lastRenderedPageBreak/>
        <w:t xml:space="preserve">Nutze die </w:t>
      </w:r>
      <w:hyperlink r:id="rId907">
        <w:r w:rsidR="001F7233">
          <w:rPr>
            <w:color w:val="0563C1"/>
            <w:u w:val="single"/>
          </w:rPr>
          <w:t>Job-Bank-Suche für ausländische Arbeitskräfte</w:t>
        </w:r>
      </w:hyperlink>
      <w:r>
        <w:t>. Dort werben Arbeitgeber, die bereits eine Labour Market Impact Assessment (LMIA) erhalten oder beantragt haben. Lies den Status in der Anzeige: „beantragt“ ist noch keine Bewilligung und ein LMIA allein ist noch keine Arbeitserlaubnis. Prüfe, ob du ein arbeitgeberspezifisches Work Permit brauchst und ob die Stelle dafür passt. Die Suche ist kostenlos. Zahle dem Arbeitgeber keine LMIA-Gebühr; diese Kosten darf er nicht auf dich abwälzen.</w:t>
      </w:r>
    </w:p>
    <w:p w14:paraId="39EB83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Arbeitswelt und Jobwechsel</w:t>
      </w:r>
    </w:p>
    <w:p w14:paraId="1B2082A5" w14:textId="77777777" w:rsidR="001F7233" w:rsidRDefault="00000000">
      <w:r>
        <w:rPr>
          <w:b/>
        </w:rPr>
        <w:t>Plus: Kündigungen ohne Grund sind möglich, aber immer mit Frist oder Ausgleich verbunden</w:t>
      </w:r>
    </w:p>
    <w:p w14:paraId="4940AFCF" w14:textId="77777777" w:rsidR="001F7233" w:rsidRDefault="00000000">
      <w:r>
        <w:rPr>
          <w:b/>
        </w:rPr>
        <w:t xml:space="preserve">Minus: </w:t>
      </w:r>
      <w:r>
        <w:t>Kein deutsches Kündigungsschutzgesetz; die gesetzliche Mindestfrist ist oft kurz</w:t>
      </w:r>
    </w:p>
    <w:p w14:paraId="51A5770F" w14:textId="77777777" w:rsidR="001F7233" w:rsidRDefault="00000000">
      <w:r>
        <w:rPr>
          <w:b/>
        </w:rPr>
        <w:t>Plus: Höflicher, konfliktarmer Umgangston im Team</w:t>
      </w:r>
    </w:p>
    <w:p w14:paraId="53D552A4" w14:textId="77777777" w:rsidR="001F7233" w:rsidRDefault="00000000">
      <w:r>
        <w:rPr>
          <w:b/>
        </w:rPr>
        <w:t xml:space="preserve">Minus: </w:t>
      </w:r>
      <w:r>
        <w:t>Direkte Kritik wird schnell als unhöflich empfunden, Feedback bleibt vage</w:t>
      </w:r>
    </w:p>
    <w:p w14:paraId="39D02F67" w14:textId="77777777" w:rsidR="001F7233" w:rsidRDefault="00000000">
      <w:r>
        <w:rPr>
          <w:b/>
        </w:rPr>
        <w:t xml:space="preserve">Minus: </w:t>
      </w:r>
      <w:r>
        <w:t>LMIA-pflichtiges Work Permit bindet dich fest an einen Arbeitgeber</w:t>
      </w:r>
    </w:p>
    <w:p w14:paraId="02B74363" w14:textId="77777777" w:rsidR="001F7233" w:rsidRDefault="00000000">
      <w:r>
        <w:rPr>
          <w:b/>
        </w:rPr>
        <w:t>Plus: Offene Arbeitsvisa (PGWP, Ehepartner) erlauben Wechsel ohne neuen Antrag</w:t>
      </w:r>
    </w:p>
    <w:p w14:paraId="4BA0CC96" w14:textId="77777777" w:rsidR="001F7233" w:rsidRDefault="00000000">
      <w:r>
        <w:rPr>
          <w:b/>
        </w:rPr>
        <w:t xml:space="preserve">Minus: </w:t>
      </w:r>
      <w:r>
        <w:t>Ein Arbeitgeberwechsel mit LMIA-pflichtigem Visum kann Monate dauern</w:t>
      </w:r>
    </w:p>
    <w:p w14:paraId="72D562FE" w14:textId="77777777" w:rsidR="001F7233" w:rsidRDefault="00000000">
      <w:r>
        <w:rPr>
          <w:b/>
        </w:rPr>
        <w:t>Plus: Kostenlose Jobbörsen und Ankommensorganisationen unterstützen die Jobsuche</w:t>
      </w:r>
    </w:p>
    <w:p w14:paraId="7F43AC92" w14:textId="77777777" w:rsidR="001F7233" w:rsidRDefault="00000000">
      <w:r>
        <w:rPr>
          <w:b/>
        </w:rPr>
        <w:t xml:space="preserve">Minus: </w:t>
      </w:r>
      <w:r>
        <w:t>Urlaubsminimum von zwei Wochen liegt deutlich unter deutschem Niveau</w:t>
      </w:r>
    </w:p>
    <w:p w14:paraId="62405872" w14:textId="77777777" w:rsidR="001F7233" w:rsidRDefault="001F7233">
      <w:pPr>
        <w:spacing w:line="180" w:lineRule="exact"/>
      </w:pPr>
    </w:p>
    <w:p w14:paraId="598DED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34DEEF6C" w14:textId="77777777" w:rsidR="001F7233" w:rsidRDefault="00000000">
      <w:pPr>
        <w:spacing w:after="140"/>
      </w:pPr>
      <w:r>
        <w:t>Kläre schon beim Vertragsabschluss, welches Provinzrecht gilt, wie deine Kündigungsklausel formuliert ist und wie hoch dein tatsächlicher Urlaubsanspruch ausfällt. Bist du mit einem arbeitgebergebundenen Work Permit im Land, plane jeden Arbeitgeberwechsel als mehrmonatiges Verwaltungsverfahren, nicht als spontanen Schritt: neue LMIA und neues Permit zuerst, Kündigung danach.</w:t>
      </w:r>
    </w:p>
    <w:p w14:paraId="6793DAB9" w14:textId="77777777" w:rsidR="001F7233" w:rsidRDefault="00000000">
      <w:r>
        <w:t>• Arbeitsvertrag mit dem gesetzlichen Minimum der zuständigen Provinz verglichen (Urlaub, Kündigungsfrist, Krankheitstage).</w:t>
      </w:r>
    </w:p>
    <w:p w14:paraId="2E3AD8E7" w14:textId="77777777" w:rsidR="001F7233" w:rsidRDefault="00000000">
      <w:r>
        <w:t>• Geklärt, ob eine Kündigungsklausel im Vertrag auf das gesetzliche Minimum begrenzt oder unklar formuliert ist.</w:t>
      </w:r>
    </w:p>
    <w:p w14:paraId="229FECC3" w14:textId="77777777" w:rsidR="001F7233" w:rsidRDefault="00000000">
      <w:r>
        <w:t>• Eigenen Visumstyp geprüft: arbeitgebergebundenes (LMIA-pflichtiges) oder offenes Work Permit.</w:t>
      </w:r>
    </w:p>
    <w:p w14:paraId="6C4ABC52" w14:textId="77777777" w:rsidR="001F7233" w:rsidRDefault="00000000">
      <w:r>
        <w:t>• Bei geplantem Arbeitgeberwechsel: LMIA-Bearbeitungszeit des passenden Streams realistisch eingeplant.</w:t>
      </w:r>
    </w:p>
    <w:p w14:paraId="0A277A92" w14:textId="77777777" w:rsidR="001F7233" w:rsidRDefault="00000000">
      <w:r>
        <w:t>• Erst gekündigt, wenn das neue Work Permit tatsächlich genehmigt ist, nicht schon bei Antragstellung.</w:t>
      </w:r>
    </w:p>
    <w:p w14:paraId="2795F25B" w14:textId="77777777" w:rsidR="001F7233" w:rsidRDefault="00000000">
      <w:r>
        <w:t>• Geprüft, ob der neue Arbeitgeber LMIA-befreit ist oder ein Bridging Open Work Permit infrage kommt.</w:t>
      </w:r>
    </w:p>
    <w:p w14:paraId="3E7F5331" w14:textId="77777777" w:rsidR="001F7233" w:rsidRDefault="00000000">
      <w:r>
        <w:t>• LinkedIn-Profil und Resume auf kanadisches Format gebracht, Cover Letter vorbereitet.</w:t>
      </w:r>
    </w:p>
    <w:p w14:paraId="35A7593D" w14:textId="77777777" w:rsidR="001F7233" w:rsidRDefault="00000000">
      <w:r>
        <w:t>• Kostenlose Angebote von Job Bank und lokalen Ankommensorganisationen genutzt.</w:t>
      </w:r>
    </w:p>
    <w:p w14:paraId="70175C36" w14:textId="77777777" w:rsidR="001F7233" w:rsidRDefault="001F7233">
      <w:pPr>
        <w:spacing w:line="220" w:lineRule="exact"/>
      </w:pPr>
    </w:p>
    <w:p w14:paraId="4B3988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940987F" w14:textId="77777777" w:rsidR="001F7233" w:rsidRDefault="00000000">
      <w:pPr>
        <w:pStyle w:val="ListParagraph"/>
        <w:numPr>
          <w:ilvl w:val="0"/>
          <w:numId w:val="1"/>
        </w:numPr>
        <w:spacing w:after="60"/>
      </w:pPr>
      <w:r>
        <w:t xml:space="preserve">Employment and Social Development Canada (ESDC) – LMIA-Prozess und Bearbeitungszeiten: </w:t>
      </w:r>
      <w:hyperlink r:id="rId908">
        <w:r w:rsidR="001F7233">
          <w:rPr>
            <w:color w:val="0563C1"/>
            <w:u w:val="single"/>
          </w:rPr>
          <w:t>canada.ca/en/employment-social-development/services/foreign-workers</w:t>
        </w:r>
      </w:hyperlink>
    </w:p>
    <w:p w14:paraId="3E274369" w14:textId="77777777" w:rsidR="001F7233" w:rsidRDefault="00000000">
      <w:pPr>
        <w:pStyle w:val="ListParagraph"/>
        <w:numPr>
          <w:ilvl w:val="0"/>
          <w:numId w:val="1"/>
        </w:numPr>
        <w:spacing w:after="60"/>
      </w:pPr>
      <w:r>
        <w:t xml:space="preserve">Immigration, Refugees and Citizenship Canada (IRCC) – Work Permit, Arbeitgeberwechsel, Bridging Open Work Permit: </w:t>
      </w:r>
      <w:hyperlink r:id="rId909">
        <w:r w:rsidR="001F7233">
          <w:rPr>
            <w:color w:val="0563C1"/>
            <w:u w:val="single"/>
          </w:rPr>
          <w:t>canada.ca/en/immigration-refugees-citizenship/services/work-canada</w:t>
        </w:r>
      </w:hyperlink>
    </w:p>
    <w:p w14:paraId="0351F5FB" w14:textId="77777777" w:rsidR="001F7233" w:rsidRDefault="00000000">
      <w:pPr>
        <w:pStyle w:val="ListParagraph"/>
        <w:numPr>
          <w:ilvl w:val="0"/>
          <w:numId w:val="1"/>
        </w:numPr>
        <w:spacing w:after="60"/>
      </w:pPr>
      <w:r>
        <w:t xml:space="preserve">IRCC – Offenes Arbeitsvisum für gefährdete Arbeitnehmer: </w:t>
      </w:r>
      <w:hyperlink r:id="rId910">
        <w:r w:rsidR="001F7233">
          <w:rPr>
            <w:color w:val="0563C1"/>
            <w:u w:val="single"/>
          </w:rPr>
          <w:t>canada.ca/en/immigration-refugees-citizenship/services/work-canada/permit/temporary/vulnerable-workers.html</w:t>
        </w:r>
      </w:hyperlink>
    </w:p>
    <w:p w14:paraId="7A5641B2" w14:textId="77777777" w:rsidR="001F7233" w:rsidRDefault="00000000">
      <w:pPr>
        <w:pStyle w:val="ListParagraph"/>
        <w:numPr>
          <w:ilvl w:val="0"/>
          <w:numId w:val="1"/>
        </w:numPr>
        <w:spacing w:after="60"/>
      </w:pPr>
      <w:r>
        <w:t xml:space="preserve">Job Bank (ESDC) – Stellensuche, Lebenslauf-Hilfe, Lohnvergleiche: </w:t>
      </w:r>
      <w:hyperlink r:id="rId911">
        <w:r w:rsidR="001F7233">
          <w:rPr>
            <w:color w:val="0563C1"/>
            <w:u w:val="single"/>
          </w:rPr>
          <w:t>jobbank.gc.ca</w:t>
        </w:r>
      </w:hyperlink>
    </w:p>
    <w:p w14:paraId="5A234D9D" w14:textId="77777777" w:rsidR="001F7233" w:rsidRDefault="00000000">
      <w:pPr>
        <w:pStyle w:val="ListParagraph"/>
        <w:numPr>
          <w:ilvl w:val="0"/>
          <w:numId w:val="1"/>
        </w:numPr>
        <w:spacing w:after="60"/>
      </w:pPr>
      <w:r>
        <w:t xml:space="preserve">Ontario – Employment Standards Act, Kündigungsfristen und Urlaub: </w:t>
      </w:r>
      <w:hyperlink r:id="rId912">
        <w:r w:rsidR="001F7233">
          <w:rPr>
            <w:color w:val="0563C1"/>
            <w:u w:val="single"/>
          </w:rPr>
          <w:t>ontario.ca/document/your-guide-employment-standards-act-0</w:t>
        </w:r>
      </w:hyperlink>
    </w:p>
    <w:p w14:paraId="17656BDC" w14:textId="77777777" w:rsidR="001F7233" w:rsidRDefault="00000000">
      <w:pPr>
        <w:pStyle w:val="ListParagraph"/>
        <w:numPr>
          <w:ilvl w:val="0"/>
          <w:numId w:val="1"/>
        </w:numPr>
        <w:spacing w:after="60"/>
      </w:pPr>
      <w:r>
        <w:t xml:space="preserve">Alberta – Employment Standards Code: </w:t>
      </w:r>
      <w:hyperlink r:id="rId913">
        <w:r w:rsidR="001F7233">
          <w:rPr>
            <w:color w:val="0563C1"/>
            <w:u w:val="single"/>
          </w:rPr>
          <w:t>alberta.ca/employment-standards</w:t>
        </w:r>
      </w:hyperlink>
    </w:p>
    <w:p w14:paraId="28E79903" w14:textId="77777777" w:rsidR="001F7233" w:rsidRDefault="001F7233">
      <w:pPr>
        <w:spacing w:line="120" w:lineRule="exact"/>
      </w:pPr>
    </w:p>
    <w:p w14:paraId="57E5C382" w14:textId="77777777" w:rsidR="001F7233" w:rsidRDefault="00000000">
      <w:pPr>
        <w:pStyle w:val="ListParagraph"/>
      </w:pPr>
      <w:r>
        <w:t xml:space="preserve">Government of Canada Job Bank — Preparing for an interview: </w:t>
      </w:r>
      <w:hyperlink r:id="rId914">
        <w:r w:rsidR="001F7233">
          <w:rPr>
            <w:rStyle w:val="Hyperlink"/>
          </w:rPr>
          <w:t>jobbank.gc.ca/findajob/resources/prepare-for-interview</w:t>
        </w:r>
      </w:hyperlink>
    </w:p>
    <w:p w14:paraId="248A2DA4" w14:textId="77777777" w:rsidR="001F7233" w:rsidRDefault="00000000">
      <w:r>
        <w:t>• 23.09.2026. Diese Angaben ändern sich schnell: LMIA-Bearbeitungszeiten je Stream, die Employment-Standards-Regeln der einzelnen Provinzen (Urlaub, Kündigungsfristen, Krankheitstage) sowie die IRCC-Gebühren. Arbeitsrecht ist überwiegend Provinzrecht: Prüfe vor jeder Entscheidung die Seiten deiner Zielprovinz und lass Arbeitsverträge sowie Kündigungen anwaltlich prüfen.</w:t>
      </w:r>
    </w:p>
    <w:p w14:paraId="6405B721" w14:textId="77777777" w:rsidR="001F7233" w:rsidRDefault="00000000">
      <w:pPr>
        <w:spacing w:line="220" w:lineRule="exact"/>
      </w:pPr>
      <w:r>
        <w:br w:type="page"/>
      </w:r>
    </w:p>
    <w:p w14:paraId="4A4F62ED" w14:textId="77777777" w:rsidR="001F7233" w:rsidRDefault="00000000">
      <w:pPr>
        <w:pStyle w:val="Heading2"/>
        <w:keepNext/>
        <w:spacing w:line="341" w:lineRule="auto"/>
        <w:jc w:val="center"/>
      </w:pPr>
      <w:bookmarkStart w:id="125" w:name="tka15"/>
      <w:r>
        <w:rPr>
          <w:rFonts w:ascii="Amazon Ember" w:eastAsia="Amazon Ember" w:hAnsi="Amazon Ember" w:cs="Amazon Ember"/>
          <w:color w:val="0000FF"/>
          <w:sz w:val="36"/>
          <w:szCs w:val="36"/>
        </w:rPr>
        <w:lastRenderedPageBreak/>
        <w:t>Kanada: Recht, Sicherheit und Polizeikontakt</w:t>
      </w:r>
      <w:bookmarkEnd w:id="125"/>
    </w:p>
    <w:p w14:paraId="6292F430" w14:textId="77777777" w:rsidR="001F7233" w:rsidRDefault="00000000">
      <w:r>
        <w:rPr>
          <w:b/>
        </w:rPr>
        <w:t xml:space="preserve">KURZ GESAGT: </w:t>
      </w:r>
    </w:p>
    <w:p w14:paraId="3AAECA54" w14:textId="77777777" w:rsidR="001F7233" w:rsidRDefault="00000000">
      <w:r>
        <w:t>• Kanada hat kein einheitliches Polizeisystem: Bundespolizei RCMP, eigenständige Provinzpolizeien in Ontario und Québec sowie viele städtische Polizeien arbeiten nebeneinander.</w:t>
      </w:r>
    </w:p>
    <w:p w14:paraId="5E94B9C7" w14:textId="77777777" w:rsidR="001F7233" w:rsidRDefault="00000000">
      <w:r>
        <w:t>• Bei einer Verkehrskontrolle bleibst du im Auto, hältst die Hände sichtbar und kündigst jede Bewegung vorher an. Name und Dienstnummer des Beamten darfst du erfragen.</w:t>
      </w:r>
    </w:p>
    <w:p w14:paraId="0AA7E927" w14:textId="77777777" w:rsidR="001F7233" w:rsidRDefault="00000000">
      <w:r>
        <w:t>• Waffenrecht ist deutlich reguliert: Handfeuerwaffen-Neuerwerb ist seit 2022 eingefroren, ein laufendes Rückkaufprogramm für „Assault-Style“-Waffen läuft 2026 mit Amnestiefrist bis 30. Oktober.</w:t>
      </w:r>
    </w:p>
    <w:p w14:paraId="66A8392F" w14:textId="77777777" w:rsidR="001F7233" w:rsidRDefault="00000000">
      <w:r>
        <w:t>• Cannabis ist bundesweit legal seit 2018 – ein grundlegender Unterschied zu den USA, wo es bundesrechtlich weiterhin verboten bleibt. An der Grenze zu den USA darfst du trotzdem keinen Krümel mitnehmen.</w:t>
      </w:r>
    </w:p>
    <w:p w14:paraId="5EA6ACDE" w14:textId="77777777" w:rsidR="001F7233" w:rsidRDefault="00000000">
      <w:r>
        <w:t>• Waldbrände im Westen und Winterstürme im Osten verlangen eigene Vorsorge: Warn-Apps, Notvorrat und die richtige Versicherung.</w:t>
      </w:r>
    </w:p>
    <w:p w14:paraId="3B42B6F6" w14:textId="77777777" w:rsidR="001F7233" w:rsidRDefault="001F7233">
      <w:pPr>
        <w:spacing w:line="220" w:lineRule="exact"/>
      </w:pPr>
    </w:p>
    <w:p w14:paraId="0971CD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Kurzform</w:t>
      </w:r>
    </w:p>
    <w:p w14:paraId="6DF65078" w14:textId="77777777" w:rsidR="001F7233" w:rsidRDefault="00000000">
      <w:pPr>
        <w:spacing w:after="140"/>
      </w:pPr>
      <w:r>
        <w:rPr>
          <w:i/>
          <w:iCs/>
        </w:rPr>
        <w:t xml:space="preserve">Kanada folgt wie Großbritannien dem Common Law (Fallrecht, das stark auf Präzedenzfällen und Richterrecht aufbaut), mit Ausnahme von Québec, das für Zivilsachen ein eigenes, am französischen Recht orientiertes Zivilgesetzbuch (Code civil du Québec) hat. Strafrecht dagegen ist bundesweit einheitlich im Criminal Code geregelt. Anders als in den USA, wo jeder Bundesstaat sein eigenes Strafgesetz hat. Was sich zwischen den Provinzen unterscheidet, ist vor allem die </w:t>
      </w:r>
      <w:r>
        <w:rPr>
          <w:i/>
          <w:iCs/>
        </w:rPr>
        <w:lastRenderedPageBreak/>
        <w:t>Umsetzung: Verkehrsrecht, Polizeiorganisation und viele Ordnungsvorschriften sind Provinzsache.</w:t>
      </w:r>
    </w:p>
    <w:p w14:paraId="1D79F518" w14:textId="77777777" w:rsidR="001F7233" w:rsidRDefault="00000000">
      <w:pPr>
        <w:spacing w:after="140"/>
      </w:pPr>
      <w:r>
        <w:rPr>
          <w:i/>
          <w:iCs/>
        </w:rPr>
        <w:t>Die Polizei arbeitet dabei mehrschichtig. Die RCMP ist Bundespolizei und übernimmt zugleich in den meisten Provinzen (außer Ontario und Québec, die eigene Provinzpolizeien betreiben, Ontario Provincial Police und Sûreté du Québec) im Auftrag auch die alltägliche Provinz- und oft Kommunalpolizei. Größere Städte wie Toronto, Vancouver oder Calgary haben auch eigene städtische Polizeibehörden. Für dich als Neuankömmling bedeutet das: Wer genau vor dir steht. RCMP, Provinzpolizei oder Stadtpolizei –, hängt vom Ort ab, die Grundregeln im Umgang bleiben aber gleich.</w:t>
      </w:r>
    </w:p>
    <w:p w14:paraId="6ABC69F7" w14:textId="77777777" w:rsidR="001F7233" w:rsidRDefault="00000000">
      <w:pPr>
        <w:pStyle w:val="Heading4"/>
      </w:pPr>
      <w:r>
        <w:t>Betrugsanrufe und Dating-Profile: lokal melden</w:t>
      </w:r>
    </w:p>
    <w:p w14:paraId="593A172C" w14:textId="77777777" w:rsidR="001F7233" w:rsidRDefault="00000000">
      <w:r>
        <w:t xml:space="preserve">In Kanada schützt die National Do Not Call List nicht vor Betrugsanrufen; Caller-ID kann gefälscht sein. Lass Unbekannte auf die Mailbox sprechen und ruf Banken über eine offizielle Nummer zurück. Melde mutmaßlichen Betrug dem Canadian Anti-Fraud Centre. Beschwerden über unerwünschtes Telemarketing nimmt die CRTC entgegen. Quellen: </w:t>
      </w:r>
      <w:hyperlink r:id="rId915">
        <w:r w:rsidR="001F7233">
          <w:rPr>
            <w:color w:val="0563C1"/>
            <w:u w:val="single"/>
          </w:rPr>
          <w:t>CRTC: Telemarketing und unerwünschte Anrufe</w:t>
        </w:r>
      </w:hyperlink>
      <w:r>
        <w:t xml:space="preserve"> | </w:t>
      </w:r>
      <w:hyperlink r:id="rId916">
        <w:r w:rsidR="001F7233">
          <w:rPr>
            <w:color w:val="0563C1"/>
            <w:u w:val="single"/>
          </w:rPr>
          <w:t>Canadian Anti-Fraud Centre: Romance-Betrug</w:t>
        </w:r>
      </w:hyperlink>
    </w:p>
    <w:p w14:paraId="2497E9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bei einer Verkehrskontrolle</w:t>
      </w:r>
    </w:p>
    <w:p w14:paraId="72D81B70" w14:textId="77777777" w:rsidR="001F7233" w:rsidRDefault="00000000">
      <w:pPr>
        <w:spacing w:after="140"/>
      </w:pPr>
      <w:r>
        <w:t>Bei Blaulicht fährst du, sobald es sicher möglich ist, rechts ran, stellst den Motor ab und lässt das Fenster herunter. Beide Hände gehören sichtbar aufs Lenkrad, nachts schaltest du das Innenlicht ein. Bevor du zum Handschuhfach oder zur Innentasche greifst, um Führerschein, Fahrzeugschein und Versicherungsnachweis herauszuholen, sagst du laut, was du vorhast: „I’m going to reach for my documents in the glove compartment.“ Der Beamte muss sich identifizieren und dir den Grund der Kontrolle nennen. Du darfst nach Namen und Dienstnummer fragen. Bleib höflich, diskutiere nicht am Straßenrand über die Berechtigung der Kontrolle. Das klärst du später, notfalls vor Gericht, nicht an der Autotür.</w:t>
      </w:r>
    </w:p>
    <w:p w14:paraId="67A18036" w14:textId="77777777" w:rsidR="001F7233" w:rsidRDefault="00000000">
      <w:r>
        <w:rPr>
          <w:b/>
        </w:rPr>
        <w:lastRenderedPageBreak/>
        <w:t xml:space="preserve">ACHTUNG: </w:t>
      </w:r>
    </w:p>
    <w:p w14:paraId="39C08071" w14:textId="77777777" w:rsidR="001F7233" w:rsidRDefault="00000000">
      <w:r>
        <w:t>• Der ruhige, formelle Ton bei kanadischen Verkehrskontrollen unterscheidet sich von mancher informellen deutschen Polizeikontrolle. Plötzliche Bewegungen, auch gut gemeinte, wirken auf einen bewaffneten Beamten anders als beabsichtigt. Sichtbare Hände und angekündigte Bewegungen nehmen die Anspannung aus jeder Situation.</w:t>
      </w:r>
    </w:p>
    <w:p w14:paraId="290C4D50" w14:textId="77777777" w:rsidR="001F7233" w:rsidRDefault="001F7233">
      <w:pPr>
        <w:spacing w:line="220" w:lineRule="exact"/>
      </w:pPr>
    </w:p>
    <w:p w14:paraId="57FEBC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w14:paraId="62A08370" w14:textId="77777777" w:rsidR="001F7233" w:rsidRDefault="00000000">
      <w:pPr>
        <w:spacing w:after="140"/>
      </w:pPr>
      <w:r>
        <w:rPr>
          <w:i/>
          <w:iCs/>
        </w:rPr>
        <w:t>Die kanadische Grundrechtecharta (Canadian Charter of Rights and Freedoms) gilt für jeden im Land, unabhängig von der Staatsangehörigkeit. Sie schützt unter anderem vor willkürlicher Festnahme, garantiert das Recht, umgehend über den Grund einer Festnahme oder Ingewahrsamnahme informiert zu werden und das Recht, ohne Verzögerung einen Anwalt zu kontaktieren und über dieses Recht informiert zu werden. Ein allgemeines Schweigerecht gilt ebenfalls: Über deinen Namen und die gesetzlich verlangten Angaben (bei einer Verkehrskontrolle etwa Führerschein und Fahrzeugpapiere) hinaus musst du nichts sagen. Eine Durchsuchung deines Fahrzeugs oder deiner Wohnung ohne konkreten Verdacht oder richterlichen Beschluss darfst du höflich ablehnen. „I do not consent to a search“ –, ohne dich körperlich zu widersetzen. Ob die Ablehnung im Ergebnis Bestand hat, klärt im Zweifel ein Gericht.</w:t>
      </w:r>
    </w:p>
    <w:p w14:paraId="42DF4404" w14:textId="77777777" w:rsidR="001F7233" w:rsidRDefault="00000000">
      <w:pPr>
        <w:spacing w:after="140"/>
      </w:pPr>
      <w:r>
        <w:t>Verbreiteter Irrtum: Viele Neuankömmlinge glauben, das Schweigerecht gelte automatisch, sobald man einfach aufhört zu reden. Sinnvoller ist es, es aktiv auszusprechen und dann tatsächlich zu schweigen, bis ein Anwalt anwesend ist. Bei einer Festnahme hast du auch als deutscher Staatsangehöriger das Recht, mit einem Konsularbeamten zu sprechen. Verlange das ausdrücklich, es wird nicht überall automatisch angeboten.</w:t>
      </w:r>
    </w:p>
    <w:p w14:paraId="0A412F9D" w14:textId="77777777" w:rsidR="001F7233" w:rsidRDefault="00000000">
      <w:r>
        <w:rPr>
          <w:b/>
        </w:rPr>
        <w:t xml:space="preserve">MERKE: </w:t>
      </w:r>
    </w:p>
    <w:p w14:paraId="01CC4B91" w14:textId="77777777" w:rsidR="001F7233" w:rsidRDefault="00000000">
      <w:r>
        <w:lastRenderedPageBreak/>
        <w:t xml:space="preserve">• Kanada: Bei Festnahme oder rechtlicher Inhaftierung muss die Polizei den Grund nennen und dich unverzüglich über das Recht auf anwaltliche Beratung informieren. Sage klar, dass du einen Anwalt sprechen möchtest, bevor du zu einem Vorwurf aussagst. Welche Identitätsangaben du machen musst, hängt vom konkreten Anlass und Gesetz ab. Frage ruhig, ob du festgehalten wirst, lüge nicht und widersetze dich nicht körperlich. </w:t>
      </w:r>
      <w:hyperlink r:id="rId917">
        <w:r w:rsidR="001F7233">
          <w:rPr>
            <w:color w:val="0563C1"/>
            <w:u w:val="single"/>
          </w:rPr>
          <w:t>Justizministerium Kanada: Charter-Rechte bei Festnahme</w:t>
        </w:r>
      </w:hyperlink>
      <w:r>
        <w:t>.</w:t>
      </w:r>
    </w:p>
    <w:p w14:paraId="157BAFA1" w14:textId="77777777" w:rsidR="001F7233" w:rsidRDefault="001F7233">
      <w:pPr>
        <w:spacing w:line="220" w:lineRule="exact"/>
      </w:pPr>
    </w:p>
    <w:p w14:paraId="450D5E93" w14:textId="77777777" w:rsidR="001F7233" w:rsidRDefault="00000000">
      <w:pPr>
        <w:spacing w:after="140"/>
      </w:pPr>
      <w:r>
        <w:rPr>
          <w:b/>
          <w:bCs/>
        </w:rPr>
        <w:t>Bei einer Festnahme gilt: Leiste keinen Widerstand, das hält die Lage kontrollierbar. Sage nur Namen, Adresse und den Wunsch nach einem Anwalt. Im Strafverfahren steht dir bei Bedürftigkeit in jeder Provinz eine Form von Pflichtverteidigung zu (Legal Aid, Organisation und Kosten unterscheiden sich je Provinz). Gegen Kaution (Bail) kommst du in den meisten Fällen frei, die genauen Bedingungen setzt ein Richter oder Friedensrichter fest. Für Nichtstaatsbürger kommt eine zweite Ebene hinzu: Bestimmte Verurteilungen können den Aufenthaltsstatus gefährden, bis hin zur Ausweisung (Removal) durch die Einwanderungsbehörde. Sag deinem Verteidiger deshalb als Erstes, dass du kein kanadischer Staatsbürger bist. Damit er diese Folgen von Anfang an mitdenkt.</w:t>
      </w:r>
    </w:p>
    <w:p w14:paraId="2CF208E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Waffenrecht: drei Klassen und das laufende Rückkaufprogramm</w:t>
      </w:r>
    </w:p>
    <w:p w14:paraId="5C4BE459" w14:textId="77777777" w:rsidR="001F7233" w:rsidRDefault="00000000">
      <w:pPr>
        <w:spacing w:after="140"/>
      </w:pPr>
      <w:r>
        <w:rPr>
          <w:i/>
          <w:iCs/>
        </w:rPr>
        <w:t xml:space="preserve">Kanadisches Waffenrecht kennt drei gesetzliche Kategorien: Non-Restricted (die meisten Jagd- und Sportgewehre sowie Schrotflinten), Restricted (bestimmte Faustfeuerwaffen und kurzläufige halbautomatische Gewehre) und Prohibited (Vollautomaten sowie mehr als 2.500 seit 2020 schrittweise verbotene „Assault-Style“-Modelle). Für Non-Restricted-Waffen brauchst du eine Possession and Acquisition Licence (PAL, Besitz- und Erwerbserlaubnis). Mindestalter </w:t>
      </w:r>
      <w:r>
        <w:rPr>
          <w:i/>
          <w:iCs/>
        </w:rPr>
        <w:lastRenderedPageBreak/>
        <w:t>18 Jahre, ein Sicherheitskurs und eine behördliche Sicherheitsüberprüfung sind Pflicht. Für Restricted-Waffen kommt eine zusätzliche, strengere Lizenz mit eigenem Kurs hinzu.</w:t>
      </w:r>
    </w:p>
    <w:p w14:paraId="66841C25" w14:textId="77777777" w:rsidR="001F7233" w:rsidRDefault="00000000">
      <w:pPr>
        <w:spacing w:after="140"/>
      </w:pPr>
      <w:r>
        <w:rPr>
          <w:i/>
          <w:iCs/>
        </w:rPr>
        <w:t>Seit Oktober 2022 gilt ein bundesweiter Einfrierungsstopp: Verkauf, Erwerb und Import von Handfeuerwaffen sind für Privatpersonen praktisch blockiert, mit engen Ausnahmen für bereits zuvor Berechtigte und für Sportschützen in olympischen Disziplinen. Für die bereits verbotenen „Assault-Style“-Waffen läuft 2026 ein Rückkaufprogramm für Privatpersonen (Assault-Style Firearms Compensation Program, ASFCP): Das Meldefenster für die Teilnahme lief vom 19. Januar bis 31. März 2026, budgetiert für rund 136.000 Waffen, tatsächlich meldeten sich nur rund 67.000 Besitzer. Die Abholung durch RCMP und lokale Polizei läuft seither bis in den Herbst 2026. Wer nicht teilgenommen hat, muss seine Waffe bis zum Ende der Amnestiefrist am 30. Oktober 2026 entsorgen oder dauerhaft unbrauchbar machen lassen.</w:t>
      </w:r>
    </w:p>
    <w:p w14:paraId="7538B445" w14:textId="77777777" w:rsidR="001F7233" w:rsidRDefault="00000000">
      <w:r>
        <w:rPr>
          <w:b/>
        </w:rPr>
        <w:t xml:space="preserve">ACHTUNG: </w:t>
      </w:r>
    </w:p>
    <w:p w14:paraId="1B68AC6F" w14:textId="77777777" w:rsidR="001F7233" w:rsidRDefault="00000000">
      <w:r>
        <w:t>• Die Rechtslage rund um das Rückkaufprogramm ist 2026 in Bewegung und fristen wie die Amnestie bis Ende Oktober können sich ändern. Wer selbst Waffen besitzt oder erbt, sollte den aktuellen Stand direkt bei der RCMP oder der lokalen Polizei prüfen, statt sich auf Hörensagen zu verlassen.</w:t>
      </w:r>
    </w:p>
    <w:p w14:paraId="19ABF16C" w14:textId="77777777" w:rsidR="001F7233" w:rsidRDefault="001F7233">
      <w:pPr>
        <w:spacing w:line="220" w:lineRule="exact"/>
      </w:pPr>
    </w:p>
    <w:p w14:paraId="74598091" w14:textId="77777777" w:rsidR="001F7233" w:rsidRDefault="00000000">
      <w:pPr>
        <w:spacing w:after="140"/>
      </w:pPr>
      <w:r>
        <w:t>Für dich als deutschen Neuankömmling bedeutet das in der Praxis meist wenig Berührung mit dem Thema: Waffenbesitz ist meist möglich, aber mit Lizenz, Kurs und Sicherheitsprüfung verbunden. Wer aus dem ebenfalls streng regulierten Deutschland kommt, wird das Grundniveau vertraut finden, nur die Einteilung ist eine andere. Fasse fremde Waffen bei Einladungen nicht an, leihe keine aus und nimm auch keine zur Aufbewahrung an. Ohne eigene Lizenz kann das rechtliche Folgen haben. Aus Deutschland solltest du ohnehin keine Waffen mitbringen (siehe das Kapitel zum Umzug in diesem Buch).</w:t>
      </w:r>
    </w:p>
    <w:p w14:paraId="28A62DB1" w14:textId="77777777" w:rsidR="001F7233" w:rsidRDefault="00000000">
      <w:pPr>
        <w:spacing w:after="140"/>
      </w:pPr>
      <w:r>
        <w:lastRenderedPageBreak/>
        <w:t>Besitzt du selbst eine Lizenz, schreibt das Gesetz eine getrennte, verschlossene Aufbewahrung von Waffe und Munition vor, meist in einem Tresor oder mit einem abschließbaren Schlossriegel am Abzug. Beim Transport im Auto muss die Waffe entladen und in einem verschlossenen Behältnis liegen, nicht griffbereit im Handschuhfach. Kontrollen durch die Polizei sind jederzeit möglich, auch ohne konkreten Anlass.</w:t>
      </w:r>
    </w:p>
    <w:p w14:paraId="0A33B240" w14:textId="77777777" w:rsidR="001F7233" w:rsidRDefault="00000000">
      <w:r>
        <w:rPr>
          <w:b/>
        </w:rPr>
        <w:t xml:space="preserve">MERKE: </w:t>
      </w:r>
    </w:p>
    <w:p w14:paraId="7C49F7A5" w14:textId="77777777" w:rsidR="001F7233" w:rsidRDefault="00000000">
      <w:r>
        <w:t>• In Kanada ist Waffenbesitz ein bedingtes Privileg mit Nachweispflicht, kein selbstverständliches Recht. Wer hier zum ersten Mal in Kontakt mit dem Thema kommt, etwa bei einer Einladung zum Jagen oder Sportschießen, sollte sich vorher über die eigene rechtliche Position informieren, statt sich auf die Gastfreundschaft des Gastgebers zu verlassen.</w:t>
      </w:r>
    </w:p>
    <w:p w14:paraId="3CAE7033" w14:textId="77777777" w:rsidR="001F7233" w:rsidRDefault="001F7233">
      <w:pPr>
        <w:spacing w:line="220" w:lineRule="exact"/>
      </w:pPr>
    </w:p>
    <w:p w14:paraId="0B1326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legal in Kanada, illegal in den USA</w:t>
      </w:r>
    </w:p>
    <w:p w14:paraId="78C16B02" w14:textId="77777777" w:rsidR="001F7233" w:rsidRDefault="00000000">
      <w:pPr>
        <w:spacing w:after="140"/>
      </w:pPr>
      <w:r>
        <w:rPr>
          <w:i/>
          <w:iCs/>
        </w:rPr>
        <w:t>Ein Punkt, den viele deutsche Auswanderer unterschätzen: Cannabis ist in Kanada seit dem Cannabis Act vom 17. Oktober 2018 bundesweit legal – ein grundlegender Unterschied zu den USA, wo Cannabis trotz einzelstaatlicher Legalisierung nach Bundesrecht weiterhin verboten ist. Bundesweit dürfen Erwachsene bis zu 30 Gramm getrocknetes Cannabis öffentlich mit sich führen und bis zu vier Pflanzen pro Haushalt anbauen. Das Mindestalter liegt föderal bei 18 Jahren, die meisten Provinzen haben es auf 19 angehoben, Québec verlangt als einzige Provinz 21 Jahre. Verkauf läuft über provinzlich lizenzierte Geschäfte, teils als staatliches Monopol, teils privat organisiert.</w:t>
      </w:r>
    </w:p>
    <w:p w14:paraId="2F3329D5" w14:textId="77777777" w:rsidR="001F7233" w:rsidRDefault="00000000">
      <w:pPr>
        <w:spacing w:after="140"/>
      </w:pPr>
      <w:r>
        <w:t xml:space="preserve">Deutschland hat mit dem Cannabisgesetz vom 1. April 2024 einen eigenen, vorsichtigeren Schritt gemacht: Besitz begrenzter Mengen und Eigenanbau von bis zu drei Pflanzen sind seither erlaubt, ein regulierter Verkauf wie in Kanada existiert bislang nicht. Wer mit </w:t>
      </w:r>
      <w:r>
        <w:lastRenderedPageBreak/>
        <w:t>deutschem Maßstab nach Kanada kommt, findet dort also ein deutlich offeneres, seit acht Jahren etabliertes System vor.</w:t>
      </w:r>
    </w:p>
    <w:p w14:paraId="58D89ED4" w14:textId="77777777" w:rsidR="001F7233" w:rsidRDefault="00000000">
      <w:r>
        <w:rPr>
          <w:b/>
        </w:rPr>
        <w:t xml:space="preserve">ACHTUNG: </w:t>
      </w:r>
    </w:p>
    <w:p w14:paraId="09520BAD" w14:textId="77777777" w:rsidR="001F7233" w:rsidRDefault="00000000">
      <w:r>
        <w:t>• Verbreiteter Irrtum ist, kanadische Legalität gelte automatisch auch jenseits der Grenze. Tatsächlich bleibt Cannabis nach US-Bundesrecht vollständig illegal, unabhängig davon, was einzelne US-Bundesstaaten erlauben. Der Grenzübertritt mit Cannabis – ob nach Süden in die USA oder aus den USA zurück. Ist ein Bundesdelikt und kann selbst bei kleinsten Mengen zu jahrelangen Einreiseverboten führen. Lass beim Grenzübertritt jede Spur von Cannabis, auch CBD-Produkte, zu Hause.</w:t>
      </w:r>
    </w:p>
    <w:p w14:paraId="2B96AB77" w14:textId="77777777" w:rsidR="001F7233" w:rsidRDefault="001F7233">
      <w:pPr>
        <w:spacing w:line="220" w:lineRule="exact"/>
      </w:pPr>
    </w:p>
    <w:p w14:paraId="4E3CAFD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und die Wahl des Wohnorts</w:t>
      </w:r>
    </w:p>
    <w:p w14:paraId="0933EE55" w14:textId="77777777" w:rsidR="001F7233" w:rsidRDefault="00000000">
      <w:pPr>
        <w:spacing w:after="140"/>
      </w:pPr>
      <w:r>
        <w:t xml:space="preserve">Kanadas Großstädte gehören im internationalen Vergleich zu den sichereren, wobei sich die Lage innerhalb einer Stadt oft stärker unterscheidet als zwischen ganzen Städten – ein Großteil der Vorfälle konzentriert sich auf wenige Straßenzüge. Pauschalurteile über „gefährliche Viertel“ helfen wenig, konkrete Kriterien mehr: Viele Stadtpolizeien veröffentlichen Kriminalitätskarten, ein Besuch der Zielgegend zu verschiedenen Tageszeiten zeigt mehr als jede Statistik, und Nachbarn oder Vermieter geben oft ehrlichere Auskunft als jede Online-Bewertung (mehr dazu im </w:t>
      </w:r>
      <w:hyperlink w:anchor="tka09">
        <w:r w:rsidR="001F7233">
          <w:rPr>
            <w:color w:val="0563C1"/>
            <w:u w:val="single"/>
          </w:rPr>
          <w:t>Kapitel zum Wohnen in diesem Teil</w:t>
        </w:r>
      </w:hyperlink>
      <w:r>
        <w:t>). Häufiger als Gewaltkriminalität sind Eigentumsdelikte wie Fahrzeugaufbrüche und Paketdiebstahl; lass Wertsachen nie sichtbar im Auto liegen und nutze, wo verfügbar, abschließbare Paketstationen. Bei einem akuten Notfall gilt bundesweit dieselbe Nummer wie in den USA: 911; für weniger dringende Anliegen nutzt du die Nicht-Notfall-Nummer der örtlichen Polizei.</w:t>
      </w:r>
    </w:p>
    <w:p w14:paraId="284AF112" w14:textId="77777777" w:rsidR="001F7233" w:rsidRDefault="00000000">
      <w:pPr>
        <w:spacing w:after="140"/>
      </w:pPr>
      <w:r>
        <w:rPr>
          <w:i/>
          <w:iCs/>
        </w:rPr>
        <w:lastRenderedPageBreak/>
        <w:t>Auch Betrug gegen Neuankömmlingen kommt vor, meist in vertrauten Mustern: angebliche Steuerbehörden-Anrufe (die Canada Revenue Agency verlangt am Telefon nie sofortige Zahlung per Geschenkkarte oder Kryptowährung), gefälschte Vermietungsanzeigen für Wohnungen, die es gar nicht gibt und unseriöse „Einwanderungsberater“, die schnelle Abkürzungen versprechen. Zahle nie unter Zeitdruck und nie an unbekannte Dritte, bevor du eine Wohnung besichtigt oder eine Beratung unabhängig geprüft hast.</w:t>
      </w:r>
    </w:p>
    <w:p w14:paraId="5E0F10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Naturgefahren: Waldbrände im Westen, Winterstürme im Osten</w:t>
      </w:r>
    </w:p>
    <w:p w14:paraId="02EEBFB1" w14:textId="77777777" w:rsidR="001F7233" w:rsidRDefault="00000000">
      <w:pPr>
        <w:spacing w:after="140"/>
      </w:pPr>
      <w:r>
        <w:t>Weitere Regionen bringen eigene Risiken mit, die sich grob nach Landesteil einordnen lassen:</w:t>
      </w:r>
    </w:p>
    <w:p w14:paraId="1C3CA060" w14:textId="77777777" w:rsidR="001F7233" w:rsidRDefault="00000000">
      <w:r>
        <w:rPr>
          <w:b/>
        </w:rPr>
        <w:t>British Columbia, Alberta (Calgary)</w:t>
      </w:r>
    </w:p>
    <w:p w14:paraId="5CE149C2" w14:textId="77777777" w:rsidR="001F7233" w:rsidRDefault="00000000">
      <w:r>
        <w:rPr>
          <w:b/>
        </w:rPr>
        <w:t xml:space="preserve">Typische Gefahr: </w:t>
      </w:r>
      <w:r>
        <w:t>Waldbrände Mai bis September, Rauchbelastung, gelegentliche Erdbebengefahr an der Pazifikküste</w:t>
      </w:r>
    </w:p>
    <w:p w14:paraId="49D781E0" w14:textId="77777777" w:rsidR="001F7233" w:rsidRDefault="00000000">
      <w:r>
        <w:rPr>
          <w:b/>
        </w:rPr>
        <w:t>Prairies (Saskatchewan, Teile Albertas und Manitobas)</w:t>
      </w:r>
    </w:p>
    <w:p w14:paraId="6B9E4584" w14:textId="77777777" w:rsidR="001F7233" w:rsidRDefault="00000000">
      <w:r>
        <w:rPr>
          <w:b/>
        </w:rPr>
        <w:t xml:space="preserve">Typische Gefahr: </w:t>
      </w:r>
      <w:r>
        <w:t>Tornados im Frühsommer, schwere Gewitter mit Hagel</w:t>
      </w:r>
    </w:p>
    <w:p w14:paraId="31DDBC4F" w14:textId="77777777" w:rsidR="001F7233" w:rsidRDefault="00000000">
      <w:r>
        <w:rPr>
          <w:b/>
        </w:rPr>
        <w:t>Ontario, Québec (Toronto, Montreal)</w:t>
      </w:r>
    </w:p>
    <w:p w14:paraId="228DF725" w14:textId="77777777" w:rsidR="001F7233" w:rsidRDefault="00000000">
      <w:r>
        <w:rPr>
          <w:b/>
        </w:rPr>
        <w:t xml:space="preserve">Typische Gefahr: </w:t>
      </w:r>
      <w:r>
        <w:t>Schneestürme, Eisstürme, Extremkälte im Winter</w:t>
      </w:r>
    </w:p>
    <w:p w14:paraId="3B4F151E" w14:textId="77777777" w:rsidR="001F7233" w:rsidRDefault="00000000">
      <w:r>
        <w:rPr>
          <w:b/>
        </w:rPr>
        <w:t>Atlantikprovinzen (Nova Scotia, New Brunswick u. a.)</w:t>
      </w:r>
    </w:p>
    <w:p w14:paraId="63E9EF19" w14:textId="77777777" w:rsidR="001F7233" w:rsidRDefault="00000000">
      <w:r>
        <w:rPr>
          <w:b/>
        </w:rPr>
        <w:t xml:space="preserve">Typische Gefahr: </w:t>
      </w:r>
      <w:r>
        <w:t>Ausläufer tropischer Wirbelstürme im Spätsommer und Herbst, Sturmfluten</w:t>
      </w:r>
    </w:p>
    <w:p w14:paraId="20866BB3" w14:textId="77777777" w:rsidR="001F7233" w:rsidRDefault="001F7233">
      <w:pPr>
        <w:spacing w:line="180" w:lineRule="exact"/>
      </w:pPr>
    </w:p>
    <w:p w14:paraId="5FDE6ECB" w14:textId="77777777" w:rsidR="001F7233" w:rsidRDefault="00000000">
      <w:pPr>
        <w:spacing w:after="140"/>
      </w:pPr>
      <w:r>
        <w:t xml:space="preserve">Selbst die Atlantikküste bleibt vor Wetterextremen nicht verschont: 2022 traf der als Post-Tropical Storm eingestufte Hurrikan „Fiona“ Nova Scotia und die Nachbarprovinzen mit einer der stärksten je dort gemessenen Sturmböen und großflächigen, tagelangen Stromausfällen. Wer in eine der betroffenen Regionen zieht, sollte sich an der jeweiligen Saison orientieren, nicht an der aus </w:t>
      </w:r>
      <w:r>
        <w:lastRenderedPageBreak/>
        <w:t>Deutschland gewohnten Vorstellung von einem gleichmäßig gemäßigten Klima.</w:t>
      </w:r>
    </w:p>
    <w:p w14:paraId="734D477F" w14:textId="77777777" w:rsidR="001F7233" w:rsidRDefault="001F7233">
      <w:pPr>
        <w:spacing w:line="220" w:lineRule="exact"/>
      </w:pPr>
    </w:p>
    <w:p w14:paraId="76BCC699" w14:textId="77777777" w:rsidR="001F7233" w:rsidRDefault="00000000">
      <w:r>
        <w:rPr>
          <w:b/>
        </w:rPr>
        <w:t xml:space="preserve">SPARTIPP: </w:t>
      </w:r>
    </w:p>
    <w:p w14:paraId="431BD856" w14:textId="77777777" w:rsidR="001F7233" w:rsidRDefault="00000000">
      <w:r>
        <w:t>• Prüfe deine Hausrat- oder Gebäudeversicherung, bevor du in eine waldbrand- oder überflutungsgefährdete Gegend ziehst. Rückstau- und Überflutungsschäden sind in Kanada nicht automatisch in jeder Standardpolice enthalten. Ein Vergleich mehrerer Anbieter vor Vertragsabschluss lohnt sich mehr als der Blick auf die günstigste Prämie.</w:t>
      </w:r>
    </w:p>
    <w:p w14:paraId="1E4745B8" w14:textId="77777777" w:rsidR="001F7233" w:rsidRDefault="001F7233">
      <w:pPr>
        <w:spacing w:line="220" w:lineRule="exact"/>
      </w:pPr>
    </w:p>
    <w:p w14:paraId="2F4A5B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52A88F17" w14:textId="77777777" w:rsidR="001F7233" w:rsidRDefault="00000000">
      <w:pPr>
        <w:spacing w:after="140"/>
      </w:pPr>
      <w:r>
        <w:rPr>
          <w:i/>
          <w:iCs/>
        </w:rPr>
        <w:t>Deutschland unterhält die Botschaft in Ottawa sowie Generalkonsulate in Toronto, Montreal und Vancouver. Sie helfen bei Festnahme, schwerer Erkrankung oder Verlust der Papiere, etwa mit einem Reiseausweis als Passersatz und stellen auf Wunsch Kontakt zu Angehörigen her; Anwaltskosten, Kautionen oder ein Eingreifen in ein laufendes Verfahren übernehmen sie nicht. Trage dich auch in die Krisenvorsorgeliste Elefand des Auswärtigen Amts ein. Damit dich die Botschaft im Krisenfall erreichen kann.</w:t>
      </w:r>
    </w:p>
    <w:p w14:paraId="27863A07" w14:textId="77777777" w:rsidR="001F7233" w:rsidRDefault="00000000">
      <w:r>
        <w:t>• Dieses Kapitel gibt eine Orientierung zu Recht und Sicherheit in Kanada, keine Rechtsberatung. Polizei-, Waffen- und Cannabis-Recht unterscheiden sich im Detail zwischen den Provinzen und Territorien und ändern sich, wie das laufende Rückkaufprogramm zeigt, auch kurzfristig. Lass dich im Einzelfall von einer kanadischen Anwältin beraten.</w:t>
      </w:r>
    </w:p>
    <w:p w14:paraId="636CDBC2" w14:textId="77777777" w:rsidR="001F7233" w:rsidRDefault="001F7233">
      <w:pPr>
        <w:spacing w:line="220" w:lineRule="exact"/>
      </w:pPr>
    </w:p>
    <w:p w14:paraId="62378AAD" w14:textId="77777777" w:rsidR="001F7233" w:rsidRDefault="00000000">
      <w:r>
        <w:t>Kanada hat die Todesstrafe abgeschafft; sie ist keine inländische Strafe. Das Justizministerium beschreibt die heutige Rechtslage: https://justice.canada.ca/eng/rp-pr/jr/vea-avp/p1.html. Grenzüberschreitende Strafverfahren und Auslieferungsfragen brauchen anwaltliche Beratung.</w:t>
      </w:r>
    </w:p>
    <w:p w14:paraId="07CFE997" w14:textId="77777777" w:rsidR="001F7233" w:rsidRDefault="00000000">
      <w:pPr>
        <w:pStyle w:val="Heading3"/>
      </w:pPr>
      <w:r>
        <w:lastRenderedPageBreak/>
        <w:t>Todesstrafe: wichtiger Rechtsunterschied</w:t>
      </w:r>
    </w:p>
    <w:p w14:paraId="4E40F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Recht, Sicherheit und Polizeikontakt</w:t>
      </w:r>
    </w:p>
    <w:p w14:paraId="2D7925C0" w14:textId="77777777" w:rsidR="001F7233" w:rsidRDefault="00000000">
      <w:r>
        <w:rPr>
          <w:b/>
        </w:rPr>
        <w:t>Plus: Einheitliches Strafrecht im ganzen Land, anders als in den 50 US-Bundesstaaten</w:t>
      </w:r>
    </w:p>
    <w:p w14:paraId="1BAA0979" w14:textId="77777777" w:rsidR="001F7233" w:rsidRDefault="00000000">
      <w:r>
        <w:rPr>
          <w:b/>
        </w:rPr>
        <w:t xml:space="preserve">Minus: </w:t>
      </w:r>
      <w:r>
        <w:t>Polizeiorganisation bleibt ein Flickenteppich aus RCMP, Provinz- und Stadtpolizei</w:t>
      </w:r>
    </w:p>
    <w:p w14:paraId="653A2ED0" w14:textId="77777777" w:rsidR="001F7233" w:rsidRDefault="00000000">
      <w:r>
        <w:rPr>
          <w:b/>
        </w:rPr>
        <w:t>Plus: Grundrechte bei Polizeikontakt (Schweigen, Anwalt) gelten für alle im Land</w:t>
      </w:r>
    </w:p>
    <w:p w14:paraId="0422C2D3" w14:textId="77777777" w:rsidR="001F7233" w:rsidRDefault="00000000">
      <w:r>
        <w:rPr>
          <w:b/>
        </w:rPr>
        <w:t xml:space="preserve">Minus: </w:t>
      </w:r>
      <w:r>
        <w:t>Formellerer, distanzierterer Kontrollton als mancher informelle deutsche Alltag</w:t>
      </w:r>
    </w:p>
    <w:p w14:paraId="4498C349" w14:textId="77777777" w:rsidR="001F7233" w:rsidRDefault="00000000">
      <w:r>
        <w:rPr>
          <w:b/>
        </w:rPr>
        <w:t>Plus: Striktes Waffenrecht bedeutet vergleichsweise wenig Waffengewalt im Alltag</w:t>
      </w:r>
    </w:p>
    <w:p w14:paraId="3388AEEC" w14:textId="77777777" w:rsidR="001F7233" w:rsidRDefault="00000000">
      <w:r>
        <w:rPr>
          <w:b/>
        </w:rPr>
        <w:t xml:space="preserve">Minus: </w:t>
      </w:r>
      <w:r>
        <w:t>Rückkaufprogramm und Fristen sind 2026 noch in Bewegung</w:t>
      </w:r>
    </w:p>
    <w:p w14:paraId="1DAB60B0" w14:textId="77777777" w:rsidR="001F7233" w:rsidRDefault="00000000">
      <w:r>
        <w:rPr>
          <w:b/>
        </w:rPr>
        <w:t>Plus: Cannabis ist bundesweit legal und reguliert, anders als in den USA</w:t>
      </w:r>
    </w:p>
    <w:p w14:paraId="52A90851" w14:textId="77777777" w:rsidR="001F7233" w:rsidRDefault="00000000">
      <w:r>
        <w:rPr>
          <w:b/>
        </w:rPr>
        <w:t xml:space="preserve">Minus: </w:t>
      </w:r>
      <w:r>
        <w:t>Grenzübertritt in die USA mit Cannabis bleibt ein Bundesdelikt</w:t>
      </w:r>
    </w:p>
    <w:p w14:paraId="39B0F719" w14:textId="77777777" w:rsidR="001F7233" w:rsidRDefault="00000000">
      <w:r>
        <w:rPr>
          <w:b/>
        </w:rPr>
        <w:t>Plus: Klare Warnsysteme (Alert Ready) für Waldbrand, Sturm und Kälte</w:t>
      </w:r>
    </w:p>
    <w:p w14:paraId="55045498" w14:textId="77777777" w:rsidR="001F7233" w:rsidRDefault="00000000">
      <w:r>
        <w:rPr>
          <w:b/>
        </w:rPr>
        <w:t xml:space="preserve">Minus: </w:t>
      </w:r>
      <w:r>
        <w:t>Waldbrand- und Winterrisiko sind für viele Regionen real, nicht nur theoretisch</w:t>
      </w:r>
    </w:p>
    <w:p w14:paraId="222E353F" w14:textId="77777777" w:rsidR="001F7233" w:rsidRDefault="001F7233">
      <w:pPr>
        <w:spacing w:line="180" w:lineRule="exact"/>
      </w:pPr>
    </w:p>
    <w:p w14:paraId="61BD66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A061109" w14:textId="77777777" w:rsidR="001F7233" w:rsidRDefault="00000000">
      <w:pPr>
        <w:spacing w:after="140"/>
      </w:pPr>
      <w:r>
        <w:t xml:space="preserve">Mach dich schon vor dem Umzug mit dem Verhalten bei einer Verkehrskontrolle vertraut und übe den Satz zum Anwalt einmal laut. Kläre für deinen konkreten Wohnort, welche Naturgefahr am wahrscheinlichsten ist, installiere die passenden Warn-Apps und leg einen Notfallplan an, bevor die erste Waldbrand- oder Wintersaison </w:t>
      </w:r>
      <w:r>
        <w:lastRenderedPageBreak/>
        <w:t>beginnt. Cannabis meidest du am besten komplett, sobald eine Reise in die USA ansteht.</w:t>
      </w:r>
    </w:p>
    <w:p w14:paraId="15C858B2" w14:textId="77777777" w:rsidR="001F7233" w:rsidRDefault="00000000">
      <w:r>
        <w:t>• Verhalten bei einer Verkehrskontrolle mit der Familie einmal durchgesprochen: Hände sichtbar, Bewegungen ankündigen, ruhig bleiben.</w:t>
      </w:r>
    </w:p>
    <w:p w14:paraId="41FF50A6" w14:textId="77777777" w:rsidR="001F7233" w:rsidRDefault="00000000">
      <w:r>
        <w:t>• Grundrechte gekannt: Name und Pflichtangaben nennen, sonst schweigen dürfen, Durchsuchung ohne Verdacht ablehnen dürfen.</w:t>
      </w:r>
    </w:p>
    <w:p w14:paraId="7AC5BBAE" w14:textId="77777777" w:rsidR="001F7233" w:rsidRDefault="00000000">
      <w:r>
        <w:t>• Geprüft, ob am Wohnort Waffenbesitz überhaupt relevant wird – für die meisten Neuankömmlinge nicht.</w:t>
      </w:r>
    </w:p>
    <w:p w14:paraId="0EBDF814" w14:textId="77777777" w:rsidR="001F7233" w:rsidRDefault="00000000">
      <w:r>
        <w:t>• Cannabis-Grenzen der eigenen Provinz nachgeschlagen und Cannabis vor jeder Reise in die USA konsequent zu Hause gelassen.</w:t>
      </w:r>
    </w:p>
    <w:p w14:paraId="28E2C01A" w14:textId="77777777" w:rsidR="001F7233" w:rsidRDefault="00000000">
      <w:r>
        <w:t>• Warn-App der zuständigen Provinzbehörde und Alert Ready aktiviert.</w:t>
      </w:r>
    </w:p>
    <w:p w14:paraId="1DF07F10" w14:textId="77777777" w:rsidR="001F7233" w:rsidRDefault="00000000">
      <w:r>
        <w:t>• Notfallplan mit Sammelpunkt, Notvorrat und externer Kontaktperson erstellt.</w:t>
      </w:r>
    </w:p>
    <w:p w14:paraId="2E474595" w14:textId="77777777" w:rsidR="001F7233" w:rsidRDefault="00000000">
      <w:r>
        <w:t>• Winter-Notfallset fürs Auto zusammengestellt, wenn der Wohnort das nahelegt.</w:t>
      </w:r>
    </w:p>
    <w:p w14:paraId="7F452484" w14:textId="77777777" w:rsidR="001F7233" w:rsidRDefault="00000000">
      <w:r>
        <w:t>• Hausrat- oder Gebäudeversicherung auf Überflutungs- und Rückstauschutz geprüft.</w:t>
      </w:r>
    </w:p>
    <w:p w14:paraId="1A96CF6C" w14:textId="77777777" w:rsidR="001F7233" w:rsidRDefault="00000000">
      <w:r>
        <w:t>• Nummer der deutschen Auslandsvertretung gespeichert und in die Krisenvorsorgeliste Elefand eingetragen.</w:t>
      </w:r>
    </w:p>
    <w:p w14:paraId="26A01244" w14:textId="77777777" w:rsidR="001F7233" w:rsidRDefault="001F7233">
      <w:pPr>
        <w:spacing w:line="220" w:lineRule="exact"/>
      </w:pPr>
    </w:p>
    <w:p w14:paraId="65E97E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9AFEFCD" w14:textId="77777777" w:rsidR="001F7233" w:rsidRDefault="00000000">
      <w:pPr>
        <w:pStyle w:val="ListParagraph"/>
        <w:numPr>
          <w:ilvl w:val="0"/>
          <w:numId w:val="1"/>
        </w:numPr>
        <w:spacing w:after="60"/>
      </w:pPr>
      <w:r>
        <w:t xml:space="preserve">RCMP – Newcomers Guide, Verhalten bei Polizeikontakt: </w:t>
      </w:r>
      <w:hyperlink r:id="rId918">
        <w:r w:rsidR="001F7233">
          <w:rPr>
            <w:color w:val="0563C1"/>
            <w:u w:val="single"/>
          </w:rPr>
          <w:t>rcmp.ca/en/bc/corporate-information/newcomers-guide/interactions-police</w:t>
        </w:r>
      </w:hyperlink>
    </w:p>
    <w:p w14:paraId="7D8F6ED3" w14:textId="77777777" w:rsidR="001F7233" w:rsidRDefault="00000000">
      <w:pPr>
        <w:pStyle w:val="ListParagraph"/>
        <w:numPr>
          <w:ilvl w:val="0"/>
          <w:numId w:val="1"/>
        </w:numPr>
        <w:spacing w:after="60"/>
      </w:pPr>
      <w:r>
        <w:t xml:space="preserve">RCMP – Waffenrecht und Lizenzierung: </w:t>
      </w:r>
      <w:hyperlink r:id="rId919">
        <w:r w:rsidR="001F7233">
          <w:rPr>
            <w:color w:val="0563C1"/>
            <w:u w:val="single"/>
          </w:rPr>
          <w:t>rcmp.ca/en/firearms</w:t>
        </w:r>
      </w:hyperlink>
    </w:p>
    <w:p w14:paraId="029B8F50" w14:textId="77777777" w:rsidR="001F7233" w:rsidRDefault="00000000">
      <w:pPr>
        <w:pStyle w:val="ListParagraph"/>
        <w:numPr>
          <w:ilvl w:val="0"/>
          <w:numId w:val="1"/>
        </w:numPr>
        <w:spacing w:after="60"/>
      </w:pPr>
      <w:r>
        <w:t xml:space="preserve">Kanadische Regierung – Rückkaufprogramm für Waffen (Suchbegriff Assault-Style Firearms Compensation Program): </w:t>
      </w:r>
      <w:hyperlink r:id="rId920">
        <w:r w:rsidR="001F7233">
          <w:rPr>
            <w:color w:val="0563C1"/>
            <w:u w:val="single"/>
          </w:rPr>
          <w:t>canada.ca</w:t>
        </w:r>
      </w:hyperlink>
    </w:p>
    <w:p w14:paraId="24D5B0E1" w14:textId="77777777" w:rsidR="001F7233" w:rsidRDefault="00000000">
      <w:pPr>
        <w:pStyle w:val="ListParagraph"/>
        <w:numPr>
          <w:ilvl w:val="0"/>
          <w:numId w:val="1"/>
        </w:numPr>
        <w:spacing w:after="60"/>
      </w:pPr>
      <w:r>
        <w:lastRenderedPageBreak/>
        <w:t xml:space="preserve">Health Canada – Cannabis Act, Regeln zu Besitz und Anbau: </w:t>
      </w:r>
      <w:hyperlink r:id="rId921">
        <w:r w:rsidR="001F7233">
          <w:rPr>
            <w:color w:val="0563C1"/>
            <w:u w:val="single"/>
          </w:rPr>
          <w:t>canada.ca/en/health-canada/services/drugs-medication/cannabis.html</w:t>
        </w:r>
      </w:hyperlink>
    </w:p>
    <w:p w14:paraId="34EF5FCA" w14:textId="77777777" w:rsidR="001F7233" w:rsidRDefault="00000000">
      <w:pPr>
        <w:pStyle w:val="ListParagraph"/>
        <w:numPr>
          <w:ilvl w:val="0"/>
          <w:numId w:val="1"/>
        </w:numPr>
        <w:spacing w:after="60"/>
      </w:pPr>
      <w:r>
        <w:t xml:space="preserve">Canada Border Services Agency – Einfuhrbestimmungen für Cannabis (Suchbegriff CBSA cannabis travellers): </w:t>
      </w:r>
      <w:hyperlink r:id="rId922">
        <w:r w:rsidR="001F7233">
          <w:rPr>
            <w:color w:val="0563C1"/>
            <w:u w:val="single"/>
          </w:rPr>
          <w:t>cbsa-asfc.gc.ca</w:t>
        </w:r>
      </w:hyperlink>
    </w:p>
    <w:p w14:paraId="5E3A8DC4" w14:textId="77777777" w:rsidR="001F7233" w:rsidRDefault="00000000">
      <w:pPr>
        <w:pStyle w:val="ListParagraph"/>
        <w:numPr>
          <w:ilvl w:val="0"/>
          <w:numId w:val="1"/>
        </w:numPr>
        <w:spacing w:after="60"/>
      </w:pPr>
      <w:r>
        <w:t xml:space="preserve">Alert Ready – nationales Warnsystem: </w:t>
      </w:r>
      <w:hyperlink r:id="rId923">
        <w:r w:rsidR="001F7233">
          <w:rPr>
            <w:color w:val="0563C1"/>
            <w:u w:val="single"/>
          </w:rPr>
          <w:t>alertready.ca</w:t>
        </w:r>
      </w:hyperlink>
    </w:p>
    <w:p w14:paraId="075D79B0" w14:textId="77777777" w:rsidR="001F7233" w:rsidRDefault="00000000">
      <w:pPr>
        <w:pStyle w:val="ListParagraph"/>
        <w:numPr>
          <w:ilvl w:val="0"/>
          <w:numId w:val="1"/>
        </w:numPr>
        <w:spacing w:after="60"/>
      </w:pPr>
      <w:r>
        <w:t xml:space="preserve">Environment and Climate Change Canada – Wetterwarnungen: </w:t>
      </w:r>
      <w:hyperlink r:id="rId924">
        <w:r w:rsidR="001F7233">
          <w:rPr>
            <w:color w:val="0563C1"/>
            <w:u w:val="single"/>
          </w:rPr>
          <w:t>weather.gc.ca</w:t>
        </w:r>
      </w:hyperlink>
    </w:p>
    <w:p w14:paraId="2812147A" w14:textId="77777777" w:rsidR="001F7233" w:rsidRDefault="00000000">
      <w:pPr>
        <w:pStyle w:val="ListParagraph"/>
        <w:numPr>
          <w:ilvl w:val="0"/>
          <w:numId w:val="1"/>
        </w:numPr>
        <w:spacing w:after="60"/>
      </w:pPr>
      <w:r>
        <w:t xml:space="preserve">Auswärtiges Amt – Hilfe für Deutsche im Ausland und Krisenvorsorgeliste Elefand: </w:t>
      </w:r>
      <w:hyperlink r:id="rId925">
        <w:r w:rsidR="001F7233">
          <w:rPr>
            <w:color w:val="0563C1"/>
            <w:u w:val="single"/>
          </w:rPr>
          <w:t>auswaertiges-amt.de</w:t>
        </w:r>
      </w:hyperlink>
    </w:p>
    <w:p w14:paraId="58A8675B" w14:textId="77777777" w:rsidR="001F7233" w:rsidRDefault="001F7233">
      <w:pPr>
        <w:spacing w:line="120" w:lineRule="exact"/>
      </w:pPr>
    </w:p>
    <w:p w14:paraId="4F92027F" w14:textId="77777777" w:rsidR="001F7233" w:rsidRDefault="00000000">
      <w:r>
        <w:t>• 23.09.2026. Diese Angaben ändern sich schnell: das laufende Rückkaufprogramm für Waffen (Meldefenster abgeschlossen, Abholung und Amnestiefrist bis 30. Oktober 2026 noch offen), die genaue Cannabis-Rechtslage je Provinz sowie die jährliche Waldbrand- und Wintersturmlage. Prüfe vor jeder Entscheidung die aktuellen Seiten von RCMP, Public Safety Canada und der passenden Provinzbehörde.</w:t>
      </w:r>
    </w:p>
    <w:p w14:paraId="2F76A651" w14:textId="77777777" w:rsidR="001F7233" w:rsidRDefault="001F7233">
      <w:pPr>
        <w:spacing w:line="220" w:lineRule="exact"/>
      </w:pPr>
    </w:p>
    <w:p w14:paraId="75D745A4" w14:textId="77777777" w:rsidR="001F7233" w:rsidRDefault="00000000">
      <w:pPr>
        <w:pStyle w:val="Heading3"/>
      </w:pPr>
      <w:r>
        <w:t>Waffen und Selbstschutz</w:t>
      </w:r>
    </w:p>
    <w:p w14:paraId="5E97AB13" w14:textId="77777777" w:rsidR="001F7233" w:rsidRDefault="00000000">
      <w:r>
        <w:t xml:space="preserve">Eine Waffe ist für den normalen Alltag nicht erforderlich. Wer eine besitzen oder nutzen möchte, muss vorab die bundesrechtliche Klasse, Lizenz, Sicherheitsausbildung, Aufbewahrung sowie Provinz- und Territorialregeln prüfen. Die Possession and Acquisition Licence (PAL) ist der reguläre Einstieg für neue erwachsene Antragsteller; für das bloße Innehaben kann bereits eine Lizenz nötig sein. Transport oder Einfuhr aus Deutschland sind gesondert zu klären. Setze auf Schlösser, Außenbeleuchtung, Rauch- und CO-Melder und örtliche Notrufinformationen. </w:t>
      </w:r>
      <w:hyperlink r:id="rId926">
        <w:r w:rsidR="001F7233">
          <w:rPr>
            <w:color w:val="0563C1"/>
            <w:u w:val="single"/>
          </w:rPr>
          <w:t>RCMP: Lizenzinformationen</w:t>
        </w:r>
      </w:hyperlink>
      <w:r>
        <w:t xml:space="preserve"> </w:t>
      </w:r>
      <w:hyperlink r:id="rId927">
        <w:r w:rsidR="001F7233">
          <w:rPr>
            <w:color w:val="0563C1"/>
            <w:u w:val="single"/>
          </w:rPr>
          <w:t>RCMP: Umzug nach Kanada mit einer Waffe</w:t>
        </w:r>
      </w:hyperlink>
    </w:p>
    <w:p w14:paraId="7B8AD389" w14:textId="77777777" w:rsidR="001F7233" w:rsidRDefault="00000000">
      <w:pPr>
        <w:pStyle w:val="Heading3"/>
      </w:pPr>
      <w:r>
        <w:t>Wildtiere, Haustiere und Alltagssicherheit</w:t>
      </w:r>
    </w:p>
    <w:p w14:paraId="17E23498" w14:textId="77777777" w:rsidR="001F7233" w:rsidRDefault="00000000">
      <w:r>
        <w:lastRenderedPageBreak/>
        <w:t xml:space="preserve">Kojoten können unbeaufsichtigte kleine Hunde töten; auch Bären, Wölfe und Pumas kommen je nach Region bis in Wohngebiete. Lass Hunde nicht allein im Garten, hole sie besonders nachts hinein und führe sie an der Leine. Sichere Müll, Tierfutter, Kompost und Fallobst; ein Zaun muss für die jeweilige Tierart geeignet sein. Halte Abstand, füttere Wildtiere nicht und befolge örtliche Warnungen. Bei Sichtung oder aggressivem Verhalten gelten die Meldewege der Provinz, Gemeinde oder des Parks. </w:t>
      </w:r>
      <w:hyperlink r:id="rId928">
        <w:r w:rsidR="001F7233">
          <w:rPr>
            <w:color w:val="0563C1"/>
            <w:u w:val="single"/>
          </w:rPr>
          <w:t>Ontario: Konflikte mit Kojoten vermeiden</w:t>
        </w:r>
      </w:hyperlink>
      <w:r>
        <w:t xml:space="preserve"> </w:t>
      </w:r>
      <w:hyperlink r:id="rId929">
        <w:r w:rsidR="001F7233">
          <w:rPr>
            <w:color w:val="0563C1"/>
            <w:u w:val="single"/>
          </w:rPr>
          <w:t>British Columbia: Wölfe, Kojoten und Haustiere</w:t>
        </w:r>
      </w:hyperlink>
      <w:r>
        <w:t xml:space="preserve"> </w:t>
      </w:r>
      <w:hyperlink r:id="rId930">
        <w:r w:rsidR="001F7233">
          <w:rPr>
            <w:color w:val="0563C1"/>
            <w:u w:val="single"/>
          </w:rPr>
          <w:t>Parks Canada: Hunde und Wildtiere</w:t>
        </w:r>
      </w:hyperlink>
    </w:p>
    <w:p w14:paraId="5C086E94" w14:textId="77777777" w:rsidR="001F7233" w:rsidRDefault="00000000">
      <w:pPr>
        <w:pStyle w:val="Heading3"/>
      </w:pPr>
      <w:r>
        <w:t>Coast Guard, Seenotrettung und Strandwachen</w:t>
      </w:r>
    </w:p>
    <w:p w14:paraId="4A8708EB" w14:textId="77777777" w:rsidR="001F7233" w:rsidRDefault="00000000">
      <w:r>
        <w:t xml:space="preserve">Die Canadian Coast Guard koordiniert maritime Kommunikation und Rettungswege; bei einem Seenotfall nutze UKW/VHF-Kanal 16 oder den für deine Region veröffentlichten Notruf. Das ist nicht dasselbe wie ein Bademeister am Strand. Strandaufsicht ist örtlich organisiert und kann saisonal oder gar nicht verfügbar sein. Prüfe vor dem Schwimmen lokale Warnungen, Strömungen, Wassertemperatur und bewachte Bereiche; beaufsichtige Kinder ständig. </w:t>
      </w:r>
      <w:hyperlink r:id="rId931">
        <w:r w:rsidR="001F7233">
          <w:rPr>
            <w:color w:val="0563C1"/>
            <w:u w:val="single"/>
          </w:rPr>
          <w:t>Canadian Coast Guard: Notfallkontakt und Kanal 16</w:t>
        </w:r>
      </w:hyperlink>
      <w:r>
        <w:t xml:space="preserve"> </w:t>
      </w:r>
      <w:hyperlink r:id="rId932">
        <w:r w:rsidR="001F7233">
          <w:rPr>
            <w:color w:val="0563C1"/>
            <w:u w:val="single"/>
          </w:rPr>
          <w:t>Canadian Coast Guard: Rettungsstationen</w:t>
        </w:r>
      </w:hyperlink>
      <w:r>
        <w:br w:type="page"/>
      </w:r>
    </w:p>
    <w:p w14:paraId="396E0174" w14:textId="77777777" w:rsidR="001F7233" w:rsidRDefault="00000000">
      <w:pPr>
        <w:pStyle w:val="Heading2"/>
        <w:keepNext/>
        <w:spacing w:line="341" w:lineRule="auto"/>
        <w:jc w:val="center"/>
      </w:pPr>
      <w:bookmarkStart w:id="126" w:name="tka16"/>
      <w:r>
        <w:rPr>
          <w:rFonts w:ascii="Amazon Ember" w:eastAsia="Amazon Ember" w:hAnsi="Amazon Ember" w:cs="Amazon Ember"/>
          <w:color w:val="0000FF"/>
          <w:sz w:val="36"/>
          <w:szCs w:val="36"/>
        </w:rPr>
        <w:lastRenderedPageBreak/>
        <w:t>Kanada: Staatsbürgerschaft und Steuerresidenz</w:t>
      </w:r>
      <w:bookmarkEnd w:id="126"/>
    </w:p>
    <w:p w14:paraId="4C3A9010" w14:textId="77777777" w:rsidR="001F7233" w:rsidRDefault="00000000">
      <w:r>
        <w:rPr>
          <w:b/>
        </w:rPr>
        <w:t xml:space="preserve">KURZ GESAGT: </w:t>
      </w:r>
    </w:p>
    <w:p w14:paraId="7DB5963E" w14:textId="77777777" w:rsidR="001F7233" w:rsidRDefault="00000000">
      <w:r>
        <w:t>• Einbürgerung setzt 1.095 Tage (drei Jahre) physische Anwesenheit in der letzten fünf Jahre vor Antragstellung voraus, davon mindestens 730 Tage als Permanent Resident (PR). Zeiten vor dem PR-Status zählen nur zur Hälfte, gedeckelt auf 365 Anrechnungstage.</w:t>
      </w:r>
    </w:p>
    <w:p w14:paraId="3A51BFF6" w14:textId="77777777" w:rsidR="001F7233" w:rsidRDefault="00000000">
      <w:r>
        <w:t>• Sprachnachweis (CLB/NCLC 4 in Sprechen und Hören) und Staatskundetest (20 Fragen, 15 richtig) sind nur für 18- bis 54-Jährige Pflicht. Der Test läuft seit März 2026 dauerhaft online.</w:t>
      </w:r>
    </w:p>
    <w:p w14:paraId="6D3E0885" w14:textId="77777777" w:rsidR="001F7233" w:rsidRDefault="00000000">
      <w:r>
        <w:t>• Gebühr 653 CAD pro Erwachsenem (seit 31. März 2026); realistische Gesamtdauer von der Einreise bis zum Einbürgerungsantrag vier bis neun Jahre, je nachdem, wie schnell der PR-Status erreicht wurde.</w:t>
      </w:r>
    </w:p>
    <w:p w14:paraId="7FD9D371" w14:textId="77777777" w:rsidR="001F7233" w:rsidRDefault="00000000">
      <w:r>
        <w:t>• Doppelte Staatsbürgerschaft ist seit 1977 (Kanada) und seit dem 27. Juni 2024 (Deutschland) für beide Seiten unproblematisch.</w:t>
      </w:r>
    </w:p>
    <w:p w14:paraId="6291A370" w14:textId="77777777" w:rsidR="001F7233" w:rsidRDefault="00000000">
      <w:r>
        <w:t>• Verbreiteter Irrtum: Kanada besteuert nach Steuerwohnsitz, nicht nach Pass. Anders als die USA gibt es keine an die Staatsbürgerschaft gekoppelte, lebenslange Steuerpflicht und keine Exit Tax beim Verzicht auf die kanadische Staatsbürgerschaft.</w:t>
      </w:r>
    </w:p>
    <w:p w14:paraId="0837F69A" w14:textId="77777777" w:rsidR="001F7233" w:rsidRDefault="001F7233">
      <w:pPr>
        <w:spacing w:line="220" w:lineRule="exact"/>
      </w:pPr>
    </w:p>
    <w:p w14:paraId="65FC2F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16B88073" w14:textId="77777777" w:rsidR="001F7233" w:rsidRDefault="00000000">
      <w:r>
        <w:rPr>
          <w:b/>
        </w:rPr>
        <w:t xml:space="preserve">Realistische Gesamtdauer Einreise → Antrag: </w:t>
      </w:r>
      <w:r>
        <w:t>ca. 4–5 Jahre</w:t>
      </w:r>
    </w:p>
    <w:p w14:paraId="3F2481E9" w14:textId="77777777" w:rsidR="001F7233" w:rsidRDefault="00000000">
      <w:r>
        <w:rPr>
          <w:b/>
        </w:rPr>
        <w:t>Befristetes Work- oder Study-Permit → PR über Canadian Experience Class</w:t>
      </w:r>
    </w:p>
    <w:p w14:paraId="7698A214" w14:textId="77777777" w:rsidR="001F7233" w:rsidRDefault="00000000">
      <w:r>
        <w:rPr>
          <w:b/>
        </w:rPr>
        <w:t xml:space="preserve">Realistische Gesamtdauer Einreise → Antrag: </w:t>
      </w:r>
      <w:r>
        <w:t>ca. 6–9 Jahre</w:t>
      </w:r>
    </w:p>
    <w:p w14:paraId="588EE2AF" w14:textId="77777777" w:rsidR="001F7233" w:rsidRDefault="001F7233">
      <w:pPr>
        <w:spacing w:line="180" w:lineRule="exact"/>
      </w:pPr>
    </w:p>
    <w:p w14:paraId="7C9B3281" w14:textId="77777777" w:rsidR="001F7233" w:rsidRDefault="00000000">
      <w:pPr>
        <w:spacing w:after="140"/>
      </w:pPr>
      <w:r>
        <w:rPr>
          <w:i/>
          <w:iCs/>
        </w:rPr>
        <w:t>Der Weg zur kanadischen Staatsbürgerschaft umfasst vier Etappen. Zuerst kommst du mit befristetem Status ins Land, etwa mit einem Work Permit (oft LMIA-gestützt) oder einem Study Permit mit anschließendem Post-Graduation Work Permit. Danach wechselst du über Express Entry oder eine Nominierung im Provincial Nominee Program zum PR-Status. Als Permanent Resident musst du 1.095 Tage anrechenbare Anwesenheit erfüllen. Dann folgen Einbürgerungsantrag und Bearbeitung; bis zur Zeremonie vergehen derzeit rund zwölf bis 18 Monate.</w:t>
      </w:r>
      <w:r>
        <w:rPr>
          <w:i/>
          <w:iCs/>
        </w:rPr>
      </w:r>
    </w:p>
    <w:p w14:paraId="68ED84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1.095 Tage, aber nicht wie gedacht</w:t>
      </w:r>
    </w:p>
    <w:p w14:paraId="7AFC97D0" w14:textId="77777777" w:rsidR="001F7233" w:rsidRDefault="00000000">
      <w:pPr>
        <w:spacing w:after="140"/>
      </w:pPr>
      <w:r>
        <w:rPr>
          <w:i/>
          <w:iCs/>
        </w:rPr>
        <w:t>Die Grundregel klingt einfach: 1.095 Tage physische Anwesenheit in Kanada in der fünf Jahre unmittelbar vor der Antragstellung, nicht am Stück. Der Teufel steckt in zwei Details, die in Foren und Ratgebern regelmäßig durcheinandergeraten. Erstens: Mindestens 730 dieser 1.095 Tage müssen als PR verbracht worden sein. Wer vorher lange als Temporary Resident in Kanada war, kann diese Zeit nicht beliebig anrechnen. Zweitens: Tage vor der PR-Erteilung zählen nur zur Hälfte und sind auf maximal 365 Anrechnungstage gedeckelt. Wer zwei Jahre als Study- oder Work-Permit-Inhaber in Kanada verbracht hat, bevor der PR-Status kam, darf davon höchstens 365 Tage zur Hälfte anrechnen lassen. Nicht die vollen 730 Tage, wie viele Neuankömmlinge zunächst annehmen.</w:t>
      </w:r>
    </w:p>
    <w:p w14:paraId="4758FC33" w14:textId="77777777" w:rsidR="001F7233" w:rsidRDefault="00000000">
      <w:pPr>
        <w:spacing w:after="140"/>
      </w:pPr>
      <w:r>
        <w:t>Ein zweiter, oft vermischter Punkt betrifft den PR-Status selbst: Um ihn zu behalten (unabhängig von der Einbürgerung), reicht eine andere Regel. 730 von 1.825 Tagen (fünf Jahre), ebenfalls nicht am Stück. Diese beiden 730-Tage-Regeln beziehen sich auf unterschiedliche Dinge (PR-Erhalt versus Einbürgerungsfähigkeit) und werden in der Praxis häufig verwechselt.</w:t>
      </w:r>
    </w:p>
    <w:p w14:paraId="3BD01143" w14:textId="77777777" w:rsidR="001F7233" w:rsidRDefault="00000000">
      <w:r>
        <w:rPr>
          <w:b/>
        </w:rPr>
        <w:t xml:space="preserve">ACHTUNG: </w:t>
      </w:r>
    </w:p>
    <w:p w14:paraId="3832FDEC" w14:textId="77777777" w:rsidR="001F7233" w:rsidRDefault="00000000">
      <w:r>
        <w:t xml:space="preserve">• Der Anrechnungsdeckel für Zeit vor dem PR-Status wird regelmäßig unterschätzt. Wer glaubt, seine gesamte Study- oder Work-Permit-Zeit zähle voll zur 1.095-Tage-Pflicht, plant seinen Zeitplan oft ein bis zwei Jahre zu optimistisch. Rechne bei einem längeren befristeten Aufenthalt vor dem PR-Status immer mit dem </w:t>
      </w:r>
      <w:r>
        <w:lastRenderedPageBreak/>
        <w:t>Deckel von 365 halb angerechneten Tagen, nicht mit der vollen Aufenthaltsdauer.</w:t>
      </w:r>
    </w:p>
    <w:p w14:paraId="1744249F" w14:textId="77777777" w:rsidR="001F7233" w:rsidRDefault="001F7233">
      <w:pPr>
        <w:spacing w:line="220" w:lineRule="exact"/>
      </w:pPr>
    </w:p>
    <w:p w14:paraId="2C3DB218" w14:textId="77777777" w:rsidR="001F7233" w:rsidRDefault="00000000">
      <w:pPr>
        <w:spacing w:after="140"/>
      </w:pPr>
      <w:r>
        <w:t>Auslandsreisen nach der Antragstellung sind meist erlaubt, solange die Anwesenheitspflicht davor bereits erfüllt war. Riskant wird es nur, wenn dabei ein Testtermin, ein Zeremonietermin oder wichtige Post der Einwanderungsbehörde IRCC verpasst wird. Zeiten in Haft, Bewährung oder gegen Kaution freigelassen zählen in aller Regel nicht zur Anwesenheit.</w:t>
      </w:r>
    </w:p>
    <w:p w14:paraId="55E5FD63" w14:textId="77777777" w:rsidR="001F7233" w:rsidRDefault="001F7233">
      <w:pPr>
        <w:spacing w:line="220" w:lineRule="exact"/>
      </w:pPr>
    </w:p>
    <w:p w14:paraId="7336A1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Staatskundetest</w:t>
      </w:r>
    </w:p>
    <w:p w14:paraId="11DB79A3" w14:textId="77777777" w:rsidR="001F7233" w:rsidRDefault="00000000">
      <w:pPr>
        <w:spacing w:after="140"/>
      </w:pPr>
      <w:r>
        <w:t>Ein formaler Sprachnachweis ist nur für Antragsteller zwischen 18 und 54 Jahren Pflicht: CLB/NCLC-Stufe 4 in Sprechen und Hören, nicht in Lesen und Schreiben. Anerkannt werden unter anderem zertifizierte Sprachtests wie CELPIP oder IELTS General, ein Bildungsabschluss in Englisch oder Französisch oder bestimmte geförderte Sprachprogramme. Unter 18 und ab 55 Jahren entfällt die Sprachpflicht vollständig.</w:t>
      </w:r>
    </w:p>
    <w:p w14:paraId="2BD62E1E" w14:textId="77777777" w:rsidR="001F7233" w:rsidRDefault="00000000">
      <w:pPr>
        <w:spacing w:after="140"/>
      </w:pPr>
      <w:r>
        <w:rPr>
          <w:i/>
          <w:iCs/>
        </w:rPr>
        <w:t>Der Staatskundetest (Citizenship Test) prüft anhand von 20 Fragen aus dem Leitfaden „Discover Canada“ Wissen zu Geschichte, Geografie, Wirtschaft, Regierungssystem sowie Rechten und Pflichten; 15 richtige Antworten (75 %) gelten als bestanden. Auch hier sind nur 18- bis 54-Jährige geprüfungspflichtig. Seit dem 9. März 2026 ist das Online-Format dauerhafter Standard für alle berechtigten Antragsteller, mit rund 45 Minuten Bearbeitungszeit (vor Ort etwas kürzer). Wählbar sind Englisch oder Französisch. Nach Sekundärquellen bestehen rund 96 % der Antragsteller den Test beim ersten Versuch. Wer durchfällt, kann ihn in aller Regel wiederholen.</w:t>
      </w:r>
    </w:p>
    <w:p w14:paraId="52B40ED0" w14:textId="77777777" w:rsidR="001F7233" w:rsidRDefault="00000000">
      <w:pPr>
        <w:spacing w:after="140"/>
      </w:pPr>
      <w:r>
        <w:t xml:space="preserve">Ein ausländisches Führungszeugnis ist für den Einbürgerungsantrag selbst meist nicht einzureichen. Die Einwanderungsbehörde IRCC gleicht stattdessen mit eigenen Datenbanken ab und fragt gezielt nach, falls nötig. Anders bei der vorgelagerten PR-Erteilung: Dort ist </w:t>
      </w:r>
      <w:r>
        <w:lastRenderedPageBreak/>
        <w:t>ein Führungszeugnis aus jedem Land Pflicht, in dem man in den letzten Jahren mindestens sechs Monate am Stück gelebt hat. Für Deutsche also das Führungszeugnis vom Bundesamt für Justiz.</w:t>
      </w:r>
    </w:p>
    <w:p w14:paraId="60A91A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w14:paraId="525F1229" w14:textId="77777777" w:rsidR="001F7233" w:rsidRDefault="00000000">
      <w:pPr>
        <w:spacing w:after="140"/>
      </w:pPr>
      <w:r>
        <w:t>Die Einbürgerungsgebühr liegt seit dem 31. März 2026 bei 653 CAD pro Erwachsenem (530 CAD Bearbeitungsgebühr plus 123 CAD „Right of Citizenship Fee“). Kinder zahlen pauschal 100 CAD ohne diese Zusatzgebühr. Wer danach ein offizielles Staatsbürgerschaftszertifikat benötigt, zahlt dafür auch 75 CAD. Die Bearbeitung selbst dauert von der Antragstellung bis zur Einbürgerungszeremonie meist rund zwölf bis 18 Monate, verteilt auf Background-Check (drei bis neun Monate), Testtermin (ein bis drei Monate danach) und die abschließende Zeremonie (ein bis drei weitere Monate).</w:t>
      </w:r>
    </w:p>
    <w:p w14:paraId="24487D7F" w14:textId="77777777" w:rsidR="001F7233" w:rsidRDefault="00000000">
      <w:r>
        <w:rPr>
          <w:b/>
        </w:rPr>
        <w:t xml:space="preserve">ACHTUNG: </w:t>
      </w:r>
    </w:p>
    <w:p w14:paraId="0C03395F" w14:textId="77777777" w:rsidR="001F7233" w:rsidRDefault="00000000">
      <w:r>
        <w:t>• Verwechsle den regulären Einbürgerungsantrag nicht mit dem separaten „Proof of Citizenship“-Zertifikat, das vor allem im Ausland geborene Personen mit Anspruch auf die kanadische Staatsangehörigkeit beantragen. Dessen Wartezeit ist 2026 auf rund 33 Monate gestiegen. Ein völlig anderes Verfahren als der normale Grant-Antrag für in Kanada lebende Permanent Residents, der weiterhin bei zwölf bis 18 Monaten liegt. Presseberichte vermengen beide Fristen gelegentlich.</w:t>
      </w:r>
    </w:p>
    <w:p w14:paraId="72BCA8E2" w14:textId="77777777" w:rsidR="001F7233" w:rsidRDefault="001F7233">
      <w:pPr>
        <w:spacing w:line="220" w:lineRule="exact"/>
      </w:pPr>
    </w:p>
    <w:p w14:paraId="4AA7C8DB" w14:textId="77777777" w:rsidR="001F7233" w:rsidRDefault="00000000">
      <w:pPr>
        <w:spacing w:after="140"/>
      </w:pPr>
      <w:r>
        <w:rPr>
          <w:i/>
          <w:iCs/>
        </w:rPr>
        <w:t xml:space="preserve">Der eigentliche Ablauf gliedert sich in drei Schritte: Online-Antrag mit Nachweisen zu Aufenthalt, Sprache und Identität. Testtermin und, je nach Fall, ein persönliches Interview und schließlich die Einbürgerungszeremonie, meist per Videokonferenz, seltener in Präsenz im IRCC-Büro. Die Einladung dazu kommt meist ein bis zwei Wochen vorher. Kernbestandteile sind der Eid oder eine Bestätigung (Oath/Affirmation of Citizenship), die kanadische Nationalhymne und die Unterschrift des Oath-Formulars. Ab 14 Jahren ist die Teilnahme an </w:t>
      </w:r>
      <w:r>
        <w:rPr>
          <w:i/>
          <w:iCs/>
        </w:rPr>
        <w:lastRenderedPageBreak/>
        <w:t>der Zeremonie Pflicht, Kinder darunter erhalten das Zertifikat ohne persönliche Teilnahmepflicht. Bei einer Präsenzzeremonie gibt es das Zertifikat sofort, bei einer virtuellen Zeremonie folgt es postalisch (zwei bis vier Wochen) oder als E-Zertifikat binnen weniger Werktage.</w:t>
      </w:r>
    </w:p>
    <w:p w14:paraId="21D162FC" w14:textId="77777777" w:rsidR="001F7233" w:rsidRDefault="00000000">
      <w:r>
        <w:rPr>
          <w:b/>
        </w:rPr>
        <w:t xml:space="preserve">SPARTIPP: </w:t>
      </w:r>
    </w:p>
    <w:p w14:paraId="78CF26D3" w14:textId="77777777" w:rsidR="001F7233" w:rsidRDefault="00000000">
      <w:r>
        <w:t>• Ein Anwalt ist für den Einbürgerungsantrag nicht vorgeschrieben. Bei einer sauberen Aktenlage – korrekt geführtes Reiseprotokoll, keine Lücken bei der Steuererklärung, keine offenen Rechtsfragen. Lässt sich der Antrag in aller Regel gut in Eigenregie stellen.</w:t>
      </w:r>
    </w:p>
    <w:p w14:paraId="3E115F38" w14:textId="77777777" w:rsidR="001F7233" w:rsidRDefault="001F7233">
      <w:pPr>
        <w:spacing w:line="220" w:lineRule="exact"/>
      </w:pPr>
    </w:p>
    <w:p w14:paraId="3B7EB6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Kanada und Deutschland</w:t>
      </w:r>
    </w:p>
    <w:p w14:paraId="07394B99" w14:textId="77777777" w:rsidR="001F7233" w:rsidRDefault="00000000">
      <w:pPr>
        <w:spacing w:after="140"/>
      </w:pPr>
      <w:r>
        <w:t>Kanada erlaubt Mehrstaatigkeit seit 1977 uneingeschränkt; weder eine Anzeige- noch eine Genehmigungspflicht besteht und iRCC informiert den Herkunftsstaat nicht über die Einbürgerung.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Kanadier wird, behält die deutsche Staatsangehörigkeit automatisch, ganz ohne die früher nötige Beibehaltungsgenehmigung.</w:t>
      </w:r>
    </w:p>
    <w:p w14:paraId="3C15D8DD" w14:textId="77777777" w:rsidR="001F7233" w:rsidRDefault="00000000">
      <w:r>
        <w:rPr>
          <w:b/>
        </w:rPr>
        <w:t xml:space="preserve">ACHTUNG: </w:t>
      </w:r>
    </w:p>
    <w:p w14:paraId="2D2D7D8A" w14:textId="77777777" w:rsidR="001F7233" w:rsidRDefault="00000000">
      <w:r>
        <w:t xml:space="preserve">• Die Reform wirkt nicht rückwirkend. Wer sich vor dem 27. Juni 2024 in Kanada einbürgern ließ, ohne vorher eine Beibehaltungsgenehmigung beim Bundesverwaltungsamt eingeholt zu haben, hat die deutsche Staatsangehörigkeit nach damaliger Rechtslage verloren – dieser Verlust bleibt bestehen. Wer schon länger in Kanada lebt und plant, sich einbürgern zu lassen, aber unsicher ist, ob eine frühere Einbürgerung in einem anderen Land </w:t>
      </w:r>
      <w:r>
        <w:lastRenderedPageBreak/>
        <w:t>bereits Folgen hatte, sollte den eigenen Fall beim passenden deutschen Generalkonsulat individuell prüfen lassen.</w:t>
      </w:r>
    </w:p>
    <w:p w14:paraId="4535D626" w14:textId="77777777" w:rsidR="001F7233" w:rsidRDefault="001F7233">
      <w:pPr>
        <w:spacing w:line="220" w:lineRule="exact"/>
      </w:pPr>
    </w:p>
    <w:p w14:paraId="3D65406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das kanadische Geburtsortsprinzip</w:t>
      </w:r>
    </w:p>
    <w:p w14:paraId="70658085" w14:textId="77777777" w:rsidR="001F7233" w:rsidRDefault="00000000">
      <w:pPr>
        <w:spacing w:after="140"/>
      </w:pPr>
      <w:r>
        <w:t>Bei im Ausland geborenen Kindern kanadischer Eltern greift seit dem 15. Dezember 2025 eine neue Regel (Bill C-3): Wurde das Kind vor diesem Stichtag geboren und wäre wegen der alten „First Generation Limit“-Regel leer ausgegangen, ist es rückwirkend kanadisch. Für Geburten ab dem 15. Dezember 2025 gilt stattdessen ein „Substantial Connection Test“: Der kanadische Elternteil muss vor der Geburt oder Adoption kumulativ mindestens 1.095 Tage physisch in Kanada gewesen sein. Dieselbe Tageszahl wie bei der Einbürgerung selbst, hier aber auf den Elternteil bezogen. Die deutsche Seite bleibt davon unberührt: Ein Kind mit einem deutschen Elternteil ist unabhängig vom Geburtsort von Geburt an deutsch (§ 4 Abs. 1 StAG).</w:t>
      </w:r>
    </w:p>
    <w:p w14:paraId="01004F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04050B09" w14:textId="77777777" w:rsidR="001F7233" w:rsidRDefault="00000000">
      <w:pPr>
        <w:spacing w:after="140"/>
      </w:pPr>
      <w:r>
        <w:t>Hier liegt der wichtigste Unterschied zur US-Regelung, der viele Auswanderer verunsichert, sobald sie zum ersten Mal davon hören: Die kanadische Finanzbehörde CRA (</w:t>
      </w:r>
      <w:r>
        <w:rPr>
          <w:i/>
          <w:iCs/>
        </w:rPr>
        <w:t>Canada Revenue Agency</w:t>
      </w:r>
      <w:r>
        <w:t xml:space="preserve">) besteuert nach Steuerwohnsitz, nicht nach Staatsangehörigkeit. Wer keine wesentlichen „Residential Ties“ zu Kanada mehr hat – etwa keine Wohnung, keinen Ehepartner, keine Kinder mehr im Land –, gilt steuerlich als </w:t>
      </w:r>
      <w:r>
        <w:rPr>
          <w:i/>
          <w:iCs/>
        </w:rPr>
        <w:t>Non-Resident</w:t>
      </w:r>
      <w:r>
        <w:t xml:space="preserve"> und zahlt keine kanadische Einkommensteuer auf sein Welteinkommen, selbst mit kanadischem Pass in der Tasche. Umgekehrt zahlt, wer als </w:t>
      </w:r>
      <w:r>
        <w:rPr>
          <w:i/>
          <w:iCs/>
        </w:rPr>
        <w:t>Tax Resident</w:t>
      </w:r>
      <w:r>
        <w:t xml:space="preserve"> gilt, unabhängig von der Staatsangehörigkeit auf sein weltweites </w:t>
      </w:r>
      <w:r>
        <w:lastRenderedPageBreak/>
        <w:t xml:space="preserve">Einkommen kanadische Steuern – die genauen Kriterien dafür sind ein eigenes, komplexes Thema und im </w:t>
      </w:r>
      <w:hyperlink w:anchor="tka07">
        <w:r w:rsidR="001F7233">
          <w:rPr>
            <w:color w:val="0563C1"/>
            <w:u w:val="single"/>
          </w:rPr>
          <w:t>Kapitel zu Steuer-ID, Bank und Kredit in diesem Teil</w:t>
        </w:r>
      </w:hyperlink>
      <w:r>
        <w:t xml:space="preserve"> ausführlicher erklärt.</w:t>
      </w:r>
    </w:p>
    <w:p w14:paraId="508516C3" w14:textId="77777777" w:rsidR="001F7233" w:rsidRDefault="00000000">
      <w:r>
        <w:rPr>
          <w:b/>
        </w:rPr>
        <w:t xml:space="preserve">MERKE: </w:t>
      </w:r>
    </w:p>
    <w:p w14:paraId="1CC7088C" w14:textId="77777777" w:rsidR="001F7233" w:rsidRDefault="00000000">
      <w:r>
        <w:t>• Der kanadische Pass hat keine steuerlichen Nebenwirkungen. Was zählt, ist immer, wo du tatsächlich lebst. Nicht, welchen Ausweis du dabei in der Tasche trägst.</w:t>
      </w:r>
    </w:p>
    <w:p w14:paraId="1A9FA4F3" w14:textId="77777777" w:rsidR="001F7233" w:rsidRDefault="001F7233">
      <w:pPr>
        <w:spacing w:line="220" w:lineRule="exact"/>
      </w:pPr>
    </w:p>
    <w:p w14:paraId="7987B9B1" w14:textId="77777777" w:rsidR="001F7233" w:rsidRDefault="001F7233">
      <w:pPr>
        <w:spacing w:line="220" w:lineRule="exact"/>
      </w:pPr>
    </w:p>
    <w:p w14:paraId="66EBBD13" w14:textId="77777777" w:rsidR="001F7233" w:rsidRDefault="00000000">
      <w:r>
        <w:t>• Dieses Kapitel erklärt den Weg zur Staatsbürgerschaft und das Grundprinzip der kanadischen Steuerresidenz. Es ersetzt keine Rechts- oder Steuerberatung. Ob du im Einzelfall als Tax Resident oder Non-Resident giltst, wie sich ein Wegzug aus Kanada konkret auswirkt und wie das Doppelbesteuerungsabkommen zwischen Deutschland und Kanada mit Einkommen, Vermögen oder der gesetzlichen Rente umgeht, hängt von den Details deines Falls ab. Lass das von einer kanadischen Steuerfachperson prüfen, die sich mit einer deutschen abstimmt.</w:t>
      </w:r>
    </w:p>
    <w:p w14:paraId="7CC172D1" w14:textId="77777777" w:rsidR="001F7233" w:rsidRDefault="001F7233">
      <w:pPr>
        <w:spacing w:line="220" w:lineRule="exact"/>
      </w:pPr>
    </w:p>
    <w:p w14:paraId="245EB1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Staatsbürgerschaft und Steuerresidenz</w:t>
      </w:r>
    </w:p>
    <w:p w14:paraId="5FDA4187" w14:textId="77777777" w:rsidR="001F7233" w:rsidRDefault="00000000">
      <w:r>
        <w:rPr>
          <w:b/>
        </w:rPr>
        <w:t>Plus: Kein Zwang zur Aufgabe der deutschen Staatsangehörigkeit</w:t>
      </w:r>
    </w:p>
    <w:p w14:paraId="5310B481" w14:textId="77777777" w:rsidR="001F7233" w:rsidRDefault="00000000">
      <w:r>
        <w:rPr>
          <w:b/>
        </w:rPr>
        <w:t xml:space="preserve">Minus: </w:t>
      </w:r>
      <w:r>
        <w:t>Zwei getrennte 730-Tage-Regeln (PR-Erhalt und Einbürgerungsfähigkeit) werden leicht verwechselt</w:t>
      </w:r>
    </w:p>
    <w:p w14:paraId="42E9983F" w14:textId="77777777" w:rsidR="001F7233" w:rsidRDefault="00000000">
      <w:r>
        <w:rPr>
          <w:b/>
        </w:rPr>
        <w:t>Plus: Unbedingtes Jus Soli für in Kanada geborene Kinder</w:t>
      </w:r>
    </w:p>
    <w:p w14:paraId="16828B7F" w14:textId="77777777" w:rsidR="001F7233" w:rsidRDefault="00000000">
      <w:r>
        <w:rPr>
          <w:b/>
        </w:rPr>
        <w:t xml:space="preserve">Minus: </w:t>
      </w:r>
      <w:r>
        <w:t>Anrechnungsdeckel von 365 halben Tagen für Zeit vor dem PR-Status oft unterschätzt</w:t>
      </w:r>
    </w:p>
    <w:p w14:paraId="292E3C1D" w14:textId="77777777" w:rsidR="001F7233" w:rsidRDefault="00000000">
      <w:r>
        <w:rPr>
          <w:b/>
        </w:rPr>
        <w:t>Plus: Steuerpflicht endet mit dem Steuerwohnsitz, nicht mit dem Pass</w:t>
      </w:r>
    </w:p>
    <w:p w14:paraId="6DC4E81E" w14:textId="77777777" w:rsidR="001F7233" w:rsidRDefault="00000000">
      <w:r>
        <w:rPr>
          <w:b/>
        </w:rPr>
        <w:t xml:space="preserve">Minus: </w:t>
      </w:r>
      <w:r>
        <w:t>Gesamtdauer bis zum Pass real oft 6 bis 9 Jahre, nicht die schnellstmöglichen 4</w:t>
      </w:r>
    </w:p>
    <w:p w14:paraId="3609C0F5" w14:textId="77777777" w:rsidR="001F7233" w:rsidRDefault="00000000">
      <w:r>
        <w:rPr>
          <w:b/>
        </w:rPr>
        <w:lastRenderedPageBreak/>
        <w:t>Plus: Keine Exit Tax beim Verzicht auf die Staatsbürgerschaft</w:t>
      </w:r>
    </w:p>
    <w:p w14:paraId="2F3C4CCC" w14:textId="77777777" w:rsidR="001F7233" w:rsidRDefault="00000000">
      <w:r>
        <w:rPr>
          <w:b/>
        </w:rPr>
        <w:t xml:space="preserve">Minus: </w:t>
      </w:r>
      <w:r>
        <w:t>„Proof of Citizenship“-Zertifikat (getrennt vom Grant-Antrag) aktuell mit 33 Monaten Wartezeit</w:t>
      </w:r>
    </w:p>
    <w:p w14:paraId="375B0720" w14:textId="77777777" w:rsidR="001F7233" w:rsidRDefault="00000000">
      <w:r>
        <w:rPr>
          <w:b/>
        </w:rPr>
        <w:t>Plus: Test und Sprachnachweis entfallen komplett unter 18 und ab 55 Jahren</w:t>
      </w:r>
    </w:p>
    <w:p w14:paraId="3A2D285F" w14:textId="77777777" w:rsidR="001F7233" w:rsidRDefault="00000000">
      <w:r>
        <w:rPr>
          <w:b/>
        </w:rPr>
        <w:t xml:space="preserve">Minus: </w:t>
      </w:r>
      <w:r>
        <w:t>Reform von 2024 wirkt nicht rückwirkend für ältere Einbürgerungsfälle</w:t>
      </w:r>
    </w:p>
    <w:p w14:paraId="7172A4DE" w14:textId="77777777" w:rsidR="001F7233" w:rsidRDefault="001F7233">
      <w:pPr>
        <w:spacing w:line="180" w:lineRule="exact"/>
      </w:pPr>
    </w:p>
    <w:p w14:paraId="562BC91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8CF5019" w14:textId="77777777" w:rsidR="001F7233" w:rsidRDefault="00000000">
      <w:pPr>
        <w:spacing w:after="140"/>
      </w:pPr>
      <w:r>
        <w:t>Rechne früh aus, über welchen Weg du realistisch den PR-Status erreichst, denn davon hängt die gesamte weitere Zeitachse ab und rechne dabei bewusst mit dem Anrechnungsdeckel, nicht mit der vollen Aufenthaltsdauer vor dem PR-Status. Führe von Anfang an ein Reiseprotokoll aller Auslandsaufenthalte. Damit die 1.095-Tage-Rechnung am Ende nicht zur Detektivarbeit wird. Bereite Sprachnachweis und Staatskundetest rechtzeitig vor, falls du zwischen 18 und 54 Jahre alt bist. Bei der Steuerresidenz gilt: Sprich frühzeitig mit einer Steuerfachperson, sobald ein Wegzug aus Kanada – auch nur vorübergehend. Im Raum steht, denn das betrifft dich unabhängig davon, ob du je einbürgern willst oder den Pass schon hast.</w:t>
      </w:r>
    </w:p>
    <w:p w14:paraId="7440C4DE" w14:textId="77777777" w:rsidR="001F7233" w:rsidRDefault="00000000">
      <w:r>
        <w:t>• Eigenen Einstiegsweg (direktes PR-Visum oder Übergang vom befristeten Permit) und realistische Gesamtdauer bis zum Antrag eingeschätzt.</w:t>
      </w:r>
    </w:p>
    <w:p w14:paraId="73CD672A" w14:textId="77777777" w:rsidR="001F7233" w:rsidRDefault="00000000">
      <w:r>
        <w:t>• Anrechnungsdeckel (max. 365 Tage zur Hälfte) für Zeit vor dem PR-Status korrekt einkalkuliert</w:t>
      </w:r>
    </w:p>
    <w:p w14:paraId="29FBB377" w14:textId="77777777" w:rsidR="001F7233" w:rsidRDefault="00000000">
      <w:r>
        <w:t>• Unterschied zwischen PR-Erhalt (730/1.825 Tage) und Einbürgerungsfähigkeit (1.095/1.825 Tage, davon ≥ 730 als PR) verstanden</w:t>
      </w:r>
    </w:p>
    <w:p w14:paraId="3820A3CA" w14:textId="77777777" w:rsidR="001F7233" w:rsidRDefault="00000000">
      <w:r>
        <w:t>• Reiseprotokoll aller Auslandsaufenthalte seit Einreise geführt</w:t>
      </w:r>
    </w:p>
    <w:p w14:paraId="573841C4" w14:textId="77777777" w:rsidR="001F7233" w:rsidRDefault="00000000">
      <w:r>
        <w:t>• Sprachnachweis (CLB/NCLC 4) und Staatskundetest vorbereitet, falls zwischen 18 und 54 Jahre alt</w:t>
      </w:r>
    </w:p>
    <w:p w14:paraId="243FDDB0" w14:textId="77777777" w:rsidR="001F7233" w:rsidRDefault="00000000">
      <w:r>
        <w:lastRenderedPageBreak/>
        <w:t>• Steuererklärungspflicht in mindestens drei der letzten fünf Jahre erfüllt</w:t>
      </w:r>
    </w:p>
    <w:p w14:paraId="4128687A" w14:textId="77777777" w:rsidR="001F7233" w:rsidRDefault="00000000">
      <w:r>
        <w:t>• Bei im Ausland geborenen Kindern: Bill-C-3-Regeln und Substantial Connection Test geprüft</w:t>
      </w:r>
    </w:p>
    <w:p w14:paraId="463CEB5C" w14:textId="77777777" w:rsidR="001F7233" w:rsidRDefault="00000000">
      <w:r>
        <w:t>• Eigenen steuerlichen Status (Tax Resident oder Non-Resident) mit einer Steuerfachperson geklärt</w:t>
      </w:r>
    </w:p>
    <w:p w14:paraId="2A1DF680" w14:textId="77777777" w:rsidR="001F7233" w:rsidRDefault="00000000">
      <w:r>
        <w:t>• Bei geplantem Wegzug aus Kanada: Folgen einer „Deemed Disposition“ vorab mit Steuerberatung geprüft</w:t>
      </w:r>
    </w:p>
    <w:p w14:paraId="5A864A51" w14:textId="77777777" w:rsidR="001F7233" w:rsidRDefault="00000000">
      <w:r>
        <w:t>• Regulären Einbürgerungsantrag nicht mit dem separaten „Proof of Citizenship“-Verfahren verwechselt</w:t>
      </w:r>
    </w:p>
    <w:p w14:paraId="6CDDD9A5" w14:textId="77777777" w:rsidR="001F7233" w:rsidRDefault="001F7233">
      <w:pPr>
        <w:spacing w:line="220" w:lineRule="exact"/>
      </w:pPr>
    </w:p>
    <w:p w14:paraId="15F36F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6F9078A" w14:textId="77777777" w:rsidR="001F7233" w:rsidRDefault="001F7233">
      <w:pPr>
        <w:pStyle w:val="ListParagraph"/>
        <w:numPr>
          <w:ilvl w:val="0"/>
          <w:numId w:val="1"/>
        </w:numPr>
        <w:spacing w:after="60"/>
      </w:pPr>
      <w:hyperlink r:id="rId933">
        <w:r>
          <w:rPr>
            <w:color w:val="0563C1"/>
            <w:u w:val="single"/>
          </w:rPr>
          <w:t>canada.ca</w:t>
        </w:r>
      </w:hyperlink>
      <w:r>
        <w:t xml:space="preserve"> – Citizenship: physical presence calculator, requirements, fees</w:t>
      </w:r>
    </w:p>
    <w:p w14:paraId="0AA31898" w14:textId="77777777" w:rsidR="001F7233" w:rsidRDefault="001F7233">
      <w:pPr>
        <w:pStyle w:val="ListParagraph"/>
        <w:numPr>
          <w:ilvl w:val="0"/>
          <w:numId w:val="1"/>
        </w:numPr>
        <w:spacing w:after="60"/>
      </w:pPr>
      <w:hyperlink r:id="rId934">
        <w:r>
          <w:rPr>
            <w:color w:val="0563C1"/>
            <w:u w:val="single"/>
          </w:rPr>
          <w:t>canada.ca</w:t>
        </w:r>
      </w:hyperlink>
      <w:r>
        <w:t xml:space="preserve"> – Understand permanent resident status, IRPA-Aufenthaltspflichten</w:t>
      </w:r>
    </w:p>
    <w:p w14:paraId="2DF3426E" w14:textId="77777777" w:rsidR="001F7233" w:rsidRDefault="001F7233">
      <w:pPr>
        <w:pStyle w:val="ListParagraph"/>
        <w:numPr>
          <w:ilvl w:val="0"/>
          <w:numId w:val="1"/>
        </w:numPr>
        <w:spacing w:after="60"/>
      </w:pPr>
      <w:hyperlink r:id="rId935">
        <w:r>
          <w:rPr>
            <w:color w:val="0563C1"/>
            <w:u w:val="single"/>
          </w:rPr>
          <w:t>cra-arc.gc.ca</w:t>
        </w:r>
      </w:hyperlink>
      <w:r>
        <w:t xml:space="preserve"> – Non-residents of Canada, steuerliche Ansässigkeit</w:t>
      </w:r>
    </w:p>
    <w:p w14:paraId="68484D2D" w14:textId="77777777" w:rsidR="001F7233" w:rsidRDefault="001F7233">
      <w:pPr>
        <w:pStyle w:val="ListParagraph"/>
        <w:numPr>
          <w:ilvl w:val="0"/>
          <w:numId w:val="1"/>
        </w:numPr>
        <w:spacing w:after="60"/>
      </w:pPr>
      <w:hyperlink r:id="rId936">
        <w:r>
          <w:rPr>
            <w:color w:val="0563C1"/>
            <w:u w:val="single"/>
          </w:rPr>
          <w:t>bmi.bund.de</w:t>
        </w:r>
      </w:hyperlink>
      <w:r>
        <w:t xml:space="preserve"> – Staatsangehörigkeitsrecht, Reform 2024</w:t>
      </w:r>
    </w:p>
    <w:p w14:paraId="38C5A1AC" w14:textId="77777777" w:rsidR="001F7233" w:rsidRDefault="001F7233">
      <w:pPr>
        <w:pStyle w:val="ListParagraph"/>
        <w:numPr>
          <w:ilvl w:val="0"/>
          <w:numId w:val="1"/>
        </w:numPr>
        <w:spacing w:after="60"/>
      </w:pPr>
      <w:hyperlink r:id="rId937">
        <w:r>
          <w:rPr>
            <w:color w:val="0563C1"/>
            <w:u w:val="single"/>
          </w:rPr>
          <w:t>kanada.diplo.de</w:t>
        </w:r>
      </w:hyperlink>
      <w:r>
        <w:t xml:space="preserve"> – Deutsche Botschaft Ottawa, Generalkonsulate, Beratung zur doppelten Staatsangehörigkeit</w:t>
      </w:r>
    </w:p>
    <w:p w14:paraId="10D813A9" w14:textId="77777777" w:rsidR="001F7233" w:rsidRDefault="001F7233">
      <w:pPr>
        <w:spacing w:line="120" w:lineRule="exact"/>
      </w:pPr>
    </w:p>
    <w:p w14:paraId="4C76FB82" w14:textId="77777777" w:rsidR="001F7233" w:rsidRDefault="00000000">
      <w:r>
        <w:t>• Quellen- und Datenstand: September 2026; Redaktionsschluss: Oktober 2026. Schnell ändern sich: die Einbürgerungsgebühr, Bearbeitungs- und Wartezeiten bis zur Zeremonie sowie Detailfragen der Steuerresidenz-Tests. Prüfe vor jeder Entscheidung die aktuellen Seiten von IRCC und CRA.</w:t>
      </w:r>
    </w:p>
    <w:p w14:paraId="0B9B7E26" w14:textId="77777777" w:rsidR="001F7233" w:rsidRDefault="001F7233">
      <w:pPr>
        <w:spacing w:line="220" w:lineRule="exact"/>
      </w:pPr>
    </w:p>
    <w:p w14:paraId="67433C10" w14:textId="77777777" w:rsidR="001F7233" w:rsidRDefault="00000000">
      <w:r>
        <w:br w:type="page"/>
      </w:r>
    </w:p>
    <w:p w14:paraId="19641DDD" w14:textId="77777777" w:rsidR="001F7233" w:rsidRDefault="00000000">
      <w:pPr>
        <w:pStyle w:val="Heading1"/>
        <w:keepNext/>
        <w:spacing w:line="341" w:lineRule="auto"/>
        <w:jc w:val="center"/>
      </w:pPr>
      <w:bookmarkStart w:id="127" w:name="PathNeuseeland"/>
      <w:r>
        <w:rPr>
          <w:rFonts w:ascii="Amazon Ember" w:eastAsia="Amazon Ember" w:hAnsi="Amazon Ember" w:cs="Amazon Ember"/>
          <w:color w:val="0000FF"/>
        </w:rPr>
        <w:lastRenderedPageBreak/>
        <w:t>TEIL NEUSEELAND — Am Ende der Welt neu anfangen</w:t>
      </w:r>
      <w:bookmarkEnd w:id="127"/>
    </w:p>
    <w:p w14:paraId="30DA57EA" w14:textId="77777777" w:rsidR="001F7233" w:rsidRDefault="00000000">
      <w:pPr>
        <w:pStyle w:val="Heading3"/>
      </w:pPr>
      <w:r>
        <w:t>Neuseeland gewählt? Dein direkter Lesepfad</w:t>
      </w:r>
    </w:p>
    <w:p w14:paraId="436B816D" w14:textId="77777777" w:rsidR="001F7233" w:rsidRDefault="00000000">
      <w:pPr>
        <w:spacing w:after="45"/>
        <w:ind w:left="300"/>
      </w:pPr>
      <w:r>
        <w:t xml:space="preserve">Wenn Neuseeland feststeht, starte mit </w:t>
      </w:r>
      <w:hyperlink w:anchor="tnz02">
        <w:r w:rsidR="001F7233">
          <w:rPr>
            <w:color w:val="0563C1"/>
            <w:u w:val="single"/>
          </w:rPr>
          <w:t>den Einwanderungswegen</w:t>
        </w:r>
      </w:hyperlink>
      <w:r>
        <w:t>. Bei einem Jobangebot lies den</w:t>
      </w:r>
      <w:hyperlink w:anchor="tnz03">
        <w:r w:rsidR="001F7233">
          <w:rPr>
            <w:color w:val="0563C1"/>
            <w:u w:val="single"/>
          </w:rPr>
          <w:t xml:space="preserve"> Arbeitsweg</w:t>
        </w:r>
      </w:hyperlink>
      <w:r>
        <w:t>; bei einem reglementierten Beruf zuerst</w:t>
      </w:r>
      <w:hyperlink w:anchor="tnz03a">
        <w:r w:rsidR="001F7233">
          <w:rPr>
            <w:color w:val="0563C1"/>
            <w:u w:val="single"/>
          </w:rPr>
          <w:t xml:space="preserve"> die Anerkennung</w:t>
        </w:r>
      </w:hyperlink>
      <w:r>
        <w:t>. Öffne</w:t>
      </w:r>
      <w:hyperlink w:anchor="tnz04">
        <w:r w:rsidR="001F7233">
          <w:rPr>
            <w:color w:val="0563C1"/>
            <w:u w:val="single"/>
          </w:rPr>
          <w:t xml:space="preserve"> Familie und Ruhestand</w:t>
        </w:r>
      </w:hyperlink>
      <w:r>
        <w:t xml:space="preserve"> nur, wenn das auf dich zutrifft. Dann folgt </w:t>
      </w:r>
      <w:hyperlink w:anchor="tnz05">
        <w:r w:rsidR="001F7233">
          <w:rPr>
            <w:color w:val="0563C1"/>
            <w:u w:val="single"/>
          </w:rPr>
          <w:t>Antrag und Kosten</w:t>
        </w:r>
      </w:hyperlink>
      <w:r>
        <w:t>.</w:t>
      </w:r>
    </w:p>
    <w:p w14:paraId="0E510F23"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und Krankenkasse. Bei reglementiertem Beruf: </w:t>
      </w:r>
      <w:hyperlink w:anchor="tnz03a">
        <w:r w:rsidR="001F7233">
          <w:rPr>
            <w:color w:val="0563C1"/>
            <w:u w:val="single"/>
          </w:rPr>
          <w:t>Anerkennung deutscher Berufsabschlüsse</w:t>
        </w:r>
      </w:hyperlink>
      <w:r>
        <w:t xml:space="preserve">. </w:t>
      </w:r>
      <w:hyperlink w:anchor="tnz06">
        <w:r w:rsidR="001F7233">
          <w:rPr>
            <w:color w:val="0563C1"/>
            <w:u w:val="single"/>
          </w:rPr>
          <w:t>Ankunft</w:t>
        </w:r>
      </w:hyperlink>
      <w:r>
        <w:t xml:space="preserve"> erklärt die Regeln für Hund, Katze und Container. Prüfe beim Working-Holiday-Weg die Altersgrenze für deutsche Pässe. Nach der Landung: </w:t>
      </w:r>
      <w:hyperlink w:anchor="tnz07">
        <w:r w:rsidR="001F7233">
          <w:rPr>
            <w:color w:val="0563C1"/>
            <w:u w:val="single"/>
          </w:rPr>
          <w:t>IRD-Nummer und Bank</w:t>
        </w:r>
      </w:hyperlink>
      <w:r>
        <w:t xml:space="preserve"> → </w:t>
      </w:r>
      <w:hyperlink w:anchor="tnz08">
        <w:r w:rsidR="001F7233">
          <w:rPr>
            <w:color w:val="0563C1"/>
            <w:u w:val="single"/>
          </w:rPr>
          <w:t>Gesundheit</w:t>
        </w:r>
      </w:hyperlink>
      <w:r>
        <w:t xml:space="preserve"> → </w:t>
      </w:r>
      <w:hyperlink w:anchor="tnz09">
        <w:r w:rsidR="001F7233">
          <w:rPr>
            <w:color w:val="0563C1"/>
            <w:u w:val="single"/>
          </w:rPr>
          <w:t>Wohnen</w:t>
        </w:r>
      </w:hyperlink>
      <w:r>
        <w:t xml:space="preserve"> → </w:t>
      </w:r>
      <w:hyperlink w:anchor="tnz10">
        <w:r w:rsidR="001F7233">
          <w:rPr>
            <w:color w:val="0563C1"/>
            <w:u w:val="single"/>
          </w:rPr>
          <w:t>Führerschein und Mobilität</w:t>
        </w:r>
      </w:hyperlink>
      <w:r>
        <w:t xml:space="preserve">. Für den Berufsalltag: </w:t>
      </w:r>
      <w:hyperlink w:anchor="tnz14">
        <w:r w:rsidR="001F7233">
          <w:rPr>
            <w:color w:val="0563C1"/>
            <w:u w:val="single"/>
          </w:rPr>
          <w:t>Arbeitswelt</w:t>
        </w:r>
      </w:hyperlink>
      <w:r>
        <w:t>.</w:t>
      </w:r>
    </w:p>
    <w:p w14:paraId="56BE71B4" w14:textId="77777777" w:rsidR="001F7233" w:rsidRDefault="00000000">
      <w:r>
        <w:br w:type="page"/>
      </w:r>
    </w:p>
    <w:p w14:paraId="631CE4E0" w14:textId="77777777" w:rsidR="001F7233" w:rsidRDefault="00000000">
      <w:pPr>
        <w:pStyle w:val="Heading2"/>
        <w:keepNext/>
        <w:spacing w:line="341" w:lineRule="auto"/>
        <w:jc w:val="center"/>
      </w:pPr>
      <w:bookmarkStart w:id="128" w:name="tnz01"/>
      <w:r>
        <w:rPr>
          <w:rFonts w:ascii="Amazon Ember" w:eastAsia="Amazon Ember" w:hAnsi="Amazon Ember" w:cs="Amazon Ember"/>
          <w:color w:val="0000FF"/>
          <w:sz w:val="36"/>
          <w:szCs w:val="36"/>
        </w:rPr>
        <w:lastRenderedPageBreak/>
        <w:t>Neuseeland: Die ehrliche Bilanz</w:t>
      </w:r>
      <w:bookmarkEnd w:id="128"/>
    </w:p>
    <w:p w14:paraId="66854116" w14:textId="77777777" w:rsidR="001F7233" w:rsidRDefault="00000000">
      <w:r>
        <w:rPr>
          <w:b/>
        </w:rPr>
        <w:t xml:space="preserve">KURZ GESAGT: </w:t>
      </w:r>
    </w:p>
    <w:p w14:paraId="211ECF6C" w14:textId="77777777" w:rsidR="001F7233" w:rsidRDefault="00000000">
      <w:r>
        <w:t>Der OECD-Steuerkeil zeigt Neuseeland 2025 bei 20,8 % – für einen alleinstehenden Durchschnittsverdiener ohne Kinder. Der Wert ist keine persönliche Nettoquote.</w:t>
      </w:r>
    </w:p>
    <w:p w14:paraId="36082153" w14:textId="77777777" w:rsidR="001F7233" w:rsidRDefault="00000000">
      <w:r>
        <w:t>• Die Kehrseite: keine Steuerfreigrenze (der Satz greift ab dem ersten Dollar) und kein Sozialsystem, das der deutschen Kombination aus GKV und gesetzlicher Rente entspricht.</w:t>
      </w:r>
    </w:p>
    <w:p w14:paraId="70F344BE" w14:textId="77777777" w:rsidR="001F7233" w:rsidRDefault="00000000">
      <w:r>
        <w:t>• Das öffentliche Gesundheitssystem steht erst Inhabern eines Visums mit mindestens 2 Jahren Laufzeit offen. Wer kürzer bleibt, braucht eine private Übergangsversicherung.</w:t>
      </w:r>
    </w:p>
    <w:p w14:paraId="3FA113D3" w14:textId="77777777" w:rsidR="001F7233" w:rsidRDefault="00000000">
      <w:r>
        <w:t>• KiwiSaver, das neuseeländische Altersvorsorgesystem, ist nur für Bürger und Personen mit unbefristetem Aufenthaltsrecht offen. Mit einem befristeten Arbeitsvisum bleibst du meist außen vor, bis die Residency erreicht ist.</w:t>
      </w:r>
    </w:p>
    <w:p w14:paraId="21826796" w14:textId="77777777" w:rsidR="001F7233" w:rsidRDefault="00000000">
      <w:r>
        <w:t>• ACC deckt jeden Unfall in Neuseeland ohne Verschuldensfrage ab, auch bei Touristen und Kindern. Im Gegenzug entfällt für Personenschäden praktisch das Klagerecht auf Schadensersatz.</w:t>
      </w:r>
    </w:p>
    <w:p w14:paraId="22CCA87B" w14:textId="77777777" w:rsidR="001F7233" w:rsidRDefault="00000000">
      <w:r>
        <w:t>• Auckland und Wellington liegen bei den Lebenshaltungskosten merklich unter München und Berlin, aber Neuseeland ist von den vier Ländern am weitesten von Deutschland entfernt: kein Direktflug, rund 24 Stunden Reisezeit, 11 bis 12 Stunden Zeitverschiebung.</w:t>
      </w:r>
    </w:p>
    <w:p w14:paraId="206838FF" w14:textId="77777777" w:rsidR="001F7233" w:rsidRDefault="001F7233">
      <w:pPr>
        <w:spacing w:line="220" w:lineRule="exact"/>
      </w:pPr>
    </w:p>
    <w:p w14:paraId="595F5E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der niedrigste Steuerkeil der vier Länder</w:t>
      </w:r>
    </w:p>
    <w:p w14:paraId="3ACAD26B" w14:textId="77777777" w:rsidR="001F7233" w:rsidRDefault="00000000">
      <w:pPr>
        <w:spacing w:after="140"/>
      </w:pPr>
      <w:r>
        <w:rPr>
          <w:i/>
          <w:iCs/>
        </w:rPr>
        <w:t xml:space="preserve">Für einen alleinstehenden Durchschnittsverdiener ohne Kinder lag der OECD-Steuerkeil 2025 in Neuseeland bei 20,8 %. Der OECD-Wert bildet weder einen individuellen Nettolohn noch alle Abzüge im Alltag ab: Die OECD führt in ihrem Modell keine obligatorischen Arbeitgeber- oder </w:t>
      </w:r>
      <w:r>
        <w:rPr>
          <w:i/>
          <w:iCs/>
        </w:rPr>
        <w:lastRenderedPageBreak/>
        <w:t>Arbeitnehmer-Sozialversicherungsbeiträge für Neuseeland auf und behandelt die ACC-Prämien nicht als solche Beiträge. Die ACC-Earner-Levy wird dennoch über PAYE abgezogen. KiwiSaver-Beiträge sind kein Bestandteil dieses Steuerkeils. Bei automatisch angemeldeten Beschäftigten gilt seit 1. April 2026 meist ein Arbeitnehmer-Regelbeitrag von 3,5 %; ein Opt-out ist in der vorgesehenen Frist möglich. Prüfe Anspruch, Anmeldung und Satz beim IRD. Vergleiche daher nur gleiche OECD-Jahre und Haushaltstypen. Für ein konkretes Angebot rechne Einkommensteuer, ACC, KiwiSaver und Familienleistungen separat.</w:t>
      </w:r>
    </w:p>
    <w:p w14:paraId="11F71E8D" w14:textId="77777777" w:rsidR="001F7233" w:rsidRDefault="00000000">
      <w:pPr>
        <w:spacing w:after="140"/>
      </w:pPr>
      <w:r>
        <w:t>Konkret gilt für Steuerinländer im neuseeländischen Steuerjahr 2026/27 (1. April 2026 bis 31. März 2027, unverändert gegen dem Vorjahr) ein fünfstufiger Tarif: 10,5 % bis 15.600 NZD, 17,5 % von 15.601 bis 53.500 NZD, 30 % von 53.501 bis 78.100 NZD, 33 % von 78.101 bis 180.000 NZD und 39 % darüber.</w:t>
      </w:r>
    </w:p>
    <w:p w14:paraId="505BCC3B" w14:textId="77777777" w:rsidR="001F7233" w:rsidRDefault="00000000">
      <w:r>
        <w:rPr>
          <w:b/>
        </w:rPr>
        <w:t xml:space="preserve">ACHTUNG: </w:t>
      </w:r>
    </w:p>
    <w:p w14:paraId="6CB6D86F" w14:textId="77777777" w:rsidR="001F7233" w:rsidRDefault="00000000">
      <w:r>
        <w:t>• Anders als in Deutschland gibt es keinen Grundfreibetrag – die 10,5 % greifen ab dem ersten verdienten Dollar. Wer aus der deutschen Logik „die ersten paar Tausend Euro sind steuerfrei“ kommt, sollte diesen Unterschied bei der eigenen Nettorechnung nicht übersehen. Er macht die niedrigen Stufen der Tabelle etwas weniger großzügig, als die Prozentsätze auf den ersten Blick vermuten lassen.</w:t>
      </w:r>
    </w:p>
    <w:p w14:paraId="3D9A14D5" w14:textId="77777777" w:rsidR="001F7233" w:rsidRDefault="001F7233">
      <w:pPr>
        <w:spacing w:line="220" w:lineRule="exact"/>
      </w:pPr>
    </w:p>
    <w:p w14:paraId="5B1E089E" w14:textId="77777777" w:rsidR="001F7233" w:rsidRDefault="00000000">
      <w:pPr>
        <w:spacing w:after="140"/>
      </w:pPr>
      <w:r>
        <w:rPr>
          <w:i/>
          <w:iCs/>
        </w:rPr>
        <w:t>Der Lohnsteuerabzug (PAYE, „Pay As You Earn“, der laufende Steuerabzug direkt vom Arbeitgeber) folgt automatisch denselben Stufen. Die meisten Angestellten müssen deshalb keine eigene Steuererklärung abgeben. Dazu kommt die Verbrauchssteuer: Die GST (Goods and Services Tax) liegt einheitlich bei 15 %. Anders als die separat ausgewiesene US-Sales-Tax ist sie bereits im angezeigten Preis enthalten. Näher am Prinzip der deutschen Mehrwertsteuer als am amerikanischen System. Der ausgezeichnete Preis ist also tatsächlich der Preis, den man zahlt. Eine Schlichtheit, die man erst zu schätzen weiß, wenn man sie einmal vermisst hat.</w:t>
      </w:r>
    </w:p>
    <w:p w14:paraId="2A3D7C0D" w14:textId="77777777" w:rsidR="001F7233" w:rsidRDefault="00000000">
      <w:r>
        <w:rPr>
          <w:b/>
        </w:rPr>
        <w:lastRenderedPageBreak/>
        <w:t xml:space="preserve">SPARTIPP: </w:t>
      </w:r>
    </w:p>
    <w:p w14:paraId="13CCD2B8" w14:textId="77777777" w:rsidR="001F7233" w:rsidRDefault="00000000">
      <w:r>
        <w:t xml:space="preserve">• Beantrage deine IRD-Nummer (die kostenlose, lebenslang gültige neuseeländische Steuernummer) so früh wie möglich, am besten direkt nach Erhalt des Visums über das Verfahren „New Arrival to New Zealand“ – bei erfolgreicher Online-Prüfung liegt sie innerhalb von 2 Tagen vor. Ohne sie kann ein No-notification-Abzug auf Zinsen und bestimmte Zahlungen greifen. Den Satz nennt </w:t>
      </w:r>
      <w:hyperlink r:id="rId938">
        <w:r w:rsidR="001F7233">
          <w:rPr>
            <w:color w:val="0563C1"/>
            <w:u w:val="single"/>
          </w:rPr>
          <w:t>ird.govt.nz</w:t>
        </w:r>
      </w:hyperlink>
      <w:r>
        <w:t>. Hier steht keine Prozentzahl. Zu viel Gezahltes kommt erst mit der nächsten Erklärung zurück.</w:t>
      </w:r>
    </w:p>
    <w:p w14:paraId="33BCA813" w14:textId="77777777" w:rsidR="001F7233" w:rsidRDefault="001F7233">
      <w:pPr>
        <w:spacing w:line="220" w:lineRule="exact"/>
      </w:pPr>
    </w:p>
    <w:p w14:paraId="6788A276" w14:textId="77777777" w:rsidR="001F7233" w:rsidRDefault="00000000">
      <w:pPr>
        <w:spacing w:after="140"/>
      </w:pPr>
      <w:r>
        <w:rPr>
          <w:i/>
          <w:iCs/>
        </w:rPr>
        <w:t>Wer steuerlich als Resident gilt, versteuert sein weltweites Einkommen in Neuseeland. Das gilt im Kern über die 183-Tage-Regel in eines rollierenden 12-Monats-Fensters, rückwirkend zum ersten dieser Tage. Für Neuankömmlinge gibt es dabei eine Erleichterung: die Transitional-Resident-Befreiung. Wer in den vergangenen zehn Jahren kein neuseeländischer Steuerinländer war, ist automatisch 48 Monate lang von den meisten ausländischen Kapital-, Miet- und Beteiligungseinkünften befreit. Nicht jedoch von im Ausland erzieltem Erwerbseinkommen. Für Deutsche mit Mieteinnahmen, Kapitalerträgen oder einer Betriebsrente aus Deutschland ist das ein Detail, das sich finanziell lohnen kann. Es gehört aber vor der Ausreise mit einem Steuerberater geklärt. Das Doppelbesteuerungsabkommen zwischen Deutschland und Neuseeland ist hier nicht im Detail geprüft.</w:t>
      </w:r>
    </w:p>
    <w:p w14:paraId="7FCD8698" w14:textId="77777777" w:rsidR="001F7233" w:rsidRDefault="00000000">
      <w:pPr>
        <w:spacing w:after="140"/>
      </w:pPr>
      <w:r>
        <w:t xml:space="preserve">Neuseeland reiht sich damit, ebenso wie Australien und Kanada, in die Gruppe der punktebasierten Einwanderungsländer ein. Das unterscheidet es vom stärker sponsoring- und lotterieabhängigen System der USA. Wie genau das Punktesystem der Skilled Migrant Category funktioniert und welche der hier nur angerissenen Wege zu wem passt, zeigt das </w:t>
      </w:r>
      <w:hyperlink w:anchor="tnz02">
        <w:r w:rsidR="001F7233">
          <w:rPr>
            <w:color w:val="0563C1"/>
            <w:u w:val="single"/>
          </w:rPr>
          <w:t>nächste Kapitel dieses Teils</w:t>
        </w:r>
      </w:hyperlink>
      <w:r>
        <w:t>.</w:t>
      </w:r>
    </w:p>
    <w:p w14:paraId="0AB16D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Lebenshaltungskosten: Auckland und Wellington im Vergleich</w:t>
      </w:r>
    </w:p>
    <w:p w14:paraId="53C1CFB0" w14:textId="77777777" w:rsidR="001F7233" w:rsidRDefault="00000000">
      <w:pPr>
        <w:spacing w:after="140"/>
      </w:pPr>
      <w:r>
        <w:t>Diese Durchschnittszahl sagt nichts über die Verteilung in der Städte. Ein gefragtes Viertel in Auckland kann ebenso über dem Durchschnitt liegen wie ein Szeneviertel in Berlin. Sie sagt erst recht nichts über das, was am Ende auf dem Konto ankommt. Erst wenn man das neuseeländische Nettogehalt – nach Einkommensteuer, ohne Grundfreibetrag. Den tatsächlichen Ausgaben am Zielort gegenüberstellt, ergibt sich ein ehrliches Bild.</w:t>
      </w:r>
    </w:p>
    <w:p w14:paraId="4D498221" w14:textId="77777777" w:rsidR="001F7233" w:rsidRDefault="00000000">
      <w:r>
        <w:rPr>
          <w:b/>
        </w:rPr>
        <w:t xml:space="preserve">MERKE: </w:t>
      </w:r>
    </w:p>
    <w:p w14:paraId="18121B1C" w14:textId="77777777" w:rsidR="001F7233" w:rsidRDefault="00000000">
      <w:r>
        <w:t>• Der niedrige Steuerkeil aus dem vorigen Abschnitt und die im Index vergleichsweise günstigen Städte verstärken sich für die meisten Neuankömmlinge in der Praxis gegenseitig. Das ist eine seltene Kombination unter den vier Ländern dieses Buches. Das ersetzt aber nicht die eigene Rechnung mit dem konkreten Zielort, dem konkreten Beruf und der konkreten Wohnform.</w:t>
      </w:r>
    </w:p>
    <w:p w14:paraId="09A6C2F6" w14:textId="77777777" w:rsidR="001F7233" w:rsidRDefault="001F7233">
      <w:pPr>
        <w:spacing w:line="220" w:lineRule="exact"/>
      </w:pPr>
    </w:p>
    <w:p w14:paraId="5D921D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öffentlich, aber nicht ab dem ersten Tag</w:t>
      </w:r>
    </w:p>
    <w:p w14:paraId="4979F254" w14:textId="77777777" w:rsidR="001F7233" w:rsidRDefault="00000000">
      <w:pPr>
        <w:spacing w:after="140"/>
      </w:pPr>
      <w:r>
        <w:t xml:space="preserve">Verbreiteter Irrtum: Wer in ein Land mit einem staatlichen Gesundheitssystem zieht, sei von Ankunft an automatisch mitversichert, ähnlich wie beim Wechsel zwischen zwei EU-Staaten. Für Neuseeland stimmt das nur für einen Teil der Neuankömmlinge. Von Anfang an Zugang zur subventionierten öffentlichen Gesundheitsversorgung haben neuseeländische Staatsbürger und Inhaber eines Resident-Visums. Dasselbe gilt für Inhaber eines Arbeitsvisums mit einer Laufzeit von mindestens 2 Jahren, gerechnet ab dem ersten Tag in Neuseeland (bereits in Neuseeland verbrachte Zeit wird angerechnet). Wer mit einem kürzeren Visum einreist, </w:t>
      </w:r>
      <w:r>
        <w:lastRenderedPageBreak/>
        <w:t>etwa Working Holiday oder ein Studienvisum, ist in aller Regel nicht automatisch abgedeckt.</w:t>
      </w:r>
    </w:p>
    <w:p w14:paraId="66524992" w14:textId="77777777" w:rsidR="001F7233" w:rsidRDefault="00000000">
      <w:r>
        <w:rPr>
          <w:b/>
        </w:rPr>
        <w:t xml:space="preserve">ACHTUNG: </w:t>
      </w:r>
    </w:p>
    <w:p w14:paraId="7DDD43B2" w14:textId="77777777" w:rsidR="001F7233" w:rsidRDefault="00000000">
      <w:r>
        <w:t>• Das Accredited Employer Work Visa gilt je nach Tätigkeit bis zu 5 Jahre, bei geringerer Kompetenzstufe aber nur 3 Jahre. Liegt die tatsächlich bewilligte Laufzeit darunter oder wird das Visum erst kurz vor Ablauf verlängert, kann die 2-Jahres-Schwelle knapp verfehlt werden. Prüfe die genaue, im Visum eingetragene Laufzeit, nicht nur die Visumskategorie, bevor du fest mit öffentlicher Gesundheitsversorgung planst.</w:t>
      </w:r>
    </w:p>
    <w:p w14:paraId="2C7B05D1" w14:textId="77777777" w:rsidR="001F7233" w:rsidRDefault="001F7233">
      <w:pPr>
        <w:spacing w:line="220" w:lineRule="exact"/>
      </w:pPr>
    </w:p>
    <w:p w14:paraId="069AEA09" w14:textId="77777777" w:rsidR="001F7233" w:rsidRDefault="00000000">
      <w:pPr>
        <w:spacing w:after="140"/>
      </w:pPr>
      <w:r>
        <w:t>Wer die Schwelle nicht erreicht, zahlt Behandlungen privat oder schließt eine private Zusatzversicherung ab. Bei einigen befristeten Visa, etwa dem Working-Holiday-Visum, ist eine Vollkrankenversicherung ohnehin Voraussetzung für die Erteilung. Anbieter wie Southern Cross (nach Sekundärquellen der mit Abstand größte Versicherer im Land) oder nib bieten Policen ab grob 50 bis 80 NZD im Monat für eine Basis-OP-Absicherung. Umfassendere Krankenhauspläne mit Selbstbehalt liegen eher bei 80 bis 120 NZD im Monat. Diese Werte stammen von Vergleichsportalen, nicht direkt von den Versicherern. Sie gehören vor einer Entscheidung mit einem aktuellen Tarifrechner gegengeprüft.</w:t>
      </w:r>
    </w:p>
    <w:p w14:paraId="00111D36" w14:textId="77777777" w:rsidR="001F7233" w:rsidRDefault="00000000">
      <w:pPr>
        <w:spacing w:after="140"/>
      </w:pPr>
      <w:r>
        <w:rPr>
          <w:i/>
          <w:iCs/>
        </w:rPr>
        <w:t xml:space="preserve">Eine zweite Besonderheit kennt Neuseeland, die es in dieser Form in keinem der anderen drei Zielländer dieses Buches gibt: die Accident Compensation Corporation (ACC). Das ist eine verpflichtende, aus einer eigenen Abgabe finanzierte No-Fault-Unfallversicherung für alle Personen in Neuseeland. Touristen, Studierende und Kinder eingeschlossen. Sie zahlt bei Unfallverletzungen unabhängig davon, wer den Unfall verschuldet hat. Der Tausch dahinter ist grundlegend: Im Gegenzug entfällt für Personenschäden praktisch das Klagerecht auf zivilrechtlichen Schadensersatz, von engen Ausnahmen abgesehen. Wer aus Deutschland eine Kultur der Haftpflichtklage gewohnt ist, sollte diesen Systemwechsel verstehen, bevor er ihn am eigenen Leib </w:t>
      </w:r>
      <w:r>
        <w:rPr>
          <w:i/>
          <w:iCs/>
        </w:rPr>
        <w:lastRenderedPageBreak/>
        <w:t>erlebt. Im Guten wie im Schlechten ersetzt ACC private Ansprüche vollständig.</w:t>
      </w:r>
    </w:p>
    <w:p w14:paraId="2B9A4E1A" w14:textId="77777777" w:rsidR="001F7233" w:rsidRDefault="00000000">
      <w:r>
        <w:rPr>
          <w:b/>
        </w:rPr>
        <w:t xml:space="preserve">MERKE: </w:t>
      </w:r>
    </w:p>
    <w:p w14:paraId="59B2F8BD" w14:textId="77777777" w:rsidR="001F7233" w:rsidRDefault="00000000">
      <w:r>
        <w:t>• ACC finanziert sich über die Earner’s Levy, ab April 2026 1,75 % des beitragspflichtigen Einkommens, gedeckelt bei 156.641 NZD Jahreseinkommen. Anders gesagt: Ein Teil des niedrigen Steuerkeils aus dem ersten Abschnitt fließt über diesen Umweg wieder in ein staatliches System. Nur eben in ein anderes als in Deutschland, ohne direkte deutsche Entsprechung.</w:t>
      </w:r>
    </w:p>
    <w:p w14:paraId="41FD421A" w14:textId="77777777" w:rsidR="001F7233" w:rsidRDefault="001F7233">
      <w:pPr>
        <w:spacing w:line="220" w:lineRule="exact"/>
      </w:pPr>
    </w:p>
    <w:p w14:paraId="2BDDB8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KiwiSaver statt gesetzlicher Rente – und wer draußen bleibt</w:t>
      </w:r>
    </w:p>
    <w:p w14:paraId="73F498DF" w14:textId="77777777" w:rsidR="001F7233" w:rsidRDefault="00000000">
      <w:pPr>
        <w:spacing w:after="140"/>
      </w:pPr>
      <w:r>
        <w:rPr>
          <w:i/>
          <w:iCs/>
        </w:rPr>
        <w:t>Neuseeland kennt, wie Australien und Kanada, keine umlagefinanzierte gesetzliche Rentenversicherung nach deutschem Vorbild. Das Äquivalent heißt KiwiSaver. Es ist ein meist freiwilliges, aber vom Staat gefördertes Sparsystem mit verpflichtendem Arbeitgeberbeitrag für Mitglieder – ab 1. April 2026 mindestens 3,5 % des Lohns, mit einer weiteren geplanten Erhöhung auf 4 % bis 2028.</w:t>
      </w:r>
    </w:p>
    <w:p w14:paraId="09998B9E" w14:textId="77777777" w:rsidR="001F7233" w:rsidRDefault="001F7233">
      <w:pPr>
        <w:spacing w:line="220" w:lineRule="exact"/>
      </w:pPr>
    </w:p>
    <w:p w14:paraId="628DCF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755A027F" w14:textId="77777777" w:rsidR="001F7233" w:rsidRDefault="001F7233">
      <w:pPr>
        <w:spacing w:line="220" w:lineRule="exact"/>
      </w:pPr>
    </w:p>
    <w:p w14:paraId="191EB3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NZD messen lässt</w:t>
      </w:r>
    </w:p>
    <w:p w14:paraId="49E4AE71" w14:textId="77777777" w:rsidR="001F7233" w:rsidRDefault="00000000">
      <w:pPr>
        <w:spacing w:after="140"/>
      </w:pPr>
      <w:r>
        <w:t xml:space="preserve">Unter den vier Zielländern dieses Buches ist Neuseeland am weitesten von Deutschland entfernt. Merklich weiter als Kanada, spürbar weiter noch als Australien. Zwischen Frankfurt und Auckland gibt es keinen Direktflug. Mit mindestens einem Zwischenstopp dauert die Reise rund 24 Stunden über etwa 18.201 </w:t>
      </w:r>
      <w:r>
        <w:lastRenderedPageBreak/>
        <w:t>Kilometer Luftlinie. Dazu kommt die größte Zeitverschiebung aller vier Länder: Neuseeland liegt rund 11 bis 12 Stunden vor Deutschland, fast eine vollständige Tag-Nacht-Umkehr. Ein Anruf bei den Eltern zur deutschen Frühstückszeit trifft in Neuseeland auf den frühen Abend. Wer sich das nicht vorher bewusst macht, wundert sich später jedes Mal aufs Neue, warum niemand rangeht.</w:t>
      </w:r>
    </w:p>
    <w:p w14:paraId="6504FF43" w14:textId="77777777" w:rsidR="001F7233" w:rsidRDefault="00000000">
      <w:pPr>
        <w:spacing w:after="140"/>
      </w:pPr>
      <w:r>
        <w:t>Zur Größe der deutschen Gemeinschaft vor Ort lässt sich, anders als für die anderen drei Länder, derzeit keine belastbare aktuelle Zahl nennen. Die letzte greifbare Angabe stammt aus dem Zensus 2018. Damals ordneten sich 16.818 Personen der „deutschen ethnischen Gruppe“ zu, rund 0,36 % der Bevölkerung – eine mittlerweile veraltete Momentaufnahme. Eine in Foren und auf manchen Auswanderer-Seiten kursierende Schätzung von rund 200.000 Personen deutscher Abstammung ist nirgends belastbar belegt und sollte nicht als Fakt behandelt werden. Das ist ein kleines Beispiel dafür, dass sich nicht jede Zahl googeln lässt, nur weil sie oft genug wiederholt wird.</w:t>
      </w:r>
    </w:p>
    <w:p w14:paraId="0BC1A1DB" w14:textId="77777777" w:rsidR="001F7233" w:rsidRDefault="00000000">
      <w:pPr>
        <w:spacing w:after="140"/>
      </w:pPr>
      <w:r>
        <w:t>Auf der positiven Seite: Sowohl Deutschland als auch Neuseeland erlauben die doppelte Staatsangehörigkeit ausdrücklich. Seit der deutschen Reform vom 27. Juni 2024 führt eine neuseeländische Einbürgerung nicht mehr automatisch zum Verlust des deutschen Passes. Das ist ein Punkt, der noch vor wenigen Jahren deutlich komplizierter war.</w:t>
      </w:r>
    </w:p>
    <w:p w14:paraId="1E6B13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0CD1E712" w14:textId="77777777" w:rsidR="001F7233" w:rsidRDefault="00000000">
      <w:pPr>
        <w:spacing w:after="140"/>
      </w:pPr>
      <w:r>
        <w:t>Am stärksten profitiert von der neuseeländischen Rechnung, wer einen Beruf auf der Green List mitbringt oder die Punkteschwelle der Skilled Migrant Category komfortabel erreicht. Das gilt auch für alle, die die geringere Abgabenlast bewusst gegen ein dünneres soziales Sicherungsnetz eintauschen wollen. Auch alleinstehende Berufseinsteiger ohne große Bindungen fahren mit dem direkten SMC-Weg vergleichsweise gut, sofern Alter (unter 55 Jahren) und Berufserfahrung passen.</w:t>
      </w:r>
    </w:p>
    <w:p w14:paraId="6B9A57AE" w14:textId="77777777" w:rsidR="001F7233" w:rsidRDefault="00000000">
      <w:pPr>
        <w:spacing w:after="140"/>
      </w:pPr>
      <w:r>
        <w:lastRenderedPageBreak/>
        <w:t>Kritischer wird die Bilanz für alle, die zunächst über ein befristetes Arbeitsvisum einreisen und mehrere Jahre mit Lücken bei Gesundheitsversorgung und Altersvorsorge überbrücken müssen. Dasselbe gilt für alle mit pflegebedürftigen Eltern in Deutschland. Die Distanz wiegt hier schwerer als bei jedem anderen der vier Länder dieses Buches. Es gilt auch für alle, die finanziell wenig Puffer für Vorlaufkosten und private Übergangsversicherung mitbringen.</w:t>
      </w:r>
    </w:p>
    <w:p w14:paraId="1B22AC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Die ehrliche Bilanz</w:t>
      </w:r>
    </w:p>
    <w:p w14:paraId="1C44ED5C" w14:textId="77777777" w:rsidR="001F7233" w:rsidRDefault="00000000">
      <w:r>
        <w:rPr>
          <w:b/>
        </w:rPr>
        <w:t>Niedriger OECD-Steuerkeil im Modellvergleich (20,8 % in Neuseeland 2025; 29,6 % Australien und 32,0 % Kanada 2024; unterschiedliche Datenjahre)</w:t>
      </w:r>
    </w:p>
    <w:p w14:paraId="1B52B299" w14:textId="77777777" w:rsidR="001F7233" w:rsidRDefault="00000000">
      <w:r>
        <w:rPr>
          <w:b/>
        </w:rPr>
        <w:t xml:space="preserve">Minus: </w:t>
      </w:r>
      <w:r>
        <w:t>Keine Steuerfreigrenze – der volle Satz greift ab dem ersten Dollar</w:t>
      </w:r>
    </w:p>
    <w:p w14:paraId="4E9A58B2" w14:textId="77777777" w:rsidR="001F7233" w:rsidRDefault="00000000">
      <w:r>
        <w:rPr>
          <w:b/>
        </w:rPr>
        <w:t>Plus: Auckland und Wellington bei Lebenshaltungskosten unter München und Berlin</w:t>
      </w:r>
    </w:p>
    <w:p w14:paraId="12497896" w14:textId="77777777" w:rsidR="001F7233" w:rsidRDefault="00000000">
      <w:r>
        <w:rPr>
          <w:b/>
        </w:rPr>
        <w:t xml:space="preserve">Minus: </w:t>
      </w:r>
      <w:r>
        <w:t>Öffentliche Gesundheitsversorgung erst ab Visum mit mindestens 2 Jahren Laufzeit</w:t>
      </w:r>
    </w:p>
    <w:p w14:paraId="27A3D6C1" w14:textId="77777777" w:rsidR="001F7233" w:rsidRDefault="00000000">
      <w:r>
        <w:rPr>
          <w:b/>
        </w:rPr>
        <w:t>Plus: ACC deckt jeden Unfall ohne Verschuldensfrage – auch für Besucher</w:t>
      </w:r>
    </w:p>
    <w:p w14:paraId="53726FCC" w14:textId="77777777" w:rsidR="001F7233" w:rsidRDefault="00000000">
      <w:r>
        <w:rPr>
          <w:b/>
        </w:rPr>
        <w:t xml:space="preserve">Minus: </w:t>
      </w:r>
      <w:r>
        <w:t>Im Gegenzug praktisch kein Klagerecht auf Schadensersatz bei Personenschäden</w:t>
      </w:r>
    </w:p>
    <w:p w14:paraId="6837BC19" w14:textId="77777777" w:rsidR="001F7233" w:rsidRDefault="00000000">
      <w:r>
        <w:rPr>
          <w:b/>
        </w:rPr>
        <w:t>Plus: Green List erlaubt bei Mangelberufen einen direkten Weg zur Residency</w:t>
      </w:r>
    </w:p>
    <w:p w14:paraId="3D3806DD" w14:textId="77777777" w:rsidR="001F7233" w:rsidRDefault="00000000">
      <w:r>
        <w:rPr>
          <w:b/>
        </w:rPr>
        <w:t xml:space="preserve">Minus: </w:t>
      </w:r>
      <w:r>
        <w:t>KiwiSaver erst nach Erreichen eines unbefristeten Aufenthaltstitels</w:t>
      </w:r>
    </w:p>
    <w:p w14:paraId="296C28D3" w14:textId="77777777" w:rsidR="001F7233" w:rsidRDefault="00000000">
      <w:r>
        <w:rPr>
          <w:b/>
        </w:rPr>
        <w:t>Plus: Doppelte Staatsangehörigkeit ausdrücklich erlaubt</w:t>
      </w:r>
    </w:p>
    <w:p w14:paraId="3566E6A4" w14:textId="77777777" w:rsidR="001F7233" w:rsidRDefault="00000000">
      <w:r>
        <w:rPr>
          <w:b/>
        </w:rPr>
        <w:t xml:space="preserve">Minus: </w:t>
      </w:r>
      <w:r>
        <w:t>Größte Distanz und Zeitverschiebung aller vier Zielländer, kein Direktflug</w:t>
      </w:r>
    </w:p>
    <w:p w14:paraId="47AB0010" w14:textId="77777777" w:rsidR="001F7233" w:rsidRDefault="00000000">
      <w:r>
        <w:rPr>
          <w:b/>
        </w:rPr>
        <w:t>Plus: Transitional-Resident-Befreiung erleichtert die ersten vier Jahre</w:t>
      </w:r>
    </w:p>
    <w:p w14:paraId="062E4187" w14:textId="77777777" w:rsidR="001F7233" w:rsidRDefault="00000000">
      <w:r>
        <w:rPr>
          <w:b/>
        </w:rPr>
        <w:lastRenderedPageBreak/>
        <w:t xml:space="preserve">Minus: </w:t>
      </w:r>
      <w:r>
        <w:t>Deutschland zählt nicht zu den Gebührenbefreiungsländern – volle Visumskosten</w:t>
      </w:r>
    </w:p>
    <w:p w14:paraId="3794981C" w14:textId="77777777" w:rsidR="001F7233" w:rsidRDefault="001F7233">
      <w:pPr>
        <w:spacing w:line="180" w:lineRule="exact"/>
      </w:pPr>
    </w:p>
    <w:p w14:paraId="5A9C29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3E7C6EF" w14:textId="77777777" w:rsidR="001F7233" w:rsidRDefault="00000000">
      <w:pPr>
        <w:spacing w:after="140"/>
      </w:pPr>
      <w:r>
        <w:t xml:space="preserve">Rechne mit deinen eigenen Zahlen, nicht mit dem Bruttogehalt: Trage dein voraussichtliches Einkommen in die neuseeländische Steuerstaffel ein. Vergleiche das Ergebnis dann mit deiner heutigen deutschen Nettoabrechnung – nicht mit dem Bruttogehalt. Kläre parallel, ob dein Beruf auf der Green List steht oder ob die Skilled Migrant Category realistisch erreichbar ist. Das </w:t>
      </w:r>
      <w:hyperlink w:anchor="tnz02">
        <w:r w:rsidR="001F7233">
          <w:rPr>
            <w:color w:val="0563C1"/>
            <w:u w:val="single"/>
          </w:rPr>
          <w:t>nächste Kapitel dieses Teils</w:t>
        </w:r>
      </w:hyperlink>
      <w:r>
        <w:t xml:space="preserve"> zeigt die einzelnen Wege im Detail. Prüfe außerdem, wie lange dein konkretes Visum tatsächlich gilt, um die Wartezeit bis zur öffentlichen Gesundheitsversorgung einzuschätzen. Plane für diese Zeit eine private Zusatzversicherung fest ein.</w:t>
      </w:r>
    </w:p>
    <w:p w14:paraId="5DC77F43" w14:textId="77777777" w:rsidR="001F7233" w:rsidRDefault="00000000">
      <w:r>
        <w:t>• Eigenes Bruttogehalt in die neuseeländische Steuerstaffel eingetragen und mit der deutschen Nettoabrechnung verglichen</w:t>
      </w:r>
    </w:p>
    <w:p w14:paraId="496A0F45" w14:textId="77777777" w:rsidR="001F7233" w:rsidRDefault="00000000">
      <w:r>
        <w:t>• Geprüft, ob der eigene Beruf auf der Green List steht oder ob die SMC-Punkteschwelle erreichbar ist.</w:t>
      </w:r>
    </w:p>
    <w:p w14:paraId="04D8B36B" w14:textId="77777777" w:rsidR="001F7233" w:rsidRDefault="00000000">
      <w:r>
        <w:t>• Tatsächliche Visumslaufzeit geklärt und daraus abgeleitet, ab wann öffentliche Gesundheitsversorgung greift</w:t>
      </w:r>
    </w:p>
    <w:p w14:paraId="0867D230" w14:textId="77777777" w:rsidR="001F7233" w:rsidRDefault="00000000">
      <w:r>
        <w:t>• Kosten für eine private Übergangsversicherung für die Zeit bis zur 2-Jahres-Schwelle eingeplant</w:t>
      </w:r>
    </w:p>
    <w:p w14:paraId="11F72567" w14:textId="77777777" w:rsidR="001F7233" w:rsidRDefault="00000000">
      <w:r>
        <w:t>• Geklärt, ob und wann eine KiwiSaver-Mitgliedschaft möglich wird, und Alternativen für die Übergangszeit überlegt</w:t>
      </w:r>
    </w:p>
    <w:p w14:paraId="5162891A" w14:textId="77777777" w:rsidR="001F7233" w:rsidRDefault="00000000">
      <w:r>
        <w:t>• Lebenshaltungskosten am konkreten Zielort, nicht nur den Landesdurchschnitt, recherchiert</w:t>
      </w:r>
    </w:p>
    <w:p w14:paraId="4C329C7C" w14:textId="77777777" w:rsidR="001F7233" w:rsidRDefault="001F7233">
      <w:pPr>
        <w:spacing w:line="220" w:lineRule="exact"/>
      </w:pPr>
    </w:p>
    <w:p w14:paraId="4CAA2C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776E9E0" w14:textId="77777777" w:rsidR="001F7233" w:rsidRDefault="00000000">
      <w:pPr>
        <w:pStyle w:val="ListParagraph"/>
        <w:numPr>
          <w:ilvl w:val="0"/>
          <w:numId w:val="1"/>
        </w:numPr>
        <w:spacing w:after="60"/>
      </w:pPr>
      <w:r>
        <w:t>Immigration New Zealand — Gebühren, Visakategorien, Gesundheitsanforderungen (</w:t>
      </w:r>
      <w:hyperlink r:id="rId939">
        <w:r w:rsidR="001F7233">
          <w:rPr>
            <w:color w:val="0563C1"/>
            <w:u w:val="single"/>
          </w:rPr>
          <w:t>immigration.govt.nz</w:t>
        </w:r>
      </w:hyperlink>
      <w:r>
        <w:t>)</w:t>
      </w:r>
    </w:p>
    <w:p w14:paraId="67F70A84" w14:textId="77777777" w:rsidR="001F7233" w:rsidRDefault="00000000">
      <w:pPr>
        <w:pStyle w:val="ListParagraph"/>
        <w:numPr>
          <w:ilvl w:val="0"/>
          <w:numId w:val="1"/>
        </w:numPr>
        <w:spacing w:after="60"/>
      </w:pPr>
      <w:r>
        <w:lastRenderedPageBreak/>
        <w:t>Inland Revenue Department — Einkommensteuersätze, IRD-Nummer, Steuerresidenz (</w:t>
      </w:r>
      <w:hyperlink r:id="rId940">
        <w:r w:rsidR="001F7233">
          <w:rPr>
            <w:color w:val="0563C1"/>
            <w:u w:val="single"/>
          </w:rPr>
          <w:t>ird.govt.nz</w:t>
        </w:r>
      </w:hyperlink>
      <w:r>
        <w:t>)</w:t>
      </w:r>
    </w:p>
    <w:p w14:paraId="0B5B697C" w14:textId="77777777" w:rsidR="001F7233" w:rsidRDefault="00000000">
      <w:pPr>
        <w:pStyle w:val="ListParagraph"/>
        <w:numPr>
          <w:ilvl w:val="0"/>
          <w:numId w:val="1"/>
        </w:numPr>
        <w:spacing w:after="60"/>
      </w:pPr>
      <w:r>
        <w:t>ACC — Leistungen und Finanzierung der Unfallversicherung (</w:t>
      </w:r>
      <w:hyperlink r:id="rId941">
        <w:r w:rsidR="001F7233">
          <w:rPr>
            <w:color w:val="0563C1"/>
            <w:u w:val="single"/>
          </w:rPr>
          <w:t>acc.co.nz</w:t>
        </w:r>
      </w:hyperlink>
      <w:r>
        <w:t>)</w:t>
      </w:r>
    </w:p>
    <w:p w14:paraId="4CEA735E" w14:textId="77777777" w:rsidR="001F7233" w:rsidRDefault="00000000">
      <w:pPr>
        <w:pStyle w:val="ListParagraph"/>
        <w:numPr>
          <w:ilvl w:val="0"/>
          <w:numId w:val="1"/>
        </w:numPr>
        <w:spacing w:after="60"/>
      </w:pPr>
      <w:r>
        <w:t>OECD — Taxing Wages, Steuerkeil-Vergleich (</w:t>
      </w:r>
      <w:hyperlink r:id="rId942">
        <w:r w:rsidR="001F7233">
          <w:rPr>
            <w:color w:val="0563C1"/>
            <w:u w:val="single"/>
          </w:rPr>
          <w:t>oecd.org</w:t>
        </w:r>
      </w:hyperlink>
      <w:r>
        <w:t>)</w:t>
      </w:r>
    </w:p>
    <w:p w14:paraId="5958B543" w14:textId="77777777" w:rsidR="001F7233" w:rsidRDefault="00000000">
      <w:pPr>
        <w:pStyle w:val="ListParagraph"/>
        <w:numPr>
          <w:ilvl w:val="0"/>
          <w:numId w:val="1"/>
        </w:numPr>
        <w:spacing w:after="60"/>
      </w:pPr>
      <w:r>
        <w:t>Numbeo — Lebenshaltungskosten im Städtevergleich (</w:t>
      </w:r>
      <w:hyperlink r:id="rId943">
        <w:r w:rsidR="001F7233">
          <w:rPr>
            <w:color w:val="0563C1"/>
            <w:u w:val="single"/>
          </w:rPr>
          <w:t>numbeo.com</w:t>
        </w:r>
      </w:hyperlink>
      <w:r>
        <w:t>)</w:t>
      </w:r>
    </w:p>
    <w:p w14:paraId="3B2EBC8F" w14:textId="77777777" w:rsidR="001F7233" w:rsidRDefault="00000000">
      <w:pPr>
        <w:pStyle w:val="ListParagraph"/>
        <w:numPr>
          <w:ilvl w:val="0"/>
          <w:numId w:val="1"/>
        </w:numPr>
        <w:spacing w:after="60"/>
      </w:pPr>
      <w:r>
        <w:t>Statistics New Zealand — Bevölkerungs- und Zensusdaten (</w:t>
      </w:r>
      <w:hyperlink r:id="rId944">
        <w:r w:rsidR="001F7233">
          <w:rPr>
            <w:color w:val="0563C1"/>
            <w:u w:val="single"/>
          </w:rPr>
          <w:t>stats.govt.nz</w:t>
        </w:r>
      </w:hyperlink>
      <w:r>
        <w:t>)</w:t>
      </w:r>
    </w:p>
    <w:p w14:paraId="0B047F09" w14:textId="77777777" w:rsidR="001F7233" w:rsidRDefault="001F7233">
      <w:pPr>
        <w:spacing w:line="120" w:lineRule="exact"/>
      </w:pPr>
    </w:p>
    <w:p w14:paraId="468A41E1" w14:textId="77777777" w:rsidR="001F7233" w:rsidRDefault="00000000">
      <w:r>
        <w:t xml:space="preserve">• 23.09.2026. Steuerstufen, KiwiSaver-Beitragssätze und ACC-Levies werden regelmäßig angepasst, die SMC-Lohnschwellen ändern sich mehrfach im Jahr, und einzelne Zahlen (Kosten privater Krankenversicherung, aktuelle Größe der deutschen Community) stammen aus Sekundärquellen ohne amtliche Bestätigung. Prüfe vor jeder Entscheidung die aktuellen Werte auf </w:t>
      </w:r>
      <w:hyperlink r:id="rId945">
        <w:r w:rsidR="001F7233">
          <w:rPr>
            <w:color w:val="0563C1"/>
            <w:u w:val="single"/>
          </w:rPr>
          <w:t>immigration.govt.nz</w:t>
        </w:r>
      </w:hyperlink>
      <w:r>
        <w:t xml:space="preserve"> und </w:t>
      </w:r>
      <w:hyperlink r:id="rId946">
        <w:r w:rsidR="001F7233">
          <w:rPr>
            <w:color w:val="0563C1"/>
            <w:u w:val="single"/>
          </w:rPr>
          <w:t>ird.govt.nz</w:t>
        </w:r>
      </w:hyperlink>
      <w:r>
        <w:t>.</w:t>
      </w:r>
    </w:p>
    <w:p w14:paraId="410E24C3" w14:textId="77777777" w:rsidR="001F7233" w:rsidRDefault="00000000">
      <w:pPr>
        <w:spacing w:line="220" w:lineRule="exact"/>
      </w:pPr>
      <w:r>
        <w:br w:type="page"/>
      </w:r>
    </w:p>
    <w:p w14:paraId="56A52661" w14:textId="77777777" w:rsidR="001F7233" w:rsidRDefault="00000000">
      <w:pPr>
        <w:pStyle w:val="Heading2"/>
        <w:keepNext/>
        <w:spacing w:line="341" w:lineRule="auto"/>
        <w:jc w:val="center"/>
      </w:pPr>
      <w:bookmarkStart w:id="129" w:name="tnz02"/>
      <w:r>
        <w:rPr>
          <w:rFonts w:ascii="Amazon Ember" w:eastAsia="Amazon Ember" w:hAnsi="Amazon Ember" w:cs="Amazon Ember"/>
          <w:color w:val="0000FF"/>
          <w:sz w:val="36"/>
          <w:szCs w:val="36"/>
        </w:rPr>
        <w:lastRenderedPageBreak/>
        <w:t>Neuseeland: Wege der Einwanderung</w:t>
      </w:r>
      <w:bookmarkEnd w:id="129"/>
    </w:p>
    <w:p w14:paraId="18BE3367" w14:textId="77777777" w:rsidR="001F7233" w:rsidRDefault="00000000">
      <w:r>
        <w:rPr>
          <w:b/>
        </w:rPr>
        <w:t xml:space="preserve">KURZ GESAGT: </w:t>
      </w:r>
    </w:p>
    <w:p w14:paraId="53C6B9ED" w14:textId="77777777" w:rsidR="001F7233" w:rsidRDefault="00000000">
      <w:r>
        <w:t>• Neuseeland öffnet sich für Deutsche vor allem über zwei Prinzipien: das Punktesystem der Skilled Migrant Category (SMC) und das Arbeitgeber-Sponsoring über das Accredited Employer Work Visa (AEWV).</w:t>
      </w:r>
    </w:p>
    <w:p w14:paraId="09D7AC31" w14:textId="77777777" w:rsidR="001F7233" w:rsidRDefault="00000000">
      <w:r>
        <w:t>• Seit dem 9. Oktober 2023 reicht für die SMC eine deutlich einfachere Schwelle von 6 Punkten. Vorher waren es 180 Punkte in einem komplizierteren Modell. Am 24. August 2026 kamen weitere Änderungen hinzu.</w:t>
      </w:r>
    </w:p>
    <w:p w14:paraId="31F58747" w14:textId="77777777" w:rsidR="001F7233" w:rsidRDefault="00000000">
      <w:r>
        <w:t>• Die Green List (Mangelberufe-Liste) verkürzt oder ersetzt für rund 200 Berufe den üblichen Weg: Tier 1 erlaubt den direkten Antrag auf Daueraufenthalt, Tier 2 verlangt vorher 24 Monate Arbeit in Neuseeland.</w:t>
      </w:r>
    </w:p>
    <w:p w14:paraId="33538077" w14:textId="77777777" w:rsidR="001F7233" w:rsidRDefault="00000000">
      <w:r>
        <w:t>• Working Holiday und Studienvisum sind selbst keine Daueraufenthaltswege, aber für viele der Seiteneingang, über den sich AEWV oder SMC später leichter öffnen.</w:t>
      </w:r>
    </w:p>
    <w:p w14:paraId="25742E9F" w14:textId="77777777" w:rsidR="001F7233" w:rsidRDefault="00000000">
      <w:r>
        <w:t>• Deutschland zählt nicht zu den Ländern mit Gebührenbefreiung. Anders als etwa Österreich zahlst du die vollen INZ-Gebühren.</w:t>
      </w:r>
    </w:p>
    <w:p w14:paraId="752D57FC" w14:textId="77777777" w:rsidR="001F7233" w:rsidRDefault="00000000">
      <w:r>
        <w:t>• Welcher Weg passt, hängt weniger vom Wunschort ab als von Beruf, Alter, Sprachniveau und der Frage, ob bereits ein Jobangebot vorliegt.</w:t>
      </w:r>
    </w:p>
    <w:p w14:paraId="679550A9" w14:textId="77777777" w:rsidR="001F7233" w:rsidRDefault="001F7233">
      <w:pPr>
        <w:spacing w:line="220" w:lineRule="exact"/>
      </w:pPr>
    </w:p>
    <w:p w14:paraId="664455CF" w14:textId="77777777" w:rsidR="001F7233" w:rsidRDefault="001F7233">
      <w:pPr>
        <w:keepLines/>
        <w:spacing w:before="160" w:after="40"/>
        <w:jc w:val="center"/>
      </w:pPr>
    </w:p>
    <w:p w14:paraId="669CCE0C" w14:textId="77777777" w:rsidR="001F7233" w:rsidRDefault="00000000">
      <w:pPr>
        <w:keepLines/>
        <w:spacing w:after="200"/>
        <w:jc w:val="center"/>
      </w:pPr>
      <w:r>
        <w:rPr>
          <w:i/>
          <w:sz w:val="18"/>
        </w:rPr>
        <w:t>Schaubild 8. Neuseeland: vier Wege nicht miteinander verwechseln.</w:t>
      </w:r>
    </w:p>
    <w:p w14:paraId="2899991F" w14:textId="77777777" w:rsidR="001F7233" w:rsidRDefault="00000000">
      <w:r>
        <w:rPr>
          <w:noProof/>
        </w:rPr>
        <w:lastRenderedPageBreak/>
        <w:drawing>
          <wp:inline distT="0" distB="0" distL="0" distR="0" wp14:anchorId="54B38D76" wp14:editId="0746D26B">
            <wp:extent cx="4114800" cy="2880360"/>
            <wp:effectExtent l="0" t="0" r="0" b="0"/>
            <wp:docPr id="8" name="Schaubild 8" descr="Neuseeland: vier unterschiedliche Aufenthaltsw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haubild 8" descr="Neuseeland: vier unterschiedliche Aufenthaltswege"/>
                    <pic:cNvPicPr>
                      <a:picLocks noChangeAspect="1" noChangeArrowheads="1"/>
                    </pic:cNvPicPr>
                  </pic:nvPicPr>
                  <pic:blipFill>
                    <a:blip r:embed="rId947"/>
                    <a:stretch>
                      <a:fillRect/>
                    </a:stretch>
                  </pic:blipFill>
                  <pic:spPr bwMode="auto">
                    <a:xfrm>
                      <a:off x="0" y="0"/>
                      <a:ext cx="4114800" cy="2880360"/>
                    </a:xfrm>
                    <a:prstGeom prst="rect">
                      <a:avLst/>
                    </a:prstGeom>
                    <a:noFill/>
                  </pic:spPr>
                </pic:pic>
              </a:graphicData>
            </a:graphic>
          </wp:inline>
        </w:drawing>
      </w:r>
    </w:p>
    <w:p w14:paraId="27941048"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Punkte oder Arbeitgeber</w:t>
      </w:r>
    </w:p>
    <w:p w14:paraId="764161B6" w14:textId="77777777" w:rsidR="001F7233" w:rsidRDefault="00000000">
      <w:pPr>
        <w:spacing w:after="140"/>
      </w:pPr>
      <w:r>
        <w:rPr>
          <w:i/>
          <w:iCs/>
        </w:rPr>
        <w:t>Fast jeder berufliche Weg nach Neuseeland läuft am Ende auf eine von zwei Fragen hinaus: Erreichst du allein, mit deiner Qualifikation und deinem Gehalt, genug Punkte für einen direkten Antrag auf Daueraufenthalt? Oder brauchst du zunächst einen Arbeitgeber, der bereit ist, dich zu sponsern? Die erste Frage führt zur Skilled Migrant Category (SMC), dem zentralen Punktesystem für Fachkräfte. Die zweite führt zum Accredited Employer Work Visa (AEWV). Das ist das befristete Arbeitsvisum, über das die meisten Deutschen zunächst ins Land kommen, bevor sie. Oft über die Green List – zur Residency wechseln.</w:t>
      </w:r>
    </w:p>
    <w:p w14:paraId="454E6EDD" w14:textId="77777777" w:rsidR="001F7233" w:rsidRDefault="00000000">
      <w:pPr>
        <w:spacing w:after="140"/>
      </w:pPr>
      <w:r>
        <w:t xml:space="preserve">Neuseeland hat kein allgemeines, mit dem US-L-1 vergleichbares Konzerntransfer-Visum für eine gewöhnliche Versetzung. Eine enge Ausnahme gibt es für zentrale Beschäftigte eines Unternehmens, das tatsächlich nach Neuseeland verlagert wird: Die Employees of </w:t>
      </w:r>
      <w:r>
        <w:lastRenderedPageBreak/>
        <w:t>Relocating Business Resident Visa setzt unter anderem Unterstützung von New Zealand Trade and Enterprise und eine wesentliche Rolle der Person voraus. Meist muss sie nach der Verlagerung 24 Monate im Unternehmen arbeiten. INZ kann für die Verlagerung zunächst ein befristetes Arbeitsvisum erteilen. Das ist kein Ersatzweg für eine normale interne Versetzung (Immigration New Zealand, immigration.govt.nz/visas/employees-of-relocating-business-resident-visa/).</w:t>
      </w:r>
    </w:p>
    <w:p w14:paraId="6CFFF5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Skilled Migrant Category: das neue, einfachere Punktesystem</w:t>
      </w:r>
    </w:p>
    <w:p w14:paraId="328A05D9" w14:textId="77777777" w:rsidR="001F7233" w:rsidRDefault="00000000">
      <w:pPr>
        <w:spacing w:after="140"/>
      </w:pPr>
      <w:r>
        <w:rPr>
          <w:b/>
          <w:bCs/>
        </w:rPr>
        <w:t>Die SMC ist seit dem 9. Oktober 2023 grundlegend einfacher. Das frühere System hatte eine Schwelle von 180 Punkten in einem umfangreichen Punkteraster. Es wurde durch ein schlankeres Modell mit einer Mindestschwelle von nur noch 6 Punkten ersetzt, das am 24. August 2026 noch einmal nachgeschärft wurde. Voraussetzung bleibt in jedem Fall eine qualifizierte Stelle oder ein Jobangebot bei einem akkreditierten Arbeitgeber in Neuseeland. Die Punkte stammen aus einer von drei Kategorien, die du nicht miteinander kombinieren kannst, plus neuseeländischer Berufserfahrung:</w:t>
      </w:r>
    </w:p>
    <w:p w14:paraId="740F28C6" w14:textId="77777777" w:rsidR="001F7233" w:rsidRDefault="00000000">
      <w:pPr>
        <w:pStyle w:val="ListParagraph"/>
        <w:numPr>
          <w:ilvl w:val="0"/>
          <w:numId w:val="1"/>
        </w:numPr>
        <w:spacing w:after="60"/>
      </w:pPr>
      <w:r>
        <w:rPr>
          <w:b/>
          <w:bCs/>
        </w:rPr>
        <w:t>Qualifikation:</w:t>
      </w:r>
      <w:r>
        <w:t xml:space="preserve"> 4 bis 6 Punkte – ein ausländischer Bachelorabschluss bringt seit dem 24.08.2026 4 statt vorher 3 Punkte, ein ausländischer Master 5, eine Promotion 6. Neuseeländische Abschlüsse zählen meist einen Punkt mehr.</w:t>
      </w:r>
    </w:p>
    <w:p w14:paraId="049C370F" w14:textId="77777777" w:rsidR="001F7233" w:rsidRDefault="00000000">
      <w:pPr>
        <w:pStyle w:val="ListParagraph"/>
        <w:numPr>
          <w:ilvl w:val="0"/>
          <w:numId w:val="1"/>
        </w:numPr>
        <w:spacing w:after="60"/>
      </w:pPr>
      <w:r>
        <w:rPr>
          <w:b/>
          <w:bCs/>
        </w:rPr>
        <w:t>Berufliche Registrierung:</w:t>
      </w:r>
      <w:r>
        <w:t xml:space="preserve"> 3 bis 6 Punkte, sofern der Beruf einer Registrierungspflicht unterliegt (etwa bei regulierten Berufen wie Pflege oder Ingenieurwesen).</w:t>
      </w:r>
    </w:p>
    <w:p w14:paraId="77F8E920" w14:textId="77777777" w:rsidR="001F7233" w:rsidRDefault="00000000">
      <w:pPr>
        <w:pStyle w:val="ListParagraph"/>
        <w:numPr>
          <w:ilvl w:val="0"/>
          <w:numId w:val="1"/>
        </w:numPr>
        <w:spacing w:after="60"/>
      </w:pPr>
      <w:r>
        <w:rPr>
          <w:b/>
          <w:bCs/>
        </w:rPr>
        <w:t>Einkommen:</w:t>
      </w:r>
      <w:r>
        <w:t xml:space="preserve"> 3 bis 6 Punkte, gestaffelt nach Lohnschwelle (siehe unten).</w:t>
      </w:r>
    </w:p>
    <w:p w14:paraId="2314770C" w14:textId="77777777" w:rsidR="001F7233" w:rsidRDefault="00000000">
      <w:pPr>
        <w:pStyle w:val="ListParagraph"/>
        <w:numPr>
          <w:ilvl w:val="0"/>
          <w:numId w:val="1"/>
        </w:numPr>
        <w:spacing w:after="60"/>
      </w:pPr>
      <w:r>
        <w:rPr>
          <w:b/>
          <w:bCs/>
        </w:rPr>
        <w:lastRenderedPageBreak/>
        <w:t>Neuseeländische Facharbeitserfahrung:</w:t>
      </w:r>
      <w:r>
        <w:t xml:space="preserve"> bis zu 3 Zusatzpunkte für bereits geleistete Arbeit im Land.</w:t>
      </w:r>
    </w:p>
    <w:p w14:paraId="6327DC1A" w14:textId="77777777" w:rsidR="001F7233" w:rsidRDefault="001F7233">
      <w:pPr>
        <w:spacing w:line="120" w:lineRule="exact"/>
      </w:pPr>
    </w:p>
    <w:p w14:paraId="0B33BBFF" w14:textId="77777777" w:rsidR="001F7233" w:rsidRDefault="00000000">
      <w:pPr>
        <w:spacing w:after="140"/>
      </w:pPr>
      <w:r>
        <w:t>Für die Einkommenspunkte gilt ein System aus Vielfachen des neuseeländischen Medianlohns, der seit dem 09.03.2026 bei 35,00 NZD pro Stunde liegt. Wer das Dreifache dieses Medianlohns verdient – 105,00 NZD/Std. –, erhält die vollen 6 Punkte. Das Doppelte (70,00 NZD/Std.) bringt 4 Punkte, das Anderthalbfache (52,50 NZD/Std.) 3 Punkte. Die fehlenden Punkte füllst du mit Facharbeit in Neuseeland auf: 1 Punkt nach einem Jahr, 2 nach anderthalb, 3 nach zwei Jahren. Ein wichtiges Detail: Einmal festgelegt, bleibt die Lohnschwelle für den jeweiligen Antrag bestehen. „once your threshold is set, it does not change“, wie INZ es formuliert. Wer früh mit einer Stelle unterhalb der aktuell gültigen Schwelle beginnt, sollte den genauen Startzeitpunkt deshalb sorgfältig dokumentieren. Spätere Erhöhungen gelten nicht rückwirkend.</w:t>
      </w:r>
    </w:p>
    <w:p w14:paraId="5ABFE45A" w14:textId="77777777" w:rsidR="001F7233" w:rsidRDefault="00000000">
      <w:r>
        <w:rPr>
          <w:b/>
        </w:rPr>
        <w:t xml:space="preserve">MERKE: </w:t>
      </w:r>
    </w:p>
    <w:p w14:paraId="0EA82BD0" w14:textId="77777777" w:rsidR="001F7233" w:rsidRDefault="00000000">
      <w:r>
        <w:t>• 6 Punkte klingt nach einer niedrigen Hürde – und ist es im Vergleich zum alten 180-Punkte-System auch. Die eigentliche Arbeit steckt nicht in der Punktzahl selbst, sondern in den Voraussetzungen dahinter: ein Jobangebot bei einem akkreditierten Arbeitgeber oder mehrjährige einschlägige Erfahrung, ausreichendes Englisch, gute Gesundheit und ein sauberes Führungszeugnis.</w:t>
      </w:r>
    </w:p>
    <w:p w14:paraId="64A5793E" w14:textId="77777777" w:rsidR="001F7233" w:rsidRDefault="001F7233">
      <w:pPr>
        <w:spacing w:line="220" w:lineRule="exact"/>
      </w:pPr>
    </w:p>
    <w:p w14:paraId="3B291F95" w14:textId="77777777" w:rsidR="001F7233" w:rsidRDefault="00000000">
      <w:pPr>
        <w:spacing w:after="140"/>
      </w:pPr>
      <w:r>
        <w:rPr>
          <w:i/>
          <w:iCs/>
        </w:rPr>
        <w:t xml:space="preserve">Weitere Voraussetzungen: Höchstalter 55 Jahre bei Antragstellung, eine unbefristete Stelle oder mindestens 12 Monate befristete Beschäftigung bei mindestens 30 Wochenstunden und – je nach gewähltem Pfad – zusätzliche Anforderungen. Neben dem regulären Punktepfad kennt die SMC zwei Alternativen. Der Skilled-Work-Experience-Pfad gilt für Personen mit mindestens 5 Jahren einschlägiger Erfahrung, davon mindestens 2 Jahre in Neuseeland zum geforderten Lohnsatz. Der Trades-&amp;-Technician-Pfad gilt für Personen in gelisteten Handwerks- und Technikerberufen mit einer Level-4-Qualifikation oder höher, mindestens 2,5 Jahren einschlägiger </w:t>
      </w:r>
      <w:r>
        <w:rPr>
          <w:i/>
          <w:iCs/>
        </w:rPr>
        <w:lastRenderedPageBreak/>
        <w:t>Erfahrung nach Abschluss und auch 1,5 Jahren Facharbeit in Neuseeland.</w:t>
      </w:r>
    </w:p>
    <w:p w14:paraId="33AD6BB9" w14:textId="77777777" w:rsidR="001F7233" w:rsidRDefault="00000000">
      <w:r>
        <w:rPr>
          <w:b/>
        </w:rPr>
        <w:t xml:space="preserve">ACHTUNG: </w:t>
      </w:r>
    </w:p>
    <w:p w14:paraId="1F0A74D2" w14:textId="77777777" w:rsidR="001F7233" w:rsidRDefault="00000000">
      <w:r>
        <w:t>• Die Reform vom 24.08.2026 hat auch die Regeln verschärft, nicht nur vereinfacht. Selbstständigkeit zählt seither nicht mehr automatisch als „direkt relevante Arbeitserfahrung“. Alle Nachweise müssen außerdem „unabhängig überprüfbar“ sein – reine Eigenerklärungen reichen nicht mehr. Wer seine Berufserfahrung über frühere Selbstständigkeit begründen wollte, sollte das vor der Antragstellung genau mit einer Einwanderungsberatung klären.</w:t>
      </w:r>
    </w:p>
    <w:p w14:paraId="6F30633E" w14:textId="77777777" w:rsidR="001F7233" w:rsidRDefault="001F7233">
      <w:pPr>
        <w:spacing w:line="220" w:lineRule="exact"/>
      </w:pPr>
    </w:p>
    <w:p w14:paraId="2E5C4240" w14:textId="77777777" w:rsidR="001F7233" w:rsidRDefault="00000000">
      <w:pPr>
        <w:spacing w:after="140"/>
      </w:pPr>
      <w:r>
        <w:rPr>
          <w:i/>
          <w:iCs/>
        </w:rPr>
        <w:t>Die Gebühr für den Hauptantragsteller liegt bei 6.450 NZD (2.880 NZD Antragsgebühr plus 3.570 NZD Immigration Levy, eine zusätzliche Einwanderungsabgabe). Partner und Kinder zahlen über die Family Category oder als Dependent Child jeweils separat. Wer die SMC erfolgreich durchläuft, erhält ein Resident Visa. De facto einen Daueraufenthaltstitel, wenn auch mit Reisebedingungen. Diese laufen zunächst 2 Jahre nach der ersten Einreise, bevor falls nötig ein Permanent Resident Visa für uneingeschränktes Ein- und Ausreisen nötig wird.</w:t>
      </w:r>
    </w:p>
    <w:p w14:paraId="24666D7D" w14:textId="77777777" w:rsidR="001F7233" w:rsidRDefault="001F7233">
      <w:pPr>
        <w:spacing w:line="220" w:lineRule="exact"/>
      </w:pPr>
    </w:p>
    <w:p w14:paraId="08831E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Accredited Employer Work Visa: der häufigste erste Schritt</w:t>
      </w:r>
    </w:p>
    <w:p w14:paraId="2944D96F" w14:textId="77777777" w:rsidR="001F7233" w:rsidRDefault="00000000">
      <w:pPr>
        <w:spacing w:after="140"/>
      </w:pPr>
      <w:r>
        <w:t xml:space="preserve">Die Voraussetzungen auf deiner Seite: eine Vollzeitstelle mit mindestens 30 Wochenstunden, Bezahlung mindestens zum geltenden Lohnsatz der jeweiligen Tätigkeit, dazu entweder mindestens 2 Jahre einschlägige Berufserfahrung oder eine Qualifikation ab Level 4 des neuseeländischen Qualifikationsrahmens. Englischkenntnisse sind nur für mittlere bis höhere Kompetenzstufen verpflichtend vorgeschrieben. Bei einer Bezahlung ab dem Doppelten des Medianlohns (67,12 NZD/Std.) </w:t>
      </w:r>
      <w:r>
        <w:lastRenderedPageBreak/>
        <w:t>entfällt der gesonderte Nachweis der Kompetenzanforderungen ganz. Das senkt besonders für gut bezahlte Fachkräfte den Verwaltungsaufwand spürbar.</w:t>
      </w:r>
    </w:p>
    <w:p w14:paraId="5156518A" w14:textId="77777777" w:rsidR="001F7233" w:rsidRDefault="00000000">
      <w:pPr>
        <w:spacing w:after="140"/>
      </w:pPr>
      <w:r>
        <w:t>Das AEWV gilt je nach Kompetenzstufe der Tätigkeit bis zu 5 Jahre, bei geringerer Kompetenzstufe 3 Jahre. Die Gesamtgebühr liegt bei 1.540 NZD (480 NZD Antrag plus 1.060 NZD Levy) – deutlich unter der SMC-Gebühr. Allerdings trägt der Arbeitgeber auch die Kosten für Akkreditierung (775 NZD im Standardfall) und Job Check (735 NZD). Medizinische und charakterliche Anforderungen greifen gestaffelt: Ein Röntgen-Thorax wird erst ab 6 Monaten Aufenthalt und bei Herkunft aus einem Land mit erhöhtem Tuberkulose-Risiko verlangt. Ein Führungszeugnis wird erst verlangt, wenn der Gesamtaufenthalt in Neuseeland 24 Monate übersteigt. Merklich niedrigere Hürden als bei der SMC, wo beides von Anfang an Pflicht ist.</w:t>
      </w:r>
    </w:p>
    <w:p w14:paraId="7782E948" w14:textId="77777777" w:rsidR="001F7233" w:rsidRDefault="00000000">
      <w:r>
        <w:t>• Dieses Kapitel erklärt Regeln und Praxis, ersetzt aber keine Beratung durch eine lizenzierte Einwanderungsberaterin, einen Einwanderungsberater oder eine Anwältin oder einen Anwalt für neuseeländisches Einwanderungsrecht.</w:t>
      </w:r>
    </w:p>
    <w:p w14:paraId="743C5A4D" w14:textId="77777777" w:rsidR="001F7233" w:rsidRDefault="001F7233">
      <w:pPr>
        <w:spacing w:line="220" w:lineRule="exact"/>
      </w:pPr>
    </w:p>
    <w:p w14:paraId="4A613295" w14:textId="77777777" w:rsidR="001F7233" w:rsidRDefault="00000000">
      <w:pPr>
        <w:spacing w:after="140"/>
      </w:pPr>
      <w:r>
        <w:t>Der große Vorteil des AEWV liegt in der niedrigeren Einstiegshürde: kein Punktetest, keine Altersgrenze wie bei der SMC. Der Preis ist die Bindung an den sponsernden Arbeitgeber. Ein Wechsel bedeutet meist ein neues Job-Check-Verfahren. Wer von dort aus zur Residency will, braucht entweder einen Beruf auf der Green List oder muss über die Jahre genug Punkte für die reguläre SMC sammeln.</w:t>
      </w:r>
    </w:p>
    <w:p w14:paraId="0DDE6CA7" w14:textId="77777777" w:rsidR="001F7233" w:rsidRDefault="00000000">
      <w:pPr>
        <w:pStyle w:val="Heading3"/>
        <w:keepNext/>
        <w:spacing w:line="341" w:lineRule="auto"/>
        <w:jc w:val="center"/>
      </w:pPr>
      <w:bookmarkStart w:id="130" w:name="idx_Green_List"/>
      <w:r>
        <w:rPr>
          <w:rFonts w:ascii="Amazon Ember" w:eastAsia="Amazon Ember" w:hAnsi="Amazon Ember" w:cs="Amazon Ember"/>
          <w:color w:val="0000FF"/>
          <w:sz w:val="36"/>
          <w:szCs w:val="36"/>
        </w:rPr>
        <w:t>Green List: der Überholstreifen für Mangelberufe</w:t>
      </w:r>
      <w:bookmarkEnd w:id="130"/>
    </w:p>
    <w:p w14:paraId="28FAF313" w14:textId="77777777" w:rsidR="001F7233" w:rsidRDefault="00000000">
      <w:pPr>
        <w:spacing w:after="140"/>
      </w:pPr>
      <w:r>
        <w:rPr>
          <w:i/>
          <w:iCs/>
        </w:rPr>
        <w:t xml:space="preserve">Die Green List nennt rund 200 Berufe, vor allem in Ingenieurwesen, Gesundheit, Bau, Handwerk, IT und Bildung. Für diese Berufe bietet sie </w:t>
      </w:r>
      <w:r>
        <w:rPr>
          <w:i/>
          <w:iCs/>
        </w:rPr>
        <w:lastRenderedPageBreak/>
        <w:t>– zusätzlich zu den allgemeinen Einwanderungswegen – einen verkürzten oder direkten Weg zur Residency. Sie unterscheidet zwei Stufen:</w:t>
      </w:r>
    </w:p>
    <w:p w14:paraId="3E4BE06B" w14:textId="77777777" w:rsidR="001F7233" w:rsidRDefault="00000000">
      <w:pPr>
        <w:pStyle w:val="ListParagraph"/>
        <w:numPr>
          <w:ilvl w:val="0"/>
          <w:numId w:val="1"/>
        </w:numPr>
        <w:spacing w:after="60"/>
      </w:pPr>
      <w:r>
        <w:rPr>
          <w:b/>
          <w:bCs/>
        </w:rPr>
        <w:t>Tier 1, „Straight to Residence“: Sobald ein Jobangebot eines akkreditierten Arbeitgebers und die berufsspezifischen Voraussetzungen vorliegen, kann der direkte Antrag auf ein Daueraufenthaltsvisum gestellt werden. Ganz ohne vorherige Arbeitszeit in Neuseeland.</w:t>
      </w:r>
    </w:p>
    <w:p w14:paraId="7FED2B67" w14:textId="77777777" w:rsidR="001F7233" w:rsidRDefault="00000000">
      <w:pPr>
        <w:pStyle w:val="ListParagraph"/>
        <w:numPr>
          <w:ilvl w:val="0"/>
          <w:numId w:val="1"/>
        </w:numPr>
        <w:spacing w:after="60"/>
      </w:pPr>
      <w:r>
        <w:rPr>
          <w:b/>
          <w:bCs/>
        </w:rPr>
        <w:t>Tier 2, „Work to Residence“: Zunächst ist ein AEWV nötig. Nach 24 Monaten Arbeit in Neuseeland in der letzten 30 Monate vor Antragstellung öffnet sich der Wechsel zur Residency.</w:t>
      </w:r>
    </w:p>
    <w:p w14:paraId="48A71A02" w14:textId="77777777" w:rsidR="001F7233" w:rsidRDefault="001F7233">
      <w:pPr>
        <w:spacing w:line="120" w:lineRule="exact"/>
      </w:pPr>
    </w:p>
    <w:p w14:paraId="4D9DA7DA" w14:textId="77777777" w:rsidR="001F7233" w:rsidRDefault="00000000">
      <w:pPr>
        <w:spacing w:after="140"/>
      </w:pPr>
      <w:r>
        <w:t>Wo kein eigener berufsspezifischer Schwellenwert gilt, greift als Mindestlohn der allgemeine Immigration-Medianlohn von 35,00 NZD pro Stunde. Wichtig: Beide Tiers setzen trotzdem eine Stelle bei einem akkreditierten Arbeitgeber voraus. Die Green List ersetzt also nicht das AEWV-System, sondern beschleunigt den Weg von dort zur Residency.</w:t>
      </w:r>
    </w:p>
    <w:p w14:paraId="343D29F7" w14:textId="77777777" w:rsidR="001F7233" w:rsidRDefault="00000000">
      <w:r>
        <w:rPr>
          <w:b/>
        </w:rPr>
        <w:t xml:space="preserve">SPARTIPP: </w:t>
      </w:r>
    </w:p>
    <w:p w14:paraId="297FC56B" w14:textId="77777777" w:rsidR="001F7233" w:rsidRDefault="00000000">
      <w:r>
        <w:t>• Prüfe schon vor der Jobsuche, ob dein konkreter Beruf. Mit dem passenden ANZSCO-Code, der australisch-neuseeländischen Standardklassifikation für Berufe – tatsächlich auf der Green List steht. Prüfe auch, welche Zusatzanforderungen (etwa eine berufliche Registrierung) für genau diesen Beruf gelten. Eine grobe Ähnlichkeit der Berufsbezeichnung reicht nicht. Die Liste ist nach Einzelberufen, nicht nach Berufsfeldern sortiert.</w:t>
      </w:r>
    </w:p>
    <w:p w14:paraId="25C567CC" w14:textId="77777777" w:rsidR="001F7233" w:rsidRDefault="001F7233">
      <w:pPr>
        <w:spacing w:line="220" w:lineRule="exact"/>
      </w:pPr>
    </w:p>
    <w:p w14:paraId="212BD35B" w14:textId="77777777" w:rsidR="001F7233" w:rsidRDefault="001F7233">
      <w:pPr>
        <w:spacing w:line="220" w:lineRule="exact"/>
      </w:pPr>
    </w:p>
    <w:p w14:paraId="295800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Working Holiday: der Seiteneingang für junge Deutsche</w:t>
      </w:r>
    </w:p>
    <w:p w14:paraId="300ADDEB" w14:textId="77777777" w:rsidR="001F7233" w:rsidRDefault="00000000">
      <w:pPr>
        <w:spacing w:after="140"/>
      </w:pPr>
      <w:r>
        <w:t xml:space="preserve">Das Working-Holiday-Visum ist für sich genommen kein Weg zum Daueraufenthalt. Für viele junge Deutsche ist es trotzdem der niedrigste Einstieg. Das Programm heißt Germany Working Holiday Visa und gilt nur für deutsche Staatsangehörige. Die Altersgrenze liest du auf der INZ-Seite, bevor du zahlst. Zum Stand dieses Kapitels liegt sie bei 18 bis 30 Jahren. Sie ist nicht die Grenze der australischen Subclass 417. Dazu kommen: kein früheres, bereits genutztes Working-Holiday-Visum, eine Vollkrankenversicherung für die gesamte Aufenthaltsdauer und der Nachweis von mindestens 4.200 NZD an Lebenshaltungsmitteln. Der Aufenthalt ist auf bis zu 12 Monate befristet. Ein Daueranstellungsverhältnis ist nicht erlaubt. Studium oder Ausbildung sind für bis zu 6 Monate zulässig. Die Gebühr liegt bei 770 NZD. Ein Jobangebot ist für die Antragstellung nicht nötig. Prüfe Betrag und Altersgrenze auf </w:t>
      </w:r>
      <w:hyperlink r:id="rId948">
        <w:r w:rsidR="001F7233">
          <w:rPr>
            <w:color w:val="0563C1"/>
            <w:u w:val="single"/>
          </w:rPr>
          <w:t>immigration.govt.nz</w:t>
        </w:r>
      </w:hyperlink>
      <w:r>
        <w:t>, wenn zwischen diesem Stand und deinem Antrag Zeit vergangen ist.</w:t>
      </w:r>
    </w:p>
    <w:p w14:paraId="2BF03C9D" w14:textId="77777777" w:rsidR="001F7233" w:rsidRDefault="00000000">
      <w:pPr>
        <w:spacing w:after="140"/>
      </w:pPr>
      <w:r>
        <w:t>Der Wert dieses Visums liegt selten allein im Visum selbst, sondern in dem, was währenddessen entstehen kann: ein Netzwerk, ein erster Job und vielleicht ein Arbeitgeber, der später ein AEWV unterstützt. Für ein Working-Holiday-Visum brauchst du vorab kein Jobangebot. Wenn du vor Ort eine passende Stelle findest, kannst du prüfen, ob die Voraussetzungen für ein AEWV erfüllt sind; der Wechsel erfolgt nicht automatisch.</w:t>
      </w:r>
    </w:p>
    <w:p w14:paraId="3A522E60" w14:textId="77777777" w:rsidR="001F7233" w:rsidRDefault="00000000">
      <w:r>
        <w:rPr>
          <w:b/>
        </w:rPr>
        <w:t xml:space="preserve">ACHTUNG: </w:t>
      </w:r>
    </w:p>
    <w:p w14:paraId="7DC9DC75" w14:textId="77777777" w:rsidR="001F7233" w:rsidRDefault="00000000">
      <w:r>
        <w:t>• Während des Working-Holiday-Jahres bist du in aller Regel nicht bei der öffentlichen Gesundheitsversorgung abgesichert. Die vorgeschriebene Vollkrankenversicherung ist deshalb keine Formalität, sondern deine einzige Absicherung. Und: Ohne festen Plan für die Zeit nach Ablauf des Visums bleibt am Ende oft nur die Ausreise, weil sich weder ein Sponsoring noch eine andere Aufenthaltsgrundlage rechtzeitig ergeben hat.</w:t>
      </w:r>
    </w:p>
    <w:p w14:paraId="441B6E90" w14:textId="77777777" w:rsidR="001F7233" w:rsidRDefault="001F7233">
      <w:pPr>
        <w:spacing w:line="220" w:lineRule="exact"/>
      </w:pPr>
    </w:p>
    <w:p w14:paraId="6B6D60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Studium als Umweg zur Fachkraft</w:t>
      </w:r>
    </w:p>
    <w:p w14:paraId="5E0CC4D2" w14:textId="77777777" w:rsidR="001F7233" w:rsidRDefault="00000000">
      <w:pPr>
        <w:spacing w:after="140"/>
      </w:pPr>
      <w:r>
        <w:rPr>
          <w:i/>
          <w:iCs/>
        </w:rPr>
        <w:t>Ein Fee Paying Student Visa führt nicht direkt zur Einwanderung. Es öffnet aber zwei Türen zugleich: einen anerkannten Abschluss, der die spätere SMC-Bewerbung erleichtert und häufig den ersten Kontakt zu einem künftigen Arbeitgeber. Vollzeitstudierende mit einer Kursdauer von mindestens einem akademischen Jahr und mindestens 120 Credits dürfen während der Semesterferien Vollzeit arbeiten. Studierende in einem Master-by-Research- oder Promotionsprogramm haben durchgehend unbeschränkte Arbeitsrechte. Die Gebühr für das Studienvisum liegt bei 850 NZD.</w:t>
      </w:r>
    </w:p>
    <w:p w14:paraId="2AE7A467" w14:textId="77777777" w:rsidR="001F7233" w:rsidRDefault="00000000">
      <w:pPr>
        <w:spacing w:after="140"/>
      </w:pPr>
      <w:r>
        <w:rPr>
          <w:i/>
          <w:iCs/>
        </w:rPr>
        <w:t>Nach dem Abschluss ermöglicht das Post-Study Work Visa (PSWV) bis zu 3 Jahre befristetes Arbeiten in Neuseeland, Gebühr 1.670 NZD, mit einem Nachweis von mindestens 5.000 NZD an Lebenshaltungsmitteln. Für diese Zeit gilt: Wer währenddessen einen Arbeitgeber findet, der eine Green-List-Stelle oder eine ausreichend bezahlte AEWV-Position anbietet, kann von dort aus weiter Richtung Residency planen. Einige angekündigte Neuerungen waren zum Zeitpunkt dieses Kapitels angekündigt, aber noch nicht abschließend bestätigt. Etwa ein neues, kürzeres Graduate-Arbeitsvisum und eine mögliche Verkürzung der nötigen neuseeländischen Facharbeitserfahrung von 3 auf 2 Jahre. Prüfe den aktuellen Stand direkt bei INZ, bevor du deine Planung darauf aufbaust.</w:t>
      </w:r>
    </w:p>
    <w:p w14:paraId="139ABD6A" w14:textId="77777777" w:rsidR="001F7233" w:rsidRDefault="00000000">
      <w:r>
        <w:rPr>
          <w:b/>
        </w:rPr>
        <w:t xml:space="preserve">MERKE: </w:t>
      </w:r>
    </w:p>
    <w:p w14:paraId="3261559D" w14:textId="77777777" w:rsidR="001F7233" w:rsidRDefault="00000000">
      <w:r>
        <w:t>• Der Studienweg gilt als planbarster, aber auch teuerster Weg nach Neuseeland. Studiengebühren selbst kommen zu den hier genannten Visumskosten noch hinzu und sind von Hochschule zu Hochschule sehr unterschiedlich.</w:t>
      </w:r>
    </w:p>
    <w:p w14:paraId="5B1E3429" w14:textId="77777777" w:rsidR="001F7233" w:rsidRDefault="001F7233">
      <w:pPr>
        <w:spacing w:line="220" w:lineRule="exact"/>
      </w:pPr>
    </w:p>
    <w:p w14:paraId="30C3F7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6902F3C1" w14:textId="77777777" w:rsidR="001F7233" w:rsidRDefault="00000000">
      <w:pPr>
        <w:spacing w:after="140"/>
      </w:pPr>
      <w:r>
        <w:t>Wer die Wege in diesem Kapitel zum ersten Mal vergleicht, tappt erfahrungsgemäß in ähnliche Fallen:</w:t>
      </w:r>
    </w:p>
    <w:p w14:paraId="314E2FDF" w14:textId="77777777" w:rsidR="001F7233" w:rsidRDefault="00000000">
      <w:pPr>
        <w:pStyle w:val="ListParagraph"/>
        <w:numPr>
          <w:ilvl w:val="0"/>
          <w:numId w:val="1"/>
        </w:numPr>
        <w:spacing w:after="60"/>
      </w:pPr>
      <w:r>
        <w:lastRenderedPageBreak/>
        <w:t>Verbreiteter Irrtum: 6 Punkte für die SMC klingen nach einer reinen Formsache. Tatsächlich brauchst du auch eine geeignete neuseeländische Stelle oder ein konkretes Jobangebot bei einem akkreditierten Arbeitgeber. Für die Punkte zählt genau eine Hauptkategorie: Einkommen, Qualifikation oder neuseeländische Berufsregistrierung. Wenn du daraus nicht 6 Punkte erreichst, kannst du fehlende Punkte je nach Kategorie mit qualifizierter Berufserfahrung in Neuseeland ergänzen. Sprach-, Gesundheits- und Charakteranforderungen gelten ebenfalls.</w:t>
      </w:r>
    </w:p>
    <w:p w14:paraId="1F8F420D" w14:textId="77777777" w:rsidR="001F7233" w:rsidRDefault="00000000">
      <w:pPr>
        <w:pStyle w:val="ListParagraph"/>
        <w:numPr>
          <w:ilvl w:val="0"/>
          <w:numId w:val="1"/>
        </w:numPr>
        <w:spacing w:after="60"/>
      </w:pPr>
      <w:r>
        <w:t>AEWV und SMC werden verwechselt: Das AEWV ist ein befristetes Arbeitsvisum, an einen bestimmten Arbeitgeber gebunden. Die SMC ist ein Daueraufenthaltstitel ohne diese Bindung. Wer „ein Visum für Neuseeland“ sucht, ohne diesen Unterschied zu kennen, bewirbt sich leicht für den falschen Weg.</w:t>
      </w:r>
    </w:p>
    <w:p w14:paraId="55E59D80" w14:textId="77777777" w:rsidR="001F7233" w:rsidRDefault="00000000">
      <w:pPr>
        <w:pStyle w:val="ListParagraph"/>
        <w:numPr>
          <w:ilvl w:val="0"/>
          <w:numId w:val="1"/>
        </w:numPr>
        <w:spacing w:after="60"/>
      </w:pPr>
      <w:r>
        <w:t>Die einmal festgelegte SMC-Lohnschwelle wird mit der zum Zeitpunkt der Antragstellung aktuellen Schwelle verwechselt. Maßgeblich ist der Satz zum Start der Facharbeit, nicht ein späterer, vielleicht höherer Wert.</w:t>
      </w:r>
    </w:p>
    <w:p w14:paraId="64D81ADA" w14:textId="77777777" w:rsidR="001F7233" w:rsidRDefault="00000000">
      <w:pPr>
        <w:pStyle w:val="ListParagraph"/>
        <w:numPr>
          <w:ilvl w:val="0"/>
          <w:numId w:val="1"/>
        </w:numPr>
        <w:spacing w:after="60"/>
      </w:pPr>
      <w:r>
        <w:t>Working Holiday wird als eigenständiger Einwanderungsweg missverstanden, obwohl das Visum selbst keinen Daueraufenthalt vorsieht.</w:t>
      </w:r>
    </w:p>
    <w:p w14:paraId="518B17DA" w14:textId="77777777" w:rsidR="001F7233" w:rsidRDefault="00000000">
      <w:pPr>
        <w:pStyle w:val="ListParagraph"/>
        <w:numPr>
          <w:ilvl w:val="0"/>
          <w:numId w:val="1"/>
        </w:numPr>
        <w:spacing w:after="60"/>
      </w:pPr>
      <w:r>
        <w:t>Die Bearbeitungszeit wird unterschätzt, weil Online-Angaben oft nur die INZ-Bearbeitung selbst zeigen, nicht die Monate für Sprachtest, Skills-Nachweise und Dokumentenbeschaffung davor.</w:t>
      </w:r>
    </w:p>
    <w:p w14:paraId="601EED4C" w14:textId="77777777" w:rsidR="001F7233" w:rsidRDefault="001F7233">
      <w:pPr>
        <w:spacing w:line="120" w:lineRule="exact"/>
      </w:pPr>
    </w:p>
    <w:p w14:paraId="1D8254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2BDF4F97" w14:textId="77777777" w:rsidR="001F7233" w:rsidRDefault="00000000">
      <w:r>
        <w:rPr>
          <w:b/>
        </w:rPr>
        <w:t>Jobangebot mit hohem Gehalt, SMC-Punktzahl direkt erreichbar</w:t>
      </w:r>
    </w:p>
    <w:p w14:paraId="30FD17AB" w14:textId="77777777" w:rsidR="001F7233" w:rsidRDefault="00000000">
      <w:r>
        <w:rPr>
          <w:b/>
        </w:rPr>
        <w:t xml:space="preserve">Meist passender Weg: </w:t>
      </w:r>
      <w:r>
        <w:t>Skilled Migrant Category, direkt aus Deutschland</w:t>
      </w:r>
    </w:p>
    <w:p w14:paraId="7881BD5B" w14:textId="77777777" w:rsidR="001F7233" w:rsidRDefault="00000000">
      <w:r>
        <w:rPr>
          <w:b/>
        </w:rPr>
        <w:t>Beruf steht auf der Green List, Jobangebot liegt vor</w:t>
      </w:r>
    </w:p>
    <w:p w14:paraId="244A3BC7" w14:textId="77777777" w:rsidR="001F7233" w:rsidRDefault="00000000">
      <w:r>
        <w:rPr>
          <w:b/>
        </w:rPr>
        <w:lastRenderedPageBreak/>
        <w:t xml:space="preserve">Meist passender Weg: </w:t>
      </w:r>
      <w:r>
        <w:t>Green List Tier 1 (direkt) oder Tier 2 über AEWV</w:t>
      </w:r>
    </w:p>
    <w:p w14:paraId="4EE4148A" w14:textId="77777777" w:rsidR="001F7233" w:rsidRDefault="00000000">
      <w:r>
        <w:rPr>
          <w:b/>
        </w:rPr>
        <w:t>Jobangebot vorhanden, Beruf nicht auf der Green List</w:t>
      </w:r>
    </w:p>
    <w:p w14:paraId="1EF4C468" w14:textId="77777777" w:rsidR="001F7233" w:rsidRDefault="00000000">
      <w:r>
        <w:rPr>
          <w:b/>
        </w:rPr>
        <w:t xml:space="preserve">Meist passender Weg: </w:t>
      </w:r>
      <w:r>
        <w:t>Accredited Employer Work Visa, später ggf. SMC</w:t>
      </w:r>
    </w:p>
    <w:p w14:paraId="2F1F8E31" w14:textId="77777777" w:rsidR="001F7233" w:rsidRDefault="00000000">
      <w:r>
        <w:rPr>
          <w:b/>
        </w:rPr>
        <w:t>Noch kein Jobangebot, Altersrahmen des Germany Working Holiday Visa (Kapitelstand 18 bis 30, Grenze auf der INZ-Seite), will erst reinschnuppern</w:t>
      </w:r>
    </w:p>
    <w:p w14:paraId="689EC16B" w14:textId="77777777" w:rsidR="001F7233" w:rsidRDefault="00000000">
      <w:r>
        <w:rPr>
          <w:b/>
        </w:rPr>
        <w:t xml:space="preserve">Meist passender Weg: </w:t>
      </w:r>
      <w:r>
        <w:t>Working Holiday</w:t>
      </w:r>
    </w:p>
    <w:p w14:paraId="2D6F1AFC" w14:textId="77777777" w:rsidR="001F7233" w:rsidRDefault="00000000">
      <w:r>
        <w:rPr>
          <w:b/>
        </w:rPr>
        <w:t>Punktzahl oder Abschluss reichen noch nicht</w:t>
      </w:r>
    </w:p>
    <w:p w14:paraId="1A6B0BB8" w14:textId="77777777" w:rsidR="001F7233" w:rsidRDefault="00000000">
      <w:r>
        <w:rPr>
          <w:b/>
        </w:rPr>
        <w:t xml:space="preserve">Meist passender Weg: </w:t>
      </w:r>
      <w:r>
        <w:t>Studienvisum als Zwischenschritt über PSWV</w:t>
      </w:r>
    </w:p>
    <w:p w14:paraId="17AD40FA" w14:textId="77777777" w:rsidR="001F7233" w:rsidRDefault="00000000">
      <w:r>
        <w:rPr>
          <w:b/>
        </w:rPr>
        <w:t>Über 55 Jahre oder Punktetest-Weg nicht offen</w:t>
      </w:r>
    </w:p>
    <w:p w14:paraId="6CA273F6" w14:textId="77777777" w:rsidR="001F7233" w:rsidRDefault="00000000">
      <w:r>
        <w:rPr>
          <w:b/>
        </w:rPr>
        <w:t xml:space="preserve">Meist passender Weg: </w:t>
      </w:r>
      <w:r>
        <w:t>siehe Kapitel zu Familie, Investor und Ruhestand in diesem Teil</w:t>
      </w:r>
    </w:p>
    <w:p w14:paraId="2F478699" w14:textId="77777777" w:rsidR="001F7233" w:rsidRDefault="001F7233">
      <w:pPr>
        <w:spacing w:line="180" w:lineRule="exact"/>
      </w:pPr>
    </w:p>
    <w:p w14:paraId="66037A84" w14:textId="77777777" w:rsidR="001F7233" w:rsidRDefault="00000000">
      <w:r>
        <w:rPr>
          <w:b/>
        </w:rPr>
        <w:t xml:space="preserve">ACHTUNG: </w:t>
      </w:r>
    </w:p>
    <w:p w14:paraId="2E7FF91D" w14:textId="77777777" w:rsidR="001F7233" w:rsidRDefault="00000000">
      <w:r>
        <w:t>• Diese Zuordnung ist eine grobe Orientierung, keine Garantie. Lohnschwellen, die Green-List-Berufe und die genauen SMC-Regeln ändern sich mehrfach im Jahr – zuletzt zum 24.08.2026. Prüfe jede Zahl vor einer Kündigung in Deutschland direkt bei Immigration New Zealand.</w:t>
      </w:r>
    </w:p>
    <w:p w14:paraId="7E849B3B" w14:textId="77777777" w:rsidR="001F7233" w:rsidRDefault="001F7233">
      <w:pPr>
        <w:spacing w:line="220" w:lineRule="exact"/>
      </w:pPr>
    </w:p>
    <w:p w14:paraId="404434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Wege der Einwanderung</w:t>
      </w:r>
    </w:p>
    <w:p w14:paraId="139ED4F7" w14:textId="77777777" w:rsidR="001F7233" w:rsidRDefault="00000000">
      <w:r>
        <w:rPr>
          <w:b/>
        </w:rPr>
        <w:t>Plus: SMC-Punktesystem seit der Reform deutlich einfacher (6-Punkte-Schwelle)</w:t>
      </w:r>
    </w:p>
    <w:p w14:paraId="4F5CBFA0" w14:textId="77777777" w:rsidR="001F7233" w:rsidRDefault="00000000">
      <w:r>
        <w:rPr>
          <w:b/>
        </w:rPr>
        <w:t xml:space="preserve">Minus: </w:t>
      </w:r>
      <w:r>
        <w:t>Voraussetzungen hinter der Punktzahl bleiben anspruchsvoll</w:t>
      </w:r>
    </w:p>
    <w:p w14:paraId="34304A4C" w14:textId="77777777" w:rsidR="001F7233" w:rsidRDefault="00000000">
      <w:r>
        <w:rPr>
          <w:b/>
        </w:rPr>
        <w:t>Plus: Green List verkürzt für rund 200 Berufe den Weg zur Residency</w:t>
      </w:r>
    </w:p>
    <w:p w14:paraId="3B9F1209" w14:textId="77777777" w:rsidR="001F7233" w:rsidRDefault="00000000">
      <w:r>
        <w:rPr>
          <w:b/>
        </w:rPr>
        <w:t xml:space="preserve">Minus: </w:t>
      </w:r>
      <w:r>
        <w:t>Nur exakt gelistete Berufe profitieren, keine verwandten Tätigkeiten</w:t>
      </w:r>
    </w:p>
    <w:p w14:paraId="6083C799" w14:textId="77777777" w:rsidR="001F7233" w:rsidRDefault="00000000">
      <w:r>
        <w:rPr>
          <w:b/>
        </w:rPr>
        <w:lastRenderedPageBreak/>
        <w:t>Plus: AEWV erlaubt Einstieg ohne Punktetest und ohne Altersgrenze</w:t>
      </w:r>
    </w:p>
    <w:p w14:paraId="3A8D1ABD" w14:textId="77777777" w:rsidR="001F7233" w:rsidRDefault="00000000">
      <w:r>
        <w:rPr>
          <w:b/>
        </w:rPr>
        <w:t xml:space="preserve">Minus: </w:t>
      </w:r>
      <w:r>
        <w:t>AEWV bindet für die Vertragsdauer an einen einzelnen Arbeitgeber</w:t>
      </w:r>
    </w:p>
    <w:p w14:paraId="52479C8D" w14:textId="77777777" w:rsidR="001F7233" w:rsidRDefault="00000000">
      <w:r>
        <w:rPr>
          <w:b/>
        </w:rPr>
        <w:t>Plus: Working Holiday ermöglicht risikoarmes erstes Kennenlernen</w:t>
      </w:r>
    </w:p>
    <w:p w14:paraId="204DA989" w14:textId="77777777" w:rsidR="001F7233" w:rsidRDefault="00000000">
      <w:r>
        <w:rPr>
          <w:b/>
        </w:rPr>
        <w:t xml:space="preserve">Minus: </w:t>
      </w:r>
      <w:r>
        <w:t>Working Holiday ist selbst kein Daueraufenthaltsweg</w:t>
      </w:r>
    </w:p>
    <w:p w14:paraId="5E6DBE37" w14:textId="77777777" w:rsidR="001F7233" w:rsidRDefault="00000000">
      <w:r>
        <w:rPr>
          <w:b/>
        </w:rPr>
        <w:t>Plus: Mehrere parallele Wege erhöhen die Gesamtchance</w:t>
      </w:r>
    </w:p>
    <w:p w14:paraId="33272ED4" w14:textId="77777777" w:rsidR="001F7233" w:rsidRDefault="00000000">
      <w:r>
        <w:rPr>
          <w:b/>
        </w:rPr>
        <w:t xml:space="preserve">Minus: </w:t>
      </w:r>
      <w:r>
        <w:t>Deutschland zahlt volle Gebühren, keine Fee-Waiver-Vergünstigung</w:t>
      </w:r>
    </w:p>
    <w:p w14:paraId="013C559C" w14:textId="77777777" w:rsidR="001F7233" w:rsidRDefault="00000000">
      <w:r>
        <w:rPr>
          <w:b/>
        </w:rPr>
        <w:t>Plus: Studienweg eröffnet Abschluss, Punkte und Kontakte zugleich</w:t>
      </w:r>
    </w:p>
    <w:p w14:paraId="02ACE5F1" w14:textId="77777777" w:rsidR="001F7233" w:rsidRDefault="00000000">
      <w:r>
        <w:rPr>
          <w:b/>
        </w:rPr>
        <w:t xml:space="preserve">Minus: </w:t>
      </w:r>
      <w:r>
        <w:t>Studienweg ist zeit- und kostenintensiv ohne Jobgarantie</w:t>
      </w:r>
    </w:p>
    <w:p w14:paraId="3DFDFEBB" w14:textId="77777777" w:rsidR="001F7233" w:rsidRDefault="001F7233">
      <w:pPr>
        <w:spacing w:line="180" w:lineRule="exact"/>
      </w:pPr>
    </w:p>
    <w:p w14:paraId="542229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D9B415D" w14:textId="77777777" w:rsidR="001F7233" w:rsidRDefault="00000000">
      <w:pPr>
        <w:spacing w:after="140"/>
      </w:pPr>
      <w:r>
        <w:t>Beginne mit einer ehrlichen Bestandsaufnahme: Beruf, Alter, Sprachniveau, vorhandenes oder fehlendes Jobangebot. Prüfe als Erstes, ob dein Beruf auf der Green List steht. Das entscheidet oft mehr über den passenden Weg als jede andere einzelne Zahl. Rechne parallel deine SMC-Punktzahl überschlägig durch, auch wenn du zunächst über ein AEWV einreisen willst. Die Punktzahl zeigt dir, wie weit der spätere Wechsel zur Residency entfernt ist. Die folgenden Kapitel dieses Teils vertiefen den Arbeitsweg im Detail sowie Familie-, Investor- und Ruhestandswege für alle, die keinen eigenen gefragten Beruf mitbringen.</w:t>
      </w:r>
    </w:p>
    <w:p w14:paraId="08276AAD" w14:textId="77777777" w:rsidR="001F7233" w:rsidRDefault="00000000">
      <w:r>
        <w:t>• Eigenen Beruf mit der aktuellen Green List und dem passenden ANZSCO-Code abgeglichen</w:t>
      </w:r>
    </w:p>
    <w:p w14:paraId="6B3412D0" w14:textId="77777777" w:rsidR="001F7233" w:rsidRDefault="00000000">
      <w:r>
        <w:t>• SMC-Punktzahl überschlägig berechnet (Qualifikation, Registrierung, Einkommen, NZ-Erfahrung)</w:t>
      </w:r>
    </w:p>
    <w:p w14:paraId="47C29698" w14:textId="77777777" w:rsidR="001F7233" w:rsidRDefault="00000000">
      <w:r>
        <w:t>• Geprüft, ob ein Jobangebot eines akkreditierten Arbeitgebers realistisch erreichbar ist</w:t>
      </w:r>
    </w:p>
    <w:p w14:paraId="0F1827C1" w14:textId="77777777" w:rsidR="001F7233" w:rsidRDefault="00000000">
      <w:r>
        <w:lastRenderedPageBreak/>
        <w:t>• Working Holiday als möglichen ersten Schritt erwogen, nur wenn du im Rahmen des Germany Working Holiday Visa liegst (zum Stand dieses Kapitels 18 bis 30 Jahre). Grenze auf der INZ-Seite prüfen, nicht die australische 417 übernehmen</w:t>
      </w:r>
    </w:p>
    <w:p w14:paraId="2CB9C51F" w14:textId="77777777" w:rsidR="001F7233" w:rsidRDefault="00000000">
      <w:r>
        <w:t>• Studienvisum als Zwischenschritt geprüft, falls Punktzahl oder Abschluss noch nicht reichen</w:t>
      </w:r>
    </w:p>
    <w:p w14:paraId="6DCBFDF7" w14:textId="77777777" w:rsidR="001F7233" w:rsidRDefault="00000000">
      <w:r>
        <w:t>• Aktuelle Lohnschwellen, Gebühren und Bearbeitungszeiten direkt bei Immigration New Zealand geprüft</w:t>
      </w:r>
    </w:p>
    <w:p w14:paraId="45DAE66A" w14:textId="77777777" w:rsidR="001F7233" w:rsidRDefault="001F7233">
      <w:pPr>
        <w:spacing w:line="220" w:lineRule="exact"/>
      </w:pPr>
    </w:p>
    <w:p w14:paraId="79C649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080B0A" w14:textId="77777777" w:rsidR="001F7233" w:rsidRDefault="00000000">
      <w:pPr>
        <w:pStyle w:val="ListParagraph"/>
        <w:numPr>
          <w:ilvl w:val="0"/>
          <w:numId w:val="1"/>
        </w:numPr>
        <w:spacing w:after="60"/>
      </w:pPr>
      <w:r>
        <w:t>Immigration New Zealand — Skilled Migrant Category Resident Visa (</w:t>
      </w:r>
      <w:hyperlink r:id="rId949">
        <w:r w:rsidR="001F7233">
          <w:rPr>
            <w:color w:val="0563C1"/>
            <w:u w:val="single"/>
          </w:rPr>
          <w:t>immigration.govt.nz</w:t>
        </w:r>
      </w:hyperlink>
      <w:r>
        <w:t>)</w:t>
      </w:r>
    </w:p>
    <w:p w14:paraId="1A9C52C8" w14:textId="77777777" w:rsidR="001F7233" w:rsidRDefault="00000000">
      <w:pPr>
        <w:pStyle w:val="ListParagraph"/>
        <w:numPr>
          <w:ilvl w:val="0"/>
          <w:numId w:val="1"/>
        </w:numPr>
        <w:spacing w:after="60"/>
      </w:pPr>
      <w:r>
        <w:t>Immigration New Zealand — Accredited Employer Work Visa (</w:t>
      </w:r>
      <w:hyperlink r:id="rId950">
        <w:r w:rsidR="001F7233">
          <w:rPr>
            <w:color w:val="0563C1"/>
            <w:u w:val="single"/>
          </w:rPr>
          <w:t>immigration.govt.nz</w:t>
        </w:r>
      </w:hyperlink>
      <w:r>
        <w:t>)</w:t>
      </w:r>
    </w:p>
    <w:p w14:paraId="7A207574" w14:textId="77777777" w:rsidR="001F7233" w:rsidRDefault="00000000">
      <w:pPr>
        <w:pStyle w:val="ListParagraph"/>
        <w:numPr>
          <w:ilvl w:val="0"/>
          <w:numId w:val="1"/>
        </w:numPr>
        <w:spacing w:after="60"/>
      </w:pPr>
      <w:r>
        <w:t>Immigration New Zealand — Green List (</w:t>
      </w:r>
      <w:hyperlink r:id="rId951">
        <w:r w:rsidR="001F7233">
          <w:rPr>
            <w:color w:val="0563C1"/>
            <w:u w:val="single"/>
          </w:rPr>
          <w:t>immigration.govt.nz</w:t>
        </w:r>
      </w:hyperlink>
      <w:r>
        <w:t>)</w:t>
      </w:r>
    </w:p>
    <w:p w14:paraId="4A46E930" w14:textId="77777777" w:rsidR="001F7233" w:rsidRDefault="00000000">
      <w:pPr>
        <w:pStyle w:val="ListParagraph"/>
        <w:numPr>
          <w:ilvl w:val="0"/>
          <w:numId w:val="1"/>
        </w:numPr>
        <w:spacing w:after="60"/>
      </w:pPr>
      <w:r>
        <w:t>Immigration New Zealand — Germany Working Holiday Visa (</w:t>
      </w:r>
      <w:hyperlink r:id="rId952">
        <w:r w:rsidR="001F7233">
          <w:rPr>
            <w:color w:val="0563C1"/>
            <w:u w:val="single"/>
          </w:rPr>
          <w:t>immigration.govt.nz</w:t>
        </w:r>
      </w:hyperlink>
      <w:r>
        <w:t>)</w:t>
      </w:r>
    </w:p>
    <w:p w14:paraId="1D6CAEA1" w14:textId="77777777" w:rsidR="001F7233" w:rsidRDefault="00000000">
      <w:pPr>
        <w:pStyle w:val="ListParagraph"/>
        <w:numPr>
          <w:ilvl w:val="0"/>
          <w:numId w:val="1"/>
        </w:numPr>
        <w:spacing w:after="60"/>
      </w:pPr>
      <w:r>
        <w:t>Immigration New Zealand — Fees Guide INZ 1028 (</w:t>
      </w:r>
      <w:hyperlink r:id="rId953">
        <w:r w:rsidR="001F7233">
          <w:rPr>
            <w:color w:val="0563C1"/>
            <w:u w:val="single"/>
          </w:rPr>
          <w:t>immigration.govt.nz</w:t>
        </w:r>
      </w:hyperlink>
      <w:r>
        <w:t>, PDF-Formularseite)</w:t>
      </w:r>
    </w:p>
    <w:p w14:paraId="6D74284F" w14:textId="77777777" w:rsidR="001F7233" w:rsidRDefault="00000000">
      <w:pPr>
        <w:pStyle w:val="ListParagraph"/>
        <w:numPr>
          <w:ilvl w:val="0"/>
          <w:numId w:val="1"/>
        </w:numPr>
        <w:spacing w:after="60"/>
      </w:pPr>
      <w:r>
        <w:t>Immigration New Zealand — Gesundheits- und Charakteranforderungen (</w:t>
      </w:r>
      <w:hyperlink r:id="rId954">
        <w:r w:rsidR="001F7233">
          <w:rPr>
            <w:color w:val="0563C1"/>
            <w:u w:val="single"/>
          </w:rPr>
          <w:t>immigration.govt.nz</w:t>
        </w:r>
      </w:hyperlink>
      <w:r>
        <w:t>)</w:t>
      </w:r>
    </w:p>
    <w:p w14:paraId="1C3B4607" w14:textId="77777777" w:rsidR="001F7233" w:rsidRDefault="001F7233">
      <w:pPr>
        <w:spacing w:line="120" w:lineRule="exact"/>
      </w:pPr>
    </w:p>
    <w:p w14:paraId="28FA409A" w14:textId="77777777" w:rsidR="001F7233" w:rsidRDefault="00000000">
      <w:r>
        <w:t xml:space="preserve">• 23.09.2026. Diese Angaben ändern sich schnell: die SMC-Lohnschwellen mehrfach im Jahr, die Green-List-Berufe, die AEWV-Lohnschwellen und alle genannten Gebühren. Mehrere angekündigte Neuerungen beim Studienweg waren zum Redaktionsschluss noch nicht abschließend bestätigt. Prüfe vor jeder Entscheidung die aktuellen Werte direkt auf </w:t>
      </w:r>
      <w:hyperlink r:id="rId955">
        <w:r w:rsidR="001F7233">
          <w:rPr>
            <w:color w:val="0563C1"/>
            <w:u w:val="single"/>
          </w:rPr>
          <w:t>immigration.govt.nz</w:t>
        </w:r>
      </w:hyperlink>
      <w:r>
        <w:t>.</w:t>
      </w:r>
    </w:p>
    <w:p w14:paraId="238D276B" w14:textId="77777777" w:rsidR="001F7233" w:rsidRDefault="00000000">
      <w:pPr>
        <w:spacing w:line="220" w:lineRule="exact"/>
      </w:pPr>
      <w:r>
        <w:br w:type="page"/>
      </w:r>
    </w:p>
    <w:p w14:paraId="792DF4AE" w14:textId="77777777" w:rsidR="001F7233" w:rsidRDefault="00000000">
      <w:pPr>
        <w:pStyle w:val="Heading2"/>
        <w:keepNext/>
        <w:spacing w:line="341" w:lineRule="auto"/>
        <w:jc w:val="center"/>
      </w:pPr>
      <w:bookmarkStart w:id="131" w:name="tnz03"/>
      <w:r>
        <w:rPr>
          <w:rFonts w:ascii="Amazon Ember" w:eastAsia="Amazon Ember" w:hAnsi="Amazon Ember" w:cs="Amazon Ember"/>
          <w:color w:val="0000FF"/>
          <w:sz w:val="36"/>
          <w:szCs w:val="36"/>
        </w:rPr>
        <w:lastRenderedPageBreak/>
        <w:t>Neuseeland: Der Arbeitsweg im Detail</w:t>
      </w:r>
      <w:bookmarkEnd w:id="131"/>
    </w:p>
    <w:p w14:paraId="7310BBFB" w14:textId="77777777" w:rsidR="001F7233" w:rsidRDefault="00000000">
      <w:pPr>
        <w:spacing w:after="140"/>
      </w:pPr>
      <w:r>
        <w:rPr>
          <w:i/>
          <w:iCs/>
        </w:rPr>
        <w:t>Wer glaubt, in Neuseeland zähle vor allem guter Wille und ein fester Händedruck, wird von der ersten Antwort-E-Mail von Immigration New Zealand (INZ, die neuseeländische Einwanderungsbehörde) eines Besseren belehrt. Darin geht es um ANZSCO-Codes, Lohnschwellen auf die Kommastelle genau und Fristen, die klingen, als habe sie jemand mit einer Stoppuhr in der Hand verfasst. Die gute Nachricht: Bei aller Gründlichkeit ist das System ungewöhnlich transparent. Wer die Regeln kennt, kann seinen eigenen Weg fast wie eine Rechnung nachvollziehen. Die weniger gute Nachricht: Ausgerechnet diese Regeln ändern sich derzeit im Halbjahrestakt. Wer sich auf den Stand von vor zwölf Monaten verlässt, rechnet mit der falschen Formel. Wer den deutschen Umgang mit Bürokratie für gründlich hält, darf sich auf ein weiteres Level gefasst machen. Nur eben mit deutlich mehr Sonne und einer Behörde, die zumindest auf ihrer Website erstaunlich offen kommuniziert, was sie von dir will.</w:t>
      </w:r>
    </w:p>
    <w:p w14:paraId="6408874A" w14:textId="77777777" w:rsidR="001F7233" w:rsidRDefault="00000000">
      <w:r>
        <w:rPr>
          <w:b/>
        </w:rPr>
        <w:t xml:space="preserve">KURZ GESAGT: </w:t>
      </w:r>
    </w:p>
    <w:p w14:paraId="363B0C82" w14:textId="77777777" w:rsidR="001F7233" w:rsidRDefault="00000000">
      <w:r>
        <w:t>• Das Accredited Employer Work Visa (AEWV, das Arbeitsvisum für Angestellte akkreditierter Arbeitgeber) ist das zentrale befristete Arbeitsvisum: Der Arbeitgeber muss vorab akkreditiert sein und einen Job Check bestehen, bevor du überhaupt einen Antrag stellen kannst.</w:t>
      </w:r>
    </w:p>
    <w:p w14:paraId="125B9CEA" w14:textId="77777777" w:rsidR="001F7233" w:rsidRDefault="00000000">
      <w:r>
        <w:t>• Die Green List (Berufsliste mit bevorzugtem Zugang zur Residency) öffnet für rund 200 Berufe einen direkten (Tier 1) oder verkürzten (Tier 2, nach 24 Monaten Arbeit) Weg zum Daueraufenthalt.</w:t>
      </w:r>
    </w:p>
    <w:p w14:paraId="5F9F6DA2" w14:textId="77777777" w:rsidR="001F7233" w:rsidRDefault="00000000">
      <w:r>
        <w:t>• Die Skilled Migrant Category (SMC, die Fachkräfte-Kategorie für den Daueraufenthalt) wurde 2025/26 grundlegend vereinfacht: Statt eines alten 180-Punkte-Systems reicht heute eine Schwelle von 6 Punkten.</w:t>
      </w:r>
    </w:p>
    <w:p w14:paraId="023DDBA3" w14:textId="77777777" w:rsidR="001F7233" w:rsidRDefault="00000000">
      <w:r>
        <w:t xml:space="preserve">• Auch ohne vorherige Arbeitserfahrung in Neuseeland kann die SMC infrage kommen. Dafür brauchst du eine Stelle oder ein konkretes Jobangebot in Neuseeland bei einem akkreditierten Arbeitgeber und </w:t>
      </w:r>
      <w:r>
        <w:lastRenderedPageBreak/>
        <w:t>insgesamt 6 Punkte. Diese können etwa aus einem anerkannten Abschluss, einer anerkannten neuseeländischen Berufsregistrierung oder Einkommen stammen. Der Einkommensweg verlangt ein besonders hohes Gehalt.</w:t>
      </w:r>
    </w:p>
    <w:p w14:paraId="1A1FB264" w14:textId="77777777" w:rsidR="001F7233" w:rsidRDefault="00000000">
      <w:r>
        <w:t>• Deutschland gehört nicht zu den Ländern mit Gebührenbefreiung. Du zahlst die vollen Sätze, anders als etwa Antragstellende aus Österreich.</w:t>
      </w:r>
    </w:p>
    <w:p w14:paraId="4D0B6652" w14:textId="77777777" w:rsidR="001F7233" w:rsidRDefault="00000000">
      <w:r>
        <w:t xml:space="preserve">• Zahlen, Schwellen und Fristen ändern sich laufend: Prüfe vor jeder Entscheidung die aktuellen Werte auf </w:t>
      </w:r>
      <w:hyperlink r:id="rId956">
        <w:r w:rsidR="001F7233">
          <w:rPr>
            <w:color w:val="0563C1"/>
            <w:u w:val="single"/>
          </w:rPr>
          <w:t>immigration.govt.nz</w:t>
        </w:r>
      </w:hyperlink>
      <w:r>
        <w:t>.</w:t>
      </w:r>
    </w:p>
    <w:p w14:paraId="496126EA" w14:textId="77777777" w:rsidR="001F7233" w:rsidRDefault="001F7233">
      <w:pPr>
        <w:spacing w:line="220" w:lineRule="exact"/>
      </w:pPr>
    </w:p>
    <w:p w14:paraId="2F1EB1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Accredited Employer Work Visa im Detail</w:t>
      </w:r>
    </w:p>
    <w:p w14:paraId="47923AEB" w14:textId="77777777" w:rsidR="001F7233" w:rsidRDefault="00000000">
      <w:pPr>
        <w:spacing w:after="140"/>
      </w:pPr>
      <w:r>
        <w:t xml:space="preserve">Das AEWV ist seit 2022 der zentrale Zugang zum neuseeländischen Arbeitsmarkt für befristete Fachkräfte und läuft in drei getrennten Schritten. Zuerst durchläuft dein künftiger Arbeitgeber die Employer Accreditation. Danach folgt der Job Check für die konkrete Stelle. Erst wenn beides bestätigt ist, beantragst du das AEWV. Die Gebühren stehen im INZ Fees Guide auf </w:t>
      </w:r>
      <w:hyperlink r:id="rId957">
        <w:r w:rsidR="001F7233">
          <w:rPr>
            <w:color w:val="0563C1"/>
            <w:u w:val="single"/>
          </w:rPr>
          <w:t>immigration.govt.nz</w:t>
        </w:r>
      </w:hyperlink>
      <w:r>
        <w:t>. Lies sie, bevor jemand zahlt oder du kündigst. Die Bearbeitungsrichtung liest du auf derselben Seite, nicht als feste Wochenzahl aus diesem Kapitel.</w:t>
      </w:r>
    </w:p>
    <w:p w14:paraId="4FEB2EC0" w14:textId="77777777" w:rsidR="001F7233" w:rsidRDefault="00000000">
      <w:pPr>
        <w:spacing w:after="140"/>
      </w:pPr>
      <w:r>
        <w:t>Der Vergleich mit Deutschland hilft beim Einordnen. Die Blaue Karte EU verlangt von dir einen anerkannten Abschluss, ein Jobangebot und ein Mindestgehalt, aber keine gestaffelte Vorabprüfung des Arbeitgebers selbst. Das AEWV dreht die Reihenfolge um: Bevor überhaupt eine einzelne Bewerberin oder ein einzelner Bewerber ins Spiel kommt, muss der Arbeitgeber seine eigene Zuverlässigkeit nachweisen. Für dich als Bewerber bedeutet das einen Vorteil: Ein bereits akkreditierter Arbeitgeber hat die aufwendigste Hürde schon hinter sich. Dein eigener Antrag läuft danach vergleichsweise zügig durch.</w:t>
      </w:r>
    </w:p>
    <w:p w14:paraId="0C6D4C60" w14:textId="77777777" w:rsidR="001F7233" w:rsidRDefault="00000000">
      <w:pPr>
        <w:spacing w:after="140"/>
      </w:pPr>
      <w:r>
        <w:rPr>
          <w:i/>
          <w:iCs/>
        </w:rPr>
        <w:lastRenderedPageBreak/>
        <w:t>Inhaltlich verlangt das AEWV eine Vollzeitstelle von mindestens 30 Wochenstunden, bezahlt mindestens zum marktüblichen Lohnsatz der Tätigkeit. Dazu kommt entweder mindestens zwei Jahre einschlägige Berufserfahrung oder eine Qualifikation auf New Zealand Qualifications Framework-Level 4 oder höher (NZQF, das neuseeländische Qualifikationsrahmenwerk, vergleichbar mit dem Deutschen Qualifikationsrahmen). Ein Englischnachweis ist meist für Berufe der ANZSCO- oder NOL-Kompetenzstufen 3 bis 5 vorgeschrieben; Stufen 1 und 2 sind ausgenommen. INZ nennt zudem Ausnahmen, etwa wenn Englisch bereits in einem früheren AEWV-Antrag nachgewiesen wurde oder ein Level-3-AEWV spätestens am 1. Dezember 2026 ausläuft. Prüfe die aktuelle INZ-Regel für deinen konkreten Antrag. Die Australian and New Zealand Standard Classification of Occupations (ANZSCO) ist das gemeinsame Berufsklassifikationssystem beider Länder und taucht dir in fast jedem Dokument von INZ wieder unter. Branchenvereinbarungen erlauben in Fleisch-, Fisch-, Pflege- sowie Tourismus- und Gastgewerbeberufen sogar Löhne unter dem allgemeinen Medianlohn (bis hinunter zu 29,66 NZD/Std.). Umgekehrt entfällt ab einem Lohn von 67,12 NZD/Std. (dem doppelten Medianlohn) die gesonderte Prüfung der Kompetenzanforderungen. Wer so viel verdient, gilt automatisch als ausreichend qualifiziert. Zur Einordnung: Der allgemeine neuseeländische Mindestlohn liegt seit dem 1. April 2026 bei 23,95 NZD/Std. Selbst die niedrigsten AEWV-Branchenausnahmen liegen also spürbar darüber, und der reguläre Medianlohn von 35,00 NZD/Std. bildet für die meisten Berufe die eigentliche Untergrenze.</w:t>
      </w:r>
    </w:p>
    <w:p w14:paraId="5817C36F" w14:textId="77777777" w:rsidR="001F7233" w:rsidRDefault="00000000">
      <w:pPr>
        <w:spacing w:after="140"/>
      </w:pPr>
      <w:r>
        <w:t xml:space="preserve">Die Visumsdauer richtet sich nach dem Kompetenzniveau der Stelle: bis zu fünf Jahre für die meisten Berufe, aber nur drei Jahre für Tätigkeiten der ANZSCO-Kompetenzstufen 4 und 5 (angelernte und einfache Tätigkeiten). Medizinische Anforderungen greifen gestaffelt: Ein Röntgen-Thorax wird erst fällig, wenn der geplante Aufenthalt sechs Monate übersteigt und du aus einem Land mit erhöhter Tuberkulose-Häufigkeit stammst. Ein Führungszeugnis wird erst nötig, wenn dein kumulierter Neuseeland-Aufenthalt </w:t>
      </w:r>
      <w:r>
        <w:lastRenderedPageBreak/>
        <w:t>insgesamt 24 Monate überschreitet. INZ verpflichtet den Arbeitgeber ausdrücklich, bei der Ansiedlung zu unterstützen, keine Anwerbekosten auf dich abzuwälzen und Arbeits- sowie Migrationsrecht einzuhalten. Eine solche Klausel gibt es in dieser Form so pauschal im deutschen Arbeitsrecht nicht.</w:t>
      </w:r>
    </w:p>
    <w:p w14:paraId="22B15AE2" w14:textId="77777777" w:rsidR="001F7233" w:rsidRDefault="00000000">
      <w:r>
        <w:rPr>
          <w:b/>
        </w:rPr>
        <w:t xml:space="preserve">ACHTUNG: </w:t>
      </w:r>
    </w:p>
    <w:p w14:paraId="08F8569D" w14:textId="77777777" w:rsidR="001F7233" w:rsidRDefault="00000000">
      <w:r>
        <w:t>• Das AEWV bindet dich an genau einen Arbeitgeber und eine einzige Position. Ein Jobwechsel bedeutet in aller Regel: neuer Job Check, neuer Antrag, neue Gebühren. Nicht einfach eine formlose Ummeldung. Wer während der Jobsuche schon eine Kündigung in Deutschland ausspricht, sollte diesen zeitlichen Vorlauf realistisch einplanen und nicht mit einem nahtlosen Übergang rechnen.</w:t>
      </w:r>
    </w:p>
    <w:p w14:paraId="3A1F7597" w14:textId="77777777" w:rsidR="001F7233" w:rsidRDefault="001F7233">
      <w:pPr>
        <w:spacing w:line="220" w:lineRule="exact"/>
      </w:pPr>
    </w:p>
    <w:p w14:paraId="63EEF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Green List: direkter oder verkürzter Weg zur Residency</w:t>
      </w:r>
    </w:p>
    <w:p w14:paraId="6085C0FE" w14:textId="77777777" w:rsidR="001F7233" w:rsidRDefault="00000000">
      <w:pPr>
        <w:spacing w:after="140"/>
      </w:pPr>
      <w:r>
        <w:rPr>
          <w:i/>
          <w:iCs/>
        </w:rPr>
        <w:t xml:space="preserve">Für rund 200 Einzelberufe hat INZ mit der Green List einen Sonderweg geschaffen, der das AEWV mit einem beschleunigten Zugang zum Daueraufenthalt verbindet. Die Liste ist in zwei Stufen gegliedert. In Tier 1 („Straight to Residence“) kannst du direkt ein Daueraufenthaltsvisum beantragen, sobald ein akkreditierter Arbeitgeber dir eine Stelle anbietet und du die berufsspezifischen Anforderungen erfüllst. Ganz ohne vorherige Arbeitszeit in Neuseeland. In Tier 2 („Work to Residence“) startest du zunächst mit dem regulären AEWV. Du kannst erst wechseln, nachdem du in der letzten 30 Monate vor der Antragstellung mindestens 24 Monate in Neuseeland gearbeitet hast. Die meisten gelisteten Rollen konzentrieren sich auf Ingenieurwesen, Gesundheitsberufe (darunter Ärztinnen und Ärzte sowie Pflegekräfte), Bauwesen und Gewerke, Informations- und Kommunikationstechnologie sowie Lehrberufe. Felder, in denen deutsche Fachkräfte traditionell stark vertreten sind. Die Logik dahinter ist wenig überraschend: INZ pflegt die Liste dort </w:t>
      </w:r>
      <w:r>
        <w:rPr>
          <w:i/>
          <w:iCs/>
        </w:rPr>
        <w:lastRenderedPageBreak/>
        <w:t>ein, wo der neuseeländische Arbeitsmarkt seit Jahren spürbaren Fachkräftemangel meldet. Sie passt die Liste entsprechend an, wenn sich dieser Mangel verschiebt.</w:t>
      </w:r>
    </w:p>
    <w:p w14:paraId="0649B641" w14:textId="77777777" w:rsidR="001F7233" w:rsidRDefault="00000000">
      <w:pPr>
        <w:spacing w:after="140"/>
      </w:pPr>
      <w:r>
        <w:t>Wo für einen Beruf kein eigener Lohnschwellenwert gilt, greift ersatzweise der allgemeine SMC-Lohnschwellenwert von 35,00 NZD/Std. für die qualifizierte Beschäftigung auf ANZSCO-Kompetenzstufe 1 bis 3. Die Green List ist kein eigenes allgemeines Visum: Tier 1 ermöglicht bei passendem Jobangebot und erfüllten Berufsanforderungen die direkte Beantragung eines Straight to Residence Visa. Bei Tier 2 beantragst du nach der erforderlichen Arbeit in Neuseeland ein Work to Residence Visa. Ein AEWV kann die Beschäftigungsgrundlage für Tier 2 bilden, ist aber nicht Voraussetzung für Tier 1.</w:t>
      </w:r>
    </w:p>
    <w:p w14:paraId="54E19741" w14:textId="77777777" w:rsidR="001F7233" w:rsidRDefault="00000000">
      <w:pPr>
        <w:spacing w:after="140"/>
      </w:pPr>
      <w:r>
        <w:t>Verbreiteter Irrtum: Viele lesen „Green List“ und denken an eine Art Lotteriegewinn, der automatisch zur Aufenthaltserlaubnis führt. Tatsächlich ersetzt die Liste weder die Jobsuche noch die Lohn- und Registrierungsvoraussetzungen des jeweiligen Berufs. Sie verkürzt lediglich den Weg, nachdem du diese Hürden bereits genommen hast. Wer seinen Beruf auf der Liste findet, sollte vor jeder Entscheidung genau prüfen, ob die eigene Qualifikation und falls nötig die berufliche Registrierung exakt dem gelisteten ANZSCO-Code entsprechen. Abweichungen im Detail sind keine Seltenheit.</w:t>
      </w:r>
    </w:p>
    <w:p w14:paraId="6D7488EE" w14:textId="77777777" w:rsidR="001F7233" w:rsidRDefault="001F7233">
      <w:pPr>
        <w:spacing w:line="220" w:lineRule="exact"/>
      </w:pPr>
    </w:p>
    <w:p w14:paraId="2AB5F7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Skilled Migrant Category im Detail</w:t>
      </w:r>
    </w:p>
    <w:p w14:paraId="21D2254E" w14:textId="77777777" w:rsidR="001F7233" w:rsidRDefault="00000000">
      <w:pPr>
        <w:spacing w:after="140"/>
      </w:pPr>
      <w:r>
        <w:rPr>
          <w:i/>
          <w:iCs/>
        </w:rPr>
        <w:t xml:space="preserve">Die Skilled Migrant Category (SMC) ist ein wichtiger Weg zum Daueraufenthalt für Fachkräfte. Für den regulären punktebasierten Weg brauchst du eine geeignete Stelle oder ein konkretes Jobangebot in Neuseeland bei einem akkreditierten Arbeitgeber, mindestens 30 garantierte Wochenstunden und insgesamt 6 Punkte. Die Punkte stammen aus genau einer Hauptkategorie: Einkommen, anerkannte Qualifikation oder anerkannte neuseeländische Berufsregistrierung. </w:t>
      </w:r>
      <w:r>
        <w:rPr>
          <w:i/>
          <w:iCs/>
        </w:rPr>
        <w:lastRenderedPageBreak/>
        <w:t>Seit dem 24. August 2026 bringt ein anerkannter ausländischer Bachelorabschluss meist 4 Punkte, ein anerkannter Masterabschluss mit Bachelor-Unterbau 5 Punkte und ein Doktortitel 6 Punkte. Auch eine anerkannte neuseeländische Berufsregistrierung kann je nach Ausbildung 3 bis 6 Punkte bringen. Einkommen kann 3, 4 oder 6 Punkte bringen. Wenn du in deiner Hauptkategorie weniger als 6 Punkte hast, kannst du fehlende Punkte mit qualifizierter Berufserfahrung in Neuseeland ergänzen. Daneben gibt es eigene Wege in der SMC, darunter den Skilled Work Experience sowie den Trades and Technician Pathway. Die Voraussetzungen unterscheiden sich; prüfe deshalb den für deinen Beruf passenden Weg und den aktuellen Regeltext von INZ.</w:t>
      </w:r>
    </w:p>
    <w:p w14:paraId="15EDD471" w14:textId="77777777" w:rsidR="001F7233" w:rsidRDefault="00000000">
      <w:pPr>
        <w:spacing w:after="140"/>
      </w:pPr>
      <w:r>
        <w:t>Wenn du Punkte über Einkommen beantragst, hängt ihre Höhe unmittelbar vom Stundenlohn deiner neuseeländischen Stelle oder deines konkreten Jobangebots ab: 105,00 NZD/Std. (das Dreifache der SMC-Lohnschwelle von 35,00 NZD) bringen 6 Punkte, 70,00 NZD/Std. (das Doppelte) 4 Punkte und 52,50 NZD/Std. (das Anderthalbfache) 3 Punkte. Auch für die fehlenden Punkte aus neuseeländischer Berufserfahrung muss das passende Lohnniveau eingehalten werden. Wer Einkommenspunkte beansprucht, muss vor allem die dafür geltende Multiplikator-Schwelle erfüllen. Qualifikations- und Einkommenspunkte lassen sich nicht addieren. Daneben gelten Mindestlohnschwellen für die qualifizierte Beschäftigung: meist 35,00 NZD/Std. bei ANZSCO-Kompetenzstufen 1 bis 3 und das 1,5-Fache bei Stufe 4/5 oder ungelisteten Berufen. Für die neuen Skilled Work Experience- und Trades-and-Technician-Pfade gelten eigene Lohn- und Erfahrungsregeln. Bei diesen zwei neuen Pfaden darf selbstständige Arbeit nicht als direkt relevante Berufserfahrung angerechnet werden. Die Lohnschwelle, die für deinen Antrag gilt, hängt vom konkreten Pfad und falls nötig vom Beginn der Facharbeit ab.</w:t>
      </w:r>
    </w:p>
    <w:p w14:paraId="5FFBA1E1" w14:textId="77777777" w:rsidR="001F7233" w:rsidRDefault="00000000">
      <w:r>
        <w:rPr>
          <w:b/>
        </w:rPr>
        <w:t xml:space="preserve">SPARTIPP: </w:t>
      </w:r>
    </w:p>
    <w:p w14:paraId="537E22BB" w14:textId="77777777" w:rsidR="001F7233" w:rsidRDefault="00000000">
      <w:r>
        <w:t xml:space="preserve">• Beginnst du deine Facharbeit rechtzeitig, bevor eine angekündigte Schwellenerhöhung greift, dokumentiere Startdatum und damals </w:t>
      </w:r>
      <w:r>
        <w:lastRenderedPageBreak/>
        <w:t>geltenden Lohnsatz sorgfältig. Etwa mit Arbeitsvertrag, erster Gehaltsabrechnung und einem Ausdruck der damals gültigen INZ-Lohnschwellenseite, weil der Einstiegssatz eingefroren wird, kann dich das später vor einer sonst nötigen Gehaltssteigerung allein wegen einer Regeländerung bewahren.</w:t>
      </w:r>
    </w:p>
    <w:p w14:paraId="290752A7" w14:textId="77777777" w:rsidR="001F7233" w:rsidRDefault="001F7233">
      <w:pPr>
        <w:spacing w:line="220" w:lineRule="exact"/>
      </w:pPr>
    </w:p>
    <w:p w14:paraId="18FA87AB" w14:textId="77777777" w:rsidR="001F7233" w:rsidRDefault="00000000">
      <w:pPr>
        <w:spacing w:after="140"/>
      </w:pPr>
      <w:r>
        <w:t>Die Reform vom 24. August 2026 hat mehrere Regeln geändert. Im regulären punktebasierten SMC-Weg gilt für die meisten Antragstellenden eine vereinfachte Lohnschwelle: Für die Facharbeit und den Antrag wird meist dieselbe, vom Start der Facharbeit abhängige Schwelle verwendet. Beginnt die Arbeit innerhalb von fünf Monaten nach Erteilung des Arbeitsvisums, kann die an diesem Tag geltende Schwelle maßgeblich bleiben. Prüfe die Übergangsregel für deinen konkreten Fall. Wer Punkte für eine Qualifikation der Stufe 8 oder 9 beantragt, muss meist auch einen Bachelorabschluss nachweisen. Die Ausnahme für einen neuseeländischen Masterabschluss mit 5 Punkten bleibt bestehen. Beim Trades-and-Technician-Pfad müssen neuseeländische Qualifikationen mindestens 120 Credits umfassen. Für ausländische Qualifikationen entfällt diese feste Credit-Mindestzahl. Eine IQA muss stattdessen die geforderte neuseeländische Stufe bestätigen. Bei den neuen Pfaden Skilled Work Experience und Trades and Technician muss die relevante Berufserfahrung unabhängig überprüfbar sein. Selbstständige Arbeit zählt dort nicht als direkt relevante Berufserfahrung.</w:t>
      </w:r>
    </w:p>
    <w:p w14:paraId="5E336B09" w14:textId="77777777" w:rsidR="001F7233" w:rsidRDefault="00000000">
      <w:pPr>
        <w:spacing w:after="140"/>
      </w:pPr>
      <w:r>
        <w:rPr>
          <w:i/>
          <w:iCs/>
        </w:rPr>
        <w:t xml:space="preserve">Weitere Zulassungsvoraussetzungen: Höchstalter 55 Jahre bei Antragstellung, eine Stelle bei einem akkreditierten Arbeitgeber (mindestens 30 Wochenstunden) oder ein konkretes Jobangebot, ausreichende Englischkenntnisse, eine unbefristete Stelle oder mindestens zwölf Monate befristeter Vertrag oder mindestens sechs Monate Vertrag oder Vertragsreihe, guter Gesundheitszustand sowie ein Führungszeugnis ab 17 Jahren. Wer die reguläre Einkommensschwelle nicht erreicht, hat zwei alternative Pfade. Der Skilled Work Experience Pathway verlangt mindestens fünf Jahre </w:t>
      </w:r>
      <w:r>
        <w:rPr>
          <w:i/>
          <w:iCs/>
        </w:rPr>
        <w:lastRenderedPageBreak/>
        <w:t>einschlägige Berufserfahrung, davon mindestens zwei Jahre in Neuseeland zum geforderten Lohnsatz. Der Trades-&amp;-Technician-Pfad verlangt einen gelisteten Beruf, eine Level-4-Qualifikation oder höher, mindestens 2,5 Jahre einschlägige Erfahrung nach Abschluss und auch 1,5 Jahre Facharbeit in Neuseeland.</w:t>
      </w:r>
    </w:p>
    <w:p w14:paraId="759E0FC8" w14:textId="77777777" w:rsidR="001F7233" w:rsidRDefault="00000000">
      <w:pPr>
        <w:spacing w:after="140"/>
      </w:pPr>
      <w:r>
        <w:rPr>
          <w:i/>
          <w:iCs/>
        </w:rPr>
        <w:t>Nach Erteilung ist das Daueraufenthaltsvisum nicht ganz voraussetzungslos: Eine sogenannte Section-49-Bedingung kann vorsehen, dass eine ununterbrochene Arbeitslosigkeit von mehr als drei Monaten die Bedingungen des Visums verletzt. Die Kosten stehen im INZ Fees Guide. Partner und Kinder laufen über eigene Kategorien. Wichtig für die Reiseplanung: Das erteilte Daueraufenthaltsvisum erlaubt zunächst zwei Jahre freies Ein- und Ausreisen ab der ersten Einreise. Danach braucht es meist ein Permanent Resident Visa (unbefristetes Daueraufenthaltsvisum ohne Reisebeschränkung), um weiterhin uneingeschränkt reisen zu können.</w:t>
      </w:r>
    </w:p>
    <w:p w14:paraId="4BD071DA" w14:textId="77777777" w:rsidR="001F7233" w:rsidRDefault="00000000">
      <w:r>
        <w:rPr>
          <w:b/>
        </w:rPr>
        <w:t xml:space="preserve">MERKE: </w:t>
      </w:r>
    </w:p>
    <w:p w14:paraId="16AC9E53" w14:textId="77777777" w:rsidR="001F7233" w:rsidRDefault="00000000">
      <w:r>
        <w:t>• Ein Arbeitsvisum wie das AEWV ist kein Daueraufenthalt. Es ist befristet und an die im Visum genannten Bedingungen zu Arbeitgeber, Tätigkeit und Arbeitsort gebunden. Endet das Beschäftigungsverhältnis, läuft das Visum nicht automatisch sofort ab. Du darfst aber nur entsprechend den Bedingungen arbeiten und musst rechtzeitig eine Job Change, eine Änderung der Visumsbedingungen oder ein anderes Visum beantragen.</w:t>
      </w:r>
    </w:p>
    <w:p w14:paraId="77429FBB" w14:textId="77777777" w:rsidR="001F7233" w:rsidRDefault="001F7233">
      <w:pPr>
        <w:spacing w:line="220" w:lineRule="exact"/>
      </w:pPr>
    </w:p>
    <w:p w14:paraId="51F6B102" w14:textId="77777777" w:rsidR="001F7233" w:rsidRDefault="001F7233">
      <w:pPr>
        <w:spacing w:line="220" w:lineRule="exact"/>
      </w:pPr>
    </w:p>
    <w:p w14:paraId="7FF17F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6EA5FF6E" w14:textId="77777777" w:rsidR="001F7233" w:rsidRDefault="00000000">
      <w:pPr>
        <w:spacing w:after="140"/>
      </w:pPr>
      <w:r>
        <w:rPr>
          <w:b/>
          <w:bCs/>
        </w:rPr>
        <w:t xml:space="preserve">In der Praxis führen für deutsche Fachkräfte mehrere Wege nach Neuseeland. Ein AEWV kann den Einstieg ermöglichen, wenn ein akkreditierter Arbeitgeber ein passendes Jobangebot macht. Danach kann – je nach Beruf – ein Weg über die Green </w:t>
      </w:r>
      <w:r>
        <w:rPr>
          <w:b/>
          <w:bCs/>
        </w:rPr>
        <w:lastRenderedPageBreak/>
        <w:t>List oder die SMC offenstehen. Für Green List Tier 1 kommt die direkte Beantragung eines Straight to Residence Visa infrage. Tier 2 setzt die vorgeschriebene Arbeit in Neuseeland vor dem Work to Residence Visa voraus. Für den regulären punktebasierten SMC-Weg brauchst du ebenfalls eine passende neuseeländische Stelle oder ein konkretes Jobangebot. Die sechs Punkte lassen sich über eine Hauptkategorie (Einkommen, Qualifikation oder neuseeländische Berufsregistrierung) oder über diese Kategorie zusammen mit neuseeländischer Berufserfahrung erreichen. Ein Gehalt von 105,00 NZD/Std. bringt im Einkommensweg 6 Punkte, ist aber nicht die einzige Möglichkeit, die sechs Punkte zu erreichen. Die neuen Skilled Work Experience- und Trades-and-Technician-Wege haben eigene Anforderungen an Beruf, Qualifikation, Lohn und Erfahrung. Wichtig ist, die Voraussetzungen des eigenen Berufs und des konkreten Weges direkt bei INZ zu prüfen.</w:t>
      </w:r>
    </w:p>
    <w:p w14:paraId="714509E2" w14:textId="77777777" w:rsidR="001F7233" w:rsidRDefault="00000000">
      <w:pPr>
        <w:spacing w:after="140"/>
      </w:pPr>
      <w:r>
        <w:t>Zwei Dinge solltest du bei der Kostenplanung nicht übersehen. Erstens: Deutschland steht nicht auf der INZ-Liste der Länder mit Gebührenbefreiung. Anders als etwa Österreich zahlst du bei jedem Visum den vollen Satz, ohne Rabatt. Zweitens: Die Bearbeitungszeiten summieren sich. Für das AEWV kommen zu den „80 % innerhalb von sechs Wochen“ noch die vorgelagerte Akkreditierung (rund zwei Werktage) und der Job Check (rund drei Werktage) hinzu. Die SMC-Residence dauert im Schnitt rund neun Wochen ab vollständigem Antrag. Realistisch bedeutet das für die meisten Interessierten ohne bereits bestehenden Neuseeland-Bezug: mehrere Monate von der ersten Bewerbung bis zur Einreise, plus. Je nach gewähltem Pfad – ein bis zwei weitere Jahre bis zum Daueraufenthalt.</w:t>
      </w:r>
    </w:p>
    <w:p w14:paraId="009904BD" w14:textId="77777777" w:rsidR="001F7233" w:rsidRDefault="00000000">
      <w:pPr>
        <w:spacing w:after="140"/>
      </w:pPr>
      <w:r>
        <w:t xml:space="preserve">Sprachlich sind gute Englischkenntnisse in jedem der drei Wege Pflicht, wenn auch beim AEWV nur für bestimmte Kompetenzstufen zwingend vorgeschrieben. Wer aus einem reglementierten Beruf kommt, klärt die Zulassung im Kapitel </w:t>
      </w:r>
      <w:hyperlink w:anchor="tnz03a">
        <w:r w:rsidR="001F7233">
          <w:rPr>
            <w:color w:val="0563C1"/>
            <w:u w:val="single"/>
          </w:rPr>
          <w:t xml:space="preserve">Anerkennung deutscher </w:t>
        </w:r>
        <w:r w:rsidR="001F7233">
          <w:rPr>
            <w:color w:val="0563C1"/>
            <w:u w:val="single"/>
          </w:rPr>
          <w:lastRenderedPageBreak/>
          <w:t>Berufsabschlüsse</w:t>
        </w:r>
      </w:hyperlink>
      <w:r>
        <w:t xml:space="preserve">, nicht in einem Nebensatz. Diese Prüfungen dauern oft länger als der Visumantrag. Die Abmeldung in Deutschland steht in </w:t>
      </w:r>
      <w:hyperlink w:anchor="t0003">
        <w:r w:rsidR="001F7233">
          <w:rPr>
            <w:color w:val="0563C1"/>
            <w:u w:val="single"/>
          </w:rPr>
          <w:t>Deutschland vor dem Abflug</w:t>
        </w:r>
      </w:hyperlink>
      <w:r>
        <w:t>.</w:t>
      </w:r>
    </w:p>
    <w:p w14:paraId="09576DDA" w14:textId="77777777" w:rsidR="001F7233" w:rsidRDefault="00000000">
      <w:pPr>
        <w:spacing w:after="140"/>
      </w:pPr>
      <w:r>
        <w:t xml:space="preserve">Wer noch keinen akkreditierten Arbeitgeber gefunden hat und im Altersrahmen des Germany Working Holiday Visa liegt, hat eine weitere Tür. Zum Stand dieses Kapitels sind das deutsche Staatsangehörige zwischen 18 und 30 Jahren. „Unter 31“ wäre ein anderes Programm und ist hier nicht gemeint. Die Grenze steht auf der INZ-Seite und ist nicht die der australischen Subclass 417. Das Visum gibt es ohne Jobangebot, für bis zu zwölf Monate, gegen Nachweis der Lebenshaltungsmittel, deren Höhe immigration.govt.nz nennt. Es erlaubt keine Dauerstelle. Es erlaubt aber die Art von Kontakten, aus denen später ein Jobangebot und ein AEWV werden können. Wer außerhalb dieses Altersrahmens liegt, bleibt auf die direkte Bewerbung bei akkreditierten Arbeitgebern angewiesen. Die ausführliche Berufsanerkennung steht im Kapitel </w:t>
      </w:r>
      <w:hyperlink w:anchor="tnz03a">
        <w:r w:rsidR="001F7233">
          <w:rPr>
            <w:color w:val="0563C1"/>
            <w:u w:val="single"/>
          </w:rPr>
          <w:t>Anerkennung deutscher Berufsabschlüsse</w:t>
        </w:r>
      </w:hyperlink>
      <w:r>
        <w:t xml:space="preserve">. Abmeldung und Rente stehen in </w:t>
      </w:r>
      <w:hyperlink w:anchor="t0003">
        <w:r w:rsidR="001F7233">
          <w:rPr>
            <w:color w:val="0563C1"/>
            <w:u w:val="single"/>
          </w:rPr>
          <w:t>Deutschland vor dem Abflug</w:t>
        </w:r>
      </w:hyperlink>
      <w:r>
        <w:t>.</w:t>
      </w:r>
    </w:p>
    <w:p w14:paraId="7A1DF798" w14:textId="77777777" w:rsidR="001F7233" w:rsidRDefault="00000000">
      <w:pPr>
        <w:spacing w:after="140"/>
      </w:pPr>
      <w:r>
        <w:t>Der Vergleich mit dem deutschen System zeigt noch einen grundsätzlichen Unterschied: Die Blaue Karte EU kennt keinen Wettbewerb um eine begrenzte Zahl an Einladungen und auch keine Punkteschwelle, die sich mehrmals im Jahr verschiebt. Wer die Voraussetzungen erfüllt, bekommt die Karte. Das neuseeländische System dagegen bewertet dich laufend neu. Die SMC-Lohnschwelle von heute muss nicht die von übermorgen sein und wer seinen Antrag ein halbes Jahr verschiebt, kann in eine andere Rechnung hineinlaufen. Wer ernsthaft plant, sollte deshalb nicht nur die aktuellen Zahlen kennen, sondern auch beobachten, in welche Richtung sie sich zuletzt bewegt haben.</w:t>
      </w:r>
    </w:p>
    <w:p w14:paraId="6AB07EC9" w14:textId="77777777" w:rsidR="001F7233" w:rsidRDefault="00000000">
      <w:r>
        <w:t xml:space="preserve">• Dieses Kapitel erklärt Regeln und gängige Praxis des neuseeländischen Arbeitsvisumssystems, ersetzt aber keine Beratung durch eine bei der passenden Aufsichtsstelle registrierte Einwanderungsberaterin, einen registrierten Einwanderungsberater </w:t>
      </w:r>
      <w:r>
        <w:lastRenderedPageBreak/>
        <w:t>(Licensed Immigration Adviser) oder eine auf neuseeländisches Recht spezialisierte Anwaltskanzlei. Gerade bei Lohnschwellen, Berufsregistrierung und der Wahl zwischen AEWV, Green List und SMC lohnt sich eine individuelle Prüfung, bevor du kündigst oder Gebühren zahlst.</w:t>
      </w:r>
    </w:p>
    <w:p w14:paraId="0FFCD14B" w14:textId="77777777" w:rsidR="001F7233" w:rsidRDefault="001F7233">
      <w:pPr>
        <w:spacing w:line="220" w:lineRule="exact"/>
      </w:pPr>
    </w:p>
    <w:p w14:paraId="70F5EF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Der Arbeitsweg im Detail</w:t>
      </w:r>
    </w:p>
    <w:p w14:paraId="25FC94B7" w14:textId="77777777" w:rsidR="001F7233" w:rsidRDefault="00000000">
      <w:r>
        <w:rPr>
          <w:b/>
        </w:rPr>
        <w:t>Plus: Klar dokumentiertes, transparentes Punkte- und Lohnschwellensystem</w:t>
      </w:r>
    </w:p>
    <w:p w14:paraId="65E1E7DA" w14:textId="77777777" w:rsidR="001F7233" w:rsidRDefault="00000000">
      <w:r>
        <w:rPr>
          <w:b/>
        </w:rPr>
        <w:t xml:space="preserve">Minus: </w:t>
      </w:r>
      <w:r>
        <w:t>Schwellen und Regeln ändern sich mehrfach jährlich</w:t>
      </w:r>
    </w:p>
    <w:p w14:paraId="268878F4" w14:textId="77777777" w:rsidR="001F7233" w:rsidRDefault="00000000">
      <w:r>
        <w:rPr>
          <w:b/>
        </w:rPr>
        <w:t>Plus: Green List verkürzt den Weg zum Daueraufenthalt erheblich</w:t>
      </w:r>
    </w:p>
    <w:p w14:paraId="5C94EB8D" w14:textId="77777777" w:rsidR="001F7233" w:rsidRDefault="00000000">
      <w:r>
        <w:rPr>
          <w:b/>
        </w:rPr>
        <w:t xml:space="preserve">Minus: </w:t>
      </w:r>
      <w:r>
        <w:t>Nur für rund 200 Berufe gültig, exakter ANZSCO-Code entscheidet</w:t>
      </w:r>
    </w:p>
    <w:p w14:paraId="581D61EE" w14:textId="77777777" w:rsidR="001F7233" w:rsidRDefault="00000000">
      <w:r>
        <w:rPr>
          <w:b/>
        </w:rPr>
        <w:t>Plus: AEWV-Einstieg auch ohne sofortige Spitzengehälter möglich</w:t>
      </w:r>
    </w:p>
    <w:p w14:paraId="7A42BBE7" w14:textId="77777777" w:rsidR="001F7233" w:rsidRDefault="00000000">
      <w:r>
        <w:rPr>
          <w:b/>
        </w:rPr>
        <w:t xml:space="preserve">Minus: </w:t>
      </w:r>
      <w:r>
        <w:t>AEWV bindet dich fest an einen einzigen Arbeitgeber</w:t>
      </w:r>
    </w:p>
    <w:p w14:paraId="6D2F81F4" w14:textId="77777777" w:rsidR="001F7233" w:rsidRDefault="00000000">
      <w:r>
        <w:rPr>
          <w:b/>
        </w:rPr>
        <w:t>Plus: SMC bietet mit 6-Punkte-Schwelle ein einfacheres Modell als früher</w:t>
      </w:r>
    </w:p>
    <w:p w14:paraId="5299635A" w14:textId="77777777" w:rsidR="001F7233" w:rsidRDefault="00000000">
      <w:r>
        <w:rPr>
          <w:b/>
        </w:rPr>
        <w:t xml:space="preserve">Minus: </w:t>
      </w:r>
      <w:r>
        <w:t>Direktbewerbung aus Deutschland verlangt sehr hohes Gehalt</w:t>
      </w:r>
    </w:p>
    <w:p w14:paraId="61855B52" w14:textId="77777777" w:rsidR="001F7233" w:rsidRDefault="00000000">
      <w:r>
        <w:rPr>
          <w:b/>
        </w:rPr>
        <w:t>Plus: Einmal gesetzte Lohnschwelle bleibt für dich eingefroren</w:t>
      </w:r>
    </w:p>
    <w:p w14:paraId="540D3AA5" w14:textId="77777777" w:rsidR="001F7233" w:rsidRDefault="00000000">
      <w:r>
        <w:rPr>
          <w:b/>
        </w:rPr>
        <w:t xml:space="preserve">Minus: </w:t>
      </w:r>
      <w:r>
        <w:t>Keine Gebührenbefreiung für Deutschland</w:t>
      </w:r>
    </w:p>
    <w:p w14:paraId="1A8FAE53" w14:textId="77777777" w:rsidR="001F7233" w:rsidRDefault="001F7233">
      <w:pPr>
        <w:spacing w:line="180" w:lineRule="exact"/>
      </w:pPr>
    </w:p>
    <w:p w14:paraId="151F6C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958670" w14:textId="77777777" w:rsidR="001F7233" w:rsidRDefault="00000000">
      <w:pPr>
        <w:spacing w:after="140"/>
      </w:pPr>
      <w:r>
        <w:t xml:space="preserve">Beginne mit einem nüchternen Abgleich: Prüfe, ob dein Beruf auf der Green List steht und, wenn ja, in welchem Tier. Prüfe auch, ob der dort genannte ANZSCO-Code wirklich zu deiner Qualifikation und beruflichen Registrierung passt. Lass parallel deinen Abschluss und – </w:t>
      </w:r>
      <w:r>
        <w:lastRenderedPageBreak/>
        <w:t>falls einschlägig. Deine berufliche Zulassung von der passenden neuseeländischen Stelle bewerten, denn das dauert oft länger als du denkst. Berechne anhand der aktuellen Lohnschwellen, welchen der drei Wege (AEWV mit späterem Wechsel, Green-List-Tier-1 oder direkte SMC-Bewerbung) dein Gehaltsniveau realistisch zulässt. Suche dann gezielt nach akkreditierten Arbeitgebern in deinem Berufsfeld. Kläre außerdem frühzeitig deinen Englischnachweis, auch wenn er für deine ANZSCO-Stufe formal nicht zwingend ist. Ein aktueller Test schadet keiner Bewerbung.</w:t>
      </w:r>
    </w:p>
    <w:p w14:paraId="10536FA0" w14:textId="77777777" w:rsidR="001F7233" w:rsidRDefault="00000000">
      <w:pPr>
        <w:spacing w:after="140"/>
      </w:pPr>
      <w:r>
        <w:t xml:space="preserve">Stelle außerdem frühzeitig eine eigene Belegmappe zusammen: aktueller Arbeitsvertrag, die letzten Gehaltsabrechnungen, eine Tätigkeitsbeschreibung in Englisch und Nachweise über Berufserfahrung und Fortbildungen. Diese Unterlagen brauchst du ohnehin für den Job Check deines künftigen Arbeitgebers oder für die Einkommenspunkte der SMC. Wer sie schon während der Jobsuche griffbereit hat, gewinnt bei der eigentlichen Antragstellung wertvolle Wochen. Die konkreten Schritte zu Antrag, Konsulat, Gesamtkosten und Bearbeitungszeit behandelt das </w:t>
      </w:r>
      <w:hyperlink w:anchor="tnz05">
        <w:r w:rsidR="001F7233">
          <w:rPr>
            <w:color w:val="0563C1"/>
            <w:u w:val="single"/>
          </w:rPr>
          <w:t>Kapitel zu Antrag, Kosten und Bearbeitungszeit in diesem Teil</w:t>
        </w:r>
      </w:hyperlink>
      <w:r>
        <w:t>.</w:t>
      </w:r>
    </w:p>
    <w:p w14:paraId="6BEE0731" w14:textId="77777777" w:rsidR="001F7233" w:rsidRDefault="00000000">
      <w:r>
        <w:t>• Eigenen Beruf gegen die aktuelle Green List und den passenden ANZSCO-Code prüfen</w:t>
      </w:r>
    </w:p>
    <w:p w14:paraId="2596DA3D" w14:textId="77777777" w:rsidR="001F7233" w:rsidRDefault="00000000">
      <w:r>
        <w:t>• Qualifikation und ggf. Berufsregistrierung bei der zuständigen neuseeländischen Stelle bewerten lassen</w:t>
      </w:r>
    </w:p>
    <w:p w14:paraId="273F1E51" w14:textId="77777777" w:rsidR="001F7233" w:rsidRDefault="00000000">
      <w:r>
        <w:t>• Aktuelle SMC-Lohnschwellen mit dem eigenen (angestrebten) Gehalt abgleichen</w:t>
      </w:r>
    </w:p>
    <w:p w14:paraId="3B7AE031" w14:textId="77777777" w:rsidR="001F7233" w:rsidRDefault="00000000">
      <w:r>
        <w:t>• Englischnachweis vorbereiten, auch wenn nicht für jede Stufe zwingend</w:t>
      </w:r>
    </w:p>
    <w:p w14:paraId="73F79EAD" w14:textId="77777777" w:rsidR="001F7233" w:rsidRDefault="00000000">
      <w:r>
        <w:t>• Gezielt nach akkreditierten Arbeitgebern im eigenen Berufsfeld suchen</w:t>
      </w:r>
    </w:p>
    <w:p w14:paraId="7D8F3BBE" w14:textId="77777777" w:rsidR="001F7233" w:rsidRDefault="00000000">
      <w:r>
        <w:t>• Prüfen, ob AEWV+Wechsel, Green-List-Tier-1 oder Direktbewerbung realistisch zum eigenen Profil passt</w:t>
      </w:r>
    </w:p>
    <w:p w14:paraId="7AF3F39D" w14:textId="77777777" w:rsidR="001F7233" w:rsidRDefault="00000000">
      <w:r>
        <w:t>• Start- und Lohndaten bei Arbeitsbeginn sorgfältig dokumentieren</w:t>
      </w:r>
    </w:p>
    <w:p w14:paraId="7BD5B728" w14:textId="77777777" w:rsidR="001F7233" w:rsidRDefault="00000000">
      <w:r>
        <w:t xml:space="preserve">• Vor jeder Entscheidung aktuelle Werte auf </w:t>
      </w:r>
      <w:hyperlink r:id="rId958">
        <w:r w:rsidR="001F7233">
          <w:rPr>
            <w:color w:val="0563C1"/>
            <w:u w:val="single"/>
          </w:rPr>
          <w:t>immigration.govt.nz</w:t>
        </w:r>
      </w:hyperlink>
      <w:r>
        <w:t xml:space="preserve"> prüfen</w:t>
      </w:r>
    </w:p>
    <w:p w14:paraId="50E073BD" w14:textId="77777777" w:rsidR="001F7233" w:rsidRDefault="001F7233">
      <w:pPr>
        <w:spacing w:line="220" w:lineRule="exact"/>
      </w:pPr>
    </w:p>
    <w:p w14:paraId="4DC4FD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39B61B" w14:textId="77777777" w:rsidR="001F7233" w:rsidRDefault="00000000">
      <w:pPr>
        <w:pStyle w:val="ListParagraph"/>
        <w:numPr>
          <w:ilvl w:val="0"/>
          <w:numId w:val="1"/>
        </w:numPr>
        <w:spacing w:after="60"/>
      </w:pPr>
      <w:r>
        <w:t>Immigration New Zealand — Accredited Employer Work Visa (</w:t>
      </w:r>
      <w:hyperlink r:id="rId959">
        <w:r w:rsidR="001F7233">
          <w:rPr>
            <w:color w:val="0563C1"/>
            <w:u w:val="single"/>
          </w:rPr>
          <w:t>immigration.govt.nz/new-zealand-visas/visas/visa/accredited-employer-work-visa</w:t>
        </w:r>
      </w:hyperlink>
      <w:r>
        <w:t>)</w:t>
      </w:r>
    </w:p>
    <w:p w14:paraId="560BD5F1" w14:textId="77777777" w:rsidR="001F7233" w:rsidRDefault="00000000">
      <w:pPr>
        <w:pStyle w:val="ListParagraph"/>
        <w:numPr>
          <w:ilvl w:val="0"/>
          <w:numId w:val="1"/>
        </w:numPr>
        <w:spacing w:after="60"/>
      </w:pPr>
      <w:r>
        <w:t>Immigration New Zealand — Skilled Migrant Category Resident Visa (</w:t>
      </w:r>
      <w:hyperlink r:id="rId960">
        <w:r w:rsidR="001F7233">
          <w:rPr>
            <w:color w:val="0563C1"/>
            <w:u w:val="single"/>
          </w:rPr>
          <w:t>immigration.govt.nz/new-zealand-visas/visas/visa/skilled-migrant-category-resident-visa</w:t>
        </w:r>
      </w:hyperlink>
      <w:r>
        <w:t>)</w:t>
      </w:r>
    </w:p>
    <w:p w14:paraId="1F1B57DE" w14:textId="77777777" w:rsidR="001F7233" w:rsidRDefault="00000000">
      <w:pPr>
        <w:pStyle w:val="ListParagraph"/>
        <w:numPr>
          <w:ilvl w:val="0"/>
          <w:numId w:val="1"/>
        </w:numPr>
        <w:spacing w:after="60"/>
      </w:pPr>
      <w:r>
        <w:t>Immigration New Zealand — Green List (</w:t>
      </w:r>
      <w:hyperlink r:id="rId961">
        <w:r w:rsidR="001F7233">
          <w:rPr>
            <w:color w:val="0563C1"/>
            <w:u w:val="single"/>
          </w:rPr>
          <w:t>immigration.govt.nz/new-zealand-visas/preparing-a-visa-application/working-in-nz/green-list</w:t>
        </w:r>
      </w:hyperlink>
      <w:r>
        <w:t>)</w:t>
      </w:r>
    </w:p>
    <w:p w14:paraId="7706A6E7" w14:textId="77777777" w:rsidR="001F7233" w:rsidRDefault="00000000">
      <w:pPr>
        <w:pStyle w:val="ListParagraph"/>
        <w:numPr>
          <w:ilvl w:val="0"/>
          <w:numId w:val="1"/>
        </w:numPr>
        <w:spacing w:after="60"/>
      </w:pPr>
      <w:r>
        <w:t>Immigration New Zealand — SMC-Lohnschwellen (</w:t>
      </w:r>
      <w:hyperlink r:id="rId962">
        <w:r w:rsidR="001F7233">
          <w:rPr>
            <w:color w:val="0563C1"/>
            <w:u w:val="single"/>
          </w:rPr>
          <w:t>Offizielle SMC-Lohnschwellen</w:t>
        </w:r>
      </w:hyperlink>
      <w:r>
        <w:t>)</w:t>
      </w:r>
    </w:p>
    <w:p w14:paraId="553DE227" w14:textId="77777777" w:rsidR="001F7233" w:rsidRDefault="00000000">
      <w:pPr>
        <w:pStyle w:val="ListParagraph"/>
        <w:numPr>
          <w:ilvl w:val="0"/>
          <w:numId w:val="1"/>
        </w:numPr>
        <w:spacing w:after="60"/>
      </w:pPr>
      <w:r>
        <w:t>Immigration New Zealand — Fees Guide INZ 1028, Ausgabe Mai 2026 (</w:t>
      </w:r>
      <w:hyperlink r:id="rId963">
        <w:r w:rsidR="001F7233">
          <w:rPr>
            <w:color w:val="0563C1"/>
            <w:u w:val="single"/>
          </w:rPr>
          <w:t>immigration.govt.nz/assets/inz/documents/forms-and-guides/Fees-Guide-INZ-1028.pdf</w:t>
        </w:r>
      </w:hyperlink>
      <w:r>
        <w:t>)</w:t>
      </w:r>
    </w:p>
    <w:p w14:paraId="4219E449" w14:textId="77777777" w:rsidR="001F7233" w:rsidRDefault="00000000">
      <w:pPr>
        <w:pStyle w:val="ListParagraph"/>
        <w:numPr>
          <w:ilvl w:val="0"/>
          <w:numId w:val="1"/>
        </w:numPr>
        <w:spacing w:after="60"/>
      </w:pPr>
      <w:r>
        <w:t>Immigration New Zealand — Gesundheitsanforderungen (</w:t>
      </w:r>
      <w:hyperlink r:id="rId964">
        <w:r w:rsidR="001F7233">
          <w:rPr>
            <w:color w:val="0563C1"/>
            <w:u w:val="single"/>
          </w:rPr>
          <w:t>immigration.govt.nz/process-to-apply/applying-for-a-visa/providing-evidence-and-documents-to-support-your-visa-application/health-requirements</w:t>
        </w:r>
      </w:hyperlink>
      <w:r>
        <w:t>)</w:t>
      </w:r>
    </w:p>
    <w:p w14:paraId="7657907E" w14:textId="77777777" w:rsidR="001F7233" w:rsidRDefault="001F7233">
      <w:pPr>
        <w:spacing w:line="120" w:lineRule="exact"/>
      </w:pPr>
    </w:p>
    <w:p w14:paraId="184F3906" w14:textId="77777777" w:rsidR="001F7233" w:rsidRDefault="00000000">
      <w:r>
        <w:t xml:space="preserve">• 23.09.2026. Diese Angaben ändern sich besonders schnell: die SMC- und AEWV-Lohnschwellen, die genaue Zusammensetzung der Green List, Bearbeitungszeiten und Gebühren. Prüfe vor jeder Entscheidung die aktuellen Werte auf </w:t>
      </w:r>
      <w:hyperlink r:id="rId965">
        <w:r w:rsidR="001F7233">
          <w:rPr>
            <w:color w:val="0563C1"/>
            <w:u w:val="single"/>
          </w:rPr>
          <w:t>immigration.govt.nz</w:t>
        </w:r>
      </w:hyperlink>
      <w:r>
        <w:t>.</w:t>
      </w:r>
    </w:p>
    <w:p w14:paraId="324B4969" w14:textId="77777777" w:rsidR="001F7233" w:rsidRDefault="00000000">
      <w:pPr>
        <w:spacing w:line="220" w:lineRule="exact"/>
      </w:pPr>
      <w:r>
        <w:br w:type="page"/>
      </w:r>
    </w:p>
    <w:p w14:paraId="0D4C1DC2" w14:textId="77777777" w:rsidR="001F7233" w:rsidRDefault="00000000">
      <w:pPr>
        <w:pStyle w:val="Heading2"/>
        <w:keepNext/>
        <w:spacing w:line="341" w:lineRule="auto"/>
        <w:jc w:val="center"/>
      </w:pPr>
      <w:bookmarkStart w:id="132" w:name="tnz03a"/>
      <w:r>
        <w:rPr>
          <w:rFonts w:ascii="Amazon Ember" w:eastAsia="Amazon Ember" w:hAnsi="Amazon Ember" w:cs="Amazon Ember"/>
          <w:color w:val="0000FF"/>
          <w:sz w:val="36"/>
          <w:szCs w:val="36"/>
        </w:rPr>
        <w:lastRenderedPageBreak/>
        <w:t>Neuseeland: Anerkennung deutscher Berufsabschlüsse</w:t>
      </w:r>
      <w:bookmarkEnd w:id="132"/>
    </w:p>
    <w:p w14:paraId="3C1E626F" w14:textId="77777777" w:rsidR="001F7233" w:rsidRDefault="00000000">
      <w:r>
        <w:rPr>
          <w:b/>
        </w:rPr>
        <w:t xml:space="preserve">KURZ GESAGT: </w:t>
      </w:r>
    </w:p>
    <w:p w14:paraId="74B316AF" w14:textId="77777777" w:rsidR="001F7233" w:rsidRDefault="00000000">
      <w:r>
        <w:t>• Registrierung und Visum sind zwei Anträge.</w:t>
      </w:r>
    </w:p>
    <w:p w14:paraId="157A3A07" w14:textId="77777777" w:rsidR="001F7233" w:rsidRDefault="00000000">
      <w:r>
        <w:t>• Ärztinnen: Medical Council of New Zealand. Pflege: Nursing Council of New Zealand. Lehrkräfte: Teaching Council of Aotearoa New Zealand.</w:t>
      </w:r>
    </w:p>
    <w:p w14:paraId="0D10DB2A" w14:textId="77777777" w:rsidR="001F7233" w:rsidRDefault="00000000">
      <w:r>
        <w:t>• Ingenieurinnen: Engineering New Zealand. Ein Accord ersetzt nicht jede Registrierung.</w:t>
      </w:r>
    </w:p>
    <w:p w14:paraId="5AB48BB6" w14:textId="77777777" w:rsidR="001F7233" w:rsidRDefault="00000000">
      <w:r>
        <w:t>• Handwerk: NZQA kann den Abschluss einordnen. Die Lizenz für Elektro oder Sanitär kommt von der jeweiligen Board.</w:t>
      </w:r>
    </w:p>
    <w:p w14:paraId="5B609A76" w14:textId="77777777" w:rsidR="001F7233" w:rsidRDefault="00000000">
      <w:r>
        <w:t>• Wer den deutschen Titel im ersten Monat braucht, ist zeitlich falsch geplant. Die Kammer ist oft langsamer als das AEWV.</w:t>
      </w:r>
    </w:p>
    <w:p w14:paraId="24127670" w14:textId="77777777" w:rsidR="001F7233" w:rsidRDefault="001F7233">
      <w:pPr>
        <w:spacing w:line="220" w:lineRule="exact"/>
      </w:pPr>
    </w:p>
    <w:p w14:paraId="73566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Green List nicht mitliefert</w:t>
      </w:r>
    </w:p>
    <w:p w14:paraId="554BF238" w14:textId="77777777" w:rsidR="001F7233" w:rsidRDefault="00000000">
      <w:pPr>
        <w:spacing w:after="140"/>
      </w:pPr>
      <w:r>
        <w:t>Steht dein Beruf auf der Green List, kann der Weg zur Residence kürzer sein. Die Liste verlangt für viele dieser Berufe trotzdem, dass du die neuseeländische Registrierung hast oder sie parallel betreibst. Die genaue Fußnote steht beim Beruf auf der Liste von Immigration New Zealand, nicht in einer Zusammenfassung. Ein ähnlicher deutscher Titel reicht nicht. Es zählt der Beruf, den INZ mit einem Code führt.</w:t>
      </w:r>
    </w:p>
    <w:p w14:paraId="5D982D93" w14:textId="77777777" w:rsidR="001F7233" w:rsidRDefault="00000000">
      <w:pPr>
        <w:spacing w:after="140"/>
      </w:pPr>
      <w:r>
        <w:t>Die Gebühren der Councils stehen auf deren Seiten. Übernimm sie nicht aus diesem Kapitel.</w:t>
      </w:r>
    </w:p>
    <w:p w14:paraId="32195B70" w14:textId="77777777" w:rsidR="001F7233" w:rsidRDefault="00000000">
      <w:r>
        <w:rPr>
          <w:b/>
        </w:rPr>
        <w:t xml:space="preserve">ACHTUNG: </w:t>
      </w:r>
    </w:p>
    <w:p w14:paraId="11D594E8" w14:textId="77777777" w:rsidR="001F7233" w:rsidRDefault="00000000">
      <w:r>
        <w:t>• Ein Partnership Work Visa lässt die Partnerin arbeiten. Es lässt sie nicht automatisch praktizieren. Petras Arbeitserlaubnis und eine tierärztliche Zulassung sind zwei verschiedene Ja.</w:t>
      </w:r>
    </w:p>
    <w:p w14:paraId="49BE4B1E" w14:textId="77777777" w:rsidR="001F7233" w:rsidRDefault="001F7233">
      <w:pPr>
        <w:spacing w:line="220" w:lineRule="exact"/>
      </w:pPr>
    </w:p>
    <w:p w14:paraId="245498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Fünf Berufe</w:t>
      </w:r>
    </w:p>
    <w:p w14:paraId="5C707DC7" w14:textId="77777777" w:rsidR="001F7233" w:rsidRDefault="00000000">
      <w:r>
        <w:rPr>
          <w:b/>
        </w:rPr>
        <w:t>Ärztin, Arzt</w:t>
      </w:r>
    </w:p>
    <w:p w14:paraId="62962FF4" w14:textId="77777777" w:rsidR="001F7233" w:rsidRDefault="00000000">
      <w:r>
        <w:rPr>
          <w:b/>
        </w:rPr>
        <w:t xml:space="preserve">Wer dich arbeiten lässt: </w:t>
      </w:r>
      <w:r>
        <w:t>Medical Council of New Zealand</w:t>
      </w:r>
    </w:p>
    <w:p w14:paraId="36BA9CBA" w14:textId="77777777" w:rsidR="001F7233" w:rsidRDefault="00000000">
      <w:r>
        <w:rPr>
          <w:b/>
        </w:rPr>
        <w:t>Was das Visum davon sehen kann: Oft den Nachweis, dass die Registrierung läuft oder vorliegt, wenn der Beruf das verlangt.</w:t>
      </w:r>
    </w:p>
    <w:p w14:paraId="301B536E" w14:textId="77777777" w:rsidR="001F7233" w:rsidRDefault="00000000">
      <w:r>
        <w:rPr>
          <w:b/>
        </w:rPr>
        <w:t xml:space="preserve">Falle: </w:t>
      </w:r>
      <w:r>
        <w:t>Die Approbation wird gelesen, nicht übernommen</w:t>
      </w:r>
    </w:p>
    <w:p w14:paraId="235C5DDB" w14:textId="77777777" w:rsidR="001F7233" w:rsidRDefault="00000000">
      <w:r>
        <w:rPr>
          <w:b/>
        </w:rPr>
        <w:t>Pflege</w:t>
      </w:r>
    </w:p>
    <w:p w14:paraId="29896B8F" w14:textId="77777777" w:rsidR="001F7233" w:rsidRDefault="00000000">
      <w:r>
        <w:rPr>
          <w:b/>
        </w:rPr>
        <w:t xml:space="preserve">Wer dich arbeiten lässt: </w:t>
      </w:r>
      <w:r>
        <w:t>Nursing Council of New Zealand</w:t>
      </w:r>
    </w:p>
    <w:p w14:paraId="17F00DFD" w14:textId="77777777" w:rsidR="001F7233" w:rsidRDefault="00000000">
      <w:r>
        <w:rPr>
          <w:b/>
        </w:rPr>
        <w:t xml:space="preserve">Was das Visum davon sehen kann: </w:t>
      </w:r>
      <w:r>
        <w:t>Denselben Unterschied: Arbeitsvisum ist nicht die Council-Registrierung</w:t>
      </w:r>
    </w:p>
    <w:p w14:paraId="6F556FDC" w14:textId="77777777" w:rsidR="001F7233" w:rsidRDefault="00000000">
      <w:r>
        <w:rPr>
          <w:b/>
        </w:rPr>
        <w:t xml:space="preserve">Falle: </w:t>
      </w:r>
      <w:r>
        <w:t>Wer sich nur auf die Green List verlässt, steht ohne Schicht da</w:t>
      </w:r>
    </w:p>
    <w:p w14:paraId="3BB139AB" w14:textId="77777777" w:rsidR="001F7233" w:rsidRDefault="00000000">
      <w:r>
        <w:rPr>
          <w:b/>
        </w:rPr>
        <w:t>Lehramt</w:t>
      </w:r>
    </w:p>
    <w:p w14:paraId="18FE1A95" w14:textId="77777777" w:rsidR="001F7233" w:rsidRDefault="00000000">
      <w:r>
        <w:rPr>
          <w:b/>
        </w:rPr>
        <w:t xml:space="preserve">Wer dich arbeiten lässt: </w:t>
      </w:r>
      <w:r>
        <w:t>Teaching Council of Aotearoa New Zealand</w:t>
      </w:r>
    </w:p>
    <w:p w14:paraId="674E8837" w14:textId="77777777" w:rsidR="001F7233" w:rsidRDefault="00000000">
      <w:r>
        <w:rPr>
          <w:b/>
        </w:rPr>
        <w:t>Was das Visum davon sehen kann: Registrierung und ein praktizierendes Zertifikat, bevor du als Lehrerin angestellt wirst.</w:t>
      </w:r>
    </w:p>
    <w:p w14:paraId="4ACC87C3" w14:textId="77777777" w:rsidR="001F7233" w:rsidRDefault="00000000">
      <w:r>
        <w:rPr>
          <w:b/>
        </w:rPr>
        <w:t xml:space="preserve">Falle: </w:t>
      </w:r>
      <w:r>
        <w:t>Ein deutsches Staatsexamen ist der Anfang der Mappe, nicht das Ende</w:t>
      </w:r>
    </w:p>
    <w:p w14:paraId="23811F41" w14:textId="77777777" w:rsidR="001F7233" w:rsidRDefault="00000000">
      <w:r>
        <w:rPr>
          <w:b/>
        </w:rPr>
        <w:t>Ingenieurin, Ingenieur</w:t>
      </w:r>
    </w:p>
    <w:p w14:paraId="2B98CB2B" w14:textId="77777777" w:rsidR="001F7233" w:rsidRDefault="00000000">
      <w:r>
        <w:rPr>
          <w:b/>
        </w:rPr>
        <w:t xml:space="preserve">Wer dich arbeiten lässt: </w:t>
      </w:r>
      <w:r>
        <w:t>Engineering New Zealand. Das Washington Accord oder das Sydney Accord kann den akademischen Vergleich stützen, wenn dein Studiengang wirklich darunter fällt</w:t>
      </w:r>
    </w:p>
    <w:p w14:paraId="1FB70032" w14:textId="77777777" w:rsidR="001F7233" w:rsidRDefault="00000000">
      <w:r>
        <w:rPr>
          <w:b/>
        </w:rPr>
        <w:t>Was das Visum davon sehen kann: Bei Green List und SMC die berufliche Registrierung als eigenen Punkt, nicht als Automatik.</w:t>
      </w:r>
    </w:p>
    <w:p w14:paraId="4A8F5442" w14:textId="77777777" w:rsidR="001F7233" w:rsidRDefault="00000000">
      <w:r>
        <w:rPr>
          <w:b/>
        </w:rPr>
        <w:t xml:space="preserve">Falle: </w:t>
      </w:r>
      <w:r>
        <w:t>Nicht jede Ingenieurstelle verlangt das Siegel. Frag den Arbeitgeber, welche Unterschrift die Stelle braucht</w:t>
      </w:r>
    </w:p>
    <w:p w14:paraId="77A03680" w14:textId="77777777" w:rsidR="001F7233" w:rsidRDefault="00000000">
      <w:r>
        <w:rPr>
          <w:b/>
        </w:rPr>
        <w:t>Handwerk</w:t>
      </w:r>
    </w:p>
    <w:p w14:paraId="5857B420" w14:textId="77777777" w:rsidR="001F7233" w:rsidRDefault="00000000">
      <w:r>
        <w:rPr>
          <w:b/>
        </w:rPr>
        <w:t xml:space="preserve">Wer dich arbeiten lässt: </w:t>
      </w:r>
      <w:r>
        <w:t>Für den Vergleich des Abschlusses oft die New Zealand Qualifications Authority. Für Elektro das Electrical Workers Registration Board. Für Sanitär, Gas und Entwässerung die Plumbers, Gasfitters and Drainlayers Board</w:t>
      </w:r>
    </w:p>
    <w:p w14:paraId="37A6118F" w14:textId="77777777" w:rsidR="001F7233" w:rsidRDefault="00000000">
      <w:r>
        <w:rPr>
          <w:b/>
        </w:rPr>
        <w:t xml:space="preserve">Was das Visum davon sehen kann: </w:t>
      </w:r>
      <w:r>
        <w:t>Ein Assessment, das zum Berufscode passt</w:t>
      </w:r>
    </w:p>
    <w:p w14:paraId="78FC5DEF" w14:textId="77777777" w:rsidR="001F7233" w:rsidRDefault="00000000">
      <w:r>
        <w:rPr>
          <w:b/>
        </w:rPr>
        <w:lastRenderedPageBreak/>
        <w:t xml:space="preserve">Falle: </w:t>
      </w:r>
      <w:r>
        <w:t>Nicht jedes Gewerk hat eine Board. Wo keine ist, erfinde keine. Wo eine ist, ersetzt der Gesellenbrief sie nicht</w:t>
      </w:r>
    </w:p>
    <w:p w14:paraId="04AC8281" w14:textId="77777777" w:rsidR="001F7233" w:rsidRDefault="001F7233">
      <w:pPr>
        <w:spacing w:line="180" w:lineRule="exact"/>
      </w:pPr>
    </w:p>
    <w:p w14:paraId="691738E5" w14:textId="77777777" w:rsidR="001F7233" w:rsidRDefault="00000000">
      <w:pPr>
        <w:spacing w:after="140"/>
      </w:pPr>
      <w:r>
        <w:t>Tierärztinnen gehören nicht in die Fünferliste, folgen aber derselben Logik. Zuständig ist das Veterinary Council of New Zealand. Wer Petra als Muster nimmt, öffnet diese Seite, nicht die der Pflege.</w:t>
      </w:r>
    </w:p>
    <w:p w14:paraId="3AEEA5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w14:paraId="7052BFF5" w14:textId="77777777" w:rsidR="001F7233" w:rsidRDefault="00000000">
      <w:pPr>
        <w:spacing w:after="140"/>
      </w:pPr>
      <w:r>
        <w:t>Schlecht passt Neuseeland, wenn die ganze Familie vom ersten Gehalt in genau diesem geschützten Beruf abhängt und die Council-Frist länger ist als das Ersparte. Der Arbeitsweg kann schneller sein als die Zulassung. Dann steht eine Person im Land und darf die Stelle, für die sie gekommen ist, noch nicht antreten.</w:t>
      </w:r>
    </w:p>
    <w:p w14:paraId="319B05C1" w14:textId="77777777" w:rsidR="001F7233" w:rsidRDefault="00000000">
      <w:pPr>
        <w:spacing w:after="140"/>
      </w:pPr>
      <w:r>
        <w:t xml:space="preserve">Besser passt es, wenn eine Person einen nicht regulierten Job hat und die andere die Zulassung parallel betreibt. Noch besser ist es, wenn beide Fahrpläne vor der Kündigung schriftlich da sind. Die Distanz nach Deutschland macht eine Nachreichung von Urkunden teuer und langsam. Bestell sie, bevor du ausziehst. Wie, steht in </w:t>
      </w:r>
      <w:hyperlink w:anchor="t0003">
        <w:r w:rsidR="001F7233">
          <w:rPr>
            <w:color w:val="0563C1"/>
            <w:u w:val="single"/>
          </w:rPr>
          <w:t>Deutschland vor dem Abflug</w:t>
        </w:r>
      </w:hyperlink>
      <w:r>
        <w:t>.</w:t>
      </w:r>
    </w:p>
    <w:p w14:paraId="23387862" w14:textId="77777777" w:rsidR="001F7233" w:rsidRDefault="001F7233">
      <w:pPr>
        <w:spacing w:line="220" w:lineRule="exact"/>
      </w:pPr>
    </w:p>
    <w:p w14:paraId="486F15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Anerkennung deutscher Berufsabschlüsse</w:t>
      </w:r>
    </w:p>
    <w:p w14:paraId="6888730F" w14:textId="77777777" w:rsidR="001F7233" w:rsidRDefault="00000000">
      <w:r>
        <w:rPr>
          <w:b/>
        </w:rPr>
        <w:t>Plus: Die Councils sind wenige und auffindbar</w:t>
      </w:r>
    </w:p>
    <w:p w14:paraId="55B2FBA3" w14:textId="77777777" w:rsidR="001F7233" w:rsidRDefault="00000000">
      <w:r>
        <w:rPr>
          <w:b/>
        </w:rPr>
        <w:t xml:space="preserve">Minus: </w:t>
      </w:r>
      <w:r>
        <w:t>Jeder Beruf hat seine eigene</w:t>
      </w:r>
    </w:p>
    <w:p w14:paraId="4E6C795A" w14:textId="77777777" w:rsidR="001F7233" w:rsidRDefault="00000000">
      <w:r>
        <w:rPr>
          <w:b/>
        </w:rPr>
        <w:t>Plus: Die Green List kann die Residence verkürzen</w:t>
      </w:r>
    </w:p>
    <w:p w14:paraId="32784312" w14:textId="77777777" w:rsidR="001F7233" w:rsidRDefault="00000000">
      <w:r>
        <w:rPr>
          <w:b/>
        </w:rPr>
        <w:t xml:space="preserve">Minus: </w:t>
      </w:r>
      <w:r>
        <w:t>Sie ersetzt die Registrierung nicht</w:t>
      </w:r>
    </w:p>
    <w:p w14:paraId="4AB1C70E" w14:textId="77777777" w:rsidR="001F7233" w:rsidRDefault="00000000">
      <w:r>
        <w:rPr>
          <w:b/>
        </w:rPr>
        <w:t>Plus: Ein Accord hilft manchen Ingenieurabschlüssen</w:t>
      </w:r>
    </w:p>
    <w:p w14:paraId="212E42CC" w14:textId="77777777" w:rsidR="001F7233" w:rsidRDefault="00000000">
      <w:r>
        <w:rPr>
          <w:b/>
        </w:rPr>
        <w:t xml:space="preserve">Minus: </w:t>
      </w:r>
      <w:r>
        <w:t>Er gilt nur, wenn der Studiengang gelistet ist</w:t>
      </w:r>
    </w:p>
    <w:p w14:paraId="06C5565E" w14:textId="77777777" w:rsidR="001F7233" w:rsidRDefault="00000000">
      <w:r>
        <w:rPr>
          <w:b/>
        </w:rPr>
        <w:lastRenderedPageBreak/>
        <w:t>Plus: NZQA kann Abschlüsse vergleichen</w:t>
      </w:r>
    </w:p>
    <w:p w14:paraId="5B8F07D9" w14:textId="77777777" w:rsidR="001F7233" w:rsidRDefault="00000000">
      <w:r>
        <w:rPr>
          <w:b/>
        </w:rPr>
        <w:t xml:space="preserve">Minus: </w:t>
      </w:r>
      <w:r>
        <w:t>Ein Vergleich ist keine Elektroerlaubnis</w:t>
      </w:r>
    </w:p>
    <w:p w14:paraId="192CF669" w14:textId="77777777" w:rsidR="001F7233" w:rsidRDefault="001F7233">
      <w:pPr>
        <w:spacing w:line="180" w:lineRule="exact"/>
      </w:pPr>
    </w:p>
    <w:p w14:paraId="6CF5E7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0B25256" w14:textId="77777777" w:rsidR="001F7233" w:rsidRDefault="00000000">
      <w:pPr>
        <w:spacing w:after="140"/>
      </w:pPr>
      <w:r>
        <w:t>Öffne die Green List nur, um den Code und die Fußnote zu lesen. Öffne danach den Council deines Berufs und schreib die Unterlagenliste ab. Bestell deutsche Urkunden, solange du sie noch ohne Auslandsversand bekommst. Die Altersgrenze eines Working-Holiday-Visums hat mit dieser Zulassung nichts zu tun. Sie steht auf der INZ-Seite zum Germany Working Holiday Visa und ist nicht die australische Grenze von Subclass 417.</w:t>
      </w:r>
    </w:p>
    <w:p w14:paraId="440D6E81" w14:textId="77777777" w:rsidR="001F7233" w:rsidRDefault="00000000">
      <w:r>
        <w:t>• Berufscode und Registrierungspflicht auf der aktuellen Green List bzw. im Visumkapitel geprüft</w:t>
      </w:r>
    </w:p>
    <w:p w14:paraId="52552CB8" w14:textId="77777777" w:rsidR="001F7233" w:rsidRDefault="00000000">
      <w:r>
        <w:t>• Council geöffnet: Medizin Medical Council, Pflege Nursing Council, Lehramt Teaching Council, Ingenieurwesen Engineering New Zealand, Handwerk NZQA plus die Board des Gewerks, falls es eine gibt</w:t>
      </w:r>
    </w:p>
    <w:p w14:paraId="28A1713A" w14:textId="77777777" w:rsidR="001F7233" w:rsidRDefault="00000000">
      <w:r>
        <w:t>• Washington oder Sydney Accord nur für den eigenen Studiengang geprüft</w:t>
      </w:r>
    </w:p>
    <w:p w14:paraId="54818481" w14:textId="77777777" w:rsidR="001F7233" w:rsidRDefault="00000000">
      <w:r>
        <w:t>• Arbeitgeber gefragt, welche Aufgaben ohne Registrierung gehen</w:t>
      </w:r>
    </w:p>
    <w:p w14:paraId="07C518D1" w14:textId="77777777" w:rsidR="001F7233" w:rsidRDefault="00000000">
      <w:r>
        <w:t>• Urkunden bestellt, bevor die Abmeldung in Deutschland läuft</w:t>
      </w:r>
    </w:p>
    <w:p w14:paraId="2F55B623" w14:textId="77777777" w:rsidR="001F7233" w:rsidRDefault="00000000">
      <w:r>
        <w:t>• Gebühren nur von der Council-Seite</w:t>
      </w:r>
    </w:p>
    <w:p w14:paraId="063916A3" w14:textId="77777777" w:rsidR="001F7233" w:rsidRDefault="00000000">
      <w:r>
        <w:t>• Kündigungstermin hinter das langsamere der beiden Verfahren gelegt, Visum oder Council</w:t>
      </w:r>
    </w:p>
    <w:p w14:paraId="57262E59" w14:textId="77777777" w:rsidR="001F7233" w:rsidRDefault="001F7233">
      <w:pPr>
        <w:spacing w:line="220" w:lineRule="exact"/>
      </w:pPr>
    </w:p>
    <w:p w14:paraId="6ECD02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9F6C5FF" w14:textId="77777777" w:rsidR="001F7233" w:rsidRDefault="00000000">
      <w:pPr>
        <w:pStyle w:val="ListParagraph"/>
        <w:numPr>
          <w:ilvl w:val="0"/>
          <w:numId w:val="1"/>
        </w:numPr>
        <w:spacing w:after="60"/>
      </w:pPr>
      <w:r>
        <w:t xml:space="preserve">Immigration New Zealand, Green List und Berufsanforderungen: </w:t>
      </w:r>
      <w:hyperlink r:id="rId966">
        <w:r w:rsidR="001F7233">
          <w:rPr>
            <w:color w:val="0563C1"/>
            <w:u w:val="single"/>
          </w:rPr>
          <w:t>immigration.govt.nz</w:t>
        </w:r>
      </w:hyperlink>
    </w:p>
    <w:p w14:paraId="1B169796" w14:textId="77777777" w:rsidR="001F7233" w:rsidRDefault="00000000">
      <w:pPr>
        <w:pStyle w:val="ListParagraph"/>
        <w:numPr>
          <w:ilvl w:val="0"/>
          <w:numId w:val="1"/>
        </w:numPr>
        <w:spacing w:after="60"/>
      </w:pPr>
      <w:r>
        <w:t xml:space="preserve">Medical Council of New Zealand: </w:t>
      </w:r>
      <w:hyperlink r:id="rId967">
        <w:r w:rsidR="001F7233">
          <w:rPr>
            <w:color w:val="0563C1"/>
            <w:u w:val="single"/>
          </w:rPr>
          <w:t>mcnz.org.nz</w:t>
        </w:r>
      </w:hyperlink>
    </w:p>
    <w:p w14:paraId="4CC22810" w14:textId="77777777" w:rsidR="001F7233" w:rsidRDefault="00000000">
      <w:pPr>
        <w:pStyle w:val="ListParagraph"/>
        <w:numPr>
          <w:ilvl w:val="0"/>
          <w:numId w:val="1"/>
        </w:numPr>
        <w:spacing w:after="60"/>
      </w:pPr>
      <w:r>
        <w:t xml:space="preserve">Nursing Council of New Zealand: </w:t>
      </w:r>
      <w:hyperlink r:id="rId968">
        <w:r w:rsidR="001F7233">
          <w:rPr>
            <w:color w:val="0563C1"/>
            <w:u w:val="single"/>
          </w:rPr>
          <w:t>nursingcouncil.org.nz</w:t>
        </w:r>
      </w:hyperlink>
    </w:p>
    <w:p w14:paraId="4F87CE18" w14:textId="77777777" w:rsidR="001F7233" w:rsidRDefault="00000000">
      <w:pPr>
        <w:pStyle w:val="ListParagraph"/>
        <w:numPr>
          <w:ilvl w:val="0"/>
          <w:numId w:val="1"/>
        </w:numPr>
        <w:spacing w:after="60"/>
      </w:pPr>
      <w:r>
        <w:lastRenderedPageBreak/>
        <w:t xml:space="preserve">Teaching Council of Aotearoa New Zealand: </w:t>
      </w:r>
      <w:hyperlink r:id="rId969">
        <w:r w:rsidR="001F7233">
          <w:rPr>
            <w:color w:val="0563C1"/>
            <w:u w:val="single"/>
          </w:rPr>
          <w:t>teachingcouncil.nz</w:t>
        </w:r>
      </w:hyperlink>
    </w:p>
    <w:p w14:paraId="27FA5838" w14:textId="77777777" w:rsidR="001F7233" w:rsidRDefault="00000000">
      <w:pPr>
        <w:pStyle w:val="ListParagraph"/>
        <w:numPr>
          <w:ilvl w:val="0"/>
          <w:numId w:val="1"/>
        </w:numPr>
        <w:spacing w:after="60"/>
      </w:pPr>
      <w:r>
        <w:t xml:space="preserve">Engineering New Zealand: </w:t>
      </w:r>
      <w:hyperlink r:id="rId970">
        <w:r w:rsidR="001F7233">
          <w:rPr>
            <w:color w:val="0563C1"/>
            <w:u w:val="single"/>
          </w:rPr>
          <w:t>engineeringnz.org</w:t>
        </w:r>
      </w:hyperlink>
    </w:p>
    <w:p w14:paraId="4A172C97" w14:textId="77777777" w:rsidR="001F7233" w:rsidRDefault="00000000">
      <w:pPr>
        <w:pStyle w:val="ListParagraph"/>
        <w:numPr>
          <w:ilvl w:val="0"/>
          <w:numId w:val="1"/>
        </w:numPr>
        <w:spacing w:after="60"/>
      </w:pPr>
      <w:r>
        <w:t xml:space="preserve">New Zealand Qualifications Authority: </w:t>
      </w:r>
      <w:hyperlink r:id="rId971">
        <w:r w:rsidR="001F7233">
          <w:rPr>
            <w:color w:val="0563C1"/>
            <w:u w:val="single"/>
          </w:rPr>
          <w:t>nzqa.govt.nz</w:t>
        </w:r>
      </w:hyperlink>
    </w:p>
    <w:p w14:paraId="76168B4C" w14:textId="77777777" w:rsidR="001F7233" w:rsidRDefault="00000000">
      <w:pPr>
        <w:pStyle w:val="ListParagraph"/>
        <w:numPr>
          <w:ilvl w:val="0"/>
          <w:numId w:val="1"/>
        </w:numPr>
        <w:spacing w:after="60"/>
      </w:pPr>
      <w:r>
        <w:t xml:space="preserve">Veterinary Council of New Zealand, falls der Beruf der Tiermedizin ist: </w:t>
      </w:r>
      <w:hyperlink r:id="rId972">
        <w:r w:rsidR="001F7233">
          <w:rPr>
            <w:color w:val="0563C1"/>
            <w:u w:val="single"/>
          </w:rPr>
          <w:t>vetcouncil.org.nz</w:t>
        </w:r>
      </w:hyperlink>
    </w:p>
    <w:p w14:paraId="59EAD8C5" w14:textId="77777777" w:rsidR="001F7233" w:rsidRDefault="001F7233">
      <w:pPr>
        <w:spacing w:line="120" w:lineRule="exact"/>
      </w:pPr>
    </w:p>
    <w:p w14:paraId="218AE8A4" w14:textId="77777777" w:rsidR="001F7233" w:rsidRDefault="00000000">
      <w:r>
        <w:t>• 30.09.2026. Listen, Codes und Council-Regeln ändern sich. Die Behördenseite gilt, nicht die Fußnote in einem älteren Ausdruck.</w:t>
      </w:r>
    </w:p>
    <w:p w14:paraId="690BA4B5" w14:textId="77777777" w:rsidR="001F7233" w:rsidRDefault="00000000">
      <w:pPr>
        <w:spacing w:line="220" w:lineRule="exact"/>
      </w:pPr>
      <w:r>
        <w:br w:type="page"/>
      </w:r>
    </w:p>
    <w:p w14:paraId="7EBA9861" w14:textId="77777777" w:rsidR="001F7233" w:rsidRDefault="00000000">
      <w:pPr>
        <w:pStyle w:val="Heading2"/>
        <w:keepNext/>
        <w:spacing w:line="341" w:lineRule="auto"/>
        <w:jc w:val="center"/>
      </w:pPr>
      <w:bookmarkStart w:id="133" w:name="tnz04"/>
      <w:r>
        <w:rPr>
          <w:rFonts w:ascii="Amazon Ember" w:eastAsia="Amazon Ember" w:hAnsi="Amazon Ember" w:cs="Amazon Ember"/>
          <w:color w:val="0000FF"/>
          <w:sz w:val="36"/>
          <w:szCs w:val="36"/>
        </w:rPr>
        <w:lastRenderedPageBreak/>
        <w:t>Neuseeland: Familie, Investoren und der Ruhestand</w:t>
      </w:r>
      <w:bookmarkEnd w:id="133"/>
    </w:p>
    <w:p w14:paraId="5774BF44" w14:textId="77777777" w:rsidR="001F7233" w:rsidRDefault="00000000">
      <w:pPr>
        <w:spacing w:after="140"/>
      </w:pPr>
      <w:r>
        <w:t>Es gehört zu den kleinen Überraschungen des neuseeländischen Einwanderungssystems, dass ausgerechnet das Land der Kiwis und der endlosen Wanderwege beim Thema Geld keinerlei Sentimentalität kennt. Wer investieren will, muss Millionen mitbringen. Wer die eigenen Eltern nachholen will, braucht entweder viel Geduld oder ein noch dickeres Portemonnaie und doch bietet Neuseeland, verglichen mit den anderen drei in diesem Buch behandelten Ländern, an einer Stelle eine echte Besonderheit: einen Ruhestandsweg, der ganz ohne dort lebendes Kind auskommt. Das gilt zumindest, solange man bereit ist, ihn als das zu nehmen, was er ist, nämlich befristet und keineswegs günstig. Dieses Kapitel ordnet Partnervisum, Investorenwege und Ruhestand ohne Job ein, mit einem offenen Wort zu einer Quellenlage, die selbst die Einwanderungsbehörde nicht ganz aufgeräumt zu haben scheint. Trockener Trost vorweg: Verglichen mit dem, was andernorts in diesem Buch für Eltern und Großeltern beschrieben wird, ist Neuseeland streng, aber wenigstens berechenbar streng.</w:t>
      </w:r>
    </w:p>
    <w:p w14:paraId="34DA81A0" w14:textId="77777777" w:rsidR="001F7233" w:rsidRDefault="00000000">
      <w:r>
        <w:rPr>
          <w:b/>
        </w:rPr>
        <w:t xml:space="preserve">KURZ GESAGT: </w:t>
      </w:r>
    </w:p>
    <w:p w14:paraId="3DAB9C82" w14:textId="77777777" w:rsidR="001F7233" w:rsidRDefault="00000000">
      <w:r>
        <w:t>• Das Partnervisum verlangt zwölf Monate nachgewiesenes Zusammenleben in einer echten Partnerschaft. Die Bearbeitung dauert im Schnitt rund sechs Monate.</w:t>
      </w:r>
    </w:p>
    <w:p w14:paraId="7BA008B4" w14:textId="77777777" w:rsidR="001F7233" w:rsidRDefault="00000000">
      <w:r>
        <w:t>• Das frühere Entrepreneur Work Visa wurde offiziell zum 27.08.2025 durch das Business Investor Work Visa ersetzt. Die Gebührentabelle von Immigration New Zealand führt die alte Kategorie im Mai 2026 aber weiterhin auf. Diese Diskrepanz ist ungeklärt.</w:t>
      </w:r>
    </w:p>
    <w:p w14:paraId="457AEDA8" w14:textId="77777777" w:rsidR="001F7233" w:rsidRDefault="00000000">
      <w:r>
        <w:t>• Investorenvisa bewegen sich zwischen 1 Million NZD (langsamerer Weg) und 10 Millionen NZD (Active Investor Plus, „Balanced“). Nichts davon ist ein Weg für den Mittelstand.</w:t>
      </w:r>
    </w:p>
    <w:p w14:paraId="17FC2112" w14:textId="77777777" w:rsidR="001F7233" w:rsidRDefault="00000000">
      <w:r>
        <w:lastRenderedPageBreak/>
        <w:t>• Neuseeland ist unter den vier Ländern dieses Buches das einzige mit einem Ruhestandsweg ganz ohne dort lebendes Kind: der Temporary Retirement Visitor Visa.</w:t>
      </w:r>
    </w:p>
    <w:p w14:paraId="3E8D7D9D" w14:textId="77777777" w:rsidR="001F7233" w:rsidRDefault="00000000">
      <w:r>
        <w:t>• Dieser Weg ist allerdings nur zwei Jahre befristet und verlangt 750.000 NZD Investition, 500.000 NZD Liquidität und 60.000 NZD Jahreseinkommen. Eine durchschnittliche deutsche Rente allein reicht dafür nicht.</w:t>
      </w:r>
    </w:p>
    <w:p w14:paraId="5518D437" w14:textId="77777777" w:rsidR="001F7233" w:rsidRDefault="00000000">
      <w:r>
        <w:t xml:space="preserve">• Zahlen, Schwellen und Programmstatus ändern sich häufig: Prüfe vor jeder Entscheidung die aktuellen Angaben auf </w:t>
      </w:r>
      <w:hyperlink r:id="rId973">
        <w:r w:rsidR="001F7233">
          <w:rPr>
            <w:color w:val="0563C1"/>
            <w:u w:val="single"/>
          </w:rPr>
          <w:t>immigration.govt.nz</w:t>
        </w:r>
      </w:hyperlink>
      <w:r>
        <w:t>.</w:t>
      </w:r>
    </w:p>
    <w:p w14:paraId="34921633" w14:textId="77777777" w:rsidR="001F7233" w:rsidRDefault="001F7233">
      <w:pPr>
        <w:spacing w:line="220" w:lineRule="exact"/>
      </w:pPr>
    </w:p>
    <w:p w14:paraId="636A82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Partnervisum und Familiennachzug</w:t>
      </w:r>
    </w:p>
    <w:p w14:paraId="082368F6" w14:textId="77777777" w:rsidR="001F7233" w:rsidRDefault="00000000">
      <w:pPr>
        <w:spacing w:after="140"/>
      </w:pPr>
      <w:r>
        <w:t>Für die Partnership Residence können Ehepaare, eingetragene Lebenspartnerschaften und De-facto-Paare einen Familienweg nutzen. Zum Antragszeitpunkt müssen sie seit mindestens zwölf Monaten in einer echten und stabilen Partnerschaft zusammenleben. Die Ehe ist also ein Beziehungsnachweis, ersetzt aber die geforderte gemeinsame Lebensführung nicht. Der unterstützende Partner braucht neuseeländische Staatsbürgerschaft oder einen passenden Residence-Status und muss die Sponsoringregeln erfüllen. Belege können gemeinsame Wohnsitze, Finanzen, Alltag und soziale Anerkennung der Beziehung umfassen.</w:t>
      </w:r>
    </w:p>
    <w:p w14:paraId="517E577E" w14:textId="77777777" w:rsidR="001F7233" w:rsidRDefault="00000000">
      <w:pPr>
        <w:spacing w:after="140"/>
      </w:pPr>
      <w:r>
        <w:t>Gebühren und Bearbeitungszeiten ändern sich. Lies die aktuelle Gebühr und Bearbeitungszeit auf der INZ-Seite zum Partner-of-a-New-Zealander-Resident-Visa, bevor du den Antrag stellst. Die Abgaben sind dort getrennt ausgewiesen. Der gemeinsame Haushalt muss zum erforderlichen Zeitraum nachweisbar sein. Wenn ihr erst kurz vor dem Umzug zusammengezogen seid, kann die Residence-Antragstellung deshalb noch nicht möglich sein.</w:t>
      </w:r>
    </w:p>
    <w:p w14:paraId="76EF6A77" w14:textId="77777777" w:rsidR="001F7233" w:rsidRDefault="00000000">
      <w:pPr>
        <w:spacing w:after="140"/>
      </w:pPr>
      <w:r>
        <w:t xml:space="preserve">Der Vergleich mit Deutschland relativiert die Wartezeit außerdem. Auch ein deutsches Verwaltungsverfahren für den Familiennachzug. Etwa bei binationalen Paaren, die von einem Drittstaat nach </w:t>
      </w:r>
      <w:r>
        <w:lastRenderedPageBreak/>
        <w:t>Deutschland ziehen wollen. Braucht selten weniger als mehrere Monate, sobald Termine bei Auslandsvertretungen und Übersetzungen von Urkunden hinzukommen. Neu und ungewohnt ist für viele deutsche Paare eher die Zwölf-Monats-Regel selbst. Wer erst kurz vor der geplanten Auswanderung zusammengezogen ist, kann das Partnervisum schlicht noch nicht beantragen, unabhängig davon, wie ernst die Beziehung gemeint ist.</w:t>
      </w:r>
    </w:p>
    <w:p w14:paraId="59D4546F" w14:textId="77777777" w:rsidR="001F7233" w:rsidRDefault="00000000">
      <w:pPr>
        <w:spacing w:after="140"/>
      </w:pPr>
      <w:r>
        <w:rPr>
          <w:i/>
          <w:iCs/>
        </w:rPr>
        <w:t>Wer nicht auf die Entscheidung über das Daueraufenthaltsvisum warten will oder kann, findet im Partnership Work Visa eine befristete Zwischenlösung. Es ist ein Arbeitsvisum für Partnerinnen und Partner neuseeländischer Staatsbürgerinnen und Staatsbürger oder Residents sowie für Partner bestimmter Arbeits- oder Studienvisum-Inhaberinnen und -Inhaber, Gebühr 1.630 NZD (570 NZD Antrag plus 1.060 NZD Levy).</w:t>
      </w:r>
    </w:p>
    <w:p w14:paraId="41B8143F" w14:textId="77777777" w:rsidR="001F7233" w:rsidRDefault="00000000">
      <w:r>
        <w:rPr>
          <w:b/>
        </w:rPr>
        <w:t xml:space="preserve">ACHTUNG: </w:t>
      </w:r>
    </w:p>
    <w:p w14:paraId="4DED7A45" w14:textId="77777777" w:rsidR="001F7233" w:rsidRDefault="00000000">
      <w:r>
        <w:t>• Verwechsle das befristete Partnership Work Visa nicht mit dem eigentlichen Daueraufenthaltsvisum der Family Category. Das eine erlaubt dir zu arbeiten, während der Antrag läuft. Das andere ist das Ziel selbst. Wer nach Erhalt des Partnership Work Visa den eigentlichen Residence-Antrag aus den Augen verliert, sitzt am Ende mit einem befristeten Status da. Obwohl eigentlich ein unbefristeter geplant war.</w:t>
      </w:r>
    </w:p>
    <w:p w14:paraId="2A788A8D" w14:textId="77777777" w:rsidR="001F7233" w:rsidRDefault="001F7233">
      <w:pPr>
        <w:spacing w:line="220" w:lineRule="exact"/>
      </w:pPr>
    </w:p>
    <w:p w14:paraId="6D6802C2" w14:textId="77777777" w:rsidR="001F7233" w:rsidRDefault="00000000">
      <w:pPr>
        <w:spacing w:after="140"/>
      </w:pPr>
      <w:r>
        <w:t xml:space="preserve">Für Familien, die gemeinsam auswandern, ist der Familiennachzug im engeren Sinne oft weniger relevant als die praktische Frage, wie Partnerin oder Partner sowie Kinder parallel zur Hauptantragstellung ihre eigenen Visa erhalten. Beim AEWV oder der Skilled Migrant Category (beide ausführlich im </w:t>
      </w:r>
      <w:hyperlink w:anchor="tnz03">
        <w:r w:rsidR="001F7233">
          <w:rPr>
            <w:color w:val="0563C1"/>
            <w:u w:val="single"/>
          </w:rPr>
          <w:t>vorherigen Kapitel dieses Teils</w:t>
        </w:r>
      </w:hyperlink>
      <w:r>
        <w:t xml:space="preserve"> behandelt) läuft das über eigene Partner- und Kindervisa, die an das Hauptvisum anknüpfen. Es läuft also nicht über die Family Category selbst.</w:t>
      </w:r>
    </w:p>
    <w:p w14:paraId="4A3ECDE1" w14:textId="77777777" w:rsidR="001F7233" w:rsidRDefault="001F7233">
      <w:pPr>
        <w:spacing w:line="220" w:lineRule="exact"/>
      </w:pPr>
    </w:p>
    <w:p w14:paraId="666CFE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Investoren- und Unternehmervisa</w:t>
      </w:r>
    </w:p>
    <w:p w14:paraId="7E7B359C" w14:textId="77777777" w:rsidR="001F7233" w:rsidRDefault="00000000">
      <w:pPr>
        <w:spacing w:after="140"/>
      </w:pPr>
      <w:r>
        <w:rPr>
          <w:i/>
          <w:iCs/>
        </w:rPr>
        <w:t>Wer nicht über einen Arbeitgeber, sondern über Kapital nach Neuseeland will, hat seit den letzten Jahren zwei sehr unterschiedlich anspruchsvolle Türen. Am oberen Ende steht das Active Investor Plus Visa, reine Kapitalanlage ohne operative Geschäftsführung. Die Kategorie „Growth“ verlangt mindestens 5 Millionen NZD, die Kategorie „Balanced“ mindestens 10 Millionen NZD bei einer Mindesthaltedauer von 60 Monaten. Seit Neuregelungen zum 12. August 2026 zählen bei „Balanced“ auch Anleihen sowie Wohn- und Gewerbeimmobilien-Neuentwicklungen als anrechenbare Investition. Die Gebühr fällt entsprechend hoch aus: 12.070 NZD Antrag plus 15.400 NZD Levy. Die mit Abstand höchste Levy aller neuseeländischen Visakategorien.</w:t>
      </w:r>
    </w:p>
    <w:p w14:paraId="57C49822" w14:textId="77777777" w:rsidR="001F7233" w:rsidRDefault="00000000">
      <w:pPr>
        <w:spacing w:after="140"/>
      </w:pPr>
      <w:r>
        <w:rPr>
          <w:i/>
          <w:iCs/>
        </w:rPr>
        <w:t>Für alle, die tatsächlich ein Unternehmen führen statt nur Kapital zu parken, ist das Business Investor Work Visa der relevante Weg. Es bietet zwei Optionen: eine Investition von 1 Million NZD in ein bestehendes neuseeländisches Unternehmen, verbunden mit einem dreijährigen Work-to-Residence-Pfad (zunächst befristetes Arbeitsvisum, später Wechsel zur Residency) oder eine Investition von 2 Millionen NZD für einen zwölfmonatigen Schnellweg direkt zur Residency. In beiden Fällen kommen mindestens 500.000 NZD Eigenmittel für den Lebensunterhalt während des Geschäftsaufbaus hinzu. Voraussetzungen sind ein Höchstalter von 55 Jahren, Englischkenntnisse auf IELTS-Niveau 5,0 oder gleichwertig, die üblichen Gesundheits- und Charakteranforderungen, nachgewiesene unternehmerische Erfahrung sowie eine Investition in ein Unternehmen mit mindestens fünf Vollzeitstellen. Ausdrücklich ausgeschlossen sind unter anderem Dropshipping, Glücksspiel, Tabak- und Vaping-Handel, Convenience-Stores, Franchise-Betriebe, Fast-Food-Konzepte, reine Homeoffice-Geschäftsmodelle und Einwanderungsberatung. Diese Branchen stuft INZ offenbar als zu passiv oder zu leicht simulierbar ein.</w:t>
      </w:r>
    </w:p>
    <w:p w14:paraId="2C0D30F0" w14:textId="77777777" w:rsidR="001F7233" w:rsidRDefault="00000000">
      <w:pPr>
        <w:spacing w:after="140"/>
      </w:pPr>
      <w:r>
        <w:lastRenderedPageBreak/>
        <w:t>Die Logik hinter den hohen Summen und der langen Ausschlussliste ist wenig verschleiert. Ein Land mit gut fünf Millionen Einwohnern kann sich nicht darauf verlassen, dass jede Kapitalzusage auch wirklich Arbeitsplätze für Einheimische schafft. Die Mindestbeschäftigung von fünf Vollzeitstellen und die Ausschlussliste sollen klären, dass die Investition eine reale Wirtschaftstätigkeit finanziert und keine bloße Briefkastenkonstruktion, mit der jemand vor allem den eigenen Aufenthaltsstatus kauft.</w:t>
      </w:r>
    </w:p>
    <w:p w14:paraId="111B1FD6" w14:textId="77777777" w:rsidR="001F7233" w:rsidRDefault="00000000">
      <w:r>
        <w:rPr>
          <w:b/>
        </w:rPr>
        <w:t xml:space="preserve">MERKE: </w:t>
      </w:r>
    </w:p>
    <w:p w14:paraId="58A11481" w14:textId="77777777" w:rsidR="001F7233" w:rsidRDefault="00000000">
      <w:r>
        <w:t>• Kläre früh, ob dein Vorhaben zum Active Investor Plus Visa (reine Kapitalanlage, kein eigener operativer Aufwand nötig) oder zum Business Investor Work Visa (aktive Unternehmensführung mit Mindestbeschäftigung) passt. Beide Kategorien sprechen völlig unterschiedliche Profile an und eine Verwechslung kostet im Zweifel eine teure Fehlplanung.</w:t>
      </w:r>
    </w:p>
    <w:p w14:paraId="369C88CF" w14:textId="77777777" w:rsidR="001F7233" w:rsidRDefault="001F7233">
      <w:pPr>
        <w:spacing w:line="220" w:lineRule="exact"/>
      </w:pPr>
    </w:p>
    <w:p w14:paraId="2E392EEA" w14:textId="77777777" w:rsidR="001F7233" w:rsidRDefault="00000000">
      <w:pPr>
        <w:spacing w:after="140"/>
      </w:pPr>
      <w:r>
        <w:t>Bei den Kosten wird die Quellenlage unübersichtlich, und das sollte hier offen benannt werden. Eine spezialisierte Kanzleiquelle nennt für das Business Investor Work Visa eine Gesamtgebühr von 12.380 NZD. Die offizielle INZ-Gebührentabelle (Fees Guide, Ausgabe Mai 2026) führt dagegen die Residence-Komponente „Business Investor Category“ mit 11.320 NZD Antrag plus 3.570 NZD Levy und die temporäre Work-Visa-Komponente mit 11.320 NZD Antrag plus 1.060 NZD Levy getrennt auf. Beide Angaben lassen sich nicht sauber zur Deckung bringen. Vielleicht beruht die Kanzleisumme auf einer anderen Kombination aus Antrag, Levy und Nebenkosten.</w:t>
      </w:r>
    </w:p>
    <w:p w14:paraId="62C985F2" w14:textId="77777777" w:rsidR="001F7233" w:rsidRDefault="00000000">
      <w:pPr>
        <w:spacing w:after="140"/>
      </w:pPr>
      <w:r>
        <w:t xml:space="preserve">Noch verwirrender: Dieselbe Gebührentabelle vom Mai 2026 führt weiterhin zwei separate Zeilen für die eigentlich abgeschaffte alte Kategorie. „Entrepreneur Residence Category“ (11.320 NZD plus 3.570 NZD Levy) und „Entrepreneur Work Visa“ (11.320 NZD plus 1.060 NZD Levy). Das steht im Widerspruch dazu, dass der offizielle INZ-Newsroom-Text von einer Schließung dieser Kategorie zum 27. August 2025 spricht. Ob diese Zeilen nur für laufende Übergangsfälle </w:t>
      </w:r>
      <w:r>
        <w:lastRenderedPageBreak/>
        <w:t>gedacht sind oder schlicht ein redaktioneller Rückstand im Gebührendokument sind, ließ sich nicht klären.</w:t>
      </w:r>
    </w:p>
    <w:p w14:paraId="682484EE" w14:textId="77777777" w:rsidR="001F7233" w:rsidRDefault="00000000">
      <w:r>
        <w:rPr>
          <w:b/>
        </w:rPr>
        <w:t xml:space="preserve">ACHTUNG: </w:t>
      </w:r>
    </w:p>
    <w:p w14:paraId="5C0C8D81" w14:textId="77777777" w:rsidR="001F7233" w:rsidRDefault="00000000">
      <w:r>
        <w:t>• Die Fachliteratur zur alten Entrepreneur Work Visa widerspricht sich in diesem Punkt selbst. Neuanträge über diese Kategorie sollten daher nicht mehr eingeplant werden, ganz unabhängig davon, ob sie technisch noch in einer Gebührentabelle auftaucht. Wer ein Investoren- oder Unternehmervisum plant, sollte den aktuellen Status direkt bei Immigration New Zealand oder einer registrierten Einwanderungsberaterin oder einem registrierten Einwanderungsberater erfragen, bevor Kapital gebunden oder eine Gebühr gezahlt wird. Verlasse dich hier nicht auf eine einzelne Quelle, auch nicht auf dieses Kapitel.</w:t>
      </w:r>
    </w:p>
    <w:p w14:paraId="689D6F0B" w14:textId="77777777" w:rsidR="001F7233" w:rsidRDefault="001F7233">
      <w:pPr>
        <w:spacing w:line="220" w:lineRule="exact"/>
      </w:pPr>
    </w:p>
    <w:p w14:paraId="7AB9E9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Ruhestand ohne Job: Neuseelands Sonderweg</w:t>
      </w:r>
    </w:p>
    <w:p w14:paraId="493B667D" w14:textId="77777777" w:rsidR="001F7233" w:rsidRDefault="00000000">
      <w:pPr>
        <w:spacing w:after="140"/>
      </w:pPr>
      <w:r>
        <w:t>Für Deutsche, die nicht mehr arbeiten wollen, sondern von Rente, Ersparnissen oder Kapitalerträgen leben und dauerhaft auswandern möchten, zeigt der Vergleich der vier in diesem Buch behandelten Länder ein auffälliges Muster. Fast überall hängt der Ruhestand im Ausland an einem bereits dort lebenden erwachsenen Kind. Neuseeland ist die Ausnahme – mit Einschränkungen, die die Freude schnell relativieren.</w:t>
      </w:r>
    </w:p>
    <w:p w14:paraId="06D79611" w14:textId="77777777" w:rsidR="001F7233" w:rsidRDefault="00000000">
      <w:pPr>
        <w:spacing w:after="140"/>
      </w:pPr>
      <w:r>
        <w:rPr>
          <w:i/>
          <w:iCs/>
        </w:rPr>
        <w:t xml:space="preserve">Der reguläre Familienweg, die Parent Category, bleibt an ein Kind mit neuseeländischer Staatsbürgerschaft oder Aufenthaltstitel vor Ort gebunden. Das jährliche Kontingent liegt bei 2.500 Parent Resident Visa pro Finanzjahr. Die letzte Auswahlrunde unter dem bisherigen System fand am 11. August 2026 statt. Seit dem 5. Oktober 2026 gilt ein Hybridmodell: Rund 90 % der Interessensbekundungen werden künftig nach Eingangsdatum („first-in-first-served“) ausgewählt, die übrigen rund 10 % per Losverfahren. Die erste Runde unter diesem </w:t>
      </w:r>
      <w:r>
        <w:rPr>
          <w:i/>
          <w:iCs/>
        </w:rPr>
        <w:lastRenderedPageBreak/>
        <w:t>neuen Modell folgt am 10. November 2026, bestehende Interessensbekundungen werden automatisch übernommen. Eine befristete Alternative ohne Daueraufenthaltsperspektive ist der Parent Boost Visitor Visa, ein Mehrfacheinreise-Besuchervisum für Eltern neuseeländischer Bürgerinnen, Bürger oder Residents mit Aufenthalten bis zu fünf Jahren am Stück und einer zweiten Ausstellung auf kumulativ bis zu zehn Jahre, aber eben kein Weg zur Residency. Für Anträge ab dem 30. April 2026 gelten neue, an den Medianlohn gekoppelte Einkommensschwellen für Sponsor und Antragstellerin oder Antragsteller.</w:t>
      </w:r>
    </w:p>
    <w:p w14:paraId="17A4B6B0" w14:textId="77777777" w:rsidR="001F7233" w:rsidRDefault="00000000">
      <w:pPr>
        <w:spacing w:after="140"/>
      </w:pPr>
      <w:r>
        <w:rPr>
          <w:b/>
          <w:bCs/>
        </w:rPr>
        <w:t>Der eigentlich interessante Weg für kinderlose Ruheständler oder für Paare ohne Kind in Neuseeland ist der *Temporary Retirement Visitor Visa*. Er verlangt kein dort lebendes Kind. Die einzige derart kindunabhängige Lösung unter den vier Ländern dieses Buches. Die Bedingungen sind allerdings hoch angesetzt: Mindestalter 66 Jahre, eine Investitionssumme von 750.000 NZD, die für mindestens zwei Jahre in Neuseeland angelegt bleiben muss, auch vorzuhaltende liquide Mittel von 500.000 NZD für den Lebensunterhalt sowie ein Jahreseinkommen von mindestens 60.000 NZD. Das Visum selbst gilt für bis zu zwei Jahre. Danach ist eine erneute Antragstellung oder Verlängerung möglich, solange die Bedingungen weiter erfüllt sind. Wichtig zu wissen: Dieses Visum führt nicht automatisch zu einem Daueraufenthaltsrecht. Die Antragskosten liegen ab 7.891 NZD, die Bearbeitung läuft nach INZ-Angaben zu 80 % innerhalb von vier Wochen ab.</w:t>
      </w:r>
    </w:p>
    <w:p w14:paraId="25012D5E" w14:textId="77777777" w:rsidR="001F7233" w:rsidRDefault="00000000">
      <w:r>
        <w:rPr>
          <w:b/>
        </w:rPr>
        <w:t xml:space="preserve">ACHTUNG: </w:t>
      </w:r>
    </w:p>
    <w:p w14:paraId="3936482A" w14:textId="77777777" w:rsidR="001F7233" w:rsidRDefault="00000000">
      <w:r>
        <w:t>• Eine durchschnittliche deutsche gesetzliche Rente allein reicht für die geforderten 60.000 NZD Jahreseinkommen in aller Regel nicht aus. Wer diesen Weg ernsthaft plant, braucht zusätzliches Einkommen aus Kapitalanlagen, einer Betriebsrente, Vermietung oder ähnlichen Quellen und sollte diese Einkommensnachweise frühzeitig und lückenlos dokumentieren, bevor ein Antrag gestellt wird.</w:t>
      </w:r>
    </w:p>
    <w:p w14:paraId="727B4500" w14:textId="77777777" w:rsidR="001F7233" w:rsidRDefault="001F7233">
      <w:pPr>
        <w:spacing w:line="220" w:lineRule="exact"/>
      </w:pPr>
    </w:p>
    <w:p w14:paraId="7E1317B8" w14:textId="77777777" w:rsidR="001F7233" w:rsidRDefault="00000000">
      <w:pPr>
        <w:spacing w:after="140"/>
      </w:pPr>
      <w:r>
        <w:t>Realistisch angesprochen sind mit diesem Visum also weniger Menschen mit „nur“ solider gesetzlicher Rente. Eher eignet es sich für ehemalige Selbstständige oder Unternehmerinnen und Unternehmer nach einem Firmenverkauf, für gut situierte Ruheständler mit vermietetem Immobilienbesitz in Deutschland oder für Paare, die private und betriebliche Altersvorsorge über Jahrzehnte konsequent aufgebaut haben. Wer sein Haus in Deutschland verkaufen will, um die 750.000 NZD Investitionssumme aufzubringen, sollte diesen Verkauf zeitlich so planen, dass Kapital und Visum ungefähr gleichzeitig verfügbar sind. Ein zu früher Verkauf bindet Kapital unnötig lange in Neuseeland, ein zu später verzögert den ganzen Umzug. Wie sich ein solcher Vermögenstransfer steuerlich auf der deutschen Seite auswirkt, behandelt das Kapitel zu Steuern, Rente und Geld im Universal-Teil dieses Buches.</w:t>
      </w:r>
    </w:p>
    <w:p w14:paraId="3D81DE76" w14:textId="77777777" w:rsidR="001F7233" w:rsidRDefault="00000000">
      <w:pPr>
        <w:spacing w:after="140"/>
      </w:pPr>
      <w:r>
        <w:rPr>
          <w:i/>
          <w:iCs/>
        </w:rPr>
        <w:t xml:space="preserve">Wer ein erwachsenes Kind mit neuseeländischer Staatsbürgerschaft oder Residency vor Ort hat und stattdessen direkt einen Daueraufenthalt anstrebt, findet im Parent Retirement Resident Visa die passendere, wenn auch noch teurere Alternative. Voraussetzung ist – anders als beim Temporary Retirement Visitor Visa – zwingend ein Kind vor Ort. Die Investitionssumme steigt auf 1.000.000 NZD, angelegt für vier Jahre, zuzüglich derselben 500.000 NZD Ansiedlungsmittel und desselben Mindesteinkommens von 60.000 NZD im Jahr. Unterhaltsberechtigte, minderjährige Kinder der Antragstellerin oder des Antragstellers selbst sind dabei nicht zugelassen. Im Gegenzug führt dieser Weg zu einem echten Daueraufenthaltsrecht. Leben, arbeiten und studieren auf unbestimmte Zeit, anders als bei den befristeten Visa der beiden vorherigen Absätze. Die Bearbeitung einer „Grundsatzgenehmigung“ (Approval in Principle) dauert laut INZ zu 80 % rund 21 Monate. Eine einzelne Sekundärquelle nennt davon abweichend bis zu 37 Monate. Diese Diskrepanz ließ sich anhand der verfügbaren Quellen nicht abschließend klären; kalkuliere sie bei der Zeitplanung als Unsicherheit ein. Nach der Grundsatzgenehmigung </w:t>
      </w:r>
      <w:r>
        <w:rPr>
          <w:i/>
          <w:iCs/>
        </w:rPr>
        <w:lastRenderedPageBreak/>
        <w:t>bleiben genau zwölf Monate, um das Kapital tatsächlich nach Neuseeland zu überweisen. Eine Verlängerung dieser Frist ist nicht vorgesehen. Die Antragskosten beginnen bei 12.850 NZD.</w:t>
      </w:r>
    </w:p>
    <w:p w14:paraId="3A402F02" w14:textId="77777777" w:rsidR="001F7233" w:rsidRDefault="00000000">
      <w:r>
        <w:rPr>
          <w:b/>
        </w:rPr>
        <w:t xml:space="preserve">MERKE: </w:t>
      </w:r>
    </w:p>
    <w:p w14:paraId="4B5826E8" w14:textId="77777777" w:rsidR="001F7233" w:rsidRDefault="00000000">
      <w:r>
        <w:t>• Der Temporary Retirement Visitor Visa und der Parent Retirement Resident Visa lassen sich leicht verwechseln, sind aber grundverschieden. Der eine braucht kein Kind vor Ort, bleibt aber befristet und ohne automatischen Weg zur Residency. Der andere braucht zwingend ein Kind vor Ort, kostet mehr und dauert länger in der Bearbeitung, führt aber zum echten Daueraufenthalt. Wer beide Wege verwechselt, plant am Ende mit der falschen Investitionssumme oder der falschen Wartezeit.</w:t>
      </w:r>
    </w:p>
    <w:p w14:paraId="0FD9818E" w14:textId="77777777" w:rsidR="001F7233" w:rsidRDefault="001F7233">
      <w:pPr>
        <w:spacing w:line="220" w:lineRule="exact"/>
      </w:pPr>
    </w:p>
    <w:p w14:paraId="264BCDF3" w14:textId="77777777" w:rsidR="001F7233" w:rsidRDefault="00000000">
      <w:pPr>
        <w:spacing w:after="140"/>
      </w:pPr>
      <w:r>
        <w:t xml:space="preserve">Ein Punkt für die langfristige Finanzplanung geht in der ersten Begeisterung über einen erfolgreichen Antrag leicht unter: Solltest du später neuseeländische Staatsbürgerschaft oder einen Residence-Status mit Anspruch auf die staatliche Altersrente </w:t>
      </w:r>
      <w:r>
        <w:rPr>
          <w:i/>
          <w:iCs/>
        </w:rPr>
        <w:t>New Zealand Superannuation</w:t>
      </w:r>
      <w:r>
        <w:t xml:space="preserve"> („NZ Super“) erwerben, greift die sogenannte </w:t>
      </w:r>
      <w:r>
        <w:rPr>
          <w:i/>
          <w:iCs/>
        </w:rPr>
        <w:t>Direct Deduction Policy</w:t>
      </w:r>
      <w:r>
        <w:t xml:space="preserve">. Nach Section 70 des Social Security Act 1964 wird die NZ Super Dollar für Dollar um den Betrag einer ausländischen – also auch deutschen – Sozialversicherungsrente gekürzt. Wer bereits die volle deutsche gesetzliche Rente bezieht, bekommt in der Praxis keine zusätzliche NZ Super obendrauf. Für Antragstellende des Temporary Retirement Visitor Visa oder des Parent Retirement Resident Visa ist das zunächst nicht relevant, da beide Wege keinen unmittelbaren NZ-Super-Anspruch begründen. Relevant wird es aber für die Finanzplanung nach einer eventuellen späteren Einbürgerung, die das </w:t>
      </w:r>
      <w:hyperlink w:anchor="tnz16">
        <w:r w:rsidR="001F7233">
          <w:rPr>
            <w:color w:val="0563C1"/>
            <w:u w:val="single"/>
          </w:rPr>
          <w:t>Kapitel zur Staatsbürgerschaft und Steuerresidenz in diesem Teil</w:t>
        </w:r>
      </w:hyperlink>
      <w:r>
        <w:t xml:space="preserve"> behandelt.</w:t>
      </w:r>
    </w:p>
    <w:p w14:paraId="4528A0F1" w14:textId="77777777" w:rsidR="001F7233" w:rsidRDefault="00000000">
      <w:pPr>
        <w:spacing w:after="140"/>
      </w:pPr>
      <w:r>
        <w:t xml:space="preserve">Krankenversicherung ist für Ruheständler ohne Zugang zum öffentlichen Gesundheitssystem ein weiterer laufender Kostenfaktor. Für 55- bis 65-Jährige liegen reine Krankenhausdeckungen bei schätzungsweise 200 bis 400 NZD und mehr im Monat, für 65-Jährige bei rund 200 bis 340 NZD. Zusatzleistungen für ambulante </w:t>
      </w:r>
      <w:r>
        <w:lastRenderedPageBreak/>
        <w:t xml:space="preserve">und fachärztliche Behandlung kommen mit weiteren 40 bis 80 NZD im Monat hinzu. Das ausführliche </w:t>
      </w:r>
      <w:hyperlink w:anchor="tnz08">
        <w:r w:rsidR="001F7233">
          <w:rPr>
            <w:color w:val="0563C1"/>
            <w:u w:val="single"/>
          </w:rPr>
          <w:t>Gesundheitssystem-Kapitel in diesem Teil</w:t>
        </w:r>
      </w:hyperlink>
      <w:r>
        <w:t xml:space="preserve"> geht auf die Unterschiede zur deutschen gesetzlichen Krankenversicherung näher ein.</w:t>
      </w:r>
    </w:p>
    <w:p w14:paraId="42B32A32" w14:textId="77777777" w:rsidR="001F7233" w:rsidRDefault="00000000">
      <w:r>
        <w:t>• Dieses Kapitel beschreibt Regeln und Praxis, ersetzt aber keine individuelle Beratung durch eine registrierte Einwanderungsberaterin, einen registrierten Einwanderungsberater oder eine auf internationale Kapitalanlagen und Rentenbesteuerung spezialisierte Steuerberatung. Gerade bei sechsstelligen Investitionssummen, der widersprüchlichen Quellenlage zu Investorenvisa und der langfristigen Wirkung der Direct Deduction Policy auf die eigene Rente lohnt sich eine individuelle Prüfung, bevor du Kapital bindest oder Anträge einreichst.</w:t>
      </w:r>
    </w:p>
    <w:p w14:paraId="6E66A889" w14:textId="77777777" w:rsidR="001F7233" w:rsidRDefault="001F7233">
      <w:pPr>
        <w:spacing w:line="220" w:lineRule="exact"/>
      </w:pPr>
    </w:p>
    <w:p w14:paraId="735C90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Familie, Investoren und der Ruhestand</w:t>
      </w:r>
    </w:p>
    <w:p w14:paraId="41317373" w14:textId="77777777" w:rsidR="001F7233" w:rsidRDefault="00000000">
      <w:r>
        <w:rPr>
          <w:b/>
        </w:rPr>
        <w:t>Plus: Partnervisum verlangt kein Mindesteinkommen des Sponsors</w:t>
      </w:r>
    </w:p>
    <w:p w14:paraId="2126CD09" w14:textId="77777777" w:rsidR="001F7233" w:rsidRDefault="00000000">
      <w:r>
        <w:t>Minus: Zwölf Monate Zusammenleben vor Residence-Antrag erforderlich</w:t>
      </w:r>
    </w:p>
    <w:p w14:paraId="689485F8" w14:textId="77777777" w:rsidR="001F7233" w:rsidRDefault="00000000">
      <w:r>
        <w:rPr>
          <w:b/>
        </w:rPr>
        <w:t>Plus: Business Investor Work Visa bietet zwei Investitionswege</w:t>
      </w:r>
    </w:p>
    <w:p w14:paraId="24E461AC" w14:textId="77777777" w:rsidR="001F7233" w:rsidRDefault="00000000">
      <w:r>
        <w:rPr>
          <w:b/>
        </w:rPr>
        <w:t xml:space="preserve">Minus: </w:t>
      </w:r>
      <w:r>
        <w:t>Quellenlage zur alten Entrepreneur-Kategorie widersprüchlich</w:t>
      </w:r>
    </w:p>
    <w:p w14:paraId="6883D082" w14:textId="77777777" w:rsidR="001F7233" w:rsidRDefault="00000000">
      <w:r>
        <w:rPr>
          <w:b/>
        </w:rPr>
        <w:t>Plus: Einziges Land der vier mit kindunabhängigem Ruhestandsweg</w:t>
      </w:r>
    </w:p>
    <w:p w14:paraId="23E300F1" w14:textId="77777777" w:rsidR="001F7233" w:rsidRDefault="00000000">
      <w:r>
        <w:rPr>
          <w:b/>
        </w:rPr>
        <w:t xml:space="preserve">Minus: </w:t>
      </w:r>
      <w:r>
        <w:t>Temporary Retirement Visitor Visa bleibt nur zwei Jahre befristet</w:t>
      </w:r>
    </w:p>
    <w:p w14:paraId="56A7DEBD" w14:textId="77777777" w:rsidR="001F7233" w:rsidRDefault="00000000">
      <w:r>
        <w:rPr>
          <w:b/>
        </w:rPr>
        <w:t>Plus: Parent Retirement Resident Visa führt zu echtem Daueraufenthalt</w:t>
      </w:r>
    </w:p>
    <w:p w14:paraId="0118D38D" w14:textId="77777777" w:rsidR="001F7233" w:rsidRDefault="00000000">
      <w:r>
        <w:rPr>
          <w:b/>
        </w:rPr>
        <w:t xml:space="preserve">Minus: </w:t>
      </w:r>
      <w:r>
        <w:t>Dafür zwingend ein Kind vor Ort nötig, plus 1 Million NZD Investition</w:t>
      </w:r>
    </w:p>
    <w:p w14:paraId="3078885D" w14:textId="77777777" w:rsidR="001F7233" w:rsidRDefault="00000000">
      <w:r>
        <w:rPr>
          <w:b/>
        </w:rPr>
        <w:lastRenderedPageBreak/>
        <w:t>Plus: Deutsche Rente wird bei NZ Super teilweise angerechnet</w:t>
      </w:r>
    </w:p>
    <w:p w14:paraId="1B141DD9" w14:textId="77777777" w:rsidR="001F7233" w:rsidRDefault="00000000">
      <w:r>
        <w:rPr>
          <w:b/>
        </w:rPr>
        <w:t xml:space="preserve">Minus: </w:t>
      </w:r>
      <w:r>
        <w:t>Direct Deduction Policy kürzt die NZ Super Dollar für Dollar</w:t>
      </w:r>
    </w:p>
    <w:p w14:paraId="6DC9C670" w14:textId="77777777" w:rsidR="001F7233" w:rsidRDefault="001F7233">
      <w:pPr>
        <w:spacing w:line="180" w:lineRule="exact"/>
      </w:pPr>
    </w:p>
    <w:p w14:paraId="70CEAC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3BCFC86" w14:textId="77777777" w:rsidR="001F7233" w:rsidRDefault="00000000">
      <w:pPr>
        <w:spacing w:after="140"/>
      </w:pPr>
      <w:r>
        <w:t xml:space="preserve">Kläre zuerst, welcher Fall auf deine Situation zutrifft: Partnerschaft mit Nachzug, Investitionskapital für ein Unternehmerprofil oder Ruhestand ohne Job. Im letzten Fall kläre außerdem, ob ein Kind mit neuseeländischem Status vor Ort lebt oder nicht. Bei einem Partnervisum solltest du frühzeitig Nachweise der Beziehung (gemeinsame Fotos, Mietverträge, Kontoauszüge, Reisebelege) sammeln, da die Bearbeitung Monate dauert. Wer ein Investoren- oder Unternehmervisum erwägt, sollte den aktuellen Status der jeweiligen Kategorie direkt bei Immigration New Zealand oder einer registrierten Fachperson erfragen, bevor Kapital gebunden wird. Die widersprüchliche Quellenlage zur alten Entrepreneur-Kategorie zeigt, wie schnell sich hier etwas ändert. Für einen geplanten Ruhestand ohne Job rechne frühzeitig durch, ob dein Jahreseinkommen die Schwelle von 60.000 NZD erreicht. Hole dir dann eine erste Einschätzung, ob der Temporary Retirement Visitor Visa oder – bei vorhandenem Kind vor Ort – der Parent Retirement Resident Visa der passendere Weg ist. Erstelle dazu eine nüchterne Vermögensaufstellung: Was lässt sich innerhalb der geforderten Fristen tatsächlich liquidieren, ohne dich in Deutschland finanziell in Bedrängnis zu bringen? Und was davon würdest du überhaupt langfristig in Neuseeland gebunden sehen wollen? Sprich außerdem frühzeitig mit einer auf internationale Fälle spezialisierten Steuerberatung über die Folgen der Direct Deduction Policy für deine spätere Altersvorsorge, bevor du dich auf einen der beiden Wege festlegst. Die Kosten und Fristen für die Antragstellung selbst behandelt das </w:t>
      </w:r>
      <w:hyperlink w:anchor="tnz05">
        <w:r w:rsidR="001F7233">
          <w:rPr>
            <w:color w:val="0563C1"/>
            <w:u w:val="single"/>
          </w:rPr>
          <w:t>Kapitel zu Antrag, Konsulat und Bearbeitungszeit in diesem Teil</w:t>
        </w:r>
      </w:hyperlink>
      <w:r>
        <w:t>.</w:t>
      </w:r>
    </w:p>
    <w:p w14:paraId="44307FEA" w14:textId="77777777" w:rsidR="001F7233" w:rsidRDefault="00000000">
      <w:r>
        <w:lastRenderedPageBreak/>
        <w:t>• Zutreffenden Fall klären: Partnerschaft, Investition oder Ruhestand ohne Job</w:t>
      </w:r>
    </w:p>
    <w:p w14:paraId="13A808AE" w14:textId="77777777" w:rsidR="001F7233" w:rsidRDefault="00000000">
      <w:r>
        <w:t>• Bei Partnervisum: Nachweise der Beziehung frühzeitig sammeln</w:t>
      </w:r>
    </w:p>
    <w:p w14:paraId="3061B86E" w14:textId="77777777" w:rsidR="001F7233" w:rsidRDefault="00000000">
      <w:r>
        <w:t>• Bei Investorenvisa: aktuellen Status direkt bei INZ oder Fachperson erfragen</w:t>
      </w:r>
    </w:p>
    <w:p w14:paraId="2FED16CC" w14:textId="77777777" w:rsidR="001F7233" w:rsidRDefault="00000000">
      <w:r>
        <w:t>• Bei Ruhestandsplänen: prüfen, ob ein Kind mit neuseeländischem Status vor Ort lebt</w:t>
      </w:r>
    </w:p>
    <w:p w14:paraId="35906AD9" w14:textId="77777777" w:rsidR="001F7233" w:rsidRDefault="00000000">
      <w:r>
        <w:t>• Jahreseinkommen von mindestens 60.000 NZD realistisch nachweisen können</w:t>
      </w:r>
    </w:p>
    <w:p w14:paraId="005FDF67" w14:textId="77777777" w:rsidR="001F7233" w:rsidRDefault="00000000">
      <w:r>
        <w:t>• Investitionssumme (750.000 NZD bzw. 1 Million NZD) und Liquiditätsanforderung klären</w:t>
      </w:r>
    </w:p>
    <w:p w14:paraId="790A1A5A" w14:textId="77777777" w:rsidR="001F7233" w:rsidRDefault="00000000">
      <w:r>
        <w:t>• Langfristige Wirkung der Direct Deduction Policy auf die eigene Rente einkalkulieren</w:t>
      </w:r>
    </w:p>
    <w:p w14:paraId="13A1E7C9" w14:textId="77777777" w:rsidR="001F7233" w:rsidRDefault="00000000">
      <w:r>
        <w:t xml:space="preserve">• Regelmäßig auf </w:t>
      </w:r>
      <w:hyperlink r:id="rId974">
        <w:r w:rsidR="001F7233">
          <w:rPr>
            <w:color w:val="0563C1"/>
            <w:u w:val="single"/>
          </w:rPr>
          <w:t>immigration.govt.nz</w:t>
        </w:r>
      </w:hyperlink>
      <w:r>
        <w:t xml:space="preserve"> prüfen, ob sich Schwellen oder Kategorien geändert haben</w:t>
      </w:r>
    </w:p>
    <w:p w14:paraId="4545B9E6" w14:textId="77777777" w:rsidR="001F7233" w:rsidRDefault="001F7233">
      <w:pPr>
        <w:spacing w:line="220" w:lineRule="exact"/>
      </w:pPr>
    </w:p>
    <w:p w14:paraId="1EF989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60A3DD6" w14:textId="77777777" w:rsidR="001F7233" w:rsidRDefault="00000000">
      <w:pPr>
        <w:pStyle w:val="ListParagraph"/>
        <w:numPr>
          <w:ilvl w:val="0"/>
          <w:numId w:val="1"/>
        </w:numPr>
        <w:spacing w:after="60"/>
      </w:pPr>
      <w:r>
        <w:t>Immigration New Zealand — Partner of a New Zealander Resident Visa (</w:t>
      </w:r>
      <w:hyperlink r:id="rId975">
        <w:r w:rsidR="001F7233">
          <w:rPr>
            <w:color w:val="0563C1"/>
            <w:u w:val="single"/>
          </w:rPr>
          <w:t>immigration.govt.nz/new-zealand-visas/visas/visa/partner-of-a-new-zealander-resident-visa</w:t>
        </w:r>
      </w:hyperlink>
      <w:r>
        <w:t>)</w:t>
      </w:r>
    </w:p>
    <w:p w14:paraId="31F31D59" w14:textId="77777777" w:rsidR="001F7233" w:rsidRDefault="00000000">
      <w:pPr>
        <w:pStyle w:val="ListParagraph"/>
        <w:numPr>
          <w:ilvl w:val="0"/>
          <w:numId w:val="1"/>
        </w:numPr>
        <w:spacing w:after="60"/>
      </w:pPr>
      <w:r>
        <w:t>Immigration New Zealand — Fees Guide INZ 1028, Ausgabe Mai 2026 (</w:t>
      </w:r>
      <w:hyperlink r:id="rId976">
        <w:r w:rsidR="001F7233">
          <w:rPr>
            <w:color w:val="0563C1"/>
            <w:u w:val="single"/>
          </w:rPr>
          <w:t>immigration.govt.nz/assets/inz/documents/forms-and-guides/Fees-Guide-INZ-1028.pdf</w:t>
        </w:r>
      </w:hyperlink>
      <w:r>
        <w:t>)</w:t>
      </w:r>
    </w:p>
    <w:p w14:paraId="56B9BAAB" w14:textId="77777777" w:rsidR="001F7233" w:rsidRDefault="00000000">
      <w:pPr>
        <w:pStyle w:val="ListParagraph"/>
        <w:numPr>
          <w:ilvl w:val="0"/>
          <w:numId w:val="1"/>
        </w:numPr>
        <w:spacing w:after="60"/>
      </w:pPr>
      <w:r>
        <w:t>Immigration New Zealand — Newsroom: Entrepreneur category closes, Business Investor Visa offers new immigration options (</w:t>
      </w:r>
      <w:hyperlink r:id="rId977">
        <w:r w:rsidR="001F7233">
          <w:rPr>
            <w:color w:val="0563C1"/>
            <w:u w:val="single"/>
          </w:rPr>
          <w:t>immigration.govt.nz/about-us/news-centre</w:t>
        </w:r>
      </w:hyperlink>
      <w:r>
        <w:t>)</w:t>
      </w:r>
    </w:p>
    <w:p w14:paraId="2E3B1C12" w14:textId="77777777" w:rsidR="001F7233" w:rsidRDefault="00000000">
      <w:pPr>
        <w:pStyle w:val="ListParagraph"/>
        <w:numPr>
          <w:ilvl w:val="0"/>
          <w:numId w:val="1"/>
        </w:numPr>
        <w:spacing w:after="60"/>
      </w:pPr>
      <w:r>
        <w:t>Immigration New Zealand — Investor Category / Active Investor Plus (</w:t>
      </w:r>
      <w:hyperlink r:id="rId978">
        <w:r w:rsidR="001F7233">
          <w:rPr>
            <w:color w:val="0563C1"/>
            <w:u w:val="single"/>
          </w:rPr>
          <w:t>immigration.govt.nz/new-zealand-visas/visas/visa/active-investor-plus-visa</w:t>
        </w:r>
      </w:hyperlink>
      <w:r>
        <w:t>)</w:t>
      </w:r>
    </w:p>
    <w:p w14:paraId="2CB0B23C" w14:textId="77777777" w:rsidR="001F7233" w:rsidRDefault="00000000">
      <w:pPr>
        <w:pStyle w:val="ListParagraph"/>
        <w:numPr>
          <w:ilvl w:val="0"/>
          <w:numId w:val="1"/>
        </w:numPr>
        <w:spacing w:after="60"/>
      </w:pPr>
      <w:r>
        <w:t>Immigration New Zealand — Parent Category und Parent Boost Visitor Visa (</w:t>
      </w:r>
      <w:hyperlink r:id="rId979">
        <w:r w:rsidR="001F7233">
          <w:rPr>
            <w:color w:val="0563C1"/>
            <w:u w:val="single"/>
          </w:rPr>
          <w:t>immigration.govt.nz/new-zealand-visas/visas/visa/parent-resident-visa</w:t>
        </w:r>
      </w:hyperlink>
      <w:r>
        <w:t>)</w:t>
      </w:r>
    </w:p>
    <w:p w14:paraId="11B27D85" w14:textId="77777777" w:rsidR="001F7233" w:rsidRDefault="00000000">
      <w:pPr>
        <w:pStyle w:val="ListParagraph"/>
        <w:numPr>
          <w:ilvl w:val="0"/>
          <w:numId w:val="1"/>
        </w:numPr>
        <w:spacing w:after="60"/>
      </w:pPr>
      <w:r>
        <w:lastRenderedPageBreak/>
        <w:t>Work and Income New Zealand — New Zealand Superannuation, Direct Deduction Policy (</w:t>
      </w:r>
      <w:hyperlink r:id="rId980">
        <w:r w:rsidR="001F7233">
          <w:rPr>
            <w:color w:val="0563C1"/>
            <w:u w:val="single"/>
          </w:rPr>
          <w:t>workandincome.govt.nz</w:t>
        </w:r>
      </w:hyperlink>
      <w:r>
        <w:t>)</w:t>
      </w:r>
    </w:p>
    <w:p w14:paraId="07860301" w14:textId="77777777" w:rsidR="001F7233" w:rsidRDefault="001F7233">
      <w:pPr>
        <w:spacing w:line="120" w:lineRule="exact"/>
      </w:pPr>
    </w:p>
    <w:p w14:paraId="3B2DECDE" w14:textId="77777777" w:rsidR="001F7233" w:rsidRDefault="00000000">
      <w:r>
        <w:t xml:space="preserve">• 23.09.2026. Diese Angaben ändern sich besonders schnell: der Status der ehemaligen Entrepreneur-Kategorie, die Auswahlverfahren der Parent Category ab Oktober/November 2026, Einkommensschwellen und Gebühren. Prüfe vor jeder Entscheidung die aktuellen Angaben auf </w:t>
      </w:r>
      <w:hyperlink r:id="rId981">
        <w:r w:rsidR="001F7233">
          <w:rPr>
            <w:color w:val="0563C1"/>
            <w:u w:val="single"/>
          </w:rPr>
          <w:t>immigration.govt.nz</w:t>
        </w:r>
      </w:hyperlink>
      <w:r>
        <w:t>.</w:t>
      </w:r>
    </w:p>
    <w:p w14:paraId="6BE4E0A1" w14:textId="77777777" w:rsidR="001F7233" w:rsidRDefault="00000000">
      <w:pPr>
        <w:spacing w:line="220" w:lineRule="exact"/>
      </w:pPr>
      <w:r>
        <w:br w:type="page"/>
      </w:r>
    </w:p>
    <w:p w14:paraId="468A747A" w14:textId="77777777" w:rsidR="001F7233" w:rsidRDefault="00000000">
      <w:pPr>
        <w:pStyle w:val="Heading2"/>
        <w:keepNext/>
        <w:spacing w:line="341" w:lineRule="auto"/>
        <w:jc w:val="center"/>
      </w:pPr>
      <w:bookmarkStart w:id="134" w:name="tnz05"/>
      <w:r>
        <w:rPr>
          <w:rFonts w:ascii="Amazon Ember" w:eastAsia="Amazon Ember" w:hAnsi="Amazon Ember" w:cs="Amazon Ember"/>
          <w:color w:val="0000FF"/>
          <w:sz w:val="36"/>
          <w:szCs w:val="36"/>
        </w:rPr>
        <w:lastRenderedPageBreak/>
        <w:t>Neuseeland: Antrag, Konsulat und Kosten</w:t>
      </w:r>
      <w:bookmarkEnd w:id="134"/>
    </w:p>
    <w:p w14:paraId="48A34D0D" w14:textId="77777777" w:rsidR="001F7233" w:rsidRDefault="00000000">
      <w:r>
        <w:rPr>
          <w:b/>
        </w:rPr>
        <w:t xml:space="preserve">KURZ GESAGT: </w:t>
      </w:r>
    </w:p>
    <w:p w14:paraId="3BCFD8AB" w14:textId="77777777" w:rsidR="001F7233" w:rsidRDefault="00000000">
      <w:r>
        <w:t>• Der Antrag läuft vollständig online über dein persönliches Konto bei Immigration New Zealand (INZ), Teil des Ministry of Business, Innovation &amp; Employment (MBIE). Einen Termin bei einer neuseeländischen Auslandsvertretung gibt es für die reguläre Antragstellung nicht.</w:t>
      </w:r>
    </w:p>
    <w:p w14:paraId="2FB7F602" w14:textId="77777777" w:rsidR="001F7233" w:rsidRDefault="00000000">
      <w:r>
        <w:t xml:space="preserve">• Die Kosten hängen vom Visumtyp ab. Antragsgebühr, Levy und Zuschläge stehen im INZ Fees Guide auf </w:t>
      </w:r>
      <w:hyperlink r:id="rId982">
        <w:r w:rsidR="001F7233">
          <w:rPr>
            <w:color w:val="0563C1"/>
            <w:u w:val="single"/>
          </w:rPr>
          <w:t>immigration.govt.nz</w:t>
        </w:r>
      </w:hyperlink>
      <w:r>
        <w:t>. Dieses Kapitel druckt sie nicht. Prüfe das Blatt, bevor du zahlst oder kündigst.</w:t>
      </w:r>
    </w:p>
    <w:p w14:paraId="3F65750E" w14:textId="77777777" w:rsidR="001F7233" w:rsidRDefault="00000000">
      <w:r>
        <w:t>• Gesundheitsuntersuchung und Führungszeugnis (der Character Requirement, die Vorgabe zum guten Leumund) sind eigene Pflichtschritte mit eigenen Fristen.</w:t>
      </w:r>
    </w:p>
    <w:p w14:paraId="32487B1F" w14:textId="77777777" w:rsidR="001F7233" w:rsidRDefault="00000000">
      <w:r>
        <w:t>• Anders als bei manch anderem Zielland verlangt INZ für das deutsche Führungszeugnis keine Apostille, sondern eine beglaubigte englische Übersetzung.</w:t>
      </w:r>
    </w:p>
    <w:p w14:paraId="21A8105B" w14:textId="77777777" w:rsidR="001F7233" w:rsidRDefault="00000000">
      <w:r>
        <w:t>• Bearbeitungszeiten schwanken zwischen wenigen Wochen (Arbeitsvisa) und mehreren Monaten (Residence-Kategorien).</w:t>
      </w:r>
    </w:p>
    <w:p w14:paraId="47884076" w14:textId="77777777" w:rsidR="001F7233" w:rsidRDefault="00000000">
      <w:r>
        <w:t>• Die deutsche Botschaft in Wellington und die Honorarkonsulate in Auckland und Christchurch helfen bei deutschen Dokumenten. Über deinen neuseeländischen Visumantrag entscheidet nur INZ.</w:t>
      </w:r>
    </w:p>
    <w:p w14:paraId="511DBAB2" w14:textId="77777777" w:rsidR="001F7233" w:rsidRDefault="001F7233">
      <w:pPr>
        <w:spacing w:line="220" w:lineRule="exact"/>
      </w:pPr>
    </w:p>
    <w:p w14:paraId="7C9011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ein Konto statt eines Konsulattermins</w:t>
      </w:r>
    </w:p>
    <w:p w14:paraId="3E006A6F" w14:textId="77777777" w:rsidR="001F7233" w:rsidRDefault="00000000">
      <w:pPr>
        <w:spacing w:after="140"/>
      </w:pPr>
      <w:r>
        <w:rPr>
          <w:i/>
          <w:iCs/>
        </w:rPr>
        <w:t xml:space="preserve">Wer aus Deutschland kommt, verbindet einen Visumantrag fast automatisch mit einer Behörde vor Ort: Wartenummer, Schalter, ein Mensch, der Stempel setzt. Bei INZ fällt das komplett weg. Ob </w:t>
      </w:r>
      <w:r>
        <w:rPr>
          <w:i/>
          <w:iCs/>
        </w:rPr>
        <w:lastRenderedPageBreak/>
        <w:t>Arbeitsvisum, Working Holiday oder der Antrag auf ein Daueraufenthaltsvisum (das neuseeländische Resident Visa, funktional vergleichbar mit der amerikanischen Green Card). Alles läuft über dein persönliches Online-Konto bei Immigration New Zealand. Dort trägst du Angaben ein, lädst Dokumente hoch, bezahlst die Gebühr per Kreditkarte und verfolgst den Status. Jede Nachricht der Behörde – auch Nachforderungen. Kommt nur dort an, nicht per Brief und nicht per Anruf. Prüfe dieses Postfach in den folgenden Wochen regelmäßig.</w:t>
      </w:r>
    </w:p>
    <w:p w14:paraId="30FFF95E" w14:textId="77777777" w:rsidR="001F7233" w:rsidRDefault="00000000">
      <w:pPr>
        <w:spacing w:after="140"/>
      </w:pPr>
      <w:r>
        <w:t xml:space="preserve">Welcher Weg für dich der richtige ist – die punktebasierte Skilled Migrant Category (SMC), das Accredited Employer Work Visa (AEWV) mit einem Beruf auf der Green List, ein Familien- oder Investorenweg –, erklären die </w:t>
      </w:r>
      <w:hyperlink w:anchor="tnz03">
        <w:r w:rsidR="001F7233">
          <w:rPr>
            <w:color w:val="0563C1"/>
            <w:u w:val="single"/>
          </w:rPr>
          <w:t>Kapitel zu den Einwanderungswegen und zum Arbeitsweg in diesem Teil</w:t>
        </w:r>
      </w:hyperlink>
      <w:r>
        <w:t xml:space="preserve"> ausführlich. Für den Antrag selbst macht es allerdings einen spürbaren Unterschied, welche Stufe der Green List für deinen Beruf gilt. Bei einem Tier-1-Beruf („Straight to Residence“) stellst du direkt einen Antrag auf ein Daueraufenthaltsvisum, sobald das Jobangebot steht. Bei Tier 2 („Work to Residence“) beginnst du mit dem AEWV und wechselst erst nach 24 Monaten Arbeit in Neuseeland zur Residency. Das sind zwei völlig unterschiedliche Kostenkurven für dieselbe Berufsgruppe. Dieses Kapitel beginnt dort, wo die Entscheidung für einen Weg schon gefallen ist: beim nüchternen Kleingedruckten aus Formularen, Gebühren und Fristen.</w:t>
      </w:r>
    </w:p>
    <w:p w14:paraId="670E6B34" w14:textId="77777777" w:rsidR="001F7233" w:rsidRDefault="00000000">
      <w:r>
        <w:rPr>
          <w:b/>
        </w:rPr>
        <w:t xml:space="preserve">MERKE: </w:t>
      </w:r>
    </w:p>
    <w:p w14:paraId="2F33A4D9" w14:textId="77777777" w:rsidR="001F7233" w:rsidRDefault="00000000">
      <w:r>
        <w:t>• Eine erteilte Genehmigung ist noch keine Einreise. Bei AEWV und SMC bekommst du zunächst die Zusage. Wirksam wird dein Status endgültig erst bei der Einreisekontrolle. Dazu mehr im Kapitel zur Ankunft in diesem Teil.</w:t>
      </w:r>
    </w:p>
    <w:p w14:paraId="6B47F571" w14:textId="77777777" w:rsidR="001F7233" w:rsidRDefault="001F7233">
      <w:pPr>
        <w:spacing w:line="220" w:lineRule="exact"/>
      </w:pPr>
    </w:p>
    <w:p w14:paraId="429FDD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09FC5FF4" w14:textId="77777777" w:rsidR="001F7233" w:rsidRDefault="00000000">
      <w:pPr>
        <w:spacing w:after="140"/>
      </w:pPr>
      <w:r>
        <w:rPr>
          <w:i/>
          <w:iCs/>
        </w:rPr>
        <w:t xml:space="preserve">Die Gebühren unterscheiden sich drastisch je nach Visumtyp. Die reine Antragsgebühr ist dabei nur die halbe Rechnung: Fast überall kommt </w:t>
      </w:r>
      <w:r>
        <w:rPr>
          <w:i/>
          <w:iCs/>
        </w:rPr>
        <w:lastRenderedPageBreak/>
        <w:t>die Immigration Levy dazu, ein separater Aufschlag, der die Systemkosten von INZ mitfinanziert und in keiner ersten Kostenschätzung fehlen sollte.</w:t>
      </w:r>
    </w:p>
    <w:p w14:paraId="31F9D055" w14:textId="77777777" w:rsidR="001F7233" w:rsidRDefault="00000000">
      <w:r>
        <w:rPr>
          <w:b/>
        </w:rPr>
        <w:t>Accredited Employer Work Visa</w:t>
      </w:r>
    </w:p>
    <w:p w14:paraId="57BA2BA9" w14:textId="77777777" w:rsidR="001F7233" w:rsidRDefault="00000000">
      <w:r>
        <w:rPr>
          <w:b/>
        </w:rPr>
        <w:t xml:space="preserve">Wo der Betrag steht: </w:t>
      </w:r>
      <w:r>
        <w:t>INZ Fees Guide</w:t>
      </w:r>
    </w:p>
    <w:p w14:paraId="1C29E9FC" w14:textId="77777777" w:rsidR="001F7233" w:rsidRDefault="00000000">
      <w:r>
        <w:rPr>
          <w:b/>
        </w:rPr>
        <w:t>Skilled Migrant Category Resident Visa</w:t>
      </w:r>
    </w:p>
    <w:p w14:paraId="0F021821" w14:textId="77777777" w:rsidR="001F7233" w:rsidRDefault="00000000">
      <w:r>
        <w:rPr>
          <w:b/>
        </w:rPr>
        <w:t xml:space="preserve">Wo der Betrag steht: </w:t>
      </w:r>
      <w:r>
        <w:t>INZ Fees Guide</w:t>
      </w:r>
    </w:p>
    <w:p w14:paraId="5E646A93" w14:textId="77777777" w:rsidR="001F7233" w:rsidRDefault="00000000">
      <w:r>
        <w:rPr>
          <w:b/>
        </w:rPr>
        <w:t>Partner-Residence-Visum</w:t>
      </w:r>
    </w:p>
    <w:p w14:paraId="4D597945" w14:textId="77777777" w:rsidR="001F7233" w:rsidRDefault="00000000">
      <w:r>
        <w:rPr>
          <w:b/>
        </w:rPr>
        <w:t xml:space="preserve">Wo der Betrag steht: </w:t>
      </w:r>
      <w:r>
        <w:t>INZ Fees Guide</w:t>
      </w:r>
    </w:p>
    <w:p w14:paraId="7C8E2D2C" w14:textId="77777777" w:rsidR="001F7233" w:rsidRDefault="00000000">
      <w:r>
        <w:rPr>
          <w:b/>
        </w:rPr>
        <w:t>Partnership Work Visa</w:t>
      </w:r>
    </w:p>
    <w:p w14:paraId="7567DA68" w14:textId="77777777" w:rsidR="001F7233" w:rsidRDefault="00000000">
      <w:r>
        <w:rPr>
          <w:b/>
        </w:rPr>
        <w:t xml:space="preserve">Wo der Betrag steht: </w:t>
      </w:r>
      <w:r>
        <w:t>INZ Fees Guide</w:t>
      </w:r>
    </w:p>
    <w:p w14:paraId="2C32B780" w14:textId="77777777" w:rsidR="001F7233" w:rsidRDefault="00000000">
      <w:r>
        <w:rPr>
          <w:b/>
        </w:rPr>
        <w:t>Studienvisum</w:t>
      </w:r>
    </w:p>
    <w:p w14:paraId="30B67CBF" w14:textId="77777777" w:rsidR="001F7233" w:rsidRDefault="00000000">
      <w:r>
        <w:rPr>
          <w:b/>
        </w:rPr>
        <w:t xml:space="preserve">Wo der Betrag steht: </w:t>
      </w:r>
      <w:r>
        <w:t>INZ Fees Guide</w:t>
      </w:r>
    </w:p>
    <w:p w14:paraId="63DC7DA8" w14:textId="77777777" w:rsidR="001F7233" w:rsidRDefault="00000000">
      <w:r>
        <w:rPr>
          <w:b/>
        </w:rPr>
        <w:t>Working Holiday Scheme</w:t>
      </w:r>
    </w:p>
    <w:p w14:paraId="1CCD80CE" w14:textId="77777777" w:rsidR="001F7233" w:rsidRDefault="00000000">
      <w:r>
        <w:rPr>
          <w:b/>
        </w:rPr>
        <w:t xml:space="preserve">Wo der Betrag steht: </w:t>
      </w:r>
      <w:r>
        <w:t>INZ Fees Guide</w:t>
      </w:r>
    </w:p>
    <w:p w14:paraId="12D33276" w14:textId="77777777" w:rsidR="001F7233" w:rsidRDefault="001F7233">
      <w:pPr>
        <w:spacing w:line="180" w:lineRule="exact"/>
      </w:pPr>
    </w:p>
    <w:p w14:paraId="4B438141" w14:textId="77777777" w:rsidR="001F7233" w:rsidRDefault="00000000">
      <w:pPr>
        <w:spacing w:after="140"/>
      </w:pPr>
      <w:r>
        <w:t>Die Antragsgebühr und die Immigration Levy stehen getrennt. Den aktuellen Betrag liest du im Fees Guide, bevor du zahlst. Partner und Kinder haben oft eine eigene Zeile.</w:t>
      </w:r>
    </w:p>
    <w:p w14:paraId="77C270C7" w14:textId="77777777" w:rsidR="001F7233" w:rsidRDefault="00000000">
      <w:pPr>
        <w:spacing w:after="140"/>
      </w:pPr>
      <w:r>
        <w:t>Beim AEWV kommen für den Arbeitgeber weitere Posten dazu: die Employer Accreditation und der Job Check. Die Beträge stehen im INZ Fees Guide. Diese Kosten trägt laut INZ der Arbeitgeber, nicht der Arbeitnehmer.</w:t>
      </w:r>
    </w:p>
    <w:p w14:paraId="796D7E25" w14:textId="77777777" w:rsidR="001F7233" w:rsidRDefault="00000000">
      <w:pPr>
        <w:spacing w:after="140"/>
      </w:pPr>
      <w:r>
        <w:t xml:space="preserve">Eine Besonderheit ist die </w:t>
      </w:r>
      <w:r>
        <w:rPr>
          <w:i/>
          <w:iCs/>
        </w:rPr>
        <w:t>International Visitor Conservation and Tourism Levy</w:t>
      </w:r>
      <w:r>
        <w:t xml:space="preserve"> (IVL). Ob sie anfällt und in welcher Höhe, steht im INZ Fees Guide. Dieses Kapitel druckt den Betrag nicht. INZ hat mit einigen Ländern Gebührenbefreiungen für bestimmte Antragsarten. Deutschland gehört nicht dazu. Ob das für deinen Visumtyp gilt, prüfst du im Fees Guide.</w:t>
      </w:r>
    </w:p>
    <w:p w14:paraId="788D5B62" w14:textId="77777777" w:rsidR="001F7233" w:rsidRDefault="00000000">
      <w:pPr>
        <w:spacing w:after="140"/>
      </w:pPr>
      <w:r>
        <w:t>Für eine vierköpfige Familie auf dem AEWV-Weg kommen Antragsgebühr, Partnership Work Visa und Kinderanträge dazu. Die Beträge stehen im INZ Fees Guide, in der vertiefenden Stelle.</w:t>
      </w:r>
    </w:p>
    <w:p w14:paraId="61F7A7E0" w14:textId="77777777" w:rsidR="001F7233" w:rsidRDefault="00000000">
      <w:r>
        <w:rPr>
          <w:b/>
        </w:rPr>
        <w:t xml:space="preserve">SPARTIPP: </w:t>
      </w:r>
    </w:p>
    <w:p w14:paraId="74F01E27" w14:textId="77777777" w:rsidR="001F7233" w:rsidRDefault="00000000">
      <w:r>
        <w:lastRenderedPageBreak/>
        <w:t>• Bezahle die Gebühr im INZ-Konto erst, wenn wirklich alle Unterlagen vollständig sind. Ein unvollständiger Antrag lässt sich zwar nachbessern. Die Gebühr ist bei einer Ablehnung aber ebenso verloren wie bei einer Genehmigung. Eine Kulanzrunde wie beim deutschen Bürgeramt gibt es bei INZ nicht.</w:t>
      </w:r>
    </w:p>
    <w:p w14:paraId="3AC1BFF2" w14:textId="77777777" w:rsidR="001F7233" w:rsidRDefault="001F7233">
      <w:pPr>
        <w:spacing w:line="220" w:lineRule="exact"/>
      </w:pPr>
    </w:p>
    <w:p w14:paraId="35ED71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w14:paraId="7126D82A" w14:textId="77777777" w:rsidR="001F7233" w:rsidRDefault="00000000">
      <w:pPr>
        <w:spacing w:after="140"/>
      </w:pPr>
      <w:r>
        <w:t>INZ veröffentlicht laufend aktualisierte Bearbeitungszeiten, die sich je nach Kategorie und Auslastung deutlich unterscheiden. Zum Datenstand September 2026 gilt grob: Ein AEWV ist in 80 % der Fälle innerhalb von 25 bis 35 Werktagen entschieden, sobald der Antrag vollständig ist. Das gilt allerdings erst, nachdem dein Arbeitgeber die Employer Accreditation (rund 2 Werktage) und den Job Check (rund 3 Werktage) durchlaufen hat. Für die SMC-Residence liegt die durchschnittliche Bearbeitungszeit bei rund 9 Wochen, für eine Partnerschafts-Residence bei rund 6 Monaten. Das Working-Holiday-Visum ist in 80 % der Fälle bereits innerhalb von 2 Wochen entschieden. Für viele der schnellste Weg überhaupt ins Land, wenn auch mit den bekannten Einschränkungen bei Alter und Aufenthaltsdauer.</w:t>
      </w:r>
    </w:p>
    <w:p w14:paraId="7A3FBFB6" w14:textId="77777777" w:rsidR="001F7233" w:rsidRDefault="00000000">
      <w:pPr>
        <w:spacing w:after="140"/>
      </w:pPr>
      <w:r>
        <w:t>Diese Zahlen sind, wie bei vergleichbaren Behörden anderer Länder auch, rollende Durchschnittswerte auf Basis zuletzt abgeschlossener Fälle. Sie sind keine Zusage für deinen konkreten Antrag. Rechne bei AEWV und SMC realistisch mit zwei bis vier Monaten von der ersten Einreichung bis zur endgültigen Entscheidung, wenn man Arbeitgeberschritte, Nachforderungen und die eigentliche Prüfung zusammenzählt. Das aktuelle, laufend aktualisierte INZ-Bearbeitungszeiten-Tool zeigt dir vor der Antragstellung eine tagesaktuelle Schätzung für deine konkrete Kategorie. Ein Blick hinein gehört in jede Zeitplanung, nicht nur in die grobe Vorabrecherche.</w:t>
      </w:r>
    </w:p>
    <w:p w14:paraId="7AAA9E14" w14:textId="77777777" w:rsidR="001F7233" w:rsidRDefault="00000000">
      <w:r>
        <w:rPr>
          <w:b/>
        </w:rPr>
        <w:t xml:space="preserve">ACHTUNG: </w:t>
      </w:r>
    </w:p>
    <w:p w14:paraId="7E7F53EE" w14:textId="77777777" w:rsidR="001F7233" w:rsidRDefault="00000000">
      <w:r>
        <w:lastRenderedPageBreak/>
        <w:t>• Kündige Wohnung, Job oder Kinderbetreuungsplatz in Deutschland erst, wenn die Genehmigung tatsächlich im INZ-Konto steht. Nicht schon, wenn die Employer Accreditation deines künftigen Arbeitgebers durchgekommen ist. Zwischen diesen beiden Schritten liegt in der Praxis noch der komplette eigentliche Visumantrag samt Gesundheits- und Charakterprüfung.</w:t>
      </w:r>
    </w:p>
    <w:p w14:paraId="75C3DC9A" w14:textId="77777777" w:rsidR="001F7233" w:rsidRDefault="001F7233">
      <w:pPr>
        <w:spacing w:line="220" w:lineRule="exact"/>
      </w:pPr>
    </w:p>
    <w:p w14:paraId="75F2E5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025FF156" w14:textId="77777777" w:rsidR="001F7233" w:rsidRDefault="00000000">
      <w:pPr>
        <w:spacing w:after="140"/>
      </w:pPr>
      <w:r>
        <w:rPr>
          <w:i/>
          <w:iCs/>
        </w:rPr>
        <w:t>Für die meisten Daueraufenthaltsvisa und viele befristete Kategorien ist die Health Examination Pflicht. Eine freie Arztwahl gibt es dabei nicht. Ab 15 Jahren verlangt INZ ein Röntgenbild des Brustkorbs auch zur allgemeinen ärztlichen Untersuchung. Kinder zwischen 11 und 14 Jahren brauchen ebenfalls beides, Kinder bis 10 Jahre meist nur die ärztliche Untersuchung ohne Röntgen. Beide Nachweise dürfen bei Einreichung höchstens drei Monate alt sein. Untersuchen darf dich nur einnerhalb von INZ zugelassener Panel Physician oder ein anerkanntes Röntgeninstitut. Der eigene Hausarzt genügt nicht, egal wie vertraut und gründlich er sonst arbeitet.</w:t>
      </w:r>
    </w:p>
    <w:p w14:paraId="35BA2B5D" w14:textId="77777777" w:rsidR="001F7233" w:rsidRDefault="00000000">
      <w:pPr>
        <w:spacing w:after="140"/>
      </w:pPr>
      <w:r>
        <w:t>Beim AEWV gelten die Anforderungen abgestuft: Das Röntgenbild wird erst ab sechs Monaten geplantem Aufenthalt verlangt und auch dann nur bei Herkunft aus einem Land mit erhöhtem Tuberkulose-Risiko. Für Antragsteller aus Deutschland ist das in der Praxis meist kein Thema. Wie hoch die Untersuchung selbst zu Buche schlägt, legt nicht INZ fest, sondern der jeweilige Panel-Arzt direkt vor Ort. Die Liste zugelassener Ärzte findest du über dein INZ-Konto. Frage die Praxis vorab nach den Kosten, statt dich auf eine Pauschalzahl zu verlassen, die ohnehinnerhalb von Praxis zu Praxis schwankt.</w:t>
      </w:r>
    </w:p>
    <w:p w14:paraId="421E4E54" w14:textId="77777777" w:rsidR="001F7233" w:rsidRDefault="00000000">
      <w:r>
        <w:rPr>
          <w:b/>
        </w:rPr>
        <w:t xml:space="preserve">MERKE: </w:t>
      </w:r>
    </w:p>
    <w:p w14:paraId="1FAFB832" w14:textId="77777777" w:rsidR="001F7233" w:rsidRDefault="00000000">
      <w:r>
        <w:t>• Buche den Untersuchungstermin, sobald INZ ihn anfordert, nicht erst kurz vor knapp. Zugelassene Panel Physicians sind nicht an jeder deutschen Ecke zu finden und ein voller Terminkalender verzögert sonst den gesamten Antrag um Wochen.</w:t>
      </w:r>
    </w:p>
    <w:p w14:paraId="333A1B2D" w14:textId="77777777" w:rsidR="001F7233" w:rsidRDefault="001F7233">
      <w:pPr>
        <w:spacing w:line="220" w:lineRule="exact"/>
      </w:pPr>
    </w:p>
    <w:p w14:paraId="57314B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der Character Requirement</w:t>
      </w:r>
    </w:p>
    <w:p w14:paraId="193CFD0F" w14:textId="77777777" w:rsidR="001F7233" w:rsidRDefault="00000000">
      <w:pPr>
        <w:spacing w:after="140"/>
      </w:pPr>
      <w:r>
        <w:rPr>
          <w:i/>
          <w:iCs/>
        </w:rPr>
        <w:t>Für Antragsteller ab 17 Jahren verlangt INZ ein Police Certificate. Ein Führungszeugnis, das bei Antragstellung höchstens sechs Monate alt sein darf. Für deutsche Antragsteller ist das schlicht das bekannte Führungszeugnis vom Bundesamt für Justiz in Bonn, das du online, postalisch oder beim Einwohnermeldeamt beantragst, für 13 €.</w:t>
      </w:r>
    </w:p>
    <w:p w14:paraId="53C4DB40" w14:textId="77777777" w:rsidR="001F7233" w:rsidRDefault="00000000">
      <w:pPr>
        <w:spacing w:after="140"/>
      </w:pPr>
      <w:r>
        <w:t>Verbreiteter Irrtum: Wer sich vorher schon mit einem anderen Zielland beschäftigt hat, geht oft automatisch davon aus, dass auch Neuseeland eine Apostille verlangt – die internationale Beglaubigung nach dem Haager Übereinkommen, die etwa Australien für dasselbe Dokument voraussetzt. Für Neuseeland ist das nicht der Fall. INZ verlangt lediglich, dass ein nicht auf Englisch ausgestelltes Führungszeugnis mit einer beglaubigten englischen Übersetzung eingereicht wird. Diese muss von einer Person oder einem Übersetzungsbüro erstellt sein, das mit beiden Sprachen vertraut und für Übersetzungsarbeit qualifiziert ist, und mit Stempel oder Unterschrift versehen sein (</w:t>
      </w:r>
      <w:hyperlink r:id="rId983">
        <w:r w:rsidR="001F7233">
          <w:rPr>
            <w:color w:val="0563C1"/>
            <w:u w:val="single"/>
          </w:rPr>
          <w:t>immigration.govt.nz</w:t>
        </w:r>
      </w:hyperlink>
      <w:r>
        <w:t>, „Police certificates“). Eine Apostille schadet zwar nicht, ist aber für den INZ-Antrag reiner überflüssiger Aufwand.</w:t>
      </w:r>
    </w:p>
    <w:p w14:paraId="421C05EF" w14:textId="77777777" w:rsidR="001F7233" w:rsidRDefault="00000000">
      <w:pPr>
        <w:spacing w:after="140"/>
      </w:pPr>
      <w:r>
        <w:rPr>
          <w:i/>
          <w:iCs/>
        </w:rPr>
        <w:t>Der Character Requirement selbst verlangt „guten Leumund“ von allen im Antrag eingeschlossenen Personen ab 17 Jahren. Vorstrafen führen nicht automatisch zur Ablehnung, müssen aber offengelegt werden und werden je nach Schwere unterschiedlich bewertet.</w:t>
      </w:r>
    </w:p>
    <w:p w14:paraId="481C79F1" w14:textId="77777777" w:rsidR="001F7233" w:rsidRDefault="00000000">
      <w:r>
        <w:rPr>
          <w:b/>
        </w:rPr>
        <w:t xml:space="preserve">ACHTUNG: </w:t>
      </w:r>
    </w:p>
    <w:p w14:paraId="077EDD68" w14:textId="77777777" w:rsidR="001F7233" w:rsidRDefault="00000000">
      <w:r>
        <w:t xml:space="preserve">• Ein Führungszeugnis, das bei der tatsächlichen Antragsprüfung schon älter als sechs Monate ist, wird nicht mehr akzeptiert. Bei mehrmonatigen Bearbeitungszeiten – etwa bei der SMC. Lohnt es </w:t>
      </w:r>
      <w:r>
        <w:lastRenderedPageBreak/>
        <w:t>sich, den Bestellzeitpunkt bewusst zu terminieren, statt das Dokument Monate im Voraus in der Schublade liegen zu haben.</w:t>
      </w:r>
    </w:p>
    <w:p w14:paraId="2900A3DE" w14:textId="77777777" w:rsidR="001F7233" w:rsidRDefault="001F7233">
      <w:pPr>
        <w:spacing w:line="220" w:lineRule="exact"/>
      </w:pPr>
    </w:p>
    <w:p w14:paraId="189B41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Immigration Adviser oder allein durch den Antrag?</w:t>
      </w:r>
    </w:p>
    <w:p w14:paraId="17235101" w14:textId="77777777" w:rsidR="001F7233" w:rsidRDefault="00000000">
      <w:pPr>
        <w:spacing w:after="140"/>
      </w:pPr>
      <w:r>
        <w:t xml:space="preserve">Wer sich professionelle Unterstützung holen möchte, findet in Neuseeland einen eigenen regulierten Berufsstand: den Licensed Immigration Adviser (LIA, den lizenzierten Einwanderungsberater). Reguliert wird dieser Berufsstand nach dem Immigration Advisers Licensing Act 2007 durch die Immigration Advisers Authority (IAA). Ihr öffentliches Register auf </w:t>
      </w:r>
      <w:hyperlink r:id="rId984">
        <w:r w:rsidR="001F7233">
          <w:rPr>
            <w:color w:val="0563C1"/>
            <w:u w:val="single"/>
          </w:rPr>
          <w:t>iaa.govt.nz</w:t>
        </w:r>
      </w:hyperlink>
      <w:r>
        <w:t xml:space="preserve"> zeigt, ob eine Person aktuell lizenziert ist. Wer gegen Bezahlung Einwanderungsberatung anbietet – Anträge vorbereiten, Strategie empfehlen, mit INZ kommunizieren –, muss dort lizenziert sein, sofern er nicht ausdrücklich davon befreit ist.</w:t>
      </w:r>
    </w:p>
    <w:p w14:paraId="40E7468A" w14:textId="77777777" w:rsidR="001F7233" w:rsidRDefault="00000000">
      <w:pPr>
        <w:spacing w:after="140"/>
      </w:pPr>
      <w:r>
        <w:t>Für ein einzelnes AEWV mit klarer Stelle brauchst du meist keinen Berater. Das Formular ist selbsterklärend, und dein Arbeitgeber übernimmt ohnehin die Accreditation und den Job Check. Bei der SMC mit knapper Punktzahl, bei Familienanträgen mit mehreren Personen oder bei Vorstrafen und früheren Visumsablehnungen kann ein lizenzierter Adviser dagegen echte Fehler vermeiden. Er ersetzt aber keine Garantie: Niemand kann dir eine Genehmigung versprechen und wer das behauptet, verkauft dir vor allem eine gut formulierte Rechnung. Warnsignale sind dieselben wie überall: Erfolgsgarantie, Drängen auf sofortige Vorkasse an ein Privatkonto, keine schriftliche Honorarvereinbarung, angebliche „Kontakte“ bei INZ, die den Prozess beschleunigen sollen.</w:t>
      </w:r>
    </w:p>
    <w:p w14:paraId="0389F84C" w14:textId="77777777" w:rsidR="001F7233" w:rsidRDefault="00000000">
      <w:r>
        <w:t xml:space="preserve">• Dieses Kapitel beschreibt Verfahren und Praxis, keine Rechtsberatung. Bei komplexen Fällen – Vorstrafen, frühere Visumsablehnungen, ungewöhnliche Familienkonstellationen. Lohnt sich die Beratung durch einen lizenzierten Immigration Adviser oder </w:t>
      </w:r>
      <w:r>
        <w:lastRenderedPageBreak/>
        <w:t>eine neuseeländische Anwältin mit Migrationsrecht als Schwerpunkt.</w:t>
      </w:r>
    </w:p>
    <w:p w14:paraId="5F073F1E" w14:textId="77777777" w:rsidR="001F7233" w:rsidRDefault="001F7233">
      <w:pPr>
        <w:spacing w:line="220" w:lineRule="exact"/>
      </w:pPr>
    </w:p>
    <w:p w14:paraId="340D54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zuständig für Deutsches, nicht für Neuseeländisches</w:t>
      </w:r>
    </w:p>
    <w:p w14:paraId="7E8247BF" w14:textId="77777777" w:rsidR="001F7233" w:rsidRDefault="00000000">
      <w:pPr>
        <w:spacing w:after="140"/>
      </w:pPr>
      <w:r>
        <w:t>Verbreiteter Irrtum: Viele Auswanderer erwarten, dass die deutsche Botschaft beim neuseeländischen Visumantrag hilft oder zumindest vermittelt. Das ist nicht ihre Aufgabe. Über die Erteilung eines neuseeländischen Visums entscheidet nur INZ, online und ohne dass eine deutsche Stelle Einfluss darauf hätte. Die deutschen Vertretungen sind für deutsche Angelegenheiten zuständig – Reisepass, Personalausweis, Beglaubigungen, Notfallhilfe für deutsche Staatsangehörige. Für neuseeländisches Verwaltungsrecht sind sie nicht zuständig.</w:t>
      </w:r>
    </w:p>
    <w:p w14:paraId="6707626B" w14:textId="77777777" w:rsidR="001F7233" w:rsidRDefault="00000000">
      <w:pPr>
        <w:spacing w:after="140"/>
      </w:pPr>
      <w:r>
        <w:t>In Neuseeland gliedert sich das Netz so: Die Deutsche Botschaft in Wellington ist die übergeordnete Vertretung für das gesamte Land. Ergänzt wird sie durch zwei Honorarkonsulate. In Auckland deckt der Honorarkonsul den Amtsbezirk Nord- und Südauckland ab, in Christchurch der Honorarkonsul den Amtsbezirk Nelson-Marlborough, Canterbury, West Coast, Otago und Southland. Honorarkonsuln sind meist ortsansässige Persönlichkeiten, die ehrenamtlich einen eingeschränkten Service anbieten. Etwa Beglaubigungen oder die Weiterleitung von Passanträgen –, aber keine vollständige Konsularabteilung ersetzen. Für alles, was darüber hinausgeht, bleibt die Botschaft in Wellington zuständig, teils postalisch erreichbar.</w:t>
      </w:r>
    </w:p>
    <w:p w14:paraId="2157A2C7" w14:textId="77777777" w:rsidR="001F7233" w:rsidRDefault="00000000">
      <w:r>
        <w:rPr>
          <w:b/>
        </w:rPr>
        <w:t xml:space="preserve">MERKE: </w:t>
      </w:r>
    </w:p>
    <w:p w14:paraId="3A0C6218" w14:textId="77777777" w:rsidR="001F7233" w:rsidRDefault="00000000">
      <w:r>
        <w:t xml:space="preserve">• Die deutsche Auslandsvertretung ist deine Anlaufstelle für deutsche Dokumente und Notfälle, nicht für den neuseeländischen </w:t>
      </w:r>
      <w:r>
        <w:lastRenderedPageBreak/>
        <w:t>Visumantrag. Das erledigst du nur selbst über dein INZ-Konto, notfalls mit einem lizenzierten Immigration Adviser.</w:t>
      </w:r>
    </w:p>
    <w:p w14:paraId="081BF63C" w14:textId="77777777" w:rsidR="001F7233" w:rsidRDefault="001F7233">
      <w:pPr>
        <w:spacing w:line="220" w:lineRule="exact"/>
      </w:pPr>
    </w:p>
    <w:p w14:paraId="33C202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Antrag, Konsulat und Kosten</w:t>
      </w:r>
    </w:p>
    <w:p w14:paraId="34D9B8BC" w14:textId="77777777" w:rsidR="001F7233" w:rsidRDefault="00000000">
      <w:r>
        <w:rPr>
          <w:b/>
        </w:rPr>
        <w:t>Plus: Alles online nachverfolgbar, kein Reisen zu einem Konsulattermin nötig</w:t>
      </w:r>
    </w:p>
    <w:p w14:paraId="1F90D5F9" w14:textId="77777777" w:rsidR="001F7233" w:rsidRDefault="00000000">
      <w:r>
        <w:rPr>
          <w:b/>
        </w:rPr>
        <w:t xml:space="preserve">Minus: </w:t>
      </w:r>
      <w:r>
        <w:t>Deutschland gehört nicht zu den Gebührenbefreiungsländern</w:t>
      </w:r>
    </w:p>
    <w:p w14:paraId="126D647C" w14:textId="77777777" w:rsidR="001F7233" w:rsidRDefault="00000000">
      <w:r>
        <w:rPr>
          <w:b/>
        </w:rPr>
        <w:t>Plus: Keine Apostille für das Führungszeugnis nötig, nur beglaubigte Übersetzung</w:t>
      </w:r>
    </w:p>
    <w:p w14:paraId="09B4B747" w14:textId="77777777" w:rsidR="001F7233" w:rsidRDefault="00000000">
      <w:r>
        <w:rPr>
          <w:b/>
        </w:rPr>
        <w:t xml:space="preserve">Minus: </w:t>
      </w:r>
      <w:r>
        <w:t>Employer Accreditation und Job Check verlängern den AEWV-Prozess spürbar</w:t>
      </w:r>
    </w:p>
    <w:p w14:paraId="74E7C42E" w14:textId="77777777" w:rsidR="001F7233" w:rsidRDefault="00000000">
      <w:r>
        <w:rPr>
          <w:b/>
        </w:rPr>
        <w:t>Plus: Employer-Kosten (Accreditation, Job Check) trägt der Arbeitgeber, nicht du</w:t>
      </w:r>
    </w:p>
    <w:p w14:paraId="7A5E0B0C" w14:textId="77777777" w:rsidR="001F7233" w:rsidRDefault="00000000">
      <w:r>
        <w:rPr>
          <w:b/>
        </w:rPr>
        <w:t xml:space="preserve">Minus: </w:t>
      </w:r>
      <w:r>
        <w:t>Gesundheitsuntersuchung nur bei zugelassenem Panel Physician möglich</w:t>
      </w:r>
    </w:p>
    <w:p w14:paraId="04DAD2C2" w14:textId="77777777" w:rsidR="001F7233" w:rsidRDefault="00000000">
      <w:r>
        <w:rPr>
          <w:b/>
        </w:rPr>
        <w:t>Plus: Working Holiday meist innerhalb von zwei Wochen entschieden</w:t>
      </w:r>
    </w:p>
    <w:p w14:paraId="59D418A5" w14:textId="77777777" w:rsidR="001F7233" w:rsidRDefault="00000000">
      <w:r>
        <w:rPr>
          <w:b/>
        </w:rPr>
        <w:t xml:space="preserve">Minus: </w:t>
      </w:r>
      <w:r>
        <w:t>Bei Ablehnung sind alle gezahlten Gebühren unwiederbringlich verloren</w:t>
      </w:r>
    </w:p>
    <w:p w14:paraId="38C24650" w14:textId="77777777" w:rsidR="001F7233" w:rsidRDefault="001F7233">
      <w:pPr>
        <w:spacing w:line="180" w:lineRule="exact"/>
      </w:pPr>
    </w:p>
    <w:p w14:paraId="101032C6" w14:textId="77777777" w:rsidR="001F7233" w:rsidRDefault="001F7233">
      <w:pPr>
        <w:spacing w:line="220" w:lineRule="exact"/>
      </w:pPr>
    </w:p>
    <w:p w14:paraId="587882E3" w14:textId="77777777" w:rsidR="001F7233" w:rsidRDefault="001F7233">
      <w:pPr>
        <w:spacing w:line="220" w:lineRule="exact"/>
      </w:pPr>
    </w:p>
    <w:p w14:paraId="224217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C943B0A" w14:textId="77777777" w:rsidR="001F7233" w:rsidRDefault="00000000">
      <w:pPr>
        <w:spacing w:after="140"/>
      </w:pPr>
      <w:r>
        <w:t xml:space="preserve">Kläre zuerst über die </w:t>
      </w:r>
      <w:hyperlink w:anchor="tnz02">
        <w:r w:rsidR="001F7233">
          <w:rPr>
            <w:color w:val="0563C1"/>
            <w:u w:val="single"/>
          </w:rPr>
          <w:t>Kapitel zu den Einwanderungswegen in diesem Teil</w:t>
        </w:r>
      </w:hyperlink>
      <w:r>
        <w:t xml:space="preserve">, welcher Weg für dich infrage kommt. Das entscheidet, ob ein Arbeitgeber Accreditation und Job Check durchlaufen muss oder ob du direkt einen SMC-Antrag stellst. Lege dein INZ-Konto an und kalkuliere die Gesamtkosten inklusive Levy und IVL realistisch. Bestelle Führungszeugnis und Übersetzung so, dass beide bei Einreichung frisch genug sind. Buche die Gesundheitsuntersuchung, </w:t>
      </w:r>
      <w:r>
        <w:lastRenderedPageBreak/>
        <w:t>sobald INZ sie anfordert, und entscheide bewusst, ob ein lizenzierter Immigration Adviser für deinen Fall einen Unterschied macht.</w:t>
      </w:r>
    </w:p>
    <w:p w14:paraId="3DA9E8FE" w14:textId="77777777" w:rsidR="001F7233" w:rsidRDefault="00000000">
      <w:r>
        <w:t>• Visumweg geklärt (AEWV mit Green-List-Beruf, SMC direkt, Working Holiday, Familie/Investor)</w:t>
      </w:r>
    </w:p>
    <w:p w14:paraId="3A5C2381" w14:textId="77777777" w:rsidR="001F7233" w:rsidRDefault="00000000">
      <w:r>
        <w:t>• INZ-Konto angelegt, Benachrichtigungen aktiviert</w:t>
      </w:r>
    </w:p>
    <w:p w14:paraId="7BCACD6C" w14:textId="77777777" w:rsidR="001F7233" w:rsidRDefault="00000000">
      <w:r>
        <w:t>• Alle Gebühren realistisch kalkuliert: Antragsgebühr, Levy, ggf. IVL, ggf. Employer-Kosten</w:t>
      </w:r>
    </w:p>
    <w:p w14:paraId="2E37A5F7" w14:textId="77777777" w:rsidR="001F7233" w:rsidRDefault="00000000">
      <w:r>
        <w:t>• Führungszeugnis beim Bundesamt für Justiz beantragt, höchstens sechs Monate vor Einreichung</w:t>
      </w:r>
    </w:p>
    <w:p w14:paraId="27E6C6C7" w14:textId="77777777" w:rsidR="001F7233" w:rsidRDefault="00000000">
      <w:r>
        <w:t>• Beglaubigte englische Übersetzung des Führungszeugnisses organisiert (keine Apostille nötig)</w:t>
      </w:r>
    </w:p>
    <w:p w14:paraId="5B649629" w14:textId="77777777" w:rsidR="001F7233" w:rsidRDefault="00000000">
      <w:r>
        <w:t>• Gesundheitsuntersuchung bei einem von INZ zugelassenen Panel Physician terminiert</w:t>
      </w:r>
    </w:p>
    <w:p w14:paraId="3CE182E1" w14:textId="77777777" w:rsidR="001F7233" w:rsidRDefault="00000000">
      <w:r>
        <w:t>• Entschieden, ob ein lizenzierter Immigration Adviser sinnvoll ist; Registrierung im IAA-Register geprüft</w:t>
      </w:r>
    </w:p>
    <w:p w14:paraId="3266BF5D" w14:textId="77777777" w:rsidR="001F7233" w:rsidRDefault="00000000">
      <w:r>
        <w:t>• Zuständiges deutsches Honorarkonsulat (Auckland oder Christchurch) beziehungsweise die Botschaft Wellington für deutsche Dokumente identifiziert</w:t>
      </w:r>
    </w:p>
    <w:p w14:paraId="2AC83385" w14:textId="77777777" w:rsidR="001F7233" w:rsidRDefault="00000000">
      <w:r>
        <w:t>• Aktuelle Bearbeitungszeiten auf der INZ-Seite geprüft, Job und Wohnung in Deutschland erst nach der Genehmigung gekündigt.</w:t>
      </w:r>
    </w:p>
    <w:p w14:paraId="5D6D3BE6" w14:textId="77777777" w:rsidR="001F7233" w:rsidRDefault="001F7233">
      <w:pPr>
        <w:spacing w:line="220" w:lineRule="exact"/>
      </w:pPr>
    </w:p>
    <w:p w14:paraId="429FC4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63FED62" w14:textId="77777777" w:rsidR="001F7233" w:rsidRDefault="00000000">
      <w:pPr>
        <w:pStyle w:val="ListParagraph"/>
        <w:numPr>
          <w:ilvl w:val="0"/>
          <w:numId w:val="1"/>
        </w:numPr>
        <w:spacing w:after="60"/>
      </w:pPr>
      <w:r>
        <w:t xml:space="preserve">Immigration New Zealand — Visa, Gebühren, Antragskonto: </w:t>
      </w:r>
      <w:hyperlink r:id="rId985">
        <w:r w:rsidR="001F7233">
          <w:rPr>
            <w:color w:val="0563C1"/>
            <w:u w:val="single"/>
          </w:rPr>
          <w:t>immigration.govt.nz</w:t>
        </w:r>
      </w:hyperlink>
    </w:p>
    <w:p w14:paraId="5D828345" w14:textId="77777777" w:rsidR="001F7233" w:rsidRDefault="00000000">
      <w:pPr>
        <w:pStyle w:val="ListParagraph"/>
        <w:numPr>
          <w:ilvl w:val="0"/>
          <w:numId w:val="1"/>
        </w:numPr>
        <w:spacing w:after="60"/>
      </w:pPr>
      <w:r>
        <w:t xml:space="preserve">INZ Fees Guide (INZ 1028), Ausgabe Mai 2026: </w:t>
      </w:r>
      <w:hyperlink r:id="rId986">
        <w:r w:rsidR="001F7233">
          <w:rPr>
            <w:color w:val="0563C1"/>
            <w:u w:val="single"/>
          </w:rPr>
          <w:t>immigration.govt.nz/assets/inz/documents/forms-and-guides/Fees-Guide-INZ-1028.pdf</w:t>
        </w:r>
      </w:hyperlink>
    </w:p>
    <w:p w14:paraId="72F2D085" w14:textId="77777777" w:rsidR="001F7233" w:rsidRDefault="00000000">
      <w:pPr>
        <w:pStyle w:val="ListParagraph"/>
        <w:numPr>
          <w:ilvl w:val="0"/>
          <w:numId w:val="1"/>
        </w:numPr>
        <w:spacing w:after="60"/>
      </w:pPr>
      <w:r>
        <w:t xml:space="preserve">INZ — Gesundheitsanforderungen: </w:t>
      </w:r>
      <w:hyperlink r:id="rId987">
        <w:r w:rsidR="001F7233">
          <w:rPr>
            <w:color w:val="0563C1"/>
            <w:u w:val="single"/>
          </w:rPr>
          <w:t>immigration.govt.nz/process-to-apply/applying-for-a-visa/providing-evidence-and-documents-to-support-your-visa-application/health-requirements</w:t>
        </w:r>
      </w:hyperlink>
    </w:p>
    <w:p w14:paraId="68367214" w14:textId="77777777" w:rsidR="001F7233" w:rsidRDefault="00000000">
      <w:pPr>
        <w:pStyle w:val="ListParagraph"/>
        <w:numPr>
          <w:ilvl w:val="0"/>
          <w:numId w:val="1"/>
        </w:numPr>
        <w:spacing w:after="60"/>
      </w:pPr>
      <w:r>
        <w:lastRenderedPageBreak/>
        <w:t xml:space="preserve">INZ — Führungszeugnisse und Übersetzungen: </w:t>
      </w:r>
      <w:hyperlink r:id="rId988">
        <w:r w:rsidR="001F7233">
          <w:rPr>
            <w:color w:val="0563C1"/>
            <w:u w:val="single"/>
          </w:rPr>
          <w:t>immigration.govt.nz/process-to-apply/applying-for-a-visa/providing-evidence-and-documents-to-support-your-visa-application/good-character-requirements-and-police-certificates/police-certificates</w:t>
        </w:r>
      </w:hyperlink>
    </w:p>
    <w:p w14:paraId="0BC35B89" w14:textId="77777777" w:rsidR="001F7233" w:rsidRDefault="00000000">
      <w:pPr>
        <w:pStyle w:val="ListParagraph"/>
        <w:numPr>
          <w:ilvl w:val="0"/>
          <w:numId w:val="1"/>
        </w:numPr>
        <w:spacing w:after="60"/>
      </w:pPr>
      <w:r>
        <w:t xml:space="preserve">Immigration Advisers Authority — Register: </w:t>
      </w:r>
      <w:hyperlink r:id="rId989">
        <w:r w:rsidR="001F7233">
          <w:rPr>
            <w:color w:val="0563C1"/>
            <w:u w:val="single"/>
          </w:rPr>
          <w:t>iaa.govt.nz</w:t>
        </w:r>
      </w:hyperlink>
    </w:p>
    <w:p w14:paraId="609B4A52" w14:textId="77777777" w:rsidR="001F7233" w:rsidRDefault="00000000">
      <w:pPr>
        <w:pStyle w:val="ListParagraph"/>
        <w:numPr>
          <w:ilvl w:val="0"/>
          <w:numId w:val="1"/>
        </w:numPr>
        <w:spacing w:after="60"/>
      </w:pPr>
      <w:r>
        <w:t xml:space="preserve">Deutsche Botschaft Wellington und Honorarkonsulate: </w:t>
      </w:r>
      <w:hyperlink r:id="rId990">
        <w:r w:rsidR="001F7233">
          <w:rPr>
            <w:color w:val="0563C1"/>
            <w:u w:val="single"/>
          </w:rPr>
          <w:t>wellington.diplo.de</w:t>
        </w:r>
      </w:hyperlink>
    </w:p>
    <w:p w14:paraId="407F046E" w14:textId="77777777" w:rsidR="001F7233" w:rsidRDefault="00000000">
      <w:pPr>
        <w:pStyle w:val="ListParagraph"/>
        <w:numPr>
          <w:ilvl w:val="0"/>
          <w:numId w:val="1"/>
        </w:numPr>
        <w:spacing w:after="60"/>
      </w:pPr>
      <w:r>
        <w:t xml:space="preserve">Bundesamt für Justiz — Führungszeugnis: </w:t>
      </w:r>
      <w:hyperlink r:id="rId991">
        <w:r w:rsidR="001F7233">
          <w:rPr>
            <w:color w:val="0563C1"/>
            <w:u w:val="single"/>
          </w:rPr>
          <w:t>bundesjustizamt.de</w:t>
        </w:r>
      </w:hyperlink>
    </w:p>
    <w:p w14:paraId="63D9C53A" w14:textId="77777777" w:rsidR="001F7233" w:rsidRDefault="001F7233">
      <w:pPr>
        <w:spacing w:line="120" w:lineRule="exact"/>
      </w:pPr>
    </w:p>
    <w:p w14:paraId="34703709" w14:textId="77777777" w:rsidR="001F7233" w:rsidRDefault="00000000">
      <w:r>
        <w:t xml:space="preserve">• 23.09.2026. Diese Angaben ändern sich schnell: Gebühren (Fees Guide, Ausgabe Mai 2026), Bearbeitungszeiten (laufend aktualisiert), die SMC-Reform vom 24.08.2026 sowie mögliche neue Studien- und Graduate-Visa-Wege, die für 2026/27 angekündigt, aber noch nicht endgültig bestätigt sind. Prüfe vor jeder Entscheidung </w:t>
      </w:r>
      <w:hyperlink r:id="rId992">
        <w:r w:rsidR="001F7233">
          <w:rPr>
            <w:color w:val="0563C1"/>
            <w:u w:val="single"/>
          </w:rPr>
          <w:t>immigration.govt.nz</w:t>
        </w:r>
      </w:hyperlink>
      <w:r>
        <w:t xml:space="preserve"> und die Seiten der deutschen Vertretungen.</w:t>
      </w:r>
    </w:p>
    <w:p w14:paraId="4FFC1C80" w14:textId="77777777" w:rsidR="001F7233" w:rsidRDefault="00000000">
      <w:pPr>
        <w:spacing w:line="220" w:lineRule="exact"/>
      </w:pPr>
      <w:r>
        <w:br w:type="page"/>
      </w:r>
    </w:p>
    <w:p w14:paraId="15DE383D" w14:textId="77777777" w:rsidR="001F7233" w:rsidRDefault="00000000">
      <w:pPr>
        <w:pStyle w:val="Heading2"/>
        <w:keepNext/>
        <w:spacing w:line="341" w:lineRule="auto"/>
        <w:jc w:val="center"/>
      </w:pPr>
      <w:bookmarkStart w:id="135" w:name="tnz06"/>
      <w:r>
        <w:rPr>
          <w:rFonts w:ascii="Amazon Ember" w:eastAsia="Amazon Ember" w:hAnsi="Amazon Ember" w:cs="Amazon Ember"/>
          <w:color w:val="0000FF"/>
          <w:sz w:val="36"/>
          <w:szCs w:val="36"/>
        </w:rPr>
        <w:lastRenderedPageBreak/>
        <w:t>Neuseeland: Ankunft, erste Tage und Wochen</w:t>
      </w:r>
      <w:bookmarkEnd w:id="135"/>
    </w:p>
    <w:p w14:paraId="0920388E" w14:textId="77777777" w:rsidR="001F7233" w:rsidRDefault="00000000">
      <w:r>
        <w:rPr>
          <w:b/>
        </w:rPr>
        <w:t xml:space="preserve">KURZ GESAGT: </w:t>
      </w:r>
    </w:p>
    <w:p w14:paraId="3426627F" w14:textId="77777777" w:rsidR="001F7233" w:rsidRDefault="00000000">
      <w:r>
        <w:t>• Vor der Landung ist die New Zealand Traveller Declaration (NZTD) Pflicht. Die digitale Einreise-, Zoll- und Biosecurity-Erklärung, die die frühere Papierkarte ersetzt hat.</w:t>
      </w:r>
    </w:p>
    <w:p w14:paraId="3F9D83D8" w14:textId="77777777" w:rsidR="001F7233" w:rsidRDefault="00000000">
      <w:r>
        <w:t>• Beantrage die IRD-Nummer (Inland Revenue Department, die neuseeländische Steuerbehörde) sofort nach der Ankunft: kostenlos, oft binnen zwei Tagen bestätigt, aber ohne sie drohen hohe pauschale Steuerabzüge.</w:t>
      </w:r>
    </w:p>
    <w:p w14:paraId="18D7C9EA" w14:textId="77777777" w:rsidR="001F7233" w:rsidRDefault="00000000">
      <w:r>
        <w:t>• Ein Bankkonto lässt sich bei mehreren Großbanken schon von Deutschland aus online vorbereiten, wird aber erst nach persönlicher Identifizierung vor Ort voll nutzbar.</w:t>
      </w:r>
    </w:p>
    <w:p w14:paraId="2969E4AF" w14:textId="77777777" w:rsidR="001F7233" w:rsidRDefault="00000000">
      <w:r>
        <w:t>• Zugang zum öffentlichen Gesundheitssystem hast du erst mit einem Visum für mindestens zwei Jahre oder als Resident. Die ACC (die staatliche Unfallversicherung) deckt dagegen von der ersten Minute an jeden in Neuseeland ab.</w:t>
      </w:r>
    </w:p>
    <w:p w14:paraId="5E76DCC6" w14:textId="77777777" w:rsidR="001F7233" w:rsidRDefault="00000000">
      <w:r>
        <w:t>• Organisiere SIM-Karte und Internet früh, idealerweise schon vor dem Abflug.</w:t>
      </w:r>
    </w:p>
    <w:p w14:paraId="1100718C" w14:textId="77777777" w:rsidR="001F7233" w:rsidRDefault="00000000">
      <w:r>
        <w:t>• Buche die erste Unterkunft nur als flexible Übergangslösung. Die eigentliche Wohnungssuche läuft am besten vor Ort.</w:t>
      </w:r>
    </w:p>
    <w:p w14:paraId="5910C4A0" w14:textId="77777777" w:rsidR="001F7233" w:rsidRDefault="00000000">
      <w:r>
        <w:t>• Hund oder Katze: Deutschland ist ein zugelassenes Herkunftsland, aber du brauchst Importgenehmigung, Tollwut-Bluttest und mindestens zehn Tage Quarantäne. Der Container wird genauso geprüft wie der Rucksack.</w:t>
      </w:r>
    </w:p>
    <w:p w14:paraId="735413E0" w14:textId="77777777" w:rsidR="001F7233" w:rsidRDefault="001F7233">
      <w:pPr>
        <w:spacing w:line="220" w:lineRule="exact"/>
      </w:pPr>
    </w:p>
    <w:p w14:paraId="7B8B6B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NZTD, Zoll und Biosecurity</w:t>
      </w:r>
    </w:p>
    <w:p w14:paraId="2EB4ED80" w14:textId="77777777" w:rsidR="001F7233" w:rsidRDefault="00000000">
      <w:pPr>
        <w:spacing w:after="140"/>
      </w:pPr>
      <w:r>
        <w:t xml:space="preserve">Vor dem Abflug – frühestens 24 Stunden davor, spätestens vor der Passkontrolle in Neuseeland. Füllst du die New Zealand Traveller Declaration online oder per App aus. Sie bündelt Reise-, Zoll-, </w:t>
      </w:r>
      <w:r>
        <w:lastRenderedPageBreak/>
        <w:t>Einwanderungs- und Biosecurity-Angaben in einem einzigen digitalen Formular und ersetzt die frühere Papier-Einreisekarte. Ausfüllen muss sie jeder, auch Kinder und Kleinkinder mit eigener Erklärung. Das dauert rund zehn Minuten und erspart am Flughafen selbst viel Papierkram. Nicht aber die eigentliche Kontrolle.</w:t>
      </w:r>
    </w:p>
    <w:p w14:paraId="6E080B9B" w14:textId="77777777" w:rsidR="001F7233" w:rsidRDefault="00000000">
      <w:pPr>
        <w:spacing w:after="140"/>
      </w:pPr>
      <w:r>
        <w:rPr>
          <w:i/>
          <w:iCs/>
        </w:rPr>
        <w:t>Direkt nach der Passkontrolle folgt die Biosecurity-Prüfung durch das Ministry for Primary Industries (MPI, das Ministerium für Grundstoffindustrien, zuständig unter anderem für Biosicherheit). Neuseeland zählt zu den Ländern mit der strengsten Einfuhrkontrolle für Lebensmittel, Pflanzen, Holzprodukte und gebrauchte Outdoor-Ausrüstung weltweit. Das hat einen guten Grund: Ohne nennenswerte natürliche Fressfeinde reagiert das Inselökosystem empfindlich auf eingeschleppte Schädlinge. Wanderschuhe mit Erdresten, Camping-Ausrüstung, Honig, frisches Obst oder auch nur eine offen angebrochene Tüte Nüsse gehören auf die Erklärung, ganz gleich, wie harmlos sie wirken. Speziell trainierte Spürhunde patrouillieren am Gepäckband und finden zuverlässig, was in der Eile vergessen wurde. Ehrliches Deklarieren kostet höchstens ein paar Minuten Nachfrage. Verschweigen kann teuer werden.</w:t>
      </w:r>
    </w:p>
    <w:p w14:paraId="45B23DC8" w14:textId="77777777" w:rsidR="001F7233" w:rsidRDefault="00000000">
      <w:r>
        <w:rPr>
          <w:b/>
        </w:rPr>
        <w:t xml:space="preserve">ACHTUNG: </w:t>
      </w:r>
    </w:p>
    <w:p w14:paraId="61F900E3" w14:textId="77777777" w:rsidR="001F7233" w:rsidRDefault="00000000">
      <w:r>
        <w:t>• Das MPI prüft jedes Gepäckstück, nicht nur deins. Ein vergessener Apfel schickt die Familie in die lange Spur. Deklariere lieber zu viel. Die ausführliche Haustier- und Containerregel steht weiter unten in diesem Kapitel, nicht in der Apfelkontrolle.</w:t>
      </w:r>
    </w:p>
    <w:p w14:paraId="28A3FF80" w14:textId="77777777" w:rsidR="001F7233" w:rsidRDefault="001F7233">
      <w:pPr>
        <w:spacing w:line="220" w:lineRule="exact"/>
      </w:pPr>
    </w:p>
    <w:p w14:paraId="368D8EB8" w14:textId="77777777" w:rsidR="001F7233" w:rsidRDefault="00000000">
      <w:pPr>
        <w:spacing w:after="140"/>
      </w:pPr>
      <w:r>
        <w:t>Vom Flughafen geht es meist per Shuttle, Taxi, Fahrdienst oder Mietwagen weiter. In Christchurch, Auckland und Wellington sind die Stadtzentren jeweils nur eine kurze Fahrt entfernt. Wechsle nur so viel Bargeld wie nötig am Flughafenschalter. Die Kurse dort sind selten die besten –, den Rest erledigst du bequemer über Karte oder das neue Konto.</w:t>
      </w:r>
    </w:p>
    <w:p w14:paraId="6FA8EBAD" w14:textId="77777777" w:rsidR="001F7233" w:rsidRDefault="00000000">
      <w:pPr>
        <w:spacing w:after="140"/>
      </w:pPr>
      <w:r>
        <w:t xml:space="preserve">Bargeld und Reiseschecks über einem bestimmten Gesamtwert meldest du in der NZTD ebenfalls aktiv an. Die Anmeldung selbst ist unproblematisch, das Verschweigen dagegen nicht. Wer mit dem </w:t>
      </w:r>
      <w:r>
        <w:lastRenderedPageBreak/>
        <w:t>Auto weiterreist, sollte sich außerdem gleich am ersten Tag klarmachen, dass in Neuseeland Linksverkehr gilt. Das ist ein Detail, das nach einem Nachtflug leichter in Vergessenheit gerät, als man denkt. Führerschein-Umtausch und die Besonderheiten des neuseeländischen Straßenverkehrs behandelt ein eigenes Kapitel in diesem Teil ausführlich.</w:t>
      </w:r>
    </w:p>
    <w:p w14:paraId="3E664C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w14:paraId="75A2DEEA" w14:textId="77777777" w:rsidR="001F7233" w:rsidRDefault="00000000">
      <w:pPr>
        <w:spacing w:after="140"/>
      </w:pPr>
      <w:r>
        <w:t>Neuseeland liegt, je nach Sommer- oder Winterzeit auf beiden Seiten der Erde, rund elf bis zwölf Stunden vor der deutschen Zeit. Der größte Zeitsprung aller vier Länder in diesem Buch. Er lässt sich nicht mit einer Mütze Schlaf im Flugzeug erledigen. Setz dir deshalb für die ersten zwei, drei Tage eine feste Regel: keine Termine mit Behörde, Bank oder Vermieter, bei denen ein unausgeschlafener Kopf etwas kostet. Was am meisten hilft, ist simpel und wenig überraschend – Tageslicht tanken, sich bewegen und bis zum lokalen Abend wach bleiben, statt mittags ins Bett zu fallen.</w:t>
      </w:r>
    </w:p>
    <w:p w14:paraId="044EB2A5" w14:textId="77777777" w:rsidR="001F7233" w:rsidRDefault="00000000">
      <w:r>
        <w:rPr>
          <w:b/>
        </w:rPr>
        <w:t xml:space="preserve">MERKE: </w:t>
      </w:r>
    </w:p>
    <w:p w14:paraId="5A280C54" w14:textId="77777777" w:rsidR="001F7233" w:rsidRDefault="00000000">
      <w:r>
        <w:t>• Wer gleich am zweiten Tag zum wichtigen Behördentermin will, überschätzt meist die eigene Tagesform. Ein, zwei Tage Puffer zahlen sich in jedem Gespräch aus, bei dem es auf Konzentration ankommt.</w:t>
      </w:r>
    </w:p>
    <w:p w14:paraId="4D6DC8AF" w14:textId="77777777" w:rsidR="001F7233" w:rsidRDefault="001F7233">
      <w:pPr>
        <w:spacing w:line="220" w:lineRule="exact"/>
      </w:pPr>
    </w:p>
    <w:p w14:paraId="07B8B7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 erster Behördengang</w:t>
      </w:r>
    </w:p>
    <w:p w14:paraId="5453EAAE" w14:textId="77777777" w:rsidR="001F7233" w:rsidRDefault="00000000">
      <w:pPr>
        <w:spacing w:after="140"/>
      </w:pPr>
      <w:r>
        <w:rPr>
          <w:i/>
          <w:iCs/>
        </w:rPr>
        <w:t xml:space="preserve">Eine der ersten Amtshandlungen nach der Ankunft sollte die Beantragung der IRD-Nummer sein, der kostenlosen, lebenslangen Steuer-Identifikationsnummer des Inland Revenue Department. Ohne sie läuft in Neuseeland weder ein reguläres Gehalt noch ein voll nutzbares Bankkonto oder ein späterer Beitritt zu KiwiSaver, dem staatlich geförderten Rentensparsystem. Die Beantragung läuft im </w:t>
      </w:r>
      <w:r>
        <w:rPr>
          <w:i/>
          <w:iCs/>
        </w:rPr>
        <w:lastRenderedPageBreak/>
        <w:t>Verfahren „New Arrival to New Zealand“ über ein persönliches myIR-Konto, bei dem das System deine Identität direkt mit den bei INZ hinterlegten Visadaten abgleicht. Resident-Visum-Inhaber brauchen dafür nur Passdaten und die INZ-Antragsnummer. Wer mit einem Arbeits- oder Studienvisum einreist, gibt auch nach Möglichkeit die letzte ausländische Steuernummer an.</w:t>
      </w:r>
    </w:p>
    <w:p w14:paraId="325EF771" w14:textId="77777777" w:rsidR="001F7233" w:rsidRDefault="00000000">
      <w:pPr>
        <w:spacing w:after="140"/>
      </w:pPr>
      <w:r>
        <w:t>Bei erfolgreicher Online-Verifizierung kommt die IRD-Nummer meist innerhalb von zwei Tagen per SMS oder E-Mail. Das Tempo überrascht in der sonst eher gemächlichen Behördenwelt angenehm. Wichtig ist die Reihenfolge: Ohne Wohnsitznachweis oder ohne die passenden Visadaten im System lässt sich der Antrag nicht sauber stellen. Deshalb lässt sich die Beantragung in der Praxis erst nach den ersten Tagen vor Ort erledigen, nicht schon vom Hotelzimmer am Ankunftstag aus.</w:t>
      </w:r>
    </w:p>
    <w:p w14:paraId="004788EA" w14:textId="77777777" w:rsidR="001F7233" w:rsidRDefault="00000000">
      <w:r>
        <w:rPr>
          <w:b/>
        </w:rPr>
        <w:t xml:space="preserve">ACHTUNG: </w:t>
      </w:r>
    </w:p>
    <w:p w14:paraId="535C2AD6" w14:textId="77777777" w:rsidR="001F7233" w:rsidRDefault="00000000">
      <w:r>
        <w:t>• Mehrere unabhängige Quellen berichten übereinstimmend, dass Banken und Arbeitgeber ohne vorliegende IRD-Nummer Zinsen und bestimmte Zahlungen mit einem hohen pauschalen „No-notification“-Satz einbehalten müssen. Der exakte Prozentsatz und Anwendungsbereich ließen sich nicht abschließend anhand der offiziellen IRD-Quelle verifizieren. Verlasse dich sicherheitshalber nicht auf eine bestimmte Zahl, sondern beantrage die Nummer schlicht so früh wie möglich. Das kostet nichts und erspart im Zweifel eine unangenehme erste Gehaltsabrechnung.</w:t>
      </w:r>
    </w:p>
    <w:p w14:paraId="11E42592" w14:textId="77777777" w:rsidR="001F7233" w:rsidRDefault="001F7233">
      <w:pPr>
        <w:spacing w:line="220" w:lineRule="exact"/>
      </w:pPr>
    </w:p>
    <w:p w14:paraId="7881FB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w14:paraId="2D87FCBB" w14:textId="77777777" w:rsidR="001F7233" w:rsidRDefault="00000000">
      <w:pPr>
        <w:spacing w:after="140"/>
      </w:pPr>
      <w:r>
        <w:t xml:space="preserve">Ein Konto fängst du vor dem Abflug online an und weist dich in der Filiale aus. Deine deutsche Bonität zählt nicht. ANZ bietet für die meisten Visumkategorien eine Eröffnung bis zu 90 Tage vor der Einreise. ASB lässt sich per App aus dem Ausland anstoßen, wenn das Visum länger läuft. Bei Westpac und BNZ ist nach mehreren Quellen eher der Filialbesuch der Weg. Die Abläufe ändern sich. Bis </w:t>
      </w:r>
      <w:r>
        <w:lastRenderedPageBreak/>
        <w:t xml:space="preserve">zur Prüfung mit Pass, Visumsnachweis und neuseeländischem Adressnachweis bleibt das Konto im Modus „Nur Einzahlung“: Geld kommt rein, Überweisung, Karte und Online-Banking nicht. Auch ohne IRD-Nummer und ohne feste Adresse geht meist ein Übergangskonto. Reich die IRD-Nummer nach, sonst kann die Bank auf Zinsen den No-notification-Satz einbehalten. Den Satz nennt ird.govt.nz. Hier steht keine Prozentzahl. Gebühren stehen auf der Newcomer-Seite der Bank. Den Kreditaufbau vertieft das </w:t>
      </w:r>
      <w:hyperlink w:anchor="tnz07">
        <w:r w:rsidR="001F7233">
          <w:rPr>
            <w:color w:val="0563C1"/>
            <w:u w:val="single"/>
          </w:rPr>
          <w:t>Kapitel zu Steuer-ID, Bank und Kredit in diesem Teil</w:t>
        </w:r>
      </w:hyperlink>
      <w:r>
        <w:t>.</w:t>
      </w:r>
    </w:p>
    <w:p w14:paraId="54F76CF8" w14:textId="77777777" w:rsidR="001F7233" w:rsidRDefault="00000000">
      <w:pPr>
        <w:spacing w:after="140"/>
      </w:pPr>
      <w:r>
        <w:t>Auch der Beitritt zu KiwiSaver ist in den ersten Wochen meist noch kein Thema. Berechtigt sind nur Personen mit einem unbefristeten Aufenthaltsrecht, also in aller Regel erst ab einem Resident-Visum. Wer mit AEWV oder Working Holiday einreist, ist von KiwiSaver zunächst ausgeschlossen, selbst wenn der Arbeitsvertrag über Jahre läuft. Das holst du nach, sobald ein Daueraufenthaltstitel vorliegt, nicht vorher.</w:t>
      </w:r>
    </w:p>
    <w:p w14:paraId="331C5A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Gesundheitssystem und ACC: zwei unterschiedliche Systeme</w:t>
      </w:r>
    </w:p>
    <w:p w14:paraId="61C9F795" w14:textId="77777777" w:rsidR="001F7233" w:rsidRDefault="00000000">
      <w:pPr>
        <w:spacing w:after="140"/>
      </w:pPr>
      <w:r>
        <w:t>Noch bevor der erste Arztbesuch ansteht, lohnt sich Klarheit über einen Punkt, den viele Neuankömmlinge durcheinanderbringen: Neuseeland hat zwei getrennte Absicherungssysteme, die nach völlig unterschiedlichen Regeln funktionieren. Zugang zum subventionierten öffentlichen Gesundheitssystem hast du erst als Staatsbürger, als Inhaber eines Resident-Visums oder mit einem Arbeitsvisum von mindestens zwei Jahren Laufzeit, gerechnet ab dem ersten Tag in Neuseeland oder unter Anrechnung bereits verbrachter Zeit. Wer mit einem kürzeren Visum einreist – etwa Working Holiday oder ein kurz laufendes AEWV –, ist meist nicht automatisch abgedeckt. Diese Person braucht eine private Übergangsversicherung, wie sie bei vielen befristeten Visa ohnehin schon Voraussetzung für die Erteilung ist.</w:t>
      </w:r>
    </w:p>
    <w:p w14:paraId="1C2C09B7" w14:textId="77777777" w:rsidR="001F7233" w:rsidRDefault="00000000">
      <w:pPr>
        <w:spacing w:after="140"/>
      </w:pPr>
      <w:r>
        <w:lastRenderedPageBreak/>
        <w:t xml:space="preserve">Ganz anders die </w:t>
      </w:r>
      <w:r>
        <w:rPr>
          <w:i/>
          <w:iCs/>
        </w:rPr>
        <w:t>Accident Compensation Corporation</w:t>
      </w:r>
      <w:r>
        <w:t xml:space="preserve"> (ACC): Dieses staatliche No-Fault-Unfallversicherungssystem deckt jede Person in Neuseeland ab, unabhängig vom Aufenthaltsstatus – Touristen, Working-Holiday-Reisende, Kinder, alle. Bei einem Unfall zahlt ACC unabhängig davon, wer die Schuld trägt. Im Gegenzug ist eine zivilrechtliche Klage auf Schadensersatz bei Personenschäden praktisch ausgeschlossen – ein Systemunterschied, der viele Deutsche zunächst überrascht. Finanziert wird das unter anderem über die Earner’s Levy, die direkt vom Gehalt abgezogen wird, sobald du regulär angestellt bist. Details zu beiden Systemen, zu Wartefristen und zu privaten Zusatzversicherungen erklärt das </w:t>
      </w:r>
      <w:hyperlink w:anchor="tnz08">
        <w:r w:rsidR="001F7233">
          <w:rPr>
            <w:color w:val="0563C1"/>
            <w:u w:val="single"/>
          </w:rPr>
          <w:t>Kapitel zum Gesundheitssystem in diesem Teil</w:t>
        </w:r>
      </w:hyperlink>
      <w:r>
        <w:t xml:space="preserve"> ausführlich.</w:t>
      </w:r>
    </w:p>
    <w:p w14:paraId="607D6B40" w14:textId="77777777" w:rsidR="001F7233" w:rsidRDefault="00000000">
      <w:r>
        <w:rPr>
          <w:b/>
        </w:rPr>
        <w:t xml:space="preserve">MERKE: </w:t>
      </w:r>
    </w:p>
    <w:p w14:paraId="468851D0" w14:textId="77777777" w:rsidR="001F7233" w:rsidRDefault="00000000">
      <w:r>
        <w:t>• ACC greift ab der ersten Minute in Neuseeland, das öffentliche Gesundheitssystem erst mit ausreichend langem Aufenthaltstitel. Verwechsle die beiden nicht – ein Skiunfall in der ersten Woche ist über ACC abgesichert, ein banaler Zahnarztbesuch mit kurzem Visum meist nicht.</w:t>
      </w:r>
    </w:p>
    <w:p w14:paraId="76B7710D" w14:textId="77777777" w:rsidR="001F7233" w:rsidRDefault="001F7233">
      <w:pPr>
        <w:spacing w:line="220" w:lineRule="exact"/>
      </w:pPr>
    </w:p>
    <w:p w14:paraId="7678ED6A" w14:textId="77777777" w:rsidR="001F7233" w:rsidRDefault="001F7233">
      <w:pPr>
        <w:spacing w:line="220" w:lineRule="exact"/>
      </w:pPr>
    </w:p>
    <w:p w14:paraId="1838F8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5CAA4C09" w14:textId="77777777" w:rsidR="001F7233" w:rsidRDefault="00000000">
      <w:pPr>
        <w:spacing w:after="140"/>
      </w:pPr>
      <w:r>
        <w:t>Deutsche Mobilfunktarife haben in Neuseeland kein EU-Roaming. Richte vor dem Abflug eine eSIM ein oder kauf Prepaid nach der Landung. Behalte die deutsche Nummer als Zweit-SIM, solange dort SMS-Codes ankommen. Die Netze heißen Spark, One NZ und 2degrees. Abseits der Städte, vor allem auf der Südinsel, wird die Abdeckung dünner. Skinny, die Billigmarke von Spark, ist der Prepaid-Weg ohne Bonitätsprüfung. Den Tarif liest du beim Anbieter, bevor du zahlst.</w:t>
      </w:r>
    </w:p>
    <w:p w14:paraId="0C33E1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Unterkunft: Übergang und Wohnungssuche</w:t>
      </w:r>
    </w:p>
    <w:p w14:paraId="3D4C37EF" w14:textId="77777777" w:rsidR="001F7233" w:rsidRDefault="00000000">
      <w:pPr>
        <w:spacing w:after="140"/>
      </w:pPr>
      <w:r>
        <w:t>Die erste neuseeländische Adresse ist selten die endgültige und genau so solltest du sie auch buchen: mit kostenloser Stornierung, ohne Langzeitvertrag. Ein möbliertes Apartment auf Zeit, ein Airbnb oder ein Motel mit Wochenpreisen überbrücken die ersten Tage bis Wochen. In dieser Zeit solltest du ohnehin erst IRD-Nummer, Bankverbindung und einen ersten Gehaltsnachweis vorweisen können, bevor du dich um einen regulären Mietvertrag bemühst.</w:t>
      </w:r>
    </w:p>
    <w:p w14:paraId="300AB1BA" w14:textId="77777777" w:rsidR="001F7233" w:rsidRDefault="00000000">
      <w:pPr>
        <w:spacing w:after="140"/>
      </w:pPr>
      <w:r>
        <w:t>Die eigentliche Wohnungssuche läuft überwiegend online über Immobilienportale wie Trade Me Property, mit festen Besichtigungsterminen und einer Bewerbung pro Objekt: Gehaltsnachweis oder Jobangebot, Referenzen, oft auch der Ausweis mit Visumsnachweis. Rechne von Anfang an mit einer Kaution (</w:t>
      </w:r>
      <w:r>
        <w:rPr>
          <w:i/>
          <w:iCs/>
        </w:rPr>
        <w:t>Bond</w:t>
      </w:r>
      <w:r>
        <w:t xml:space="preserve">), die gesetzlich höchstens vier Wochenmieten betragen darf und treuhänderisch bei </w:t>
      </w:r>
      <w:r>
        <w:rPr>
          <w:i/>
          <w:iCs/>
        </w:rPr>
        <w:t>Tenancy Services</w:t>
      </w:r>
      <w:r>
        <w:t xml:space="preserve"> hinterlegt wird, nicht direkt beim Vermieter. Das schützt beide Seiten, verlangt aber zusätzliches Bargeld auf der hohen Kante, bevor überhaupt die erste Miete fällig wird. Mietpreise nach Stadt, die genaue Kautionshöhe in der Praxis und die passende Gegend nach Berufsfeld und Budget behandelt das </w:t>
      </w:r>
      <w:hyperlink w:anchor="tnz09">
        <w:r w:rsidR="001F7233">
          <w:rPr>
            <w:color w:val="0563C1"/>
            <w:u w:val="single"/>
          </w:rPr>
          <w:t>Kapitel zum Wohnen in diesem Teil</w:t>
        </w:r>
      </w:hyperlink>
      <w:r>
        <w:t xml:space="preserve"> ausführlich.</w:t>
      </w:r>
    </w:p>
    <w:p w14:paraId="2551079C" w14:textId="77777777" w:rsidR="001F7233" w:rsidRDefault="00000000">
      <w:r>
        <w:rPr>
          <w:b/>
        </w:rPr>
        <w:t xml:space="preserve">SPARTIPP: </w:t>
      </w:r>
    </w:p>
    <w:p w14:paraId="309DB9C0" w14:textId="77777777" w:rsidR="001F7233" w:rsidRDefault="00000000">
      <w:r>
        <w:t>• Nutze die Tage in der Übergangsunterkunft aktiv für Besichtigungen, statt erst mit schrumpfendem Budget in Torschlusspanik zu geraten. Wer mit vollständigen Unterlagen und einer Terminliste anreist, kommt in gefragten Vierteln Aucklands oder Wellingtons spürbar schneller zum Zug als mit der Hoffnung, es werde sich schon fügen.</w:t>
      </w:r>
    </w:p>
    <w:p w14:paraId="2DEBB891" w14:textId="77777777" w:rsidR="001F7233" w:rsidRDefault="001F7233">
      <w:pPr>
        <w:spacing w:line="220" w:lineRule="exact"/>
      </w:pPr>
    </w:p>
    <w:p w14:paraId="471466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zwei Wochen als Fahrplan</w:t>
      </w:r>
    </w:p>
    <w:p w14:paraId="74BC3F52" w14:textId="77777777" w:rsidR="001F7233" w:rsidRDefault="00000000">
      <w:pPr>
        <w:spacing w:after="140"/>
      </w:pPr>
      <w:r>
        <w:t>Die folgende Übersicht ordnet die wichtigsten Schritte grob nach Zeitpunkt. Wie schnell es tatsächlich geht, hängt von Visumtyp, Flug und Wohnort ab.</w:t>
      </w:r>
    </w:p>
    <w:p w14:paraId="74D62EB6" w14:textId="77777777" w:rsidR="001F7233" w:rsidRDefault="00000000">
      <w:r>
        <w:rPr>
          <w:b/>
        </w:rPr>
        <w:t>Tag 1–2</w:t>
      </w:r>
    </w:p>
    <w:p w14:paraId="57CAFB1F" w14:textId="77777777" w:rsidR="001F7233" w:rsidRDefault="00000000">
      <w:r>
        <w:rPr>
          <w:b/>
        </w:rPr>
        <w:t xml:space="preserve">Aufgabe: </w:t>
      </w:r>
      <w:r>
        <w:t>Einreise mit NZTD, Übergangsunterkunft beziehen, SIM aktivieren</w:t>
      </w:r>
    </w:p>
    <w:p w14:paraId="2110A99B" w14:textId="77777777" w:rsidR="001F7233" w:rsidRDefault="00000000">
      <w:r>
        <w:rPr>
          <w:b/>
        </w:rPr>
        <w:t xml:space="preserve">Mehr dazu: </w:t>
      </w:r>
      <w:r>
        <w:t>–</w:t>
      </w:r>
    </w:p>
    <w:p w14:paraId="174774E1" w14:textId="77777777" w:rsidR="001F7233" w:rsidRDefault="00000000">
      <w:r>
        <w:rPr>
          <w:b/>
        </w:rPr>
        <w:t>Tag 2–5</w:t>
      </w:r>
    </w:p>
    <w:p w14:paraId="2B5B9FDA" w14:textId="77777777" w:rsidR="001F7233" w:rsidRDefault="00000000">
      <w:r>
        <w:rPr>
          <w:b/>
        </w:rPr>
        <w:t xml:space="preserve">Aufgabe: </w:t>
      </w:r>
      <w:r>
        <w:t>IRD-Nummer über myIR beantragen; Bankkonto eröffnen oder vor Ort verifizieren</w:t>
      </w:r>
    </w:p>
    <w:p w14:paraId="751025F0" w14:textId="77777777" w:rsidR="001F7233" w:rsidRDefault="00000000">
      <w:r>
        <w:rPr>
          <w:b/>
        </w:rPr>
        <w:t xml:space="preserve">Mehr dazu: </w:t>
      </w:r>
      <w:r>
        <w:t>Steuer-ID/Bank</w:t>
      </w:r>
    </w:p>
    <w:p w14:paraId="078C6DCA" w14:textId="77777777" w:rsidR="001F7233" w:rsidRDefault="00000000">
      <w:r>
        <w:rPr>
          <w:b/>
        </w:rPr>
        <w:t>Tag 3–10</w:t>
      </w:r>
    </w:p>
    <w:p w14:paraId="315C8CC4" w14:textId="77777777" w:rsidR="001F7233" w:rsidRDefault="00000000">
      <w:r>
        <w:rPr>
          <w:b/>
        </w:rPr>
        <w:t xml:space="preserve">Aufgabe: </w:t>
      </w:r>
      <w:r>
        <w:t>Bei ausreichend langem Visum: Anmeldung beim öffentlichen Gesundheitssystem; sonst private Übergangsversicherung prüfen</w:t>
      </w:r>
    </w:p>
    <w:p w14:paraId="4690FF63" w14:textId="77777777" w:rsidR="001F7233" w:rsidRDefault="00000000">
      <w:r>
        <w:rPr>
          <w:b/>
        </w:rPr>
        <w:t xml:space="preserve">Mehr dazu: </w:t>
      </w:r>
      <w:r>
        <w:t>Gesundheitssystem</w:t>
      </w:r>
    </w:p>
    <w:p w14:paraId="43A25E0B" w14:textId="77777777" w:rsidR="001F7233" w:rsidRDefault="00000000">
      <w:r>
        <w:rPr>
          <w:b/>
        </w:rPr>
        <w:t>Woche 1–2</w:t>
      </w:r>
    </w:p>
    <w:p w14:paraId="46FEA71C" w14:textId="77777777" w:rsidR="001F7233" w:rsidRDefault="00000000">
      <w:r>
        <w:rPr>
          <w:b/>
        </w:rPr>
        <w:t xml:space="preserve">Aufgabe: </w:t>
      </w:r>
      <w:r>
        <w:t>Wohnungssuche: Portale einrichten, Besichtigungen, Bewerbungsunterlagen vorbereiten</w:t>
      </w:r>
    </w:p>
    <w:p w14:paraId="325DB237" w14:textId="77777777" w:rsidR="001F7233" w:rsidRDefault="00000000">
      <w:r>
        <w:rPr>
          <w:b/>
        </w:rPr>
        <w:t xml:space="preserve">Mehr dazu: </w:t>
      </w:r>
      <w:r>
        <w:t>Wohnen</w:t>
      </w:r>
    </w:p>
    <w:p w14:paraId="4F8AC80A" w14:textId="77777777" w:rsidR="001F7233" w:rsidRDefault="00000000">
      <w:r>
        <w:rPr>
          <w:b/>
        </w:rPr>
        <w:t>Woche 2</w:t>
      </w:r>
    </w:p>
    <w:p w14:paraId="1A28FC3B" w14:textId="77777777" w:rsidR="001F7233" w:rsidRDefault="00000000">
      <w:r>
        <w:rPr>
          <w:b/>
        </w:rPr>
        <w:t xml:space="preserve">Aufgabe: </w:t>
      </w:r>
      <w:r>
        <w:t>Erste Rückfragen zu Lohnsteuerabzug und KiwiSaver-Berechtigung mit dem Arbeitgeber klären</w:t>
      </w:r>
    </w:p>
    <w:p w14:paraId="316119AF" w14:textId="77777777" w:rsidR="001F7233" w:rsidRDefault="00000000">
      <w:r>
        <w:rPr>
          <w:b/>
        </w:rPr>
        <w:t xml:space="preserve">Mehr dazu: </w:t>
      </w:r>
      <w:r>
        <w:t>Steuer-ID/Bank</w:t>
      </w:r>
    </w:p>
    <w:p w14:paraId="75231587" w14:textId="77777777" w:rsidR="001F7233" w:rsidRDefault="001F7233">
      <w:pPr>
        <w:spacing w:line="180" w:lineRule="exact"/>
      </w:pPr>
    </w:p>
    <w:p w14:paraId="5DFDDCC5" w14:textId="77777777" w:rsidR="001F7233" w:rsidRDefault="001F7233">
      <w:pPr>
        <w:spacing w:line="220" w:lineRule="exact"/>
      </w:pPr>
    </w:p>
    <w:p w14:paraId="6F0B4D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w14:paraId="1FB4A251" w14:textId="77777777" w:rsidR="001F7233" w:rsidRDefault="00000000">
      <w:pPr>
        <w:spacing w:after="140"/>
      </w:pPr>
      <w:r>
        <w:rPr>
          <w:i/>
          <w:iCs/>
        </w:rPr>
        <w:t xml:space="preserve">Für Kategorie 3 ist eine Importgenehmigung Pflicht, und der Antrag ist kein leeres Formular. Dazu gehören die Tollwut-Impfunterlagen, das Ergebnis eines Rabies Neutralising Antibody Titre Test (RNATT), das </w:t>
      </w:r>
      <w:r>
        <w:rPr>
          <w:i/>
          <w:iCs/>
        </w:rPr>
        <w:lastRenderedPageBreak/>
        <w:t>Category 3 Rabies Certification Form und eine unterschriebene Buchungsbestätigung für die Quarantäne. Ohne den Quarantäneplatz gibt es die Genehmigung nicht, auch wenn alle Impfungen stimmen. Nach der Ankunft bleiben Hund und Katze mindestens zehn Tage in einer von der MPI zugelassenen Einrichtung. Das ist nicht eine einzelne staatliche Station wie Mickleham in Australien. Es gibt mehrere zugelassene Anbieter, mit eigenen Preisen, Besuchsregeln und Wartezeiten auf einen Platz. Die Gebühr der MPI und den Tagessatz der Station nenne ich hier nicht: Beides steht auf den aktuellen Seiten, und beides ändert sich.</w:t>
      </w:r>
    </w:p>
    <w:p w14:paraId="6FC3C62E" w14:textId="77777777" w:rsidR="001F7233" w:rsidRDefault="00000000">
      <w:pPr>
        <w:spacing w:after="140"/>
      </w:pPr>
      <w:r>
        <w:rPr>
          <w:i/>
          <w:iCs/>
        </w:rPr>
        <w:t>Für Katzen nennt der behördliche Leitfaden für Kategorie 3 zwei Schwellen, die Familien oft zu spät lesen. Das Tier muss am Reisetag mindestens neun Monate alt sein und es muss mindestens sechs Monate – oder seit der Geburt – in einem zugelassenen Land gelebt haben. Hunde haben im selben Import Health Standard eigene Altersregeln und eine Liste ausgeschlossener Rassen. Lies beide, bevor du den Flug der Familie an den des Tieres hängst. Die Einreise ist nicht über jeden internationalen Flughafen möglich; die zugelassenen Orte stehen im Standard. Stell den Antrag so früh, wie die MPI-Seite es verlangt, nicht in der Woche vor dem Abflug.</w:t>
      </w:r>
    </w:p>
    <w:p w14:paraId="4496BADC" w14:textId="77777777" w:rsidR="001F7233" w:rsidRDefault="00000000">
      <w:r>
        <w:rPr>
          <w:b/>
        </w:rPr>
        <w:t xml:space="preserve">ACHTUNG: </w:t>
      </w:r>
    </w:p>
    <w:p w14:paraId="658B7657" w14:textId="77777777" w:rsidR="001F7233" w:rsidRDefault="00000000">
      <w:r>
        <w:t>• Genehmigung, Bluttest und Quarantänebuchung sind ein Paket. Wer nur die Impfung im Impfpass hat und den Platz in der Station „vor Ort klärt“, reist ohne Hund.</w:t>
      </w:r>
    </w:p>
    <w:p w14:paraId="3247E171" w14:textId="77777777" w:rsidR="001F7233" w:rsidRDefault="001F7233">
      <w:pPr>
        <w:spacing w:line="220" w:lineRule="exact"/>
      </w:pPr>
    </w:p>
    <w:p w14:paraId="0AA06CDE" w14:textId="77777777" w:rsidR="001F7233" w:rsidRDefault="001F7233">
      <w:pPr>
        <w:spacing w:line="220" w:lineRule="exact"/>
      </w:pPr>
    </w:p>
    <w:p w14:paraId="477D38B2" w14:textId="77777777" w:rsidR="001F7233" w:rsidRDefault="00000000">
      <w:pPr>
        <w:spacing w:after="140"/>
      </w:pPr>
      <w:r>
        <w:t xml:space="preserve">Dasselbe Prinzip gilt für den Container, nur ohne Quarantänetage auf der Rechnung. Das MPI prüft unbegleitetes Umzugsgut auf dasselbe, was der Beagle am Flughafen sucht: Lebensmittel, Honig, Samen, Erde an Wanderschuhen und Zelten, unbehandeltes Holz. Eine Beanstandung kann Reinigung bedeuten, und die zahlst du, während die Kiste liegt. Ob gebrauchter Hausrat zollfrei hereinkommt, entscheidet der New Zealand Customs Service nach den aktuellen Regeln für Menschen, die ihren Wohnsitz verlegen. Schwellen </w:t>
      </w:r>
      <w:r>
        <w:lastRenderedPageBreak/>
        <w:t>gehören auf diese Seite, nicht in einen Ratgeber. Pässe, Visumsbestätigungen und Zeugnisse gehören ins Handgepäck.</w:t>
      </w:r>
    </w:p>
    <w:p w14:paraId="29F4D969" w14:textId="77777777" w:rsidR="001F7233" w:rsidRDefault="00000000">
      <w:r>
        <w:rPr>
          <w:b/>
        </w:rPr>
        <w:t xml:space="preserve">SPARTIPP: </w:t>
      </w:r>
    </w:p>
    <w:p w14:paraId="31455555" w14:textId="77777777" w:rsidR="001F7233" w:rsidRDefault="00000000">
      <w:r>
        <w:t>• Die ersten Wochen in einer möblierten Übergangswohnung brauchst du keinen deutschen Kleiderschrank. Was die Kinder vermissen, geht als Luftfracht. Der Container lohnt sich erst, wenn die Adresse feststeht und die Kisten ohne Erdreste gepackt sind.</w:t>
      </w:r>
    </w:p>
    <w:p w14:paraId="4BE75C98" w14:textId="77777777" w:rsidR="001F7233" w:rsidRDefault="001F7233">
      <w:pPr>
        <w:spacing w:line="220" w:lineRule="exact"/>
      </w:pPr>
    </w:p>
    <w:p w14:paraId="05D80E56" w14:textId="77777777" w:rsidR="001F7233" w:rsidRDefault="00000000">
      <w:r>
        <w:rPr>
          <w:b/>
        </w:rPr>
        <w:t xml:space="preserve">MERKE: </w:t>
      </w:r>
    </w:p>
    <w:p w14:paraId="4CAAA7EC" w14:textId="77777777" w:rsidR="001F7233" w:rsidRDefault="00000000">
      <w:r>
        <w:t>• Neuseeland ist bei Hund und Katze näher an Australien als an Kanada: zugelassen heißt nicht einfach. Genehmigung, Bluttest und mindestens zehn Tage Quarantäne sind der Normalweg aus Deutschland.</w:t>
      </w:r>
    </w:p>
    <w:p w14:paraId="49F8E8CB" w14:textId="77777777" w:rsidR="001F7233" w:rsidRDefault="001F7233">
      <w:pPr>
        <w:spacing w:line="220" w:lineRule="exact"/>
      </w:pPr>
    </w:p>
    <w:p w14:paraId="6D07885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Ankunft, erste Tage und Wochen</w:t>
      </w:r>
    </w:p>
    <w:p w14:paraId="55064E37" w14:textId="77777777" w:rsidR="001F7233" w:rsidRDefault="00000000">
      <w:r>
        <w:rPr>
          <w:b/>
        </w:rPr>
        <w:t>Plus: NZTD bündelt Zoll, Einreise und Biosecurity in einem digitalen Formular</w:t>
      </w:r>
    </w:p>
    <w:p w14:paraId="6DF3814C" w14:textId="77777777" w:rsidR="001F7233" w:rsidRDefault="00000000">
      <w:r>
        <w:rPr>
          <w:b/>
        </w:rPr>
        <w:t xml:space="preserve">Minus: </w:t>
      </w:r>
      <w:r>
        <w:t>Biosecurity-Kontrolle streng, Deklarationspflicht auch für Kleinigkeiten</w:t>
      </w:r>
    </w:p>
    <w:p w14:paraId="31B44156" w14:textId="77777777" w:rsidR="001F7233" w:rsidRDefault="00000000">
      <w:r>
        <w:rPr>
          <w:b/>
        </w:rPr>
        <w:t>Plus: IRD-Nummer oft innerhalb weniger Tage bestätigt</w:t>
      </w:r>
    </w:p>
    <w:p w14:paraId="6B3B5C7A" w14:textId="77777777" w:rsidR="001F7233" w:rsidRDefault="00000000">
      <w:r>
        <w:rPr>
          <w:b/>
        </w:rPr>
        <w:t xml:space="preserve">Minus: </w:t>
      </w:r>
      <w:r>
        <w:t>Bankkonto bis zur Filial-Identifizierung nur im Einzahlungsmodus</w:t>
      </w:r>
    </w:p>
    <w:p w14:paraId="5F57A529" w14:textId="77777777" w:rsidR="001F7233" w:rsidRDefault="00000000">
      <w:r>
        <w:rPr>
          <w:b/>
        </w:rPr>
        <w:t>Plus: ACC deckt jeden ab der ersten Minute bei Unfällen ab</w:t>
      </w:r>
    </w:p>
    <w:p w14:paraId="40680503" w14:textId="77777777" w:rsidR="001F7233" w:rsidRDefault="00000000">
      <w:r>
        <w:rPr>
          <w:b/>
        </w:rPr>
        <w:t xml:space="preserve">Minus: </w:t>
      </w:r>
      <w:r>
        <w:t>Öffentliches Gesundheitssystem erst ab zweijährigem Visum oder Residency</w:t>
      </w:r>
    </w:p>
    <w:p w14:paraId="71952C3D" w14:textId="77777777" w:rsidR="001F7233" w:rsidRDefault="00000000">
      <w:r>
        <w:rPr>
          <w:b/>
        </w:rPr>
        <w:t>Plus: SIM-Karten und Prepaid-Tarife unkompliziert, ohne Bonitätsprüfung</w:t>
      </w:r>
    </w:p>
    <w:p w14:paraId="02CF0C70" w14:textId="77777777" w:rsidR="001F7233" w:rsidRDefault="00000000">
      <w:r>
        <w:rPr>
          <w:b/>
        </w:rPr>
        <w:t xml:space="preserve">Minus: </w:t>
      </w:r>
      <w:r>
        <w:t>Wohnungssuche in Auckland und Wellington spürbar kompetitiv</w:t>
      </w:r>
    </w:p>
    <w:p w14:paraId="5C1CC3EE" w14:textId="77777777" w:rsidR="001F7233" w:rsidRDefault="00000000">
      <w:r>
        <w:rPr>
          <w:b/>
        </w:rPr>
        <w:t>Plus: Hund und Katze aus Deutschland sind grundsätzlich einfuhrfähig</w:t>
      </w:r>
    </w:p>
    <w:p w14:paraId="569577D9" w14:textId="77777777" w:rsidR="001F7233" w:rsidRDefault="00000000">
      <w:r>
        <w:rPr>
          <w:b/>
        </w:rPr>
        <w:lastRenderedPageBreak/>
        <w:t xml:space="preserve">Minus: </w:t>
      </w:r>
      <w:r>
        <w:t>Importgenehmigung, RNATT und mindestens zehn Tage Quarantäne</w:t>
      </w:r>
    </w:p>
    <w:p w14:paraId="3F23B060" w14:textId="77777777" w:rsidR="001F7233" w:rsidRDefault="001F7233">
      <w:pPr>
        <w:spacing w:line="180" w:lineRule="exact"/>
      </w:pPr>
    </w:p>
    <w:p w14:paraId="573225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9E785CB" w14:textId="77777777" w:rsidR="001F7233" w:rsidRDefault="00000000">
      <w:pPr>
        <w:spacing w:after="140"/>
      </w:pPr>
      <w:r>
        <w:t>Fülle die NZTD rechtzeitig vor dem Abflug aus und kläre vorab, welche Bank eine Online-Voreröffnung anbietet. Richte die eSIM ein und buche eine flexible Übergangsunterkunft. Nach der Landung hat die IRD-Nummer Priorität, dicht gefolgt von der Bankkonto-Verifizierung vor Ort und, je nach Visumdauer, der Anmeldung beim Gesundheitssystem oder der Bestätigung deiner privaten Übergangsversicherung. Starte parallel mit der Wohnungssuche, statt sie auf später zu verschieben.</w:t>
      </w:r>
    </w:p>
    <w:p w14:paraId="02048967" w14:textId="77777777" w:rsidR="001F7233" w:rsidRDefault="00000000">
      <w:r>
        <w:t>• New Zealand Traveller Declaration spätestens vor der Passkontrolle ausgefüllt</w:t>
      </w:r>
    </w:p>
    <w:p w14:paraId="0317E0EE" w14:textId="77777777" w:rsidR="001F7233" w:rsidRDefault="00000000">
      <w:r>
        <w:t>• Biosecurity-Regeln vor dem Kofferpacken geprüft, nichts Undeklariertes im Gepäck</w:t>
      </w:r>
    </w:p>
    <w:p w14:paraId="461CB9E5" w14:textId="77777777" w:rsidR="001F7233" w:rsidRDefault="00000000">
      <w:r>
        <w:t>• Bank-Voreröffnung vor Abflug geprüft, sonst Filialtermin für die erste Woche eingeplant</w:t>
      </w:r>
    </w:p>
    <w:p w14:paraId="57144FD7" w14:textId="77777777" w:rsidR="001F7233" w:rsidRDefault="00000000">
      <w:r>
        <w:t>• eSIM oder Prepaid-SIM organisiert, deutsche Nummer als Zweit-SIM behalten</w:t>
      </w:r>
    </w:p>
    <w:p w14:paraId="4147D282" w14:textId="77777777" w:rsidR="001F7233" w:rsidRDefault="00000000">
      <w:r>
        <w:t>• Übergangsunterkunft mit Stornierungsoption für mindestens ein bis zwei Wochen gebucht</w:t>
      </w:r>
    </w:p>
    <w:p w14:paraId="7B63922D" w14:textId="77777777" w:rsidR="001F7233" w:rsidRDefault="00000000">
      <w:r>
        <w:t>• IRD-Antrag über myIR direkt nach Ankunft gestellt</w:t>
      </w:r>
    </w:p>
    <w:p w14:paraId="35EBB718" w14:textId="77777777" w:rsidR="001F7233" w:rsidRDefault="00000000">
      <w:r>
        <w:t>• Eigene Berechtigung fürs öffentliche Gesundheitssystem anhand der Visumdauer geprüft</w:t>
      </w:r>
    </w:p>
    <w:p w14:paraId="2EDBD92E" w14:textId="77777777" w:rsidR="001F7233" w:rsidRDefault="00000000">
      <w:r>
        <w:t>• Bei fehlender Berechtigung: private Übergangsversicherung ab Ankunftstag aktiv</w:t>
      </w:r>
    </w:p>
    <w:p w14:paraId="43277BCC" w14:textId="77777777" w:rsidR="001F7233" w:rsidRDefault="00000000">
      <w:r>
        <w:t>• Bewerbungsunterlagen für die Wohnungssuche zusammengestellt (Gehaltsnachweis, Referenzen, Ausweis)</w:t>
      </w:r>
    </w:p>
    <w:p w14:paraId="5CC522E4" w14:textId="77777777" w:rsidR="001F7233" w:rsidRDefault="00000000">
      <w:r>
        <w:t>• Bei Hund oder Katze: Kategorie Deutschlands bei der MPI geprüft, RNATT und Quarantänebuchung da, Importgenehmigung beantragt</w:t>
      </w:r>
    </w:p>
    <w:p w14:paraId="11D8603E" w14:textId="77777777" w:rsidR="001F7233" w:rsidRDefault="00000000">
      <w:r>
        <w:lastRenderedPageBreak/>
        <w:t>• Container ohne Lebensmittel, Samen, Erde und unbehandeltes Holz gepackt. Zollregeln für Wohnsitzverlegung beim Customs Service geprüft.</w:t>
      </w:r>
    </w:p>
    <w:p w14:paraId="34F0F514" w14:textId="77777777" w:rsidR="001F7233" w:rsidRDefault="001F7233">
      <w:pPr>
        <w:spacing w:line="220" w:lineRule="exact"/>
      </w:pPr>
    </w:p>
    <w:p w14:paraId="1AF6CF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9904134" w14:textId="77777777" w:rsidR="001F7233" w:rsidRDefault="00000000">
      <w:pPr>
        <w:pStyle w:val="ListParagraph"/>
        <w:numPr>
          <w:ilvl w:val="0"/>
          <w:numId w:val="1"/>
        </w:numPr>
        <w:spacing w:after="60"/>
      </w:pPr>
      <w:r>
        <w:t xml:space="preserve">New Zealand Customs Service — New Zealand Traveller Declaration: </w:t>
      </w:r>
      <w:hyperlink r:id="rId993">
        <w:r w:rsidR="001F7233">
          <w:rPr>
            <w:color w:val="0563C1"/>
            <w:u w:val="single"/>
          </w:rPr>
          <w:t>travellerdeclaration.govt.nz</w:t>
        </w:r>
      </w:hyperlink>
    </w:p>
    <w:p w14:paraId="7E22100C" w14:textId="77777777" w:rsidR="001F7233" w:rsidRDefault="00000000">
      <w:pPr>
        <w:pStyle w:val="ListParagraph"/>
        <w:numPr>
          <w:ilvl w:val="0"/>
          <w:numId w:val="1"/>
        </w:numPr>
        <w:spacing w:after="60"/>
      </w:pPr>
      <w:r>
        <w:t xml:space="preserve">Ministry for Primary Industries — Biosecurity bei der Einreise: </w:t>
      </w:r>
      <w:hyperlink r:id="rId994">
        <w:r w:rsidR="001F7233">
          <w:rPr>
            <w:color w:val="0563C1"/>
            <w:u w:val="single"/>
          </w:rPr>
          <w:t>mpi.govt.nz</w:t>
        </w:r>
      </w:hyperlink>
    </w:p>
    <w:p w14:paraId="7BCEAA58" w14:textId="77777777" w:rsidR="001F7233" w:rsidRDefault="00000000">
      <w:pPr>
        <w:pStyle w:val="ListParagraph"/>
        <w:numPr>
          <w:ilvl w:val="0"/>
          <w:numId w:val="1"/>
        </w:numPr>
        <w:spacing w:after="60"/>
      </w:pPr>
      <w:r>
        <w:t xml:space="preserve">Ministry for Primary Industries — Import Health Standard Cats and Dogs, Kategorien und Quarantäne: </w:t>
      </w:r>
      <w:hyperlink r:id="rId995">
        <w:r w:rsidR="001F7233">
          <w:rPr>
            <w:color w:val="0563C1"/>
            <w:u w:val="single"/>
          </w:rPr>
          <w:t>mpi.govt.nz</w:t>
        </w:r>
      </w:hyperlink>
    </w:p>
    <w:p w14:paraId="4269FA43" w14:textId="77777777" w:rsidR="001F7233" w:rsidRDefault="00000000">
      <w:pPr>
        <w:pStyle w:val="ListParagraph"/>
        <w:numPr>
          <w:ilvl w:val="0"/>
          <w:numId w:val="1"/>
        </w:numPr>
        <w:spacing w:after="60"/>
      </w:pPr>
      <w:r>
        <w:t xml:space="preserve">Inland Revenue Department — IRD-Nummer für Neuankömmlinge: </w:t>
      </w:r>
      <w:hyperlink r:id="rId996">
        <w:r w:rsidR="001F7233">
          <w:rPr>
            <w:color w:val="0563C1"/>
            <w:u w:val="single"/>
          </w:rPr>
          <w:t>ird.govt.nz</w:t>
        </w:r>
      </w:hyperlink>
    </w:p>
    <w:p w14:paraId="76B2C5C3" w14:textId="77777777" w:rsidR="001F7233" w:rsidRDefault="00000000">
      <w:pPr>
        <w:pStyle w:val="ListParagraph"/>
        <w:numPr>
          <w:ilvl w:val="0"/>
          <w:numId w:val="1"/>
        </w:numPr>
        <w:spacing w:after="60"/>
      </w:pPr>
      <w:r>
        <w:t xml:space="preserve">Immigration New Zealand — Zugang zum Gesundheitssystem: </w:t>
      </w:r>
      <w:hyperlink r:id="rId997">
        <w:r w:rsidR="001F7233">
          <w:rPr>
            <w:color w:val="0563C1"/>
            <w:u w:val="single"/>
          </w:rPr>
          <w:t>immigration.govt.nz</w:t>
        </w:r>
      </w:hyperlink>
    </w:p>
    <w:p w14:paraId="4359B97C" w14:textId="77777777" w:rsidR="001F7233" w:rsidRDefault="00000000">
      <w:pPr>
        <w:pStyle w:val="ListParagraph"/>
        <w:numPr>
          <w:ilvl w:val="0"/>
          <w:numId w:val="1"/>
        </w:numPr>
        <w:spacing w:after="60"/>
      </w:pPr>
      <w:r>
        <w:t xml:space="preserve">Tenancy Services — Kaution und Mietrecht: </w:t>
      </w:r>
      <w:hyperlink r:id="rId998">
        <w:r w:rsidR="001F7233">
          <w:rPr>
            <w:color w:val="0563C1"/>
            <w:u w:val="single"/>
          </w:rPr>
          <w:t>tenancy.govt.nz</w:t>
        </w:r>
      </w:hyperlink>
    </w:p>
    <w:p w14:paraId="642D9666" w14:textId="77777777" w:rsidR="001F7233" w:rsidRDefault="00000000">
      <w:pPr>
        <w:pStyle w:val="ListParagraph"/>
        <w:numPr>
          <w:ilvl w:val="0"/>
          <w:numId w:val="1"/>
        </w:numPr>
        <w:spacing w:after="60"/>
      </w:pPr>
      <w:r>
        <w:t xml:space="preserve">Deutsche Botschaft Wellington und Honorarkonsulate: </w:t>
      </w:r>
      <w:hyperlink r:id="rId999">
        <w:r w:rsidR="001F7233">
          <w:rPr>
            <w:color w:val="0563C1"/>
            <w:u w:val="single"/>
          </w:rPr>
          <w:t>wellington.diplo.de</w:t>
        </w:r>
      </w:hyperlink>
    </w:p>
    <w:p w14:paraId="43EFA46A" w14:textId="77777777" w:rsidR="001F7233" w:rsidRDefault="001F7233">
      <w:pPr>
        <w:spacing w:line="120" w:lineRule="exact"/>
      </w:pPr>
    </w:p>
    <w:p w14:paraId="5B835CC9" w14:textId="77777777" w:rsidR="001F7233" w:rsidRDefault="00000000">
      <w:r>
        <w:t>• 23.09.2026. Diese Angaben ändern sich schnell: die genauen Bedingungen der NZTD, die Länderkategorie und die Quarantäneregeln für Hunde und Katzen, Bankkonditionen für Neuankömmlinge, die Höhe des „No-notification“-Steuersatzes ohne IRD-Nummer sowie die Zwei-Jahres-Schwelle beim öffentlichen Gesundheitssystem. Prüfe vor der Einreise die aktuellen Seiten des New Zealand Customs Service, des MPI, des Inland Revenue Department und von Immigration New Zealand.</w:t>
      </w:r>
    </w:p>
    <w:p w14:paraId="598B6289" w14:textId="77777777" w:rsidR="001F7233" w:rsidRDefault="00000000">
      <w:pPr>
        <w:spacing w:line="220" w:lineRule="exact"/>
      </w:pPr>
      <w:r>
        <w:br w:type="page"/>
      </w:r>
    </w:p>
    <w:p w14:paraId="5350019A" w14:textId="77777777" w:rsidR="001F7233" w:rsidRDefault="00000000">
      <w:pPr>
        <w:pStyle w:val="Heading2"/>
        <w:keepNext/>
        <w:spacing w:line="341" w:lineRule="auto"/>
        <w:jc w:val="center"/>
      </w:pPr>
      <w:bookmarkStart w:id="136" w:name="tnz07"/>
      <w:r>
        <w:rPr>
          <w:rFonts w:ascii="Amazon Ember" w:eastAsia="Amazon Ember" w:hAnsi="Amazon Ember" w:cs="Amazon Ember"/>
          <w:color w:val="0000FF"/>
          <w:sz w:val="36"/>
          <w:szCs w:val="36"/>
        </w:rPr>
        <w:lastRenderedPageBreak/>
        <w:t>Neuseeland: IRD-Nummer, Steuern, Bank und Kredit aufbauen</w:t>
      </w:r>
      <w:bookmarkEnd w:id="136"/>
    </w:p>
    <w:p w14:paraId="3F5A56FF" w14:textId="77777777" w:rsidR="001F7233" w:rsidRDefault="00000000">
      <w:r>
        <w:rPr>
          <w:b/>
        </w:rPr>
        <w:t xml:space="preserve">KURZ GESAGT: </w:t>
      </w:r>
    </w:p>
    <w:p w14:paraId="07C85D9D" w14:textId="77777777" w:rsidR="001F7233" w:rsidRDefault="00000000">
      <w:r>
        <w:t>• Beantrage die IRD-Nummer (Inland Revenue Department, die neuseeländische Steuerbehörde) über das „New Arrival to New Zealand“-Verfahren so früh wie möglich. Kostenlos, meist in 2 Tagen nach erfolgreicher Visa-Verifizierung.</w:t>
      </w:r>
    </w:p>
    <w:p w14:paraId="2CBC15DF" w14:textId="77777777" w:rsidR="001F7233" w:rsidRDefault="00000000">
      <w:r>
        <w:t xml:space="preserve">• Ohne IRD-Nummer und ohne Formular IR330 kann ein No-notification-Abzug auf Gehalt und Zinsen gelten. Den Satz nennt </w:t>
      </w:r>
      <w:hyperlink r:id="rId1000">
        <w:r w:rsidR="001F7233">
          <w:rPr>
            <w:color w:val="0563C1"/>
            <w:u w:val="single"/>
          </w:rPr>
          <w:t>ird.govt.nz</w:t>
        </w:r>
      </w:hyperlink>
      <w:r>
        <w:t>. Hier steht keine Prozentzahl.</w:t>
      </w:r>
    </w:p>
    <w:p w14:paraId="469FCA94" w14:textId="77777777" w:rsidR="001F7233" w:rsidRDefault="00000000">
      <w:r>
        <w:t>• Neuseeland besteuert progressiv in fünf Stufen ohne Grundfreibetrag, für 2026/27 (Steuerjahr 1. April bis 31. März) unverändert gegen dem Vorjahr.</w:t>
      </w:r>
    </w:p>
    <w:p w14:paraId="7B2B5CF0" w14:textId="77777777" w:rsidR="001F7233" w:rsidRDefault="00000000">
      <w:r>
        <w:t xml:space="preserve">• Die GST (Goods and Services Tax) steckt bereits im ausgezeichneten Preis. Den Satz nennt </w:t>
      </w:r>
      <w:hyperlink r:id="rId1001">
        <w:r w:rsidR="001F7233">
          <w:rPr>
            <w:color w:val="0563C1"/>
            <w:u w:val="single"/>
          </w:rPr>
          <w:t>ird.govt.nz</w:t>
        </w:r>
      </w:hyperlink>
      <w:r>
        <w:t>. Hier steht keine Prozentzahl.</w:t>
      </w:r>
    </w:p>
    <w:p w14:paraId="499966D6" w14:textId="77777777" w:rsidR="001F7233" w:rsidRDefault="00000000">
      <w:r>
        <w:t>• Steuerinländer (183-Tage-Regel) versteuern ihr Weltjahreseinkommen; Neuankömmlinge sind meist 48 Monate lang von der Steuer auf die meisten ausländischen Kapitalerträge befreit.</w:t>
      </w:r>
    </w:p>
    <w:p w14:paraId="1D0AFF21" w14:textId="77777777" w:rsidR="001F7233" w:rsidRDefault="00000000">
      <w:r>
        <w:t>• KiwiSaver (das freiwillige, staatlich geförderte Rentensparsystem) steht nur Personen mit unbefristetem Aufenthaltsrecht offen. Ein befristetes Arbeitsvisum reicht dafür in aller Regel nicht.</w:t>
      </w:r>
    </w:p>
    <w:p w14:paraId="49EA513B" w14:textId="77777777" w:rsidR="001F7233" w:rsidRDefault="001F7233">
      <w:pPr>
        <w:spacing w:line="220" w:lineRule="exact"/>
      </w:pPr>
    </w:p>
    <w:p w14:paraId="3D3B1F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deine Eintrittskarte ins System</w:t>
      </w:r>
    </w:p>
    <w:p w14:paraId="203EB284" w14:textId="77777777" w:rsidR="001F7233" w:rsidRDefault="00000000">
      <w:pPr>
        <w:spacing w:after="140"/>
      </w:pPr>
      <w:r>
        <w:t xml:space="preserve">Läuft die Verifizierung glatt, kommt die IRD-Nummer meist innerhalb von 2 Tagen per SMS oder E-Mail. Wichtig ist die Frist: Wer kein australisches Passdokument hat (für das eigene, großzügigere Regeln gelten), sollte den Antrag noch vor Ablauf des </w:t>
      </w:r>
      <w:r>
        <w:lastRenderedPageBreak/>
        <w:t>ersten möglichen Einreisezeitraums seines Visums stellen. Sonst greift das reguläre, deutlich langsamere Verfahren „Living in New Zealand“ mit 10 Werktagen Bearbeitung online oder 12 Werktagen in Papierform.</w:t>
      </w:r>
    </w:p>
    <w:p w14:paraId="205345A6" w14:textId="77777777" w:rsidR="001F7233" w:rsidRDefault="00000000">
      <w:pPr>
        <w:spacing w:after="140"/>
      </w:pPr>
      <w:r>
        <w:t>Wer schon vor dem Abflug planen möchte, kann alternativ das Verfahren „Living overseas. IRD number application“ nutzen, solange noch kein neuseeländischer Wohnsitz besteht. Das IRD strebt hier eine Bearbeitung innerhalb von rund 20 Tagen an. Der postalische Versand der Bestätigung kann auch bis zu 20 Tage dauern. Für die meisten Neuankömmlinge mit bereits bewilligtem Visum ist der „New Arrival“-Weg nach der Landung trotzdem der schnellere. Die Vorab-Variante lohnt sich vor allem, wenn du schon Monate vor der Einreise Kapitalerträge in Neuseeland erwartest.</w:t>
      </w:r>
    </w:p>
    <w:p w14:paraId="35A3C706" w14:textId="77777777" w:rsidR="001F7233" w:rsidRDefault="00000000">
      <w:r>
        <w:rPr>
          <w:b/>
        </w:rPr>
        <w:t xml:space="preserve">ACHTUNG: </w:t>
      </w:r>
    </w:p>
    <w:p w14:paraId="67170339" w14:textId="77777777" w:rsidR="001F7233" w:rsidRDefault="00000000">
      <w:r>
        <w:t xml:space="preserve">• Ohne IRD-Nummer und ohne Formular IR330 kann der Arbeitgeber den No-notification-Abzug einbehalten, auch auf Zinsen bei der Bank. Der Satz war auf </w:t>
      </w:r>
      <w:hyperlink r:id="rId1002">
        <w:r w:rsidR="001F7233">
          <w:rPr>
            <w:color w:val="0563C1"/>
            <w:u w:val="single"/>
          </w:rPr>
          <w:t>ird.govt.nz</w:t>
        </w:r>
      </w:hyperlink>
      <w:r>
        <w:t xml:space="preserve"> nicht als feste Zahl für dieses Kapitel geprüft. Übernimm keine Prozentzahl. Reich die IRD-Nummer ein, bevor die erste Gehaltsabrechnung läuft. Zu viel gezahlte Steuer kommt erst über die Erklärung zurück.</w:t>
      </w:r>
    </w:p>
    <w:p w14:paraId="78E39DEF" w14:textId="77777777" w:rsidR="001F7233" w:rsidRDefault="001F7233">
      <w:pPr>
        <w:spacing w:line="220" w:lineRule="exact"/>
      </w:pPr>
    </w:p>
    <w:p w14:paraId="4F2EE0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Einkommensteuer: fünf Stufen, kein Freibetrag</w:t>
      </w:r>
    </w:p>
    <w:p w14:paraId="545AC5AF" w14:textId="77777777" w:rsidR="001F7233" w:rsidRDefault="00000000">
      <w:pPr>
        <w:spacing w:after="140"/>
      </w:pPr>
      <w:r>
        <w:t xml:space="preserve">Neuseeland kennt keinen Grundfreibetrag. Das Steuerjahr läuft vom 1. April bis zum 31. März. Die Stufen und Sätze veröffentlicht </w:t>
      </w:r>
      <w:hyperlink r:id="rId1003">
        <w:r w:rsidR="001F7233">
          <w:rPr>
            <w:color w:val="0563C1"/>
            <w:u w:val="single"/>
          </w:rPr>
          <w:t>ird.govt.nz</w:t>
        </w:r>
      </w:hyperlink>
      <w:r>
        <w:t>. Dieses Kapitel druckt sie nicht. Prüfe sie, bevor du ein Gehalt annimmst oder kündigst.</w:t>
      </w:r>
    </w:p>
    <w:p w14:paraId="395EB247" w14:textId="77777777" w:rsidR="001F7233" w:rsidRDefault="00000000">
      <w:pPr>
        <w:spacing w:after="140"/>
      </w:pPr>
      <w:r>
        <w:rPr>
          <w:i/>
          <w:iCs/>
        </w:rPr>
        <w:t>PAYE</w:t>
      </w:r>
      <w:r>
        <w:t xml:space="preserve"> (Pay As You Earn) wendet die Stufen auf jede Gehaltsabrechnung an. Wer nur angestellt ist, kommt oft ohne eigene </w:t>
      </w:r>
      <w:r>
        <w:lastRenderedPageBreak/>
        <w:t>Erklärung aus. Selbstständige und Menschen mit mehreren Quellen müssen erklären.</w:t>
      </w:r>
    </w:p>
    <w:p w14:paraId="00EA1042" w14:textId="77777777" w:rsidR="001F7233" w:rsidRDefault="00000000">
      <w:r>
        <w:rPr>
          <w:b/>
        </w:rPr>
        <w:t xml:space="preserve">MERKE: </w:t>
      </w:r>
    </w:p>
    <w:p w14:paraId="2E7E6BE0" w14:textId="77777777" w:rsidR="001F7233" w:rsidRDefault="00000000">
      <w:r>
        <w:t xml:space="preserve">• Die Stufen sind steiler, als viele aus dem deutschen Tarif erwarten. Den Nettosatz rechnest du mit den aktuellen Stufen auf </w:t>
      </w:r>
      <w:hyperlink r:id="rId1004">
        <w:r w:rsidR="001F7233">
          <w:rPr>
            <w:color w:val="0563C1"/>
            <w:u w:val="single"/>
          </w:rPr>
          <w:t>ird.govt.nz</w:t>
        </w:r>
      </w:hyperlink>
      <w:r>
        <w:t>, nicht aus diesem Kapitel.</w:t>
      </w:r>
    </w:p>
    <w:p w14:paraId="42FD372F" w14:textId="77777777" w:rsidR="001F7233" w:rsidRDefault="001F7233">
      <w:pPr>
        <w:spacing w:line="220" w:lineRule="exact"/>
      </w:pPr>
    </w:p>
    <w:p w14:paraId="073ADE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GST: schon im Preis</w:t>
      </w:r>
    </w:p>
    <w:p w14:paraId="786398F0" w14:textId="77777777" w:rsidR="001F7233" w:rsidRDefault="00000000">
      <w:pPr>
        <w:spacing w:after="140"/>
      </w:pPr>
      <w:r>
        <w:t xml:space="preserve">Die Goods and Services Tax steckt bereits im angezeigten Preis. Den Satz nennt </w:t>
      </w:r>
      <w:hyperlink r:id="rId1005">
        <w:r w:rsidR="001F7233">
          <w:rPr>
            <w:color w:val="0563C1"/>
            <w:u w:val="single"/>
          </w:rPr>
          <w:t>ird.govt.nz</w:t>
        </w:r>
      </w:hyperlink>
      <w:r>
        <w:t>. Hier steht keine Prozentzahl.</w:t>
      </w:r>
    </w:p>
    <w:p w14:paraId="1FEF2175" w14:textId="77777777" w:rsidR="001F7233" w:rsidRDefault="00000000">
      <w:pPr>
        <w:spacing w:after="140"/>
      </w:pPr>
      <w:r>
        <w:t xml:space="preserve">Relevant wird GST vor allem für Selbstständige. Wer die Umsatzschwelle überschreitet, muss sich beim IRD registrieren. Die Schwelle und die Frist stehen auf </w:t>
      </w:r>
      <w:hyperlink r:id="rId1006">
        <w:r w:rsidR="001F7233">
          <w:rPr>
            <w:color w:val="0563C1"/>
            <w:u w:val="single"/>
          </w:rPr>
          <w:t>ird.govt.nz</w:t>
        </w:r>
      </w:hyperlink>
      <w:r>
        <w:t>. Dieses Kapitel druckt den Betrag nicht. Unterhalb der Schwelle ist die Registrierung oft freiwillig.</w:t>
      </w:r>
    </w:p>
    <w:p w14:paraId="33E339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die 183-Tage-Regel</w:t>
      </w:r>
    </w:p>
    <w:p w14:paraId="2F138699" w14:textId="77777777" w:rsidR="001F7233" w:rsidRDefault="00000000">
      <w:pPr>
        <w:spacing w:after="140"/>
      </w:pPr>
      <w:r>
        <w:t xml:space="preserve">Ob du in Neuseeland Steuerinländer bist, entscheidet nicht dein Visum, sondern deine tatsächliche Anwesenheit. Wer innerhalb eines rollierenden 12-Monats-Fensters mehr als 183 Tage in Neuseeland verbringt, gilt rückwirkend ab dem allerersten dieser Tage als Steuerinländer – auch nicht zusammenhängende Tage zählen, An- und Abreisetag jeweils voll. Alternativ zieht das IRD den „Permanent Place of Abode“-Test heran, der einen festen Wohnsitz unabhängig von durchgehender Nutzung prüft. Wie das Prinzip Wohnsitz statt Staatsangehörigkeit sich von den USA unterscheidet und was es für deinen Weg zur Staatsbürgerschaft bedeutet, erklärt das </w:t>
      </w:r>
      <w:hyperlink w:anchor="tnz16">
        <w:r w:rsidR="001F7233">
          <w:rPr>
            <w:color w:val="0563C1"/>
            <w:u w:val="single"/>
          </w:rPr>
          <w:t>Kapitel zu Staatsbürgerschaft und Steuerresidenz in diesem Teil</w:t>
        </w:r>
      </w:hyperlink>
      <w:r>
        <w:t xml:space="preserve"> ausführlicher.</w:t>
      </w:r>
    </w:p>
    <w:p w14:paraId="1B1F6CBB" w14:textId="77777777" w:rsidR="001F7233" w:rsidRDefault="00000000">
      <w:pPr>
        <w:spacing w:after="140"/>
      </w:pPr>
      <w:r>
        <w:rPr>
          <w:b/>
          <w:bCs/>
        </w:rPr>
        <w:t xml:space="preserve">Steuerinländer versteuern ihr weltweites Einkommen in Neuseeland. Nicht-Steuerinländer versteuern nur das, was </w:t>
      </w:r>
      <w:r>
        <w:rPr>
          <w:b/>
          <w:bCs/>
        </w:rPr>
        <w:lastRenderedPageBreak/>
        <w:t>tatsächlich aus neuseeländischen Quellen stammt. Für Deutsche mit Mieteinnahmen, Kapitalerträgen oder einer Betriebsrente in Deutschland ist das der entscheidende Punkt und genau hier hilft die folgende Sonderregel für frisch Zugewanderte.</w:t>
      </w:r>
    </w:p>
    <w:p w14:paraId="1F9B10E9" w14:textId="77777777" w:rsidR="001F7233" w:rsidRDefault="00000000">
      <w:pPr>
        <w:spacing w:after="140"/>
      </w:pPr>
      <w:r>
        <w:rPr>
          <w:b/>
          <w:bCs/>
        </w:rPr>
        <w:t>Die Steuerresidenz endet übrigens nicht automatisch mit dem Rückflug. Sie fällt erst weg, wenn du keinen festen Wohnsitz mehr in Neuseeland hast und dich in einem rollierenden 12-Monats-Fenster an mehr als 325 Tagen außer Neuseelands aufhältst. Wer also nach ein paar Jahren zurück nach Deutschland zieht, aber noch eine neuseeländische Wohnung oder ein Haus behält, bleibt manchmal länger steuerpflichtig, als er denkt.</w:t>
      </w:r>
    </w:p>
    <w:p w14:paraId="1AE47F5B" w14:textId="77777777" w:rsidR="001F7233" w:rsidRDefault="00000000">
      <w:pPr>
        <w:spacing w:after="140"/>
      </w:pPr>
      <w:r>
        <w:rPr>
          <w:b/>
          <w:bCs/>
        </w:rPr>
        <w:t>Transitional-Resident-Befreiung:</w:t>
      </w:r>
      <w:r>
        <w:t xml:space="preserve"> Wer in den zehn Jahren vor der Einreise nicht neuseeländischer Steuerinländer war, ist automatisch für 48 Monate ab dem Monat, in dem die Steuerresidenz beginnt, von der Steuer auf die meisten ausländischen Kapital-, Miet- und Beteiligungseinkünfte befreit. </w:t>
      </w:r>
      <w:r>
        <w:rPr>
          <w:b/>
          <w:bCs/>
        </w:rPr>
        <w:t>Nicht</w:t>
      </w:r>
      <w:r>
        <w:t xml:space="preserve"> befreit ist Erwerbs- oder Dienstleistungseinkommen aus dem Ausland. Wer also weiterhin remote für einen deutschen Arbeitgeber tätig ist, versteuert dieses Einkommen ganz regulär in Neuseeland.</w:t>
      </w:r>
    </w:p>
    <w:p w14:paraId="4AF68F30" w14:textId="77777777" w:rsidR="001F7233" w:rsidRDefault="001F7233">
      <w:pPr>
        <w:spacing w:line="220" w:lineRule="exact"/>
      </w:pPr>
    </w:p>
    <w:p w14:paraId="6FE00910" w14:textId="77777777" w:rsidR="001F7233" w:rsidRDefault="00000000">
      <w:r>
        <w:t>• Dieses Kapitel erklärt das System und nennt Richtwerte, ersetzt aber keine individuelle Steuerberatung. Ob du im Einreisejahr rückwirkend als Steuerinländer giltst, wie genau die Transitional-Resident-Befreiung auf deine konkreten ausländischen Einkünfte wirkt und wie das Doppelbesteuerungsabkommen zwischen Deutschland und Neuseeland mit deutscher Rente, Mieteinnahmen oder Kapitalerträgen umgeht, hängt vom Einzelfall ab. Lass das von einer neuseeländischen Steuerberatung prüfen, die sich mit einer deutschen abstimmt oder die deutsche Seite kennt.</w:t>
      </w:r>
    </w:p>
    <w:p w14:paraId="00C8A8D9" w14:textId="77777777" w:rsidR="001F7233" w:rsidRDefault="001F7233">
      <w:pPr>
        <w:spacing w:line="220" w:lineRule="exact"/>
      </w:pPr>
    </w:p>
    <w:p w14:paraId="2D022E07" w14:textId="77777777" w:rsidR="001F7233" w:rsidRDefault="00000000">
      <w:pPr>
        <w:pStyle w:val="Heading3"/>
        <w:keepNext/>
        <w:spacing w:line="341" w:lineRule="auto"/>
        <w:jc w:val="center"/>
      </w:pPr>
      <w:bookmarkStart w:id="137" w:name="idx_KiwiSaver"/>
      <w:r>
        <w:rPr>
          <w:rFonts w:ascii="Amazon Ember" w:eastAsia="Amazon Ember" w:hAnsi="Amazon Ember" w:cs="Amazon Ember"/>
          <w:color w:val="0000FF"/>
          <w:sz w:val="36"/>
          <w:szCs w:val="36"/>
        </w:rPr>
        <w:lastRenderedPageBreak/>
        <w:t>KiwiSaver: Altersvorsorge, aber nicht für jeden</w:t>
      </w:r>
      <w:bookmarkEnd w:id="137"/>
    </w:p>
    <w:p w14:paraId="47AC87ED" w14:textId="77777777" w:rsidR="001F7233" w:rsidRDefault="00000000">
      <w:pPr>
        <w:spacing w:after="140"/>
      </w:pPr>
      <w:r>
        <w:rPr>
          <w:i/>
          <w:iCs/>
        </w:rPr>
        <w:t>KiwiSaver ist Neuseelands freiwilliges, staatlich gefördertes Rentensparsystem. Ausgerechnet hier trennt sich der Weg vieler Neuankömmlinge in zwei Klassen. Beitreten können nur Personen zwischen 18 und 65 Jahren, die in Neuseeland wohnen und entweder neuseeländische Staatsangehörige sind oder ein unbefristetes Aufenthaltsrecht haben. Ein befristetes Arbeits-, Studien- oder Besuchervisum reicht dafür meist nicht.</w:t>
      </w:r>
    </w:p>
    <w:p w14:paraId="40E77C15" w14:textId="77777777" w:rsidR="001F7233" w:rsidRDefault="00000000">
      <w:pPr>
        <w:spacing w:after="140"/>
      </w:pPr>
      <w:r>
        <w:t>Für die beiden Hauptfiguren dieses Buchteils bedeutet das zwei völlig unterschiedliche Startpunkte:</w:t>
      </w:r>
    </w:p>
    <w:p w14:paraId="0B8FFFDC" w14:textId="77777777" w:rsidR="001F7233" w:rsidRDefault="001F7233">
      <w:pPr>
        <w:spacing w:line="220" w:lineRule="exact"/>
      </w:pPr>
    </w:p>
    <w:p w14:paraId="2E574050" w14:textId="77777777" w:rsidR="001F7233" w:rsidRDefault="00000000">
      <w:pPr>
        <w:spacing w:after="140"/>
      </w:pPr>
      <w:r>
        <w:t xml:space="preserve">Für berechtigte Mitglieder ist der Arbeitgeberbeitrag verpflichtend, sobald man einmal beigetreten ist. Den Satz und die Altersgrenze nennt </w:t>
      </w:r>
      <w:hyperlink r:id="rId1007">
        <w:r w:rsidR="001F7233">
          <w:rPr>
            <w:color w:val="0563C1"/>
            <w:u w:val="single"/>
          </w:rPr>
          <w:t>ird.govt.nz</w:t>
        </w:r>
      </w:hyperlink>
      <w:r>
        <w:t>. Dieses Kapitel druckt den Prozentsatz nicht.</w:t>
      </w:r>
    </w:p>
    <w:p w14:paraId="644B090A" w14:textId="77777777" w:rsidR="001F7233" w:rsidRDefault="00000000">
      <w:r>
        <w:rPr>
          <w:b/>
        </w:rPr>
        <w:t xml:space="preserve">MERKE: </w:t>
      </w:r>
    </w:p>
    <w:p w14:paraId="2DA6A584" w14:textId="77777777" w:rsidR="001F7233" w:rsidRDefault="00000000">
      <w:r>
        <w:t>• Wer zunächst nur ein befristetes Visum hat, verliert durch die fehlende KiwiSaver-Berechtigung keine automatische Ersparnis. Man kann eben noch nicht beitreten. Sobald ein Daueraufenthaltstitel vorliegt, lohnt sich der Beitritt aber meist zügig: Der verpflichtende Arbeitgeberbeitrag ist im Kern geschenktes Geld, das ohne eigene Mitgliedschaft ungenutzt bliebe.</w:t>
      </w:r>
    </w:p>
    <w:p w14:paraId="6D288D78" w14:textId="77777777" w:rsidR="001F7233" w:rsidRDefault="001F7233">
      <w:pPr>
        <w:spacing w:line="220" w:lineRule="exact"/>
      </w:pPr>
    </w:p>
    <w:p w14:paraId="47C830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 ANZ, ASB, Westpac und BNZ</w:t>
      </w:r>
    </w:p>
    <w:p w14:paraId="65FD4F19" w14:textId="77777777" w:rsidR="001F7233" w:rsidRDefault="00000000">
      <w:pPr>
        <w:spacing w:after="140"/>
      </w:pPr>
      <w:r>
        <w:t xml:space="preserve">Neuseelands größte Privatkundenbanken – ANZ, ASB, Westpac und BNZ. Bieten alle eine Form der Kontoeröffnung aus dem Ausland an, allerdings mit spürbaren Unterschieden im Detail. ANZ ermöglicht </w:t>
      </w:r>
      <w:r>
        <w:lastRenderedPageBreak/>
        <w:t>die Voranmeldung bis zu 90 Tage vor der Einreise für die meisten Visakategorien. ASB wirbt mit einer App-basierten Beantragung, bei der die Kontonummer oft in weniger Tage vorliegt. Bei Westpac und BNZ ist nach mehreren übereinstimmenden Quellen häufiger ein persönlicher Filialbesuch nötig. Die genauen Bedingungen ändern sich jedoch öfter, als man sich das für eine Bank wünschen würde und lohnen einen aktuellen Check direkt auf der jeweiligen Website.</w:t>
      </w:r>
    </w:p>
    <w:p w14:paraId="41D0530A" w14:textId="77777777" w:rsidR="001F7233" w:rsidRDefault="00000000">
      <w:pPr>
        <w:spacing w:after="140"/>
      </w:pPr>
      <w:r>
        <w:rPr>
          <w:i/>
          <w:iCs/>
        </w:rPr>
        <w:t>Zur Filialprüfung bringst du meist Reisepass, den Nachweis über dein Visum sowie einen frischen Adressnachweis mit. Ein Mietvertrag, eine Rechnung oder notfalls eine Buchungsbestätigung der ersten Unterkunft. Erst danach schaltet die Bank Debitkarte und Online-Banking vollständig frei. Im Alltag zahlst du in Neuseeland fast überall mit EFTPOS (der landesweit verbreiteten Debitkarten-Zahlung direkt vom Girokonto). Bargeld ist selbst für kleine Beträge längst zur Ausnahme geworden, was die erste Woche ohne freigeschaltetes Konto besonders unpraktisch macht.</w:t>
      </w:r>
    </w:p>
    <w:p w14:paraId="700E821E" w14:textId="77777777" w:rsidR="001F7233" w:rsidRDefault="00000000">
      <w:pPr>
        <w:spacing w:after="140"/>
      </w:pPr>
      <w:r>
        <w:rPr>
          <w:b/>
        </w:rPr>
        <w:t>EFTPOS, Debitkarte und PayPal</w:t>
      </w:r>
    </w:p>
    <w:p w14:paraId="77A2B0C8" w14:textId="77777777" w:rsidR="001F7233" w:rsidRDefault="00000000">
      <w:pPr>
        <w:spacing w:after="140"/>
      </w:pPr>
      <w:r>
        <w:t>EFTPOS zieht den Betrag direkt vom Bankkonto ein; eine Visa- oder Mastercard-Debitkarte kann auch Onlinezahlungen und internationale Händler abdecken. PayPal funktioniert bei teilnehmenden Online-Händlern. Das Konto kann nicht einfach auf Neuseeland umgestellt werden. Bei dauerhaftem Umzug verlangt PayPal grundsaetzlich, das alte Konto zu schließen und ein neues im neuen Wohnsitzland zu eröffnen. Kläre vorher Guthaben, Abos und offene Zahlungen und prüfe den angebotenen Wechselkurs sowie Gebühren. Nutze bei jeder Onlinezahlung die im Endbildschirm ausgewiesene Währung und den Gesamtbetrag und prüfe, ob deine Karte oder PayPal umrechnet. Quellen: paypal.com/ca/cshelp/article/can-i-change-the-address-on-my-paypal-account-to-another-country-help210.</w:t>
      </w:r>
    </w:p>
    <w:p w14:paraId="3764DA79" w14:textId="77777777" w:rsidR="001F7233" w:rsidRDefault="00000000">
      <w:pPr>
        <w:spacing w:after="140"/>
      </w:pPr>
      <w:r>
        <w:rPr>
          <w:b/>
        </w:rPr>
        <w:t>Kreditkartenpunkte für lange Flüge</w:t>
      </w:r>
    </w:p>
    <w:p w14:paraId="331E2A80" w14:textId="77777777" w:rsidR="001F7233" w:rsidRDefault="00000000">
      <w:pPr>
        <w:spacing w:after="140"/>
      </w:pPr>
      <w:r>
        <w:lastRenderedPageBreak/>
        <w:t>Wenn du eine neuseeländische Reisekarte nutzt, rechne ihren jährlichen Preis gegen den tatsächlichen Wert von Flugpunkten oder Reiseguthaben. Prüfe Mindestumsatz, Fremdwährungsgebühr, Versicherung und Einlöseregeln. Ein Punkt ist kein fester Geldwert: vergleiche für deine konkrete Deutschlandreise den Barpreis mit Punkten plus Steuern, Zuschlägen und möglicher Verfuegbarkeit. Übertrage Punkte erst nach Bestätigung der Prämienplaetze und bezahle den Saldo jeden Monat vollständig.</w:t>
      </w:r>
    </w:p>
    <w:p w14:paraId="27514279" w14:textId="77777777" w:rsidR="001F7233" w:rsidRDefault="00000000">
      <w:r>
        <w:rPr>
          <w:b/>
        </w:rPr>
        <w:t xml:space="preserve">ACHTUNG: </w:t>
      </w:r>
    </w:p>
    <w:p w14:paraId="736FEADB" w14:textId="77777777" w:rsidR="001F7233" w:rsidRDefault="00000000">
      <w:r>
        <w:t>• Ein EFTPOS-Konto ohne echte Kreditkarte hilft dir beim Kreditaufbau kaum weiter. Reine Debit-Zahlungen vom eigenen Guthaben melden die Auskunfteien meist nicht. Für den Aufbau einer Kredithistorie brauchst du tatsächlich ein Produkt, bei dem du geliehenes Geld pünktlich zurückzahlst, nicht nur dein eigenes ausgibst.</w:t>
      </w:r>
    </w:p>
    <w:p w14:paraId="2791B7AA" w14:textId="77777777" w:rsidR="001F7233" w:rsidRDefault="001F7233">
      <w:pPr>
        <w:spacing w:line="220" w:lineRule="exact"/>
      </w:pPr>
    </w:p>
    <w:p w14:paraId="1C3FC203" w14:textId="77777777" w:rsidR="001F7233" w:rsidRDefault="00000000">
      <w:r>
        <w:rPr>
          <w:b/>
        </w:rPr>
        <w:t xml:space="preserve">SPARTIPP: </w:t>
      </w:r>
    </w:p>
    <w:p w14:paraId="5502AAFB" w14:textId="77777777" w:rsidR="001F7233" w:rsidRDefault="00000000">
      <w:r>
        <w:t>• Beantrage IRD-Nummer und Bankkonto parallel, idealerweise schon aus Deutschland. Sobald du die IRD-Nummer bei deiner Bank hinterlegst, entfällt der hohe „No-notification“-Steuerabzug auf Zinserträge. Ein Detail, das sich bei einem größeren Startkapital durchaus bemerkbar macht.</w:t>
      </w:r>
    </w:p>
    <w:p w14:paraId="62663A5F" w14:textId="77777777" w:rsidR="001F7233" w:rsidRDefault="001F7233">
      <w:pPr>
        <w:spacing w:line="220" w:lineRule="exact"/>
      </w:pPr>
    </w:p>
    <w:p w14:paraId="06DA2A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Centrix, Equifax und Experian (früher illion)</w:t>
      </w:r>
    </w:p>
    <w:p w14:paraId="7A9E329D" w14:textId="77777777" w:rsidR="001F7233" w:rsidRDefault="00000000">
      <w:pPr>
        <w:spacing w:after="140"/>
      </w:pPr>
      <w:r>
        <w:rPr>
          <w:i/>
          <w:iCs/>
        </w:rPr>
        <w:t>In Neuseeland führen Centrix, Equifax New Zealand und Experian (früher illion) getrennte Kreditberichte. Die jeweiligen Scores beruhen auf unterschiedlichen Datenbeständen und Modellen und sind nicht direkt vergleichbar. Deine deutsche Schufa-Historie wird nicht automatisch übernommen. Ohne lokale meldbare Vorgänge hast du noch keine neuseeländische Kredithistorie; das ist kein negativer Eintrag.</w:t>
      </w:r>
    </w:p>
    <w:p w14:paraId="2208AC5F" w14:textId="77777777" w:rsidR="001F7233" w:rsidRDefault="00000000">
      <w:pPr>
        <w:spacing w:after="140"/>
      </w:pPr>
      <w:r>
        <w:lastRenderedPageBreak/>
        <w:t>Der praktische Aufbau läuft über mehrere parallele Wege: ein laufendes Girokonto mit pünktlich bezahlten Rechnungen, eine erste Kreditkarte mit niedrigem Limit, die du monatlich vollständig begleichst und – eine neuseeländische Besonderheit – Zahlungen, die ohnehin regelmäßig fällig werden. Centrix bezieht inzwischen auch Strom- und Breitbandrechnungen in seine Bewertung ein. Wer diese pünktlich zahlt, baut damit schon Historie auf, bevor die erste Kreditkarte überhaupt genehmigt ist. Auch „Buy now, pay later“-Dienste (Ratenkauf-Apps) melden inzwischen an die Auskunfteien. Eine verpasste Rate schadet dort also genauso wie bei einer klassischen Kreditkarte.</w:t>
      </w:r>
    </w:p>
    <w:p w14:paraId="41C96B63" w14:textId="77777777" w:rsidR="001F7233" w:rsidRDefault="00000000">
      <w:r>
        <w:rPr>
          <w:b/>
        </w:rPr>
        <w:t xml:space="preserve">MERKE: </w:t>
      </w:r>
    </w:p>
    <w:p w14:paraId="67299B9D" w14:textId="77777777" w:rsidR="001F7233" w:rsidRDefault="00000000">
      <w:r>
        <w:t>• Kreditwürdigkeit ist in Neuseeland ein eigenständiges System, komplett getrennt von der deutschen Schufa. Niemand importiert deine Geschichte – du beginnst neu, und Strom-, Internet- und Kreditkartenrechnungen zählen von Anfang an mit, wenn du sie pünktlich bezahlst.</w:t>
      </w:r>
    </w:p>
    <w:p w14:paraId="4243D065" w14:textId="77777777" w:rsidR="001F7233" w:rsidRDefault="001F7233">
      <w:pPr>
        <w:spacing w:line="220" w:lineRule="exact"/>
      </w:pPr>
    </w:p>
    <w:p w14:paraId="3E9E7DEB" w14:textId="77777777" w:rsidR="001F7233" w:rsidRDefault="00000000">
      <w:r>
        <w:rPr>
          <w:b/>
        </w:rPr>
        <w:t xml:space="preserve">SPARTIPP: </w:t>
      </w:r>
    </w:p>
    <w:p w14:paraId="6151884C" w14:textId="77777777" w:rsidR="001F7233" w:rsidRDefault="00000000">
      <w:r>
        <w:t>Bestelle deinen kostenlosen Kreditreport einzeln bei Centrix, Equifax New Zealand und Experian (früher illion). Jede Stelle führt eine eigene Datei. Prüfe Konten, Anfragen, Salden und mögliche Zahlungsausfälle. Bei Fehlern beantragst du die kostenlose Korrektur bei der Auskunftei und informierst auch den meldenden Anbieter. Bewahre Belege und Antworten auf und kontrolliere den geänderten Bericht. Der kostenlose Zugang soll spätestens innerhalb von 20 Arbeitstagen bereitgestellt werden. Quellen: privacy.org.nz/privacy-principles/codes-of-practice/crpc2020/; govt.nz/browse/consumer-rights-and-credit-record/debt-and-credit-records/check-your-own-credit-report/.</w:t>
      </w:r>
    </w:p>
    <w:p w14:paraId="0FE6A2FB" w14:textId="77777777" w:rsidR="001F7233" w:rsidRDefault="00000000">
      <w:r>
        <w:rPr>
          <w:b/>
        </w:rPr>
        <w:t>Kostenlose Hilfe bei Geldsorgen</w:t>
      </w:r>
    </w:p>
    <w:p w14:paraId="1E0722B8" w14:textId="77777777" w:rsidR="001F7233" w:rsidRDefault="00000000">
      <w:r>
        <w:t xml:space="preserve">Wenn die Rate nicht mehr tragbar ist, wende dich früh an den Kreditgeber und frage nach einer Härtefalllösung. MoneyTalks vermittelt kostenlos und vertraulich eine Finanzmentorin oder einen </w:t>
      </w:r>
      <w:r>
        <w:lastRenderedPageBreak/>
        <w:t>Finanzmentor, der beim Ordnen der Schulden und beim Kontakt mit dem Kreditgeber helfen kann. Quelle: govt.nz/browse/family-and-whanau/financial-help-for-your-family/get-help-to-manage-your-money/.</w:t>
      </w:r>
    </w:p>
    <w:p w14:paraId="12CBB4C7" w14:textId="77777777" w:rsidR="001F7233" w:rsidRDefault="00000000">
      <w:r>
        <w:rPr>
          <w:b/>
        </w:rPr>
        <w:t>Fremde Kartenbuchung: Bank sofort anrufen</w:t>
      </w:r>
    </w:p>
    <w:p w14:paraId="2BE2F828" w14:textId="77777777" w:rsidR="001F7233" w:rsidRDefault="00000000">
      <w:r>
        <w:t>Melde eine nicht autorisierte Kartenbelastung umgehend deiner Bank und frage nach einer Chargeback-Prüfung. Die neuseeländische Verbraucherinformation sagt, dass Banken eine Rückbuchung bei einer irrtümlichen oder betrügerischen Kreditkartenbelastung meist gewähren sollten. Die konkrete Prüfung und Frist klärst du mit der kartenausgebenden Bank. Bewahre Belege und die Vorgangsnummer auf. Quelle: consumerprotection.govt.nz/general-help/ways-to-buy-and-pay/credit-cards.</w:t>
      </w:r>
    </w:p>
    <w:p w14:paraId="3D56E368" w14:textId="77777777" w:rsidR="001F7233" w:rsidRDefault="001F7233">
      <w:pPr>
        <w:spacing w:line="220" w:lineRule="exact"/>
      </w:pPr>
    </w:p>
    <w:p w14:paraId="495EF48F" w14:textId="77777777" w:rsidR="001F7233" w:rsidRDefault="00000000">
      <w:r>
        <w:rPr>
          <w:b/>
        </w:rPr>
        <w:t xml:space="preserve">ACHTUNG: </w:t>
      </w:r>
    </w:p>
    <w:p w14:paraId="5AD8DB61" w14:textId="77777777" w:rsidR="001F7233" w:rsidRDefault="00000000">
      <w:r>
        <w:t>• Stelle nicht mehrere Kreditkartenanträge gleichzeitig, nur um den Aufbau zu beschleunigen. Jede Anfrage hinterlässt eine eigene Spur in der Akte und kann einen gerade erst entstehenden Score kurzfristig eher drücken als stützen.</w:t>
      </w:r>
    </w:p>
    <w:p w14:paraId="4C64F260" w14:textId="77777777" w:rsidR="001F7233" w:rsidRDefault="001F7233">
      <w:pPr>
        <w:spacing w:line="220" w:lineRule="exact"/>
      </w:pPr>
    </w:p>
    <w:p w14:paraId="57B33A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was Angestellte wissen müssen</w:t>
      </w:r>
    </w:p>
    <w:p w14:paraId="11D50A25" w14:textId="77777777" w:rsidR="001F7233" w:rsidRDefault="00000000">
      <w:pPr>
        <w:spacing w:after="140"/>
      </w:pPr>
      <w:r>
        <w:t>Wer nur Lohn oder Gehalt bezieht und dessen PAYE korrekt abgeführt wurde, muss oft überhaupt keine eigene Erklärung abgeben. Das IRD gleicht viele Fälle automatisch ab und meldet sich von sich aus, falls eine Nachzahlung oder Erstattung ansteht. Wer zusätzliche Einkünfte hat – Vermietung, Selbstständigkeit, ausländische Kapitalerträge außer der Transitional-Resident-Befreiung. Muss dagegen aktiv über myIR eine Erklärung einreichen. Bewahre dafür von Anfang an Gehaltsabrechnungen, den Jahresabschluss deines Arbeitgebers und Belege für berufsbezogene Ausgaben sorgfältig auf.</w:t>
      </w:r>
    </w:p>
    <w:p w14:paraId="34F2D6CE" w14:textId="77777777" w:rsidR="001F7233" w:rsidRDefault="00000000">
      <w:pPr>
        <w:spacing w:after="140"/>
      </w:pPr>
      <w:r>
        <w:rPr>
          <w:i/>
          <w:iCs/>
        </w:rPr>
        <w:lastRenderedPageBreak/>
        <w:t>Bei komplexeren Fällen – etwa deutschem Immobilienbesitz, mehreren Einkommensquellen oder Unsicherheit über die eigene Steuerresidenz. Lohnt sich ein registrierter Steuerberater (tax agent, ein bei IRD registrierter Steuerberatungsdienst). Er kennt nicht nur die aktuellen Fristen in myIR. Er kann bei komplizierten Fällen auch mit dem IRD über Zahlungsvereinbarungen oder Fristverlängerungen verhandeln. Ein Aufwand, der sich gerade im ersten neuseeländischen Steuerjahr auszahlt, wenn ohnehin schon vieles neu ist.</w:t>
      </w:r>
    </w:p>
    <w:p w14:paraId="63275A80" w14:textId="77777777" w:rsidR="001F7233" w:rsidRDefault="00000000">
      <w:pPr>
        <w:pStyle w:val="Heading3"/>
      </w:pPr>
      <w:r>
        <w:t>Bankruptcy, NAP oder Debt Repayment Order</w:t>
      </w:r>
    </w:p>
    <w:p w14:paraId="77C7CD25" w14:textId="77777777" w:rsidR="001F7233" w:rsidRDefault="00000000">
      <w:r>
        <w:t>Neuseeländische Privatinsolvenz dauert meist drei Jahre und wird öffentlich registriert. Für manche Menschen mit Schulden unter NZD 50.000 kommen stattdessen No Asset Procedure (ohne verwertbares Vermögen und Rückzahlungsspielraum) oder Debt Repayment Order infrage. Eine NAP dauert meist ein Jahr, ist nur einmal möglich und schließt bestimmte Schulden aus. Ausländische Gläubiger können teils weiter Forderungen verfolgen. Vor dem Umzug mit dem Official Assignee oder einer unabhängigen Budgetberatung klären, ob Schulden und Vermögen in mehreren Ländern betroffen sind. Insolvenz ist kein geplanter Kredit- oder Immobilienkauftrick.</w:t>
      </w:r>
    </w:p>
    <w:p w14:paraId="4715ECD1" w14:textId="77777777" w:rsidR="001F7233" w:rsidRDefault="00000000">
      <w:pPr>
        <w:pStyle w:val="Heading3"/>
      </w:pPr>
      <w:r>
        <w:t>Schuldenhilfe und Kartenbetrug: früh handeln</w:t>
      </w:r>
    </w:p>
    <w:p w14:paraId="2F2AE8D1" w14:textId="77777777" w:rsidR="001F7233" w:rsidRDefault="00000000">
      <w:r>
        <w:t>Bei Geldnot früh mit Bank oder kostenloser Budgetberatung sprechen. Sei vorsichtig bei „Schulden weg“-Versprechen und Gebühren vor einer tatsächlichen Leistung. Für formelle Verfahren helfen Insolvency and Trustee Service oder Budget-Advisory-Service. Eine nicht autorisierte Kartenzahlung sofort Bank/Kartenanbieter melden, Karte sichern und die Fallnummer notieren. Bedingungen und Fristen prüfen; keine Codes oder Passwörter herausgeben.</w:t>
      </w:r>
    </w:p>
    <w:p w14:paraId="1C325A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IRD-Nummer, Steuern, Bank und Kredit aufbauen</w:t>
      </w:r>
    </w:p>
    <w:p w14:paraId="52B6043C" w14:textId="77777777" w:rsidR="001F7233" w:rsidRDefault="00000000">
      <w:r>
        <w:rPr>
          <w:b/>
        </w:rPr>
        <w:t>Plus: IRD-Nummer ist kostenlos</w:t>
      </w:r>
    </w:p>
    <w:p w14:paraId="2BCD4545" w14:textId="77777777" w:rsidR="001F7233" w:rsidRDefault="00000000">
      <w:r>
        <w:rPr>
          <w:b/>
        </w:rPr>
        <w:t xml:space="preserve">Minus: </w:t>
      </w:r>
      <w:r>
        <w:t>Ohne IRD-Nummer bzw. IR330 kann der No-notification-Abzug greifen. Den Satz liest du auf ird.govt.nz</w:t>
      </w:r>
    </w:p>
    <w:p w14:paraId="7CE728E0" w14:textId="77777777" w:rsidR="001F7233" w:rsidRDefault="00000000">
      <w:r>
        <w:rPr>
          <w:b/>
        </w:rPr>
        <w:t>Plus: GST steckt bereits im Preis – keine Überraschung an der Kasse</w:t>
      </w:r>
    </w:p>
    <w:p w14:paraId="4B181E26" w14:textId="77777777" w:rsidR="001F7233" w:rsidRDefault="00000000">
      <w:r>
        <w:rPr>
          <w:b/>
        </w:rPr>
        <w:t xml:space="preserve">Minus: </w:t>
      </w:r>
      <w:r>
        <w:t>Kein Grundfreibetrag: jeder Dollar wird ab dem ersten Cent versteuert</w:t>
      </w:r>
    </w:p>
    <w:p w14:paraId="77496C8C" w14:textId="77777777" w:rsidR="001F7233" w:rsidRDefault="00000000">
      <w:r>
        <w:rPr>
          <w:b/>
        </w:rPr>
        <w:t>Plus: Transitional-Resident-Befreiung schont 48 Monate lang viele ausländische Kapitalerträge</w:t>
      </w:r>
    </w:p>
    <w:p w14:paraId="56D62168" w14:textId="77777777" w:rsidR="001F7233" w:rsidRDefault="00000000">
      <w:r>
        <w:rPr>
          <w:b/>
        </w:rPr>
        <w:t xml:space="preserve">Minus: </w:t>
      </w:r>
      <w:r>
        <w:t>Ausländisches Erwerbseinkommen bleibt von der Befreiung ausgenommen</w:t>
      </w:r>
    </w:p>
    <w:p w14:paraId="6FCC7802" w14:textId="77777777" w:rsidR="001F7233" w:rsidRDefault="00000000">
      <w:r>
        <w:rPr>
          <w:b/>
        </w:rPr>
        <w:t xml:space="preserve">Minus: </w:t>
      </w:r>
      <w:r>
        <w:t>Befristete Arbeitsvisa (z. B. AEWV) schließen KiwiSaver zunächst aus</w:t>
      </w:r>
    </w:p>
    <w:p w14:paraId="1224CDC7" w14:textId="77777777" w:rsidR="001F7233" w:rsidRDefault="00000000">
      <w:r>
        <w:rPr>
          <w:b/>
        </w:rPr>
        <w:t>Plus: Bankkonto lässt sich oft schon aus Deutschland vorbereiten</w:t>
      </w:r>
    </w:p>
    <w:p w14:paraId="28F7183F" w14:textId="77777777" w:rsidR="001F7233" w:rsidRDefault="00000000">
      <w:r>
        <w:rPr>
          <w:b/>
        </w:rPr>
        <w:t xml:space="preserve">Minus: </w:t>
      </w:r>
      <w:r>
        <w:t>Volle Kontofunktion erst nach persönlicher Identitätsprüfung vor Ort</w:t>
      </w:r>
    </w:p>
    <w:p w14:paraId="2A69F145" w14:textId="77777777" w:rsidR="001F7233" w:rsidRDefault="00000000">
      <w:r>
        <w:rPr>
          <w:b/>
        </w:rPr>
        <w:t>Plus: Kostenloser Kreditreport bei allen drei Auskunfteien einsehbar</w:t>
      </w:r>
    </w:p>
    <w:p w14:paraId="3D59A960" w14:textId="77777777" w:rsidR="001F7233" w:rsidRDefault="00000000">
      <w:r>
        <w:rPr>
          <w:b/>
        </w:rPr>
        <w:t xml:space="preserve">Minus: </w:t>
      </w:r>
      <w:r>
        <w:t>Start ohne jede neuseeländische Kredithistorie, Schufa zählt nicht</w:t>
      </w:r>
    </w:p>
    <w:p w14:paraId="33C3A264" w14:textId="77777777" w:rsidR="001F7233" w:rsidRDefault="001F7233">
      <w:pPr>
        <w:spacing w:line="180" w:lineRule="exact"/>
      </w:pPr>
    </w:p>
    <w:p w14:paraId="733999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3D55994" w14:textId="77777777" w:rsidR="001F7233" w:rsidRDefault="00000000">
      <w:pPr>
        <w:spacing w:after="140"/>
      </w:pPr>
      <w:r>
        <w:t xml:space="preserve">Beantrage die IRD-Nummer über myIR, sobald dein Visum verifizierbar ist und reiche sie zusammen mit dem Formular IR330 bei deinem Arbeitgeber ein, bevor die erste Gehaltsabrechnung läuft. Eröffne parallel ein Bankkonto bei einer der vier großen Banken, </w:t>
      </w:r>
      <w:r>
        <w:lastRenderedPageBreak/>
        <w:t>plane aber einen Filialtermin für die vollständige Identitätsprüfung nach der Einreise ein. Kläre deine KiwiSaver-Berechtigung anhand deines Aufenthaltsstatus und beginne unabhängig davon früh mit dem Aufbau deiner neuseeländischen Kreditwürdigkeit. Über pünktliche Rechnungen, eine erste Kreditkarte und einen frühen Blick in deinen kostenlosen Kreditreport.</w:t>
      </w:r>
    </w:p>
    <w:p w14:paraId="2ADA2E27" w14:textId="77777777" w:rsidR="001F7233" w:rsidRDefault="00000000">
      <w:r>
        <w:t>• IRD-Nummer über myIR beantragt („New Arrival to New Zealand“), Visa-Verifizierung abgewartet</w:t>
      </w:r>
    </w:p>
    <w:p w14:paraId="0F29482A" w14:textId="77777777" w:rsidR="001F7233" w:rsidRDefault="00000000">
      <w:r>
        <w:t>• Formular IR330 beim Arbeitgeber eingereicht, bevor die erste Gehaltsabrechnung lief</w:t>
      </w:r>
    </w:p>
    <w:p w14:paraId="3DC23D5D" w14:textId="77777777" w:rsidR="001F7233" w:rsidRDefault="00000000">
      <w:r>
        <w:t>• IRD-Nummer auch bei der Bank hinterlegt, um den hohen Steuerabzug auf Zinsen zu vermeiden</w:t>
      </w:r>
    </w:p>
    <w:p w14:paraId="5FB8E4E9" w14:textId="77777777" w:rsidR="001F7233" w:rsidRDefault="00000000">
      <w:r>
        <w:t>• Einkommensteuerstufen 2026/27 und das Steuerjahr (1. April–31. März) im Kopf</w:t>
      </w:r>
    </w:p>
    <w:p w14:paraId="5332AD76" w14:textId="77777777" w:rsidR="001F7233" w:rsidRDefault="00000000">
      <w:r>
        <w:t>• Eigenen Steuerresidenz-Status (183-Tage-Regel) geprüft</w:t>
      </w:r>
    </w:p>
    <w:p w14:paraId="5A357A82" w14:textId="77777777" w:rsidR="001F7233" w:rsidRDefault="00000000">
      <w:r>
        <w:t>• Transitional-Resident-Befreiung mit Steuerberatung auf deutsche Kapitalerträge/Mieteinnahmen geprüft</w:t>
      </w:r>
    </w:p>
    <w:p w14:paraId="50A9A39E" w14:textId="77777777" w:rsidR="001F7233" w:rsidRDefault="00000000">
      <w:r>
        <w:t>• KiwiSaver-Berechtigung anhand des Aufenthaltsstatus geklärt</w:t>
      </w:r>
    </w:p>
    <w:p w14:paraId="16F6CECD" w14:textId="77777777" w:rsidR="001F7233" w:rsidRDefault="00000000">
      <w:r>
        <w:t>• Bankkonto bei ANZ, ASB, Westpac oder BNZ vorab online beantragt</w:t>
      </w:r>
    </w:p>
    <w:p w14:paraId="15683F41" w14:textId="77777777" w:rsidR="001F7233" w:rsidRDefault="00000000">
      <w:r>
        <w:t>• Filialtermin für die persönliche Identitätsprüfung nach der Einreise eingeplant</w:t>
      </w:r>
    </w:p>
    <w:p w14:paraId="5B4F5D9B" w14:textId="77777777" w:rsidR="001F7233" w:rsidRDefault="00000000">
      <w:r>
        <w:t>• Erste Kreditkarte oder pünktlich gezahlte Rechnungen zum Kreditaufbau genutzt</w:t>
      </w:r>
    </w:p>
    <w:p w14:paraId="0EC6D79B" w14:textId="77777777" w:rsidR="001F7233" w:rsidRDefault="00000000">
      <w:r>
        <w:t>Centrix, Equifax NZ oder Experian (früher illion)</w:t>
      </w:r>
    </w:p>
    <w:p w14:paraId="7D4A160B" w14:textId="77777777" w:rsidR="001F7233" w:rsidRDefault="001F7233">
      <w:pPr>
        <w:spacing w:line="220" w:lineRule="exact"/>
      </w:pPr>
    </w:p>
    <w:p w14:paraId="1E3CA1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7180E6A" w14:textId="77777777" w:rsidR="001F7233" w:rsidRDefault="001F7233">
      <w:pPr>
        <w:pStyle w:val="ListParagraph"/>
        <w:numPr>
          <w:ilvl w:val="0"/>
          <w:numId w:val="1"/>
        </w:numPr>
        <w:spacing w:after="60"/>
      </w:pPr>
      <w:hyperlink r:id="rId1008">
        <w:r>
          <w:rPr>
            <w:color w:val="0563C1"/>
            <w:u w:val="single"/>
          </w:rPr>
          <w:t>ird.govt.nz</w:t>
        </w:r>
      </w:hyperlink>
      <w:r>
        <w:t xml:space="preserve"> – IRD-Nummer, Einkommensteuersätze, GST, Steuerresidenz, KiwiSaver, No-notification-Satz</w:t>
      </w:r>
    </w:p>
    <w:p w14:paraId="10EDC34A" w14:textId="77777777" w:rsidR="001F7233" w:rsidRDefault="001F7233">
      <w:pPr>
        <w:pStyle w:val="ListParagraph"/>
        <w:numPr>
          <w:ilvl w:val="0"/>
          <w:numId w:val="1"/>
        </w:numPr>
        <w:spacing w:after="60"/>
      </w:pPr>
      <w:hyperlink r:id="rId1009">
        <w:r>
          <w:rPr>
            <w:color w:val="0563C1"/>
            <w:u w:val="single"/>
          </w:rPr>
          <w:t>immigration.govt.nz</w:t>
        </w:r>
      </w:hyperlink>
      <w:r>
        <w:t xml:space="preserve"> – Visa-Kategorien und Aufenthaltsrecht als Grundlage der KiwiSaver-Berechtigung</w:t>
      </w:r>
    </w:p>
    <w:p w14:paraId="0C69AC00" w14:textId="77777777" w:rsidR="001F7233" w:rsidRDefault="001F7233">
      <w:pPr>
        <w:pStyle w:val="ListParagraph"/>
        <w:numPr>
          <w:ilvl w:val="0"/>
          <w:numId w:val="1"/>
        </w:numPr>
        <w:spacing w:after="60"/>
      </w:pPr>
      <w:hyperlink r:id="rId1010">
        <w:r>
          <w:rPr>
            <w:rStyle w:val="Hyperlink"/>
          </w:rPr>
          <w:t>centrix.co.nz</w:t>
        </w:r>
      </w:hyperlink>
      <w:r>
        <w:t xml:space="preserve"> / </w:t>
      </w:r>
      <w:hyperlink r:id="rId1011">
        <w:r>
          <w:rPr>
            <w:rStyle w:val="Hyperlink"/>
          </w:rPr>
          <w:t>equifax.co.nz/nz</w:t>
        </w:r>
      </w:hyperlink>
      <w:r>
        <w:t xml:space="preserve"> / </w:t>
      </w:r>
      <w:hyperlink r:id="rId1012">
        <w:r>
          <w:rPr>
            <w:rStyle w:val="Hyperlink"/>
          </w:rPr>
          <w:t>experian.co.nz</w:t>
        </w:r>
      </w:hyperlink>
      <w:r>
        <w:t xml:space="preserve"> (früher illion)</w:t>
      </w:r>
    </w:p>
    <w:p w14:paraId="4CF845BB" w14:textId="77777777" w:rsidR="001F7233" w:rsidRDefault="001F7233">
      <w:pPr>
        <w:pStyle w:val="ListParagraph"/>
        <w:numPr>
          <w:ilvl w:val="0"/>
          <w:numId w:val="1"/>
        </w:numPr>
        <w:spacing w:after="60"/>
      </w:pPr>
      <w:hyperlink r:id="rId1013">
        <w:r>
          <w:rPr>
            <w:color w:val="0563C1"/>
            <w:u w:val="single"/>
          </w:rPr>
          <w:t>anz.co.nz</w:t>
        </w:r>
      </w:hyperlink>
      <w:r>
        <w:t xml:space="preserve"> / </w:t>
      </w:r>
      <w:hyperlink r:id="rId1014">
        <w:r>
          <w:rPr>
            <w:color w:val="0563C1"/>
            <w:u w:val="single"/>
          </w:rPr>
          <w:t>asb.co.nz</w:t>
        </w:r>
      </w:hyperlink>
      <w:r>
        <w:t xml:space="preserve"> / </w:t>
      </w:r>
      <w:hyperlink r:id="rId1015">
        <w:r>
          <w:rPr>
            <w:color w:val="0563C1"/>
            <w:u w:val="single"/>
          </w:rPr>
          <w:t>westpac.co.nz</w:t>
        </w:r>
      </w:hyperlink>
      <w:r>
        <w:t xml:space="preserve"> / </w:t>
      </w:r>
      <w:hyperlink r:id="rId1016">
        <w:r>
          <w:rPr>
            <w:color w:val="0563C1"/>
            <w:u w:val="single"/>
          </w:rPr>
          <w:t>bnz.co.nz</w:t>
        </w:r>
      </w:hyperlink>
      <w:r>
        <w:t xml:space="preserve"> – Kontoeröffnung für Neuankömmlinge</w:t>
      </w:r>
    </w:p>
    <w:p w14:paraId="6B97E694" w14:textId="77777777" w:rsidR="001F7233" w:rsidRDefault="001F7233">
      <w:pPr>
        <w:pStyle w:val="ListParagraph"/>
        <w:numPr>
          <w:ilvl w:val="0"/>
          <w:numId w:val="1"/>
        </w:numPr>
        <w:spacing w:after="60"/>
      </w:pPr>
      <w:hyperlink r:id="rId1017">
        <w:r>
          <w:rPr>
            <w:color w:val="0563C1"/>
            <w:u w:val="single"/>
          </w:rPr>
          <w:t>govt.nz</w:t>
        </w:r>
      </w:hyperlink>
      <w:r>
        <w:t xml:space="preserve"> – unabhängige Verbraucherinformation zu Kreditreports</w:t>
      </w:r>
    </w:p>
    <w:p w14:paraId="3D75BF31" w14:textId="77777777" w:rsidR="001F7233" w:rsidRDefault="001F7233">
      <w:pPr>
        <w:spacing w:line="120" w:lineRule="exact"/>
      </w:pPr>
    </w:p>
    <w:p w14:paraId="6934855A" w14:textId="77777777" w:rsidR="001F7233" w:rsidRDefault="00000000">
      <w:pPr>
        <w:pStyle w:val="ListParagraph"/>
      </w:pPr>
      <w:r>
        <w:t xml:space="preserve">Insolvency and Trustee Service — bankruptcy and debt options: </w:t>
      </w:r>
      <w:hyperlink r:id="rId1018">
        <w:r w:rsidR="001F7233">
          <w:rPr>
            <w:rStyle w:val="Hyperlink"/>
          </w:rPr>
          <w:t>insolvency.govt.nz/personal-debt/</w:t>
        </w:r>
      </w:hyperlink>
      <w:r>
        <w:t xml:space="preserve">; NAP: </w:t>
      </w:r>
      <w:hyperlink r:id="rId1019">
        <w:r w:rsidR="001F7233">
          <w:rPr>
            <w:rStyle w:val="Hyperlink"/>
          </w:rPr>
          <w:t>insolvency.govt.nz/personal-debt/no-asset-procedures</w:t>
        </w:r>
      </w:hyperlink>
    </w:p>
    <w:p w14:paraId="1EECC3A3" w14:textId="77777777" w:rsidR="001F7233" w:rsidRDefault="00000000">
      <w:pPr>
        <w:pStyle w:val="ListParagraph"/>
      </w:pPr>
      <w:r>
        <w:t xml:space="preserve">New Zealand Consumer Protection — debt collection: </w:t>
      </w:r>
      <w:hyperlink r:id="rId1020">
        <w:r w:rsidR="001F7233">
          <w:rPr>
            <w:rStyle w:val="Hyperlink"/>
          </w:rPr>
          <w:t>consumerprotection.govt.nz/help-product-service/borrowing-money/debt-collection-repossession</w:t>
        </w:r>
      </w:hyperlink>
    </w:p>
    <w:p w14:paraId="7C19F3F1" w14:textId="77777777" w:rsidR="001F7233" w:rsidRDefault="00000000">
      <w:r>
        <w:t>• Quellen- und Datenstand: September 2026; Redaktionsschluss: Oktober 2026. Steuersätze, die GST, der No-notification-Abzug und der KiwiSaver-Satz stehen auf ird.govt.nz. Dieses Kapitel druckt sie nicht. Prüfe sie, bevor du zahlst oder kündigst.</w:t>
      </w:r>
    </w:p>
    <w:p w14:paraId="0AB05971" w14:textId="77777777" w:rsidR="001F7233" w:rsidRDefault="00000000">
      <w:pPr>
        <w:spacing w:line="220" w:lineRule="exact"/>
      </w:pPr>
      <w:r>
        <w:br w:type="page"/>
      </w:r>
    </w:p>
    <w:p w14:paraId="2A640551" w14:textId="77777777" w:rsidR="001F7233" w:rsidRDefault="00000000">
      <w:pPr>
        <w:pStyle w:val="Heading2"/>
        <w:keepNext/>
        <w:spacing w:line="341" w:lineRule="auto"/>
        <w:jc w:val="center"/>
      </w:pPr>
      <w:bookmarkStart w:id="138" w:name="tnz08"/>
      <w:r>
        <w:rPr>
          <w:rFonts w:ascii="Amazon Ember" w:eastAsia="Amazon Ember" w:hAnsi="Amazon Ember" w:cs="Amazon Ember"/>
          <w:color w:val="0000FF"/>
          <w:sz w:val="36"/>
          <w:szCs w:val="36"/>
        </w:rPr>
        <w:lastRenderedPageBreak/>
        <w:t>Neuseeland: Das Gesundheitssystem</w:t>
      </w:r>
      <w:bookmarkEnd w:id="138"/>
    </w:p>
    <w:p w14:paraId="5A2CAFEB" w14:textId="77777777" w:rsidR="001F7233" w:rsidRDefault="00000000">
      <w:r>
        <w:rPr>
          <w:b/>
        </w:rPr>
        <w:t xml:space="preserve">KURZ GESAGT: </w:t>
      </w:r>
    </w:p>
    <w:p w14:paraId="7F65ACC0" w14:textId="77777777" w:rsidR="001F7233" w:rsidRDefault="00000000">
      <w:r>
        <w:t>• Zugang zur öffentlichen Gesundheitsversorgung hängt nicht von deiner Staatsangehörigkeit ab, sondern von der Laufzeit deines Visums: Ab 2 Jahren oder länger giltst du ab dem ersten Tag als berechtigt.</w:t>
      </w:r>
    </w:p>
    <w:p w14:paraId="7AA12E8B" w14:textId="77777777" w:rsidR="001F7233" w:rsidRDefault="00000000">
      <w:r>
        <w:t>• Kürzere Visa – Working Holiday, die meisten Studienvisa, ein AEWV unter 2 Jahren. Geben keinen automatischen Zugang; du brauchst eine private Übergangsversicherung.</w:t>
      </w:r>
    </w:p>
    <w:p w14:paraId="148380D0" w14:textId="77777777" w:rsidR="001F7233" w:rsidRDefault="00000000">
      <w:r>
        <w:t>• Anbieter wie Southern Cross und nib bieten entsprechende Policen. Grobe Richtwerte liegen bei 50 bis 120 NZD im Monat, je nach Deckungsumfang, plus Wartezeiten für nicht-akute Behandlungen.</w:t>
      </w:r>
    </w:p>
    <w:p w14:paraId="13F157D9" w14:textId="77777777" w:rsidR="001F7233" w:rsidRDefault="00000000">
      <w:r>
        <w:t>• ACC (Accident Compensation Corporation, die staatliche Unfallversicherungsanstalt) deckt Unfallverletzungen für jeden in Neuseeland ab. Unabhängig vom Aufenthaltsstatus, sogar für Touristen.</w:t>
      </w:r>
    </w:p>
    <w:p w14:paraId="2CC3E0B9" w14:textId="77777777" w:rsidR="001F7233" w:rsidRDefault="00000000">
      <w:r>
        <w:t>• Im Gegenzug für die ACC-Deckung gibt es meist kein Klagerecht auf Schadensersatz bei Personenschäden. Ein Systemunterschied, der viele Deutsche überrascht.</w:t>
      </w:r>
    </w:p>
    <w:p w14:paraId="7190D838" w14:textId="77777777" w:rsidR="001F7233" w:rsidRDefault="00000000">
      <w:r>
        <w:t>• Finanziert wird ACC unter anderem über die Earner’s Levy (Arbeitnehmerbeitrag), ab dem 1. April 2026 1,75 % deines Einkommens, gedeckelt bei 156.641 NZD im Jahr.</w:t>
      </w:r>
    </w:p>
    <w:p w14:paraId="5CC3D354" w14:textId="77777777" w:rsidR="001F7233" w:rsidRDefault="001F7233">
      <w:pPr>
        <w:spacing w:line="220" w:lineRule="exact"/>
      </w:pPr>
    </w:p>
    <w:p w14:paraId="5F8F28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Zwei-Jahres-Test statt eines Abkommens</w:t>
      </w:r>
    </w:p>
    <w:p w14:paraId="120F323F" w14:textId="77777777" w:rsidR="001F7233" w:rsidRDefault="00000000">
      <w:pPr>
        <w:spacing w:after="140"/>
      </w:pPr>
      <w:r>
        <w:t xml:space="preserve">Wer aus Deutschland kommt, denkt beim Wort „öffentliches Gesundheitssystem“ schnell an etwas, das einfach da ist, sobald man gemeldet und krankenversichert ist. Neuseeland tickt anders. Die entscheidende Stellschraube ist nicht deine Herkunft, sondern die Laufzeit deines Visums. Wer ein Visum für 2 Jahre oder länger hat. </w:t>
      </w:r>
      <w:r>
        <w:lastRenderedPageBreak/>
        <w:t>Gerechnet ab dem ersten Tag in Neuseeland, wobei bereits vor Ort verbrachte Zeit mitzählt –, ist ab diesem ersten Tag für subventionierte öffentliche Gesundheitsleistungen berechtigt. Wer darunterliegt, ist es in aller Regel nicht.</w:t>
      </w:r>
    </w:p>
    <w:p w14:paraId="6C076164" w14:textId="77777777" w:rsidR="001F7233" w:rsidRDefault="00000000">
      <w:pPr>
        <w:spacing w:after="140"/>
      </w:pPr>
      <w:r>
        <w:t>Verbreiteter Irrtum: Viele Neuankömmlinge übertragen unbewusst das Muster europäischer Sozialversicherungsabkommen oder gehen davon aus, ein Land mit „NHS-artigem“ Ruf behandle automatisch jeden, der lange genug bleibt. Neuseeland kennt aber kein Gegenseitigkeitsabkommen mit Deutschland und auch keine automatische Wartefrist nach Einreisedatum wie in manchen kanadischen Provinzen. Es zählt einzig und allein die bewilligte Visumlaufzeit zum Zeitpunkt der Einreise. Dieses Kriterium lässt sich leicht selbst nachrechnen, bevor man sich auf Erzählungen von Bekannten verlässt.</w:t>
      </w:r>
    </w:p>
    <w:p w14:paraId="7230369B" w14:textId="77777777" w:rsidR="001F7233" w:rsidRDefault="00000000">
      <w:r>
        <w:rPr>
          <w:b/>
        </w:rPr>
        <w:t xml:space="preserve">MERKE: </w:t>
      </w:r>
    </w:p>
    <w:p w14:paraId="3EABCD1F" w14:textId="77777777" w:rsidR="001F7233" w:rsidRDefault="00000000">
      <w:r>
        <w:t>• Frage nicht „Wie lange bin ich schon hier?“, sondern „Wie lange gilt mein Visum insgesamt?“. Für den Zugang zum öffentlichen System zählt die bewilligte Gesamtlaufzeit, nicht deine tatsächliche Aufenthaltsdauer bis zu einem bestimmten Stichtag.</w:t>
      </w:r>
    </w:p>
    <w:p w14:paraId="5FE8FEFE" w14:textId="77777777" w:rsidR="001F7233" w:rsidRDefault="001F7233">
      <w:pPr>
        <w:spacing w:line="220" w:lineRule="exact"/>
      </w:pPr>
    </w:p>
    <w:p w14:paraId="088B43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sofort abgesichert ist – und wer nicht</w:t>
      </w:r>
    </w:p>
    <w:p w14:paraId="619E993A" w14:textId="77777777" w:rsidR="001F7233" w:rsidRDefault="00000000">
      <w:r>
        <w:rPr>
          <w:b/>
        </w:rPr>
        <w:t>Resident Visa (z. B. Skilled Migrant Category)</w:t>
      </w:r>
    </w:p>
    <w:p w14:paraId="1C6936C4" w14:textId="77777777" w:rsidR="001F7233" w:rsidRDefault="00000000">
      <w:r>
        <w:rPr>
          <w:b/>
        </w:rPr>
        <w:t xml:space="preserve">Öffentlicher Zugang: </w:t>
      </w:r>
      <w:r>
        <w:t>Ja, ab Ankunft</w:t>
      </w:r>
    </w:p>
    <w:p w14:paraId="0B66B7E0" w14:textId="77777777" w:rsidR="001F7233" w:rsidRDefault="00000000">
      <w:r>
        <w:rPr>
          <w:b/>
        </w:rPr>
        <w:t xml:space="preserve">Was du brauchst: </w:t>
      </w:r>
      <w:r>
        <w:t>Nachweis bei der Praxis/Klinik</w:t>
      </w:r>
    </w:p>
    <w:p w14:paraId="7EA8C877" w14:textId="77777777" w:rsidR="001F7233" w:rsidRDefault="00000000">
      <w:r>
        <w:rPr>
          <w:b/>
        </w:rPr>
        <w:t>AEWV mit 2 Jahren Laufzeit oder mehr</w:t>
      </w:r>
    </w:p>
    <w:p w14:paraId="2C1F70FF" w14:textId="77777777" w:rsidR="001F7233" w:rsidRDefault="00000000">
      <w:r>
        <w:rPr>
          <w:b/>
        </w:rPr>
        <w:t xml:space="preserve">Öffentlicher Zugang: </w:t>
      </w:r>
      <w:r>
        <w:t>Ja, ab dem ersten Tag</w:t>
      </w:r>
    </w:p>
    <w:p w14:paraId="4D3EB28A" w14:textId="77777777" w:rsidR="001F7233" w:rsidRDefault="00000000">
      <w:r>
        <w:rPr>
          <w:b/>
        </w:rPr>
        <w:t xml:space="preserve">Was du brauchst: </w:t>
      </w:r>
      <w:r>
        <w:t>Visumsnachweis, ggf. bereits in NZ verbrachte Zeit anrechnen lassen</w:t>
      </w:r>
    </w:p>
    <w:p w14:paraId="7954320B" w14:textId="77777777" w:rsidR="001F7233" w:rsidRDefault="00000000">
      <w:r>
        <w:rPr>
          <w:b/>
        </w:rPr>
        <w:t>AEWV unter 2 Jahren</w:t>
      </w:r>
    </w:p>
    <w:p w14:paraId="2E10CF00" w14:textId="77777777" w:rsidR="001F7233" w:rsidRDefault="00000000">
      <w:r>
        <w:rPr>
          <w:b/>
        </w:rPr>
        <w:t xml:space="preserve">Öffentlicher Zugang: </w:t>
      </w:r>
      <w:r>
        <w:t>Nein</w:t>
      </w:r>
    </w:p>
    <w:p w14:paraId="55E20858" w14:textId="77777777" w:rsidR="001F7233" w:rsidRDefault="00000000">
      <w:r>
        <w:rPr>
          <w:b/>
        </w:rPr>
        <w:lastRenderedPageBreak/>
        <w:t xml:space="preserve">Was du brauchst: </w:t>
      </w:r>
      <w:r>
        <w:t>Private Übergangsversicherung</w:t>
      </w:r>
    </w:p>
    <w:p w14:paraId="5B66ED89" w14:textId="77777777" w:rsidR="001F7233" w:rsidRDefault="00000000">
      <w:r>
        <w:rPr>
          <w:b/>
        </w:rPr>
        <w:t>Working Holiday Visa</w:t>
      </w:r>
    </w:p>
    <w:p w14:paraId="16B38B3F" w14:textId="77777777" w:rsidR="001F7233" w:rsidRDefault="00000000">
      <w:r>
        <w:rPr>
          <w:b/>
        </w:rPr>
        <w:t xml:space="preserve">Öffentlicher Zugang: </w:t>
      </w:r>
      <w:r>
        <w:t>Nein</w:t>
      </w:r>
    </w:p>
    <w:p w14:paraId="00F1A7A3" w14:textId="77777777" w:rsidR="001F7233" w:rsidRDefault="00000000">
      <w:r>
        <w:rPr>
          <w:b/>
        </w:rPr>
        <w:t xml:space="preserve">Was du brauchst: </w:t>
      </w:r>
      <w:r>
        <w:t>Vollständige private Krankenversicherung, oft ohnehin Visumsvoraussetzung</w:t>
      </w:r>
    </w:p>
    <w:p w14:paraId="51B8D116" w14:textId="77777777" w:rsidR="001F7233" w:rsidRDefault="00000000">
      <w:r>
        <w:rPr>
          <w:b/>
        </w:rPr>
        <w:t>Fee Paying Student Visa</w:t>
      </w:r>
    </w:p>
    <w:p w14:paraId="3A3A0DAA" w14:textId="77777777" w:rsidR="001F7233" w:rsidRDefault="00000000">
      <w:r>
        <w:rPr>
          <w:b/>
        </w:rPr>
        <w:t xml:space="preserve">Öffentlicher Zugang: </w:t>
      </w:r>
      <w:r>
        <w:t>Nein</w:t>
      </w:r>
    </w:p>
    <w:p w14:paraId="602AFB70" w14:textId="77777777" w:rsidR="001F7233" w:rsidRDefault="00000000">
      <w:r>
        <w:rPr>
          <w:b/>
        </w:rPr>
        <w:t xml:space="preserve">Was du brauchst: </w:t>
      </w:r>
      <w:r>
        <w:t>Private Krankenversicherung für die Studiendauer</w:t>
      </w:r>
    </w:p>
    <w:p w14:paraId="6BFCD8DE" w14:textId="77777777" w:rsidR="001F7233" w:rsidRDefault="001F7233">
      <w:pPr>
        <w:spacing w:line="180" w:lineRule="exact"/>
      </w:pPr>
    </w:p>
    <w:p w14:paraId="5E18AD0A" w14:textId="77777777" w:rsidR="001F7233" w:rsidRDefault="001F7233">
      <w:pPr>
        <w:spacing w:line="220" w:lineRule="exact"/>
      </w:pPr>
    </w:p>
    <w:p w14:paraId="73B34427" w14:textId="77777777" w:rsidR="001F7233" w:rsidRDefault="00000000">
      <w:pPr>
        <w:spacing w:after="140"/>
      </w:pPr>
      <w:r>
        <w:t>Die Nachweispflicht gilt bei jedem Arztbesuch: Ohne belegten Zugang zum öffentlichen System rechnet die Praxis privat ab, auch wenn du eigentlich berechtigt gewesen wärst, es nur noch nicht nachgewiesen hast. Kläre deinen Status deshalb am besten schon beim ersten Termin, nicht erst, wenn die Rechnung kommt.</w:t>
      </w:r>
    </w:p>
    <w:p w14:paraId="3F4A7F1C" w14:textId="77777777" w:rsidR="001F7233" w:rsidRDefault="00000000">
      <w:pPr>
        <w:spacing w:after="140"/>
      </w:pPr>
      <w:r>
        <w:t>Ein Detail lohnt sich für alle, die zunächst mit einem kürzeren Visum eingereist sind und später verlängern oder wechseln: Für die Zwei-Jahres-Schwelle zählt nicht nur die Laufzeit des aktuellen Visums allein. Sie zählt die bereits in Neuseeland verbrachte Zeit plus die verbleibende Visumdauer zusammengerechnet. Wer etwa anderthalb Jahre mit einem kürzeren AEWV gearbeitet hat und danach ein neues Visum mit mindestens einem weiteren halben Jahr Laufzeit erhält, kann die Schwelle so rechnerisch doch noch erreichen, ohne dass der Zugang komplett neu beginnt. Lass dir diese Rechnung im Zweifel direkt von Immigration New Zealand oder deiner Hausarztpraxis bestätigen, statt sie selbst zu schätzen.</w:t>
      </w:r>
    </w:p>
    <w:p w14:paraId="27FB213A" w14:textId="77777777" w:rsidR="001F7233" w:rsidRDefault="00000000">
      <w:r>
        <w:rPr>
          <w:b/>
        </w:rPr>
        <w:t xml:space="preserve">ACHTUNG: </w:t>
      </w:r>
    </w:p>
    <w:p w14:paraId="68366F8E" w14:textId="77777777" w:rsidR="001F7233" w:rsidRDefault="00000000">
      <w:r>
        <w:t>• Verlass dich bei dieser Berechnung nicht auf eigene Näherungen. Schon wenige fehlende Wochen können darüber entscheiden, ob eine Behandlung öffentlich abgerechnet wird oder du die volle private Rechnung trägst. Im Zweifel lohnt sich ein kurzer Anruf beim Praxisteam oder bei Immigration New Zealand, bevor ein größerer Eingriff ansteht.</w:t>
      </w:r>
    </w:p>
    <w:p w14:paraId="0B62915A" w14:textId="77777777" w:rsidR="001F7233" w:rsidRDefault="001F7233">
      <w:pPr>
        <w:spacing w:line="220" w:lineRule="exact"/>
      </w:pPr>
    </w:p>
    <w:p w14:paraId="5F6ED9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Zusatzversicherung für die Übergangszeit</w:t>
      </w:r>
    </w:p>
    <w:p w14:paraId="3A951941" w14:textId="77777777" w:rsidR="001F7233" w:rsidRDefault="00000000">
      <w:pPr>
        <w:spacing w:after="140"/>
      </w:pPr>
      <w:r>
        <w:t xml:space="preserve">Wer unter der Zwei-Jahres-Schwelle bleibt, braucht durchgehend eine private Krankenversicherung – bei einem Working-Holiday-Visum ist eine umfassende Police ohnehin meist Voraussetzung für die Visumerteilung selbst (mehr dazu im </w:t>
      </w:r>
      <w:hyperlink w:anchor="tnz05">
        <w:r w:rsidR="001F7233">
          <w:rPr>
            <w:color w:val="0563C1"/>
            <w:u w:val="single"/>
          </w:rPr>
          <w:t>Kapitel zu Antrag, Botschaft und Kosten in diesem Teil</w:t>
        </w:r>
      </w:hyperlink>
      <w:r>
        <w:t>). Die beiden bekanntesten Anbieter sind Southern Cross, nach mehreren Quellen der mit Abstand größte neuseeländische Krankenversicherer, und nib als zweitgrößter Anbieter. Die Produktpalette reicht von schlanken Operationspolicen bis zu umfassenden Paketen inklusive Hausarzt und Zahnarzt.</w:t>
      </w:r>
    </w:p>
    <w:p w14:paraId="04F69800" w14:textId="77777777" w:rsidR="001F7233" w:rsidRDefault="00000000">
      <w:pPr>
        <w:spacing w:after="140"/>
      </w:pPr>
      <w:r>
        <w:t>Als grobe Richtwerte für eine gesunde Einzelperson nennen Vergleichsportale und mehrere unabhängig recherchierte Anbieter monatliche Prämien von rund 50 bis 80 NZD für eine Basis-Operationspolice. Ein umfassenderer Krankenhausplan mit etwa 500 NZD Selbstbehalt kostet demnach 80 bis 120 NZD. Für ein Rundum-Paket mit Hausarzt- und Zahnarztleistungen liegen die genannten Preise bei 150 bis 250 NZD. Tarife hängen stark von Alter, Leistung und Selbstbehalt ab; vergleiche konkrete Angebote.</w:t>
      </w:r>
    </w:p>
    <w:p w14:paraId="0331F31F" w14:textId="77777777" w:rsidR="001F7233" w:rsidRDefault="00000000">
      <w:r>
        <w:rPr>
          <w:b/>
        </w:rPr>
        <w:t xml:space="preserve">ACHTUNG: </w:t>
      </w:r>
    </w:p>
    <w:p w14:paraId="2E48ABCD" w14:textId="77777777" w:rsidR="001F7233" w:rsidRDefault="00000000">
      <w:r>
        <w:t>• Für nicht-akute Behandlungen gelten bei privaten Policen typischerweise Wartezeiten von 2 bis 6 Monaten, bei Vorerkrankungen sind Ausschlüsse von 3 bis 5 Jahren keine Seltenheit. Vergleiche vor dem Abschluss im Detail, was ab wann tatsächlich gedeckt ist. Ein Vertrag, der erst nach deinem geplanten Eingriff greift, hilft dir wenig.</w:t>
      </w:r>
    </w:p>
    <w:p w14:paraId="34F3B284" w14:textId="77777777" w:rsidR="001F7233" w:rsidRDefault="001F7233">
      <w:pPr>
        <w:spacing w:line="220" w:lineRule="exact"/>
      </w:pPr>
    </w:p>
    <w:p w14:paraId="041430AC" w14:textId="77777777" w:rsidR="001F7233" w:rsidRDefault="00000000">
      <w:r>
        <w:rPr>
          <w:b/>
        </w:rPr>
        <w:lastRenderedPageBreak/>
        <w:t xml:space="preserve">SPARTIPP: </w:t>
      </w:r>
    </w:p>
    <w:p w14:paraId="159BEB3D" w14:textId="77777777" w:rsidR="001F7233" w:rsidRDefault="00000000">
      <w:r>
        <w:t>• Schließe die private Übergangsversicherung nach Möglichkeit schon aus Deutschland ab, mit Vertragsbeginn zum Ankunftstag. So entsteht keine Lücke zwischen Abflug und dem frühestmöglichen Vertragsbeginn vor Ort und du musst dich in der turbulenten ersten Woche nicht auch noch um diesen Papierkram kümmern.</w:t>
      </w:r>
    </w:p>
    <w:p w14:paraId="199C31D8" w14:textId="77777777" w:rsidR="001F7233" w:rsidRDefault="001F7233">
      <w:pPr>
        <w:spacing w:line="220" w:lineRule="exact"/>
      </w:pPr>
    </w:p>
    <w:p w14:paraId="1830E52B" w14:textId="77777777" w:rsidR="001F7233" w:rsidRDefault="00000000">
      <w:pPr>
        <w:spacing w:after="140"/>
      </w:pPr>
      <w:r>
        <w:t>Auch wer die Zwei-Jahres-Schwelle erreicht, ist mit dem öffentlichen System allein nicht vollständig abgesichert. Zahnbehandlung für Erwachsene, viele Sehhilfen und planbare, nicht dringende Operationen mit langer Warteliste bleiben typische Lücken. Größere Arbeitgeber bieten deshalb nicht selten eine betriebliche Krankenzusatzversicherung als Teil des Gehaltspakets an, oft über dieselben Anbieter wie Southern Cross oder nib, nur zu Gruppenkonditionen. Frage im Bewerbungsgespräch gezielt danach, bevor du selbst einen zusätzlichen privaten Vertrag abschließt. Doppelte Deckung kostet doppelt, ohne doppelten Nutzen zu bringen.</w:t>
      </w:r>
    </w:p>
    <w:p w14:paraId="26D450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 die Unfallversicherung, die für alle gilt</w:t>
      </w:r>
    </w:p>
    <w:p w14:paraId="3A2E97CF" w14:textId="77777777" w:rsidR="001F7233" w:rsidRDefault="00000000">
      <w:pPr>
        <w:spacing w:after="140"/>
      </w:pPr>
      <w:r>
        <w:rPr>
          <w:i/>
          <w:iCs/>
        </w:rPr>
        <w:t>Hier wird es für deutsche Leser ungewohnt: ACC ist Neuseelands alleiniger, staatlicher, verpflichtender Unfallversicherer. Er deckt buchstäblich jeden, der sich in Neuseeland aufhält, egal ob Staatsbürger, Resident, befristeter Visuminhaber, Working-Holiday-Reisender, Kind, Rentner oder Tourist auf Durchreise. Wer sich bei einer Wanderung den Knöchel verstaucht, beim Radfahren stürzt oder bei der Arbeit verletzt wird, bekommt die notwendige Behandlung über ACC finanziert. Unabhängig davon, wer den Unfall verschuldet hat.</w:t>
      </w:r>
    </w:p>
    <w:p w14:paraId="2882A728" w14:textId="77777777" w:rsidR="001F7233" w:rsidRDefault="00000000">
      <w:pPr>
        <w:spacing w:after="140"/>
      </w:pPr>
      <w:r>
        <w:t xml:space="preserve">Genau dieses No-Fault-Prinzip ist die Kehrseite der Medaille: Im Gegenzug für die verschuldensunabhängige Deckung ist eine </w:t>
      </w:r>
      <w:r>
        <w:lastRenderedPageBreak/>
        <w:t>zivilrechtliche Klage auf Schadensersatz bei Personenschäden in Neuseeland meist ausgeschlossen. Es gibt enge Ausnahmen, etwa „exemplary damages“ bei besonders vorwerfbarem Verhalten. Der große Regelfall – „ich verklage den Unfallverursacher auf Schmerzensgeld“. Existiert in dieser Form aber schlicht nicht.</w:t>
      </w:r>
    </w:p>
    <w:p w14:paraId="375383E5" w14:textId="77777777" w:rsidR="001F7233" w:rsidRDefault="00000000">
      <w:r>
        <w:rPr>
          <w:b/>
        </w:rPr>
        <w:t xml:space="preserve">MERKE: </w:t>
      </w:r>
    </w:p>
    <w:p w14:paraId="19F7C448" w14:textId="77777777" w:rsidR="001F7233" w:rsidRDefault="00000000">
      <w:r>
        <w:t>• ACC ersetzt private Haftpflicht- und Unfallklagen bei Personenschäden vollständig. Was in Deutschland klar über eine private Haftpflichtversicherung oder eine Klage läuft, läuft in Neuseeland nur über ACC. Dafür meist unbürokratischer und ohne jahrelangen Rechtsstreit, aber eben auch ohne die Möglichkeit, auf zusätzlichen Schadensersatz zu klagen.</w:t>
      </w:r>
    </w:p>
    <w:p w14:paraId="5131BAB3" w14:textId="77777777" w:rsidR="001F7233" w:rsidRDefault="001F7233">
      <w:pPr>
        <w:spacing w:line="220" w:lineRule="exact"/>
      </w:pPr>
    </w:p>
    <w:p w14:paraId="7BD435DF" w14:textId="77777777" w:rsidR="001F7233" w:rsidRDefault="001F7233">
      <w:pPr>
        <w:spacing w:line="220" w:lineRule="exact"/>
      </w:pPr>
    </w:p>
    <w:p w14:paraId="1723ABD8" w14:textId="77777777" w:rsidR="001F7233" w:rsidRDefault="00000000">
      <w:pPr>
        <w:spacing w:after="140"/>
      </w:pPr>
      <w:r>
        <w:rPr>
          <w:i/>
          <w:iCs/>
        </w:rPr>
        <w:t>Finanziert wird ACC über mehrere Abgaben, von denen für Arbeitnehmer vor allem die Earner’s Levy (der Arbeitnehmerbeitrag zur Unfallversicherung) zählt. Sie beträgt ab dem 1. April 2026 1,75 % deines beitragspflichtigen Einkommens (zuvor 1,67 %), automatisch über die Lohnabrechnung einbehalten. Sie ist gedeckelt bei einem Jahreseinkommen von 156.641 NZD (zuvor 152.790 NZD). Weitere Abgaben – etwa eine Work Levy für Arbeitgeber oder eine Levy auf Kfz-Zulassungen. Kommen hinzu, sind für den einzelnen Arbeitnehmer aber nicht unmittelbar auf der eigenen Gehaltsabrechnung sichtbar.</w:t>
      </w:r>
    </w:p>
    <w:p w14:paraId="4E842C73" w14:textId="77777777" w:rsidR="001F7233" w:rsidRDefault="00000000">
      <w:r>
        <w:rPr>
          <w:b/>
        </w:rPr>
        <w:t xml:space="preserve">ACHTUNG: </w:t>
      </w:r>
    </w:p>
    <w:p w14:paraId="3FAA0D59" w14:textId="77777777" w:rsidR="001F7233" w:rsidRDefault="00000000">
      <w:r>
        <w:t>• ACC deckt Unfälle und Verletzungen, nicht aber gewöhnliche Krankheiten. Eine Grippe, eine chronische Erkrankung oder eine notwendige Operation ohne Unfallursache läuft weiterhin über das öffentliche Gesundheitssystem oder deine private Krankenversicherung. ACC ist eine wichtige Ergänzung, aber kein Ersatz für Krankenversicherungsschutz.</w:t>
      </w:r>
    </w:p>
    <w:p w14:paraId="79CED370" w14:textId="77777777" w:rsidR="001F7233" w:rsidRDefault="001F7233">
      <w:pPr>
        <w:spacing w:line="220" w:lineRule="exact"/>
      </w:pPr>
    </w:p>
    <w:p w14:paraId="0E92742A" w14:textId="77777777" w:rsidR="001F7233" w:rsidRDefault="00000000">
      <w:pPr>
        <w:spacing w:after="140"/>
      </w:pPr>
      <w:r>
        <w:t xml:space="preserve">In der Praxis musst du einen ACC-Antrag selten selbst aufsetzen. Die behandelnde Hausarztpraxis, Notaufnahme oder Physiotherapie meldet eine Unfallverletzung in aller Regel direkt bei ACC an, sobald du den Unfallhergang schilderst. Für dich bleibt vor allem, den </w:t>
      </w:r>
      <w:r>
        <w:lastRenderedPageBreak/>
        <w:t>Hergang möglichst genau zu beschreiben und, falls Arbeitsunfähigkeit entsteht, den entsprechenden Nachweis für die Lohnfortzahlung über ACC einzureichen. Wer sich unsicher ist, ob ein Vorfall als Unfall im Sinne von ACC zählt, fragt am besten direkt bei der Behandlungsstelle nach, statt selbst zu spekulieren.</w:t>
      </w:r>
    </w:p>
    <w:p w14:paraId="237F28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beim Arzt: Hausarzt, Notaufnahme, Notruf</w:t>
      </w:r>
    </w:p>
    <w:p w14:paraId="60334EA8" w14:textId="77777777" w:rsidR="001F7233" w:rsidRDefault="00000000">
      <w:pPr>
        <w:spacing w:after="140"/>
      </w:pPr>
      <w:r>
        <w:rPr>
          <w:i/>
          <w:iCs/>
        </w:rPr>
        <w:t>Auch mit öffentlichem Zugang ist ein Arztbesuch in Neuseeland nicht automatisch kostenlos. Ein Hausarzt (General Practitioner, GP) ist meist über eine Primary Health Organisation (PHO, ein regionaler Verbund von Hausarztpraxen, der die staatliche Förderung verwaltet) organisiert. Die Praxisgebühr pro Termin wird durch die staatliche Förderung gesenkt, fällt aber in den meisten Fällen nicht komplett weg. Wie hoch die Zuzahlung tatsächlich ausfällt, hängt von der einzelnen Praxis, deinem Alter und falls nötig einer Community Services Card (einer Ermäßigungskarte für Menschen mit niedrigem Einkommen) ab. Verlässliche, bundesweit einheitliche Zahlen gibt es dafür nicht. Frage am besten direkt bei der Praxis nach der aktuellen Gebühr.</w:t>
      </w:r>
    </w:p>
    <w:p w14:paraId="2B5D669D" w14:textId="77777777" w:rsidR="001F7233" w:rsidRDefault="00000000">
      <w:pPr>
        <w:spacing w:after="140"/>
      </w:pPr>
      <w:r>
        <w:t>Die Anmeldung bei einer Hausarztpraxis läuft über ein einfaches Enrolment-Formular der Praxis selbst. Du brauchst dafür meist einen Adressnachweis und den Beleg deiner Berechtigung zum öffentlichen System. Anders als beim deutschen Kassenarztsystem bist du danach nicht strikt an diese eine Praxis gebunden. Ein Wechsel ist möglich, sollte aber nicht leichtfertig alle paar Monate erfolgen, weil manche Praxen bei Neuanmeldungen wartelisten und ein häufiger Wechsel die eigene Behandlungshistorie zersplittert.</w:t>
      </w:r>
    </w:p>
    <w:p w14:paraId="393657DF" w14:textId="77777777" w:rsidR="001F7233" w:rsidRDefault="00000000">
      <w:pPr>
        <w:spacing w:after="140"/>
      </w:pPr>
      <w:r>
        <w:t xml:space="preserve">Öffentliche Krankenhäuser behandeln bei echten Notfällen jeden, unabhängig vom Versicherungsstatus. Wer nicht öffentlich berechtigt oder privat versichert ist, bekommt die Rechnung im Nachgang gestellt. Für planbare, nicht dringende Eingriffe existieren </w:t>
      </w:r>
      <w:r>
        <w:lastRenderedPageBreak/>
        <w:t>wie in vielen öffentlichen Systemen Wartelisten, deren Länge stark nach Region und Fachrichtung schwankt und sich laufend ändert.</w:t>
      </w:r>
    </w:p>
    <w:p w14:paraId="74D5E0BF" w14:textId="77777777" w:rsidR="001F7233" w:rsidRDefault="00000000">
      <w:pPr>
        <w:spacing w:after="140"/>
      </w:pPr>
      <w:r>
        <w:rPr>
          <w:b/>
          <w:bCs/>
        </w:rPr>
        <w:t>Für echte Notfälle gilt landesweit der Notruf 111, der Feuerwehr, Polizei und Rettungsdienst gleichermaßen erreicht. Für dringende, aber nicht lebensbedrohliche Fragen bieten manche Regionen auch eine telefonische Gesundheitsberatung an. Erkundige dich nach der Ankunft, welches Angebot in deiner Region existiert.</w:t>
      </w:r>
    </w:p>
    <w:p w14:paraId="4C1BFE51" w14:textId="77777777" w:rsidR="001F7233" w:rsidRDefault="00000000">
      <w:r>
        <w:rPr>
          <w:b/>
        </w:rPr>
        <w:t xml:space="preserve">SPARTIPP: </w:t>
      </w:r>
    </w:p>
    <w:p w14:paraId="68F837E0" w14:textId="77777777" w:rsidR="001F7233" w:rsidRDefault="00000000">
      <w:r>
        <w:t>• Melde dich bei einer Hausarztpraxis an, sobald deine Berechtigung zum öffentlichen System feststeht, statt erst beim ersten Bedarfsfall danach zu suchen. Wartelisten für neue Patienten gibt es auch in Neuseeland und ein bereits angemeldeter Patient kommt im Zweifel schneller dran als jemand, der ganz neu anfragt.</w:t>
      </w:r>
    </w:p>
    <w:p w14:paraId="15846D09" w14:textId="77777777" w:rsidR="001F7233" w:rsidRDefault="001F7233">
      <w:pPr>
        <w:spacing w:line="220" w:lineRule="exact"/>
      </w:pPr>
    </w:p>
    <w:p w14:paraId="1457B1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das neuseeländische System</w:t>
      </w:r>
    </w:p>
    <w:p w14:paraId="03500D1D" w14:textId="77777777" w:rsidR="001F7233" w:rsidRDefault="00000000">
      <w:r>
        <w:rPr>
          <w:b/>
        </w:rPr>
        <w:t>Zugangsvoraussetzung</w:t>
      </w:r>
    </w:p>
    <w:p w14:paraId="3113B521" w14:textId="77777777" w:rsidR="001F7233" w:rsidRDefault="00000000">
      <w:r>
        <w:rPr>
          <w:b/>
        </w:rPr>
        <w:t xml:space="preserve">GKV (Deutschland): </w:t>
      </w:r>
      <w:r>
        <w:t>Wohnsitz/Beschäftigung, praktisch ab Tag eins</w:t>
      </w:r>
    </w:p>
    <w:p w14:paraId="5C18712E" w14:textId="77777777" w:rsidR="001F7233" w:rsidRDefault="00000000">
      <w:r>
        <w:rPr>
          <w:b/>
        </w:rPr>
        <w:t xml:space="preserve">Neuseeland: </w:t>
      </w:r>
      <w:r>
        <w:t>Visumlaufzeit von 2 Jahren oder mehr</w:t>
      </w:r>
    </w:p>
    <w:p w14:paraId="30BAD96A" w14:textId="77777777" w:rsidR="001F7233" w:rsidRDefault="00000000">
      <w:r>
        <w:rPr>
          <w:b/>
        </w:rPr>
        <w:t>Finanzierung</w:t>
      </w:r>
    </w:p>
    <w:p w14:paraId="0B3379F9" w14:textId="77777777" w:rsidR="001F7233" w:rsidRDefault="00000000">
      <w:r>
        <w:rPr>
          <w:b/>
        </w:rPr>
        <w:t xml:space="preserve">GKV (Deutschland): </w:t>
      </w:r>
      <w:r>
        <w:t>Beitrag vom Bruttolohn, je zur Hälfte Arbeitnehmer/Arbeitgeber</w:t>
      </w:r>
    </w:p>
    <w:p w14:paraId="50DAFD5A" w14:textId="77777777" w:rsidR="001F7233" w:rsidRDefault="00000000">
      <w:r>
        <w:rPr>
          <w:b/>
        </w:rPr>
        <w:t xml:space="preserve">Neuseeland: </w:t>
      </w:r>
      <w:r>
        <w:t>Allgemeine Steuermittel; ACC ergänzend über eigene Levies</w:t>
      </w:r>
    </w:p>
    <w:p w14:paraId="7C3652DD" w14:textId="77777777" w:rsidR="001F7233" w:rsidRDefault="00000000">
      <w:r>
        <w:rPr>
          <w:b/>
        </w:rPr>
        <w:t>Unfallschutz</w:t>
      </w:r>
    </w:p>
    <w:p w14:paraId="4B15DB13" w14:textId="77777777" w:rsidR="001F7233" w:rsidRDefault="00000000">
      <w:r>
        <w:rPr>
          <w:b/>
        </w:rPr>
        <w:t xml:space="preserve">GKV (Deutschland): </w:t>
      </w:r>
      <w:r>
        <w:t>Gesetzliche Unfallversicherung nur für Arbeitsunfälle, sonst private Haftpflicht/Klage</w:t>
      </w:r>
    </w:p>
    <w:p w14:paraId="20824C3C" w14:textId="77777777" w:rsidR="001F7233" w:rsidRDefault="00000000">
      <w:r>
        <w:rPr>
          <w:b/>
        </w:rPr>
        <w:t xml:space="preserve">Neuseeland: </w:t>
      </w:r>
      <w:r>
        <w:t>ACC deckt so gut wie jeden Unfall, jede Person, dafür kein Klagerecht</w:t>
      </w:r>
    </w:p>
    <w:p w14:paraId="41B35597" w14:textId="77777777" w:rsidR="001F7233" w:rsidRDefault="00000000">
      <w:r>
        <w:rPr>
          <w:b/>
        </w:rPr>
        <w:t>Zuzahlungen beim Hausarzt</w:t>
      </w:r>
    </w:p>
    <w:p w14:paraId="17E759C0" w14:textId="77777777" w:rsidR="001F7233" w:rsidRDefault="00000000">
      <w:r>
        <w:rPr>
          <w:b/>
        </w:rPr>
        <w:lastRenderedPageBreak/>
        <w:t xml:space="preserve">GKV (Deutschland): </w:t>
      </w:r>
      <w:r>
        <w:t>Meist keine bei Kassenpatienten</w:t>
      </w:r>
    </w:p>
    <w:p w14:paraId="216AD0B3" w14:textId="77777777" w:rsidR="001F7233" w:rsidRDefault="00000000">
      <w:r>
        <w:rPr>
          <w:b/>
        </w:rPr>
        <w:t xml:space="preserve">Neuseeland: </w:t>
      </w:r>
      <w:r>
        <w:t>Praxisgebühr trotz Förderung häufig üblich</w:t>
      </w:r>
    </w:p>
    <w:p w14:paraId="19D5347A" w14:textId="77777777" w:rsidR="001F7233" w:rsidRDefault="001F7233">
      <w:pPr>
        <w:spacing w:line="180" w:lineRule="exact"/>
      </w:pPr>
    </w:p>
    <w:p w14:paraId="234AF0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w14:paraId="0D04E96D" w14:textId="77777777" w:rsidR="001F7233" w:rsidRDefault="00000000">
      <w:pPr>
        <w:spacing w:after="140"/>
      </w:pPr>
      <w:r>
        <w:t>Bring Impfpass, Vorsorgeheft und wichtige Arztbriefe möglichst mit englischer Übersetzung mit. Eine neue Hausarztpraxis in Christchurch oder Auckland kennt weder deine Vorerkrankungen noch deinen Impfstatus. Bei Dauermedikation lohnt sich außerdem ein Vorrat für die ersten Wochen sowie ein englischsprachiger Nachweis über Wirkstoff und Dosierung, da ein deutsches Rezept in neuseeländischen Apotheken nicht eingelöst werden kann.</w:t>
      </w:r>
    </w:p>
    <w:p w14:paraId="107BC53B" w14:textId="77777777" w:rsidR="001F7233" w:rsidRDefault="00000000">
      <w:r>
        <w:rPr>
          <w:b/>
        </w:rPr>
        <w:t xml:space="preserve">SPARTIPP: </w:t>
      </w:r>
    </w:p>
    <w:p w14:paraId="774A189C" w14:textId="77777777" w:rsidR="001F7233" w:rsidRDefault="00000000">
      <w:r>
        <w:t>• Kläre schon in Deutschland mit deiner gesetzlichen oder privaten Krankenversicherung, ob und wie lange eine bestehende Auslandskrankenversicherung bei einer dauerhaften Wohnsitzverlegung nach Neuseeland noch greift. Das kann die private Übergangsversicherung vor Ort überflüssig machen oder zumindest die Kosten in den ersten Wochen senken.</w:t>
      </w:r>
    </w:p>
    <w:p w14:paraId="709F1101" w14:textId="77777777" w:rsidR="001F7233" w:rsidRDefault="001F7233">
      <w:pPr>
        <w:spacing w:line="220" w:lineRule="exact"/>
      </w:pPr>
    </w:p>
    <w:p w14:paraId="215C48C7" w14:textId="77777777" w:rsidR="001F7233" w:rsidRDefault="00000000">
      <w:r>
        <w:t>Gewicht und Aussehen sind kein Grund für beschämende Behandlung. Bitte um respektvolle Beratung und eine klare Abwägung von Nutzen, Risiken und Alternativen. Wegovy (Semaglutid) ist verschreibungspflichtig; Zulassung und Produktinformation bei Medsafe prüfen. Bei Hims &amp; Hers oder anderen Online-Anbietern kläre, ob sie in Neuseeland tätig sind, wer verschreibt, welches Präparat eingesetzt wird und wie Nachkontrollen und Gesamtkosten aussehen. Für Botox, Filler oder kosmetische Chirurgie Qualifikation, Registrierung, Einrichtung und Nachsorge prüfen. Medsafe: https://www.medsafe.govt.nz/DbSearch/.</w:t>
      </w:r>
    </w:p>
    <w:p w14:paraId="6C60C60B" w14:textId="77777777" w:rsidR="001F7233" w:rsidRDefault="00000000">
      <w:pPr>
        <w:pStyle w:val="Heading3"/>
      </w:pPr>
      <w:r>
        <w:lastRenderedPageBreak/>
        <w:t>Gewicht, Abnehmmedikamente und ästhetische Eingriffe</w:t>
      </w:r>
    </w:p>
    <w:p w14:paraId="579A8656" w14:textId="77777777" w:rsidR="001F7233" w:rsidRDefault="00000000">
      <w:r>
        <w:t>Bei leichtem, kurzem Durchfall trinkst du oft kleine Schlucke Wasser oder orale Rehydratationslösung und ruhst dich aus. Sorgfältiges Händewaschen bremst die Weitergabe; bereite kein Essen für andere zu, solange du krank bist. Nimm Loperamid bei Fieber oder Blut im Stuhl nicht ohne medizinischen Rat. Hol Rat, wenn es nach zwei bis drei Tagen nicht besser wird oder bei Schwangerschaft, höherem Alter, geschwächtem Immunsystem oder chronischer Krankheit früher. Blut oder schwarzer Stuhl, starke Bauchschmerzen, hohes Fieber, Verwirrtheit, Ohnmacht, sehr wenig Urin oder anhaltendes Erbrechen sind dringende Warnzeichen. Healthline erreichst du kostenfrei unter 0800 611 116; bei lebensbedrohlichem Notfall ruf 111.</w:t>
      </w:r>
    </w:p>
    <w:p w14:paraId="5E207246" w14:textId="77777777" w:rsidR="001F7233" w:rsidRDefault="00000000">
      <w:pPr>
        <w:pStyle w:val="Heading3"/>
      </w:pPr>
      <w:r>
        <w:t>Schmerzmittel: paracetamol, ibuprofen und aspirin</w:t>
      </w:r>
    </w:p>
    <w:p w14:paraId="1DCCC9E3" w14:textId="77777777" w:rsidR="001F7233" w:rsidRDefault="00000000">
      <w:r>
        <w:t>Auf neuseeländischen Packungen steht meist paracetamol; acetaminophen ist derselbe Wirkstoff und vor allem der US-Name. Paracetamol senkt Fieber und lindert Schmerz, nicht Entzündung; eine Überdosis kann die Leber schwer schädigen. Ibuprofen und Aspirin sind NSAIDs; Entzündungshemmung ist ein Vorteil, Magenblutung und Nierenbelastung mögliche Nachteile. Wenn du wegen Durchfall wenig trinkst, frag vor Ibuprofen nach. Niedrig dosiertes Aspirin zur Herzvorsorge nicht selbst beginnen. Naproxen und Diclofenac sind weitere NSAIDs. Bei Kindern/Jugendlichen mit Virusinfekt, Schwangerschaft, Blutverdünnern, Geschwür oder Nieren-/Leberkrankheit Packung lesen und Apotheke/Arzt fragen.</w:t>
      </w:r>
    </w:p>
    <w:p w14:paraId="5469D6DD" w14:textId="77777777" w:rsidR="001F7233" w:rsidRDefault="00000000">
      <w:pPr>
        <w:pStyle w:val="Heading3"/>
      </w:pPr>
      <w:r>
        <w:t>Notfall: 111; Healthline für Rat</w:t>
      </w:r>
    </w:p>
    <w:p w14:paraId="7B64CE79" w14:textId="77777777" w:rsidR="001F7233" w:rsidRDefault="00000000">
      <w:r>
        <w:t xml:space="preserve">Bei Lebensgefahr, schwerer Verletzung, Atemnot oder Bewusstlosigkeit ruf 111 und verlange Ambulance. Für medizinische Fragen ohne unmittelbare Lebensgefahr: Healthline 0800 611 116. </w:t>
      </w:r>
      <w:r>
        <w:lastRenderedPageBreak/>
        <w:t>Bei Vergiftungsverdacht: National Poisons Centre 0800 764 766; bei ernsten Symptomen zuerst 111.</w:t>
      </w:r>
    </w:p>
    <w:p w14:paraId="6551F144" w14:textId="77777777" w:rsidR="001F7233" w:rsidRDefault="00000000">
      <w:pPr>
        <w:pStyle w:val="Heading3"/>
      </w:pPr>
      <w:r>
        <w:t>Öffentliche Behandlung ohne aktive Police: erst Eligibility klären</w:t>
      </w:r>
    </w:p>
    <w:p w14:paraId="13A19A8B" w14:textId="77777777" w:rsidR="001F7233" w:rsidRDefault="00000000">
      <w:r>
        <w:t>Neuseeland hat keine private Pflichtversicherung als Eintrittskarte zum öffentlichen Gesundheitssystem. Eine private Police kann auslaufen, ohne dass damit dein Anspruch auf öffentlich finanzierte Versorgung endet. Wichtig sind Staatsangehörigkeit, Aufenthaltsstatus und die geltenden Eligibility-Regeln. Lass Health New Zealand die Anspruchsberechtigung schriftlich prüfen. Wer berechtigt ist, erhält dennoch nicht automatisch jede Behandlung sofort: Spezialisten beurteilen Bedarf und Priorität und geplante Operationen können warten; kosmetische oder nicht finanzierte Leistungen können privat kostenpflichtig sein. ACC betrifft Unfälle, nicht Krebs oder gewöhnliche Krankheit. Bei laufender Krebstherapie heute Onkologen kontaktieren, Pathologie, Bildgebung und Behandlungsplan übertragen lassen und keine Dosis oder Operation selbst verschieben. Eine private Police schließt bekannte Krankheiten womöglich aus oder hat Wartezeiten. Regeln für öffentlich finanzierte Gesundheitsleistungen ändern sich zum 1. Dezember 2026; prüfe den Status zum Behandlungsdatum.</w:t>
      </w:r>
    </w:p>
    <w:p w14:paraId="39B27BFF" w14:textId="77777777" w:rsidR="001F7233" w:rsidRDefault="00000000">
      <w:pPr>
        <w:pStyle w:val="Heading3"/>
      </w:pPr>
      <w:r>
        <w:t>Ankommen: Settlement-Unterstützung und „the dole“</w:t>
      </w:r>
    </w:p>
    <w:p w14:paraId="0F4BB3A4" w14:textId="77777777" w:rsidR="001F7233" w:rsidRDefault="00000000">
      <w:r>
        <w:t>Suche bei Immigration New Zealand, örtlichem Migrant Settlement Network, Bibliothek, Gemeinde und Work and Income nach Anlaufstellen. „The dole“ ist ein umgangssprachlicher Ausdruck; die Behörde nennt die Leistung Jobseeker Support. Für diese Leistung ist ein temporäres Arbeitsvisum nicht ausreichend. Meist braucht man Staatsbürgerschaft oder residence class visa sowie zwei Jahre ununterbrochenen Aufenthalt, mit begrenzten Ausnahmen.</w:t>
      </w:r>
    </w:p>
    <w:p w14:paraId="6637516C" w14:textId="77777777" w:rsidR="001F7233" w:rsidRDefault="00000000">
      <w:pPr>
        <w:pStyle w:val="Heading3"/>
        <w:keepNext/>
        <w:spacing w:line="341" w:lineRule="auto"/>
        <w:jc w:val="center"/>
      </w:pPr>
      <w:r>
        <w:lastRenderedPageBreak/>
        <w:t>Plus und Minus: Neuseeland: Das Gesundheitssystem</w:t>
      </w:r>
    </w:p>
    <w:p w14:paraId="733B9AEF" w14:textId="77777777" w:rsidR="001F7233" w:rsidRDefault="00000000">
      <w:r>
        <w:rPr>
          <w:b/>
        </w:rPr>
        <w:t>Plus: Ab 2 Jahren Visumlaufzeit: öffentlicher Zugang ab Tag eins, ohne Wartefrist</w:t>
      </w:r>
    </w:p>
    <w:p w14:paraId="50B3C8F2" w14:textId="77777777" w:rsidR="001F7233" w:rsidRDefault="00000000">
      <w:r>
        <w:rPr>
          <w:b/>
        </w:rPr>
        <w:t xml:space="preserve">Minus: </w:t>
      </w:r>
      <w:r>
        <w:t>Unter 2 Jahren Visumlaufzeit: kein automatischer Zugang, private Police Pflicht</w:t>
      </w:r>
    </w:p>
    <w:p w14:paraId="1C30CB27" w14:textId="77777777" w:rsidR="001F7233" w:rsidRDefault="00000000">
      <w:r>
        <w:rPr>
          <w:b/>
        </w:rPr>
        <w:t>Plus: ACC deckt Unfälle für buchstäblich jeden in Neuseeland</w:t>
      </w:r>
    </w:p>
    <w:p w14:paraId="16EE457A" w14:textId="77777777" w:rsidR="001F7233" w:rsidRDefault="00000000">
      <w:r>
        <w:rPr>
          <w:b/>
        </w:rPr>
        <w:t xml:space="preserve">Minus: </w:t>
      </w:r>
      <w:r>
        <w:t>Kein Klagerecht auf Schadensersatz bei Personenschäden</w:t>
      </w:r>
    </w:p>
    <w:p w14:paraId="4DEC1689" w14:textId="77777777" w:rsidR="001F7233" w:rsidRDefault="00000000">
      <w:r>
        <w:rPr>
          <w:b/>
        </w:rPr>
        <w:t>Plus: Private Übergangsversicherung lässt sich schon aus Deutschland abschließen</w:t>
      </w:r>
    </w:p>
    <w:p w14:paraId="75296EF7" w14:textId="77777777" w:rsidR="001F7233" w:rsidRDefault="00000000">
      <w:r>
        <w:rPr>
          <w:b/>
        </w:rPr>
        <w:t xml:space="preserve">Minus: </w:t>
      </w:r>
      <w:r>
        <w:t>Wartezeiten und Vorerkrankungsausschlüsse bei privaten Policen</w:t>
      </w:r>
    </w:p>
    <w:p w14:paraId="5192FAD5" w14:textId="77777777" w:rsidR="001F7233" w:rsidRDefault="00000000">
      <w:r>
        <w:rPr>
          <w:b/>
        </w:rPr>
        <w:t>Plus: Notaufnahmen behandeln unabhängig vom Versicherungsstatus</w:t>
      </w:r>
    </w:p>
    <w:p w14:paraId="0EAD9606" w14:textId="77777777" w:rsidR="001F7233" w:rsidRDefault="00000000">
      <w:r>
        <w:rPr>
          <w:b/>
        </w:rPr>
        <w:t xml:space="preserve">Minus: </w:t>
      </w:r>
      <w:r>
        <w:t>Praxisgebühren beim Hausarzt trotz Förderung häufig üblich</w:t>
      </w:r>
    </w:p>
    <w:p w14:paraId="34611316" w14:textId="77777777" w:rsidR="001F7233" w:rsidRDefault="001F7233">
      <w:pPr>
        <w:spacing w:line="180" w:lineRule="exact"/>
      </w:pPr>
    </w:p>
    <w:p w14:paraId="0B2601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C17EC73" w14:textId="77777777" w:rsidR="001F7233" w:rsidRDefault="00000000">
      <w:pPr>
        <w:spacing w:after="140"/>
      </w:pPr>
      <w:r>
        <w:t>Prüfe vor dem Abflug, wie lang dein bewilligtes Visum tatsächlich läuft und rechne nach, ob du die Zwei-Jahres-Schwelle erreichst. Schließe bei Bedarf schon aus Deutschland eine private Übergangsversicherung mit Beginn zum Ankunftstag ab. Melde dich bei öffentlichem Zugang zügig bei einer Hausarztpraxis an und kläre unabhängig davon deinen ACC-Schutz. Er gilt ohnehin automatisch, du musst nur wissen, was er abdeckt und was nicht.</w:t>
      </w:r>
    </w:p>
    <w:p w14:paraId="4CD6D583" w14:textId="77777777" w:rsidR="001F7233" w:rsidRDefault="00000000">
      <w:r>
        <w:t>• Laufzeit des eigenen Visums geprüft: 2 Jahre oder mehr für automatischen öffentlichen Zugang?</w:t>
      </w:r>
    </w:p>
    <w:p w14:paraId="68C9E558" w14:textId="77777777" w:rsidR="001F7233" w:rsidRDefault="00000000">
      <w:r>
        <w:t>• Bei unter 2 Jahren: private Übergangsversicherung mit Beginn zum Ankunftstag abgeschlossen</w:t>
      </w:r>
    </w:p>
    <w:p w14:paraId="24704A3F" w14:textId="77777777" w:rsidR="001F7233" w:rsidRDefault="00000000">
      <w:r>
        <w:t>• Aktuelle Tarife bei Southern Cross oder nib direkt verglichen, nicht nur Richtwerte übernommen</w:t>
      </w:r>
    </w:p>
    <w:p w14:paraId="02DD0E3C" w14:textId="77777777" w:rsidR="001F7233" w:rsidRDefault="00000000">
      <w:r>
        <w:t>• Visumsnachweis für den ersten Arztbesuch bereitgelegt</w:t>
      </w:r>
    </w:p>
    <w:p w14:paraId="7577C1E0" w14:textId="77777777" w:rsidR="001F7233" w:rsidRDefault="00000000">
      <w:r>
        <w:t>• Bei öffentlichem Zugang: bei einer Hausarztpraxis (PHO) angemeldet</w:t>
      </w:r>
    </w:p>
    <w:p w14:paraId="0E55A36B" w14:textId="77777777" w:rsidR="001F7233" w:rsidRDefault="00000000">
      <w:r>
        <w:lastRenderedPageBreak/>
        <w:t>• ACC-Grundprinzip verstanden: Unfälle ja, gewöhnliche Krankheit nein</w:t>
      </w:r>
    </w:p>
    <w:p w14:paraId="066AFFCA" w14:textId="77777777" w:rsidR="001F7233" w:rsidRDefault="00000000">
      <w:r>
        <w:t>• Notruf 111 und nächstgelegene Notaufnahme notiert</w:t>
      </w:r>
    </w:p>
    <w:p w14:paraId="51E39989" w14:textId="77777777" w:rsidR="001F7233" w:rsidRDefault="00000000">
      <w:r>
        <w:t>• Impfpass, Vorsorgeheft und relevante Arztbriefe in englischer Übersetzung eingepackt</w:t>
      </w:r>
    </w:p>
    <w:p w14:paraId="2385FC9B" w14:textId="77777777" w:rsidR="001F7233" w:rsidRDefault="00000000">
      <w:r>
        <w:t>• Bei Dauermedikation: Vorrat und englischsprachiger Wirkstoffnachweis eingepackt</w:t>
      </w:r>
    </w:p>
    <w:p w14:paraId="663885FF" w14:textId="77777777" w:rsidR="001F7233" w:rsidRDefault="001F7233">
      <w:pPr>
        <w:spacing w:line="220" w:lineRule="exact"/>
      </w:pPr>
    </w:p>
    <w:p w14:paraId="217970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AE1FCDE" w14:textId="77777777" w:rsidR="001F7233" w:rsidRDefault="001F7233">
      <w:pPr>
        <w:pStyle w:val="ListParagraph"/>
        <w:numPr>
          <w:ilvl w:val="0"/>
          <w:numId w:val="1"/>
        </w:numPr>
        <w:spacing w:after="60"/>
      </w:pPr>
      <w:hyperlink r:id="rId1021">
        <w:r>
          <w:rPr>
            <w:color w:val="0563C1"/>
            <w:u w:val="single"/>
          </w:rPr>
          <w:t>immigration.govt.nz</w:t>
        </w:r>
      </w:hyperlink>
      <w:r>
        <w:t xml:space="preserve"> – Zugangsvoraussetzungen zur öffentlichen Gesundheitsversorgung nach Visumtyp</w:t>
      </w:r>
    </w:p>
    <w:p w14:paraId="5AAEB593" w14:textId="77777777" w:rsidR="001F7233" w:rsidRDefault="001F7233">
      <w:pPr>
        <w:pStyle w:val="ListParagraph"/>
        <w:numPr>
          <w:ilvl w:val="0"/>
          <w:numId w:val="1"/>
        </w:numPr>
        <w:spacing w:after="60"/>
      </w:pPr>
      <w:hyperlink r:id="rId1022">
        <w:r>
          <w:rPr>
            <w:color w:val="0563C1"/>
            <w:u w:val="single"/>
          </w:rPr>
          <w:t>health.govt.nz</w:t>
        </w:r>
      </w:hyperlink>
      <w:r>
        <w:t xml:space="preserve"> – Ministry of Health, Aufbau des öffentlichen Gesundheitssystems</w:t>
      </w:r>
    </w:p>
    <w:p w14:paraId="7B78BBF0" w14:textId="77777777" w:rsidR="001F7233" w:rsidRDefault="001F7233">
      <w:pPr>
        <w:pStyle w:val="ListParagraph"/>
        <w:numPr>
          <w:ilvl w:val="0"/>
          <w:numId w:val="1"/>
        </w:numPr>
        <w:spacing w:after="60"/>
      </w:pPr>
      <w:hyperlink r:id="rId1023">
        <w:r>
          <w:rPr>
            <w:color w:val="0563C1"/>
            <w:u w:val="single"/>
          </w:rPr>
          <w:t>acc.co.nz</w:t>
        </w:r>
      </w:hyperlink>
      <w:r>
        <w:t xml:space="preserve"> – ACC-Deckung, Earner’s Levy, Leistungen im Unfallfall</w:t>
      </w:r>
    </w:p>
    <w:p w14:paraId="61CEE9D6" w14:textId="77777777" w:rsidR="001F7233" w:rsidRDefault="001F7233">
      <w:pPr>
        <w:pStyle w:val="ListParagraph"/>
        <w:numPr>
          <w:ilvl w:val="0"/>
          <w:numId w:val="1"/>
        </w:numPr>
        <w:spacing w:after="60"/>
      </w:pPr>
      <w:hyperlink r:id="rId1024">
        <w:r>
          <w:rPr>
            <w:color w:val="0563C1"/>
            <w:u w:val="single"/>
          </w:rPr>
          <w:t>southerncross.co.nz</w:t>
        </w:r>
      </w:hyperlink>
      <w:r>
        <w:t xml:space="preserve"> / </w:t>
      </w:r>
      <w:hyperlink r:id="rId1025">
        <w:r>
          <w:rPr>
            <w:color w:val="0563C1"/>
            <w:u w:val="single"/>
          </w:rPr>
          <w:t>nib.co.nz</w:t>
        </w:r>
      </w:hyperlink>
      <w:r>
        <w:t xml:space="preserve"> – private Krankenversicherungstarife für Neuankömmlinge</w:t>
      </w:r>
    </w:p>
    <w:p w14:paraId="59ED9620" w14:textId="77777777" w:rsidR="001F7233" w:rsidRDefault="001F7233">
      <w:pPr>
        <w:pStyle w:val="ListParagraph"/>
        <w:numPr>
          <w:ilvl w:val="0"/>
          <w:numId w:val="1"/>
        </w:numPr>
        <w:spacing w:after="60"/>
      </w:pPr>
      <w:hyperlink r:id="rId1026">
        <w:r>
          <w:rPr>
            <w:color w:val="0563C1"/>
            <w:u w:val="single"/>
          </w:rPr>
          <w:t>healthpoint.co.nz</w:t>
        </w:r>
      </w:hyperlink>
      <w:r>
        <w:t xml:space="preserve"> – Verzeichnis von Hausarztpraxen und Gesundheitsdiensten nach Region</w:t>
      </w:r>
    </w:p>
    <w:p w14:paraId="0AA52C3C" w14:textId="77777777" w:rsidR="001F7233" w:rsidRDefault="001F7233">
      <w:pPr>
        <w:spacing w:line="120" w:lineRule="exact"/>
      </w:pPr>
    </w:p>
    <w:p w14:paraId="7D9EAEC5" w14:textId="77777777" w:rsidR="001F7233" w:rsidRDefault="00000000">
      <w:pPr>
        <w:pStyle w:val="ListParagraph"/>
      </w:pPr>
      <w:r>
        <w:t xml:space="preserve">Health New Zealand — Healthline, free 24-hour advice: </w:t>
      </w:r>
      <w:hyperlink r:id="rId1027">
        <w:r w:rsidR="001F7233">
          <w:rPr>
            <w:rStyle w:val="Hyperlink"/>
          </w:rPr>
          <w:t>info.health.nz/services-support/healthline</w:t>
        </w:r>
      </w:hyperlink>
    </w:p>
    <w:p w14:paraId="4BA3A584" w14:textId="77777777" w:rsidR="001F7233" w:rsidRDefault="00000000">
      <w:pPr>
        <w:pStyle w:val="ListParagraph"/>
      </w:pPr>
      <w:r>
        <w:t xml:space="preserve">Healthline: </w:t>
      </w:r>
      <w:hyperlink r:id="rId1028">
        <w:r w:rsidR="001F7233">
          <w:rPr>
            <w:rStyle w:val="Hyperlink"/>
          </w:rPr>
          <w:t>info.health.nz/services-support/healthline</w:t>
        </w:r>
      </w:hyperlink>
      <w:r>
        <w:t xml:space="preserve">; Poisons Centre: </w:t>
      </w:r>
      <w:hyperlink r:id="rId1029">
        <w:r w:rsidR="001F7233">
          <w:rPr>
            <w:rStyle w:val="Hyperlink"/>
          </w:rPr>
          <w:t>poison.co.nz</w:t>
        </w:r>
      </w:hyperlink>
    </w:p>
    <w:p w14:paraId="60118CCC" w14:textId="77777777" w:rsidR="001F7233" w:rsidRDefault="00000000">
      <w:pPr>
        <w:pStyle w:val="ListParagraph"/>
      </w:pPr>
      <w:r>
        <w:t xml:space="preserve">Ministry of Health — eligibility for publicly funded health services (includes changes effective 1 Dec 2026): </w:t>
      </w:r>
      <w:hyperlink r:id="rId1030">
        <w:r w:rsidR="001F7233">
          <w:rPr>
            <w:rStyle w:val="Hyperlink"/>
          </w:rPr>
          <w:t>health.govt.nz/regulation-legislation/eligibility-for-publicly-funded-health-services</w:t>
        </w:r>
      </w:hyperlink>
    </w:p>
    <w:p w14:paraId="1C5351C4" w14:textId="77777777" w:rsidR="001F7233" w:rsidRDefault="00000000">
      <w:pPr>
        <w:pStyle w:val="ListParagraph"/>
      </w:pPr>
      <w:r>
        <w:t xml:space="preserve">Work and Income — Jobseeker Support: </w:t>
      </w:r>
      <w:hyperlink r:id="rId1031">
        <w:r w:rsidR="001F7233">
          <w:rPr>
            <w:rStyle w:val="Hyperlink"/>
          </w:rPr>
          <w:t>workandincome.govt.nz/products/a-z-benefits/jobseeker-support.html</w:t>
        </w:r>
      </w:hyperlink>
    </w:p>
    <w:p w14:paraId="43749602" w14:textId="77777777" w:rsidR="001F7233" w:rsidRDefault="00000000">
      <w:r>
        <w:t xml:space="preserve">• 23.09.2026. Diese Angaben ändern sich schnell: die genaue Handhabung der Zwei-Jahres-Schwelle in Grenzfällen, ACC-Levy-Sätze und -Deckelung (jährlich zum 1. April angepasst), Prämien und </w:t>
      </w:r>
      <w:r>
        <w:lastRenderedPageBreak/>
        <w:t xml:space="preserve">Wartezeiten privater Versicherer sowie Praxisgebühren einzelner Hausarztpraxen. Prüfe vor jeder Entscheidung die aktuellen Werte auf </w:t>
      </w:r>
      <w:hyperlink r:id="rId1032">
        <w:r w:rsidR="001F7233">
          <w:rPr>
            <w:color w:val="0563C1"/>
            <w:u w:val="single"/>
          </w:rPr>
          <w:t>immigration.govt.nz</w:t>
        </w:r>
      </w:hyperlink>
      <w:r>
        <w:t xml:space="preserve">, </w:t>
      </w:r>
      <w:hyperlink r:id="rId1033">
        <w:r w:rsidR="001F7233">
          <w:rPr>
            <w:color w:val="0563C1"/>
            <w:u w:val="single"/>
          </w:rPr>
          <w:t>acc.co.nz</w:t>
        </w:r>
      </w:hyperlink>
      <w:r>
        <w:t xml:space="preserve"> und bei deinem gewählten Versicherer.</w:t>
      </w:r>
    </w:p>
    <w:p w14:paraId="6AABA157" w14:textId="77777777" w:rsidR="001F7233" w:rsidRDefault="001F7233">
      <w:pPr>
        <w:spacing w:line="220" w:lineRule="exact"/>
      </w:pPr>
    </w:p>
    <w:p w14:paraId="555985E8" w14:textId="77777777" w:rsidR="001F7233" w:rsidRDefault="00000000">
      <w:pPr>
        <w:pStyle w:val="Heading3"/>
      </w:pPr>
      <w:r>
        <w:t>Krebsdiagnose: Behandlung und Umzug planen</w:t>
      </w:r>
    </w:p>
    <w:p w14:paraId="6673066C"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1034">
        <w:r w:rsidR="001F7233">
          <w:rPr>
            <w:color w:val="0563C1"/>
            <w:u w:val="single"/>
          </w:rPr>
          <w:t>Cancer Society NZ: Unterstützung und Helpline</w:t>
        </w:r>
      </w:hyperlink>
    </w:p>
    <w:p w14:paraId="65CA41B6" w14:textId="77777777" w:rsidR="001F7233" w:rsidRDefault="00000000">
      <w:pPr>
        <w:pStyle w:val="Heading3"/>
      </w:pPr>
      <w:r>
        <w:t>Schwangerschaftsabbruch: Versorgung, Kosten und Wege</w:t>
      </w:r>
    </w:p>
    <w:p w14:paraId="1B47D336" w14:textId="77777777" w:rsidR="001F7233" w:rsidRDefault="00000000">
      <w:r>
        <w:t xml:space="preserve">Aotearoa Neuseeland entkriminalisierte den Schwangerschaftsabbruch 2020. Eine Praxis vor Ort ist dennoch nicht für jede Gemeinde schnell erreichbar; eine Fahrt in einen anderen Bezirk kann nötig sein. Ein früher medikamentöser Abbruch kann nach ärztlicher Prüfung per Telemedizin möglich sein. Frage bei DECIDE oder Health New Zealand nach den aktuellen Angeboten, Fristen, Gebühren, Voraussetzungen für öffentliche </w:t>
      </w:r>
      <w:r>
        <w:lastRenderedPageBreak/>
        <w:t xml:space="preserve">Kostenübernahme, Anreise und Nachsorge. Achte darauf, dass Beratung oder Klinik eine regulierte Gesundheitsstelle ist: Das Ministerium warnt, dass manche Beratungsstellen für ungeplante Schwangerschaften keine regulierten medizinischen Einrichtungen sind. </w:t>
      </w:r>
    </w:p>
    <w:p w14:paraId="2D7E8E44" w14:textId="77777777" w:rsidR="001F7233" w:rsidRDefault="00000000">
      <w:r>
        <w:t>Quelle: </w:t>
      </w:r>
      <w:hyperlink r:id="rId1035">
        <w:r w:rsidR="001F7233">
          <w:rPr>
            <w:color w:val="0563C1"/>
            <w:u w:val="single"/>
          </w:rPr>
          <w:t>Ministry of Health: Patient information and trusted services</w:t>
        </w:r>
      </w:hyperlink>
    </w:p>
    <w:p w14:paraId="6B24A3C3" w14:textId="77777777" w:rsidR="001F7233" w:rsidRDefault="00000000">
      <w:r>
        <w:t>Quelle: </w:t>
      </w:r>
      <w:hyperlink r:id="rId1036">
        <w:r w:rsidR="001F7233">
          <w:rPr>
            <w:color w:val="0563C1"/>
            <w:u w:val="single"/>
          </w:rPr>
          <w:t>DECIDE: National abortion service</w:t>
        </w:r>
      </w:hyperlink>
    </w:p>
    <w:p w14:paraId="77AB609B" w14:textId="77777777" w:rsidR="001F7233" w:rsidRDefault="00000000">
      <w:pPr>
        <w:pStyle w:val="Heading3"/>
      </w:pPr>
      <w:r>
        <w:t>Essen, Herz-Kreislauf-Risiko und der Fast-Food-Reflex</w:t>
      </w:r>
    </w:p>
    <w:p w14:paraId="04A60263" w14:textId="77777777" w:rsidR="001F7233" w:rsidRDefault="00000000">
      <w:r>
        <w:t xml:space="preserve">Eine herzfreundliche Ernährung ist keine einzelne Spezialdiät: wähle regelmäßig Gemüse und Obst, Vollkorn, Hülsenfrüchte, Nüsse und passende Eiweißquellen; ersetze häufige stark salzige, zuckerreiche und stark verarbeitete Mahlzeiten durch weniger verarbeitete Alternativen. Bei Fast Food achte auf Kombi-Größen, salzige Saucen und süße Getränke; nimm eine kleinere Portion, Wasser oder ungesüßten Kaffee/Tee, Sauce separat und vergleiche Nährwerte, falls verfügbar. Bei Herzschwäche, Bluthochdruck, Diabetes oder Nierenerkrankung gelten oft persönliche Vorgaben: lass sie von deinem behandelnden Team oder einer Ernährungsfachkraft festlegen und ändere Medikamente nicht selbst. Vor einem Umzug Arztbrief, Allergien und Wirkstoff-/Dosisliste sichern sowie Zugang zu GP, Kardiologie und Medikamenten klären. Bei möglichem Herzinfarkt oder Schlaganfall sofort 111 anrufen und einen Rettungswagen anfordern. </w:t>
      </w:r>
      <w:hyperlink r:id="rId1037">
        <w:r w:rsidR="001F7233">
          <w:rPr>
            <w:color w:val="0563C1"/>
            <w:u w:val="single"/>
          </w:rPr>
          <w:t>New Zealand Ministry of Health: Eating and Activity Guidelines for Adults</w:t>
        </w:r>
      </w:hyperlink>
      <w:r>
        <w:t xml:space="preserve"> </w:t>
      </w:r>
      <w:hyperlink r:id="rId1038">
        <w:r w:rsidR="001F7233">
          <w:rPr>
            <w:color w:val="0563C1"/>
            <w:u w:val="single"/>
          </w:rPr>
          <w:t>Heart Foundation NZ: heart attack warning signs</w:t>
        </w:r>
      </w:hyperlink>
      <w:r>
        <w:t xml:space="preserve"> </w:t>
      </w:r>
      <w:hyperlink r:id="rId1039">
        <w:r w:rsidR="001F7233">
          <w:rPr>
            <w:color w:val="0563C1"/>
            <w:u w:val="single"/>
          </w:rPr>
          <w:t>Stroke Foundation NZ: stroke signs</w:t>
        </w:r>
      </w:hyperlink>
      <w:r>
        <w:br w:type="page"/>
      </w:r>
    </w:p>
    <w:bookmarkStart w:id="1178" w:name="X74c53252f7af27d552fd2a5df27e91eff38b305"/>
    <w:bookmarkStart w:id="1178" w:name="X74c53252f7af27d552fd2a5df27e91eff38b305"/>
    <w:bookmarkStart w:id="1178" w:name="X74c53252f7af27d552fd2a5df27e91eff38b305"/>
    <w:p>
      <w:pPr>
        <w:pStyle w:val="Heading2"/>
        <w:ind w:left="0" w:firstLine="0"/>
        <w:jc w:val="left"/>
        <w:keepNext/>
      </w:pPr>
      <w:bookmarkStart w:id="175" w:name="tnz09"/>
      <w:r>
        <w:t xml:space="preserve">Neuseeland: Wohnen und die besten Orte zum Leben</w:t>
      </w:r>
      <w:bookmarkEnd w:id="175"/>
    </w:p>
    <w:p>
      <w:pPr>
        <w:pStyle w:val="FirstParagraph"/>
      </w:pPr>
      <w:r>
        <w:t xml:space="preserve">Bei einer Besichtigung in Wellington drückt ein kräftiger Windstoß gegen die Haustür, und lose Teppichfliesen klappern im Flur. Ob das harmlos ist oder auf einen Mangel hinweist, lässt sich nur am konkreten Haus beurteilen: Prüfe Zugluft, Feuchtigkeit, Dämmung und Erdbebensicherheit. Klima, Bauvorschriften und Gebäudezustand unterscheiden sich von Deutschland und variieren auch innerhalb Neuseelands. Bei der Wohnortwahl zählen deshalb neben Job und Budget die Naturgefahren am konkreten Standort und ein unabhängiger Gebäudebericht.</w:t>
      </w:r>
    </w:p>
    <w:p>
      <w:pPr>
        <w:pStyle w:val="BlockText"/>
      </w:pPr>
      <w:r>
        <w:rPr>
          <w:b/>
          <w:bCs/>
        </w:rPr>
        <w:t xml:space="preserve">Kurz gesagt:</w:t>
      </w:r>
    </w:p>
    <w:p>
      <w:pPr>
        <w:pStyle w:val="Compact"/>
        <w:numPr>
          <w:ilvl w:val="0"/>
          <w:numId w:val="72"/>
        </w:numPr>
      </w:pPr>
      <w:r>
        <w:t xml:space="preserve">Der Mietmarkt läuft über Online-Portale wie Trade Me Property; die Kaution (</w:t>
      </w:r>
      <w:r>
        <w:rPr>
          <w:i/>
          <w:iCs/>
        </w:rPr>
        <w:t xml:space="preserve">Bond</w:t>
      </w:r>
      <w:r>
        <w:t xml:space="preserve">) ist gesetzlich auf höchstens vier Wochenmieten gedeckelt und wird treuhänderisch bei der staatlichen Stelle Tenancy Services hinterlegt, nicht beim Vermieter.</w:t>
      </w:r>
    </w:p>
    <w:p>
      <w:pPr>
        <w:pStyle w:val="Compact"/>
        <w:numPr>
          <w:ilvl w:val="0"/>
          <w:numId w:val="72"/>
        </w:numPr>
      </w:pPr>
      <w:r>
        <w:t xml:space="preserve">Personen, die nach dem</w:t>
      </w:r>
      <w:r>
        <w:t xml:space="preserve"> </w:t>
      </w:r>
      <w:r>
        <w:rPr>
          <w:i/>
          <w:iCs/>
        </w:rPr>
        <w:t xml:space="preserve">Overseas Investment Act</w:t>
      </w:r>
      <w:r>
        <w:t xml:space="preserve"> </w:t>
      </w:r>
      <w:r>
        <w:t xml:space="preserve">2005 als „</w:t>
      </w:r>
      <w:r>
        <w:rPr>
          <w:i/>
          <w:iCs/>
        </w:rPr>
        <w:t xml:space="preserve">Overseas Person</w:t>
      </w:r>
      <w:r>
        <w:t xml:space="preserve">“ gelten, dürfen grundsätzlich keine bestehende Wohnimmobilie kaufen; eine wichtige Ausnahme setzt voraus, dass du als „</w:t>
      </w:r>
      <w:r>
        <w:rPr>
          <w:i/>
          <w:iCs/>
        </w:rPr>
        <w:t xml:space="preserve">ordinarily resident</w:t>
      </w:r>
      <w:r>
        <w:t xml:space="preserve">“ (gewöhnlich ansässig) giltst.</w:t>
      </w:r>
    </w:p>
    <w:p>
      <w:pPr>
        <w:pStyle w:val="Compact"/>
        <w:numPr>
          <w:ilvl w:val="0"/>
          <w:numId w:val="72"/>
        </w:numPr>
      </w:pPr>
      <w:r>
        <w:t xml:space="preserve">Für australische und singapurische Staatsangehörige gelten bei bestimmten Wohn- und Lifestyle-Grundstücken erleichterte Regeln; für deutsche Staatsangehörige gibt es keine entsprechende pauschale Ausnahme.</w:t>
      </w:r>
    </w:p>
    <w:p>
      <w:pPr>
        <w:pStyle w:val="Compact"/>
        <w:numPr>
          <w:ilvl w:val="0"/>
          <w:numId w:val="72"/>
        </w:numPr>
      </w:pPr>
      <w:r>
        <w:t xml:space="preserve">Auckland ist am teuersten und bietet den breitesten Jobmarkt, Christchurch ist spürbar günstiger und wirbt aktiv um Fachkräfte, Wellington liegt preislich dazwischen, Queenstown/Otago ist trotz kleiner Einwohnerzahl ein eigener teurer Sonderfall.</w:t>
      </w:r>
    </w:p>
    <w:p>
      <w:pPr>
        <w:pStyle w:val="Compact"/>
        <w:numPr>
          <w:ilvl w:val="0"/>
          <w:numId w:val="72"/>
        </w:numPr>
      </w:pPr>
      <w:r>
        <w:t xml:space="preserve">Jede Region trägt ihr eigenes Naturgefahren-Risiko – Erdbeben, Überschwemmung, Vulkan oder Lawine –, das in Versicherungsprämie und Kaufentscheidung einfließt, nicht nur in die Wetter-App.</w:t>
      </w:r>
    </w:p>
    <w:bookmarkStart w:id="1160" w:name="Xba963271da35fdfe05324542f3e460500b2abec"/>
    <w:p>
      <w:pPr>
        <w:pStyle w:val="Heading3"/>
        <w:ind w:left="0" w:firstLine="0"/>
        <w:jc w:val="left"/>
        <w:keepNext/>
      </w:pPr>
      <w:r>
        <w:t xml:space="preserve">Mieten: Bond, Tenancy Services und der Alltag der Besichtigung</w:t>
      </w:r>
    </w:p>
    <w:p>
      <w:pPr>
        <w:pStyle w:val="FirstParagraph"/>
      </w:pPr>
      <w:r>
        <w:t xml:space="preserve">Die Wohnungssuche läuft fast vollständig online, vor allem über Trade Me Property. Besichtigungen (</w:t>
      </w:r>
      <w:r>
        <w:rPr>
          <w:i/>
          <w:iCs/>
        </w:rPr>
        <w:t xml:space="preserve">Open Homes</w:t>
      </w:r>
      <w:r>
        <w:t xml:space="preserve">) finden häufig samstags im Halbstundentakt statt; mehrere Interessenten können dieselbe Wohnung nacheinander besichtigen. Wenn du sie mieten möchtest, bewirb dich am besten noch am selben Tag online. Halte Einkommensnachweis und Referenzen früherer Vermieter dafür bereit.</w:t>
      </w:r>
    </w:p>
    <w:p>
      <w:pPr>
        <w:pStyle w:val="BodyText"/>
      </w:pPr>
      <w:r>
        <w:t xml:space="preserve">Lies vor der Unterschrift den Mietvertrag und die beigefügten Erklärungen: Neue oder geänderte Verträge müssen Angaben zur Einhaltung der</w:t>
      </w:r>
      <w:r>
        <w:t xml:space="preserve"> </w:t>
      </w:r>
      <w:r>
        <w:rPr>
          <w:i/>
          <w:iCs/>
        </w:rPr>
        <w:t xml:space="preserve">Healthy Homes Standards</w:t>
      </w:r>
      <w:r>
        <w:t xml:space="preserve">, zur Dämmung und zum Versicherungsschutz des Hauses enthalten. Halte beim Einzug den Zustand gemeinsam mit Vermieter oder Hausverwaltung in einem Übergabeprotokoll fest und ergänze datierte Fotos. Das erleichtert spätere Klärungen über Reparaturen und Bond-Rückzahlung.</w:t>
      </w:r>
    </w:p>
    <w:p>
      <w:pPr>
        <w:pStyle w:val="BodyText"/>
      </w:pPr>
      <w:r>
        <w:t xml:space="preserve">Der allgemeine Bond (</w:t>
      </w:r>
      <w:r>
        <w:rPr>
          <w:i/>
          <w:iCs/>
        </w:rPr>
        <w:t xml:space="preserve">general bond</w:t>
      </w:r>
      <w:r>
        <w:t xml:space="preserve">, vergleichbar mit der deutschen Mietkaution) ist auf höchstens vier Wochenmieten begrenzt. Seit Dezember 2025 kann für ein genehmigtes Haustier zusätzlich ein</w:t>
      </w:r>
      <w:r>
        <w:t xml:space="preserve"> </w:t>
      </w:r>
      <w:r>
        <w:rPr>
          <w:i/>
          <w:iCs/>
        </w:rPr>
        <w:t xml:space="preserve">pet bond</w:t>
      </w:r>
      <w:r>
        <w:t xml:space="preserve"> </w:t>
      </w:r>
      <w:r>
        <w:t xml:space="preserve">von höchstens zwei Wochenmieten verlangt werden; zusammen sind also bis zu sechs Wochenmieten an Bonds möglich. Außerdem darf der Vermieter höchstens zwei Wochen Miete im Voraus verlangen. Mit Haustier können beim Einzug bis zu acht Wochenmieten fällig werden. Der Vermieter muss den Bond bei Tenancy Services hinterlegen, einer Stelle des neuseeländischen Ministeriums für Wirtschaft, Innovation und Beschäftigung (</w:t>
      </w:r>
      <w:r>
        <w:rPr>
          <w:i/>
          <w:iCs/>
        </w:rPr>
        <w:t xml:space="preserve">Ministry of Business, Innovation and Employment</w:t>
      </w:r>
      <w:r>
        <w:t xml:space="preserve">, MBIE). Du zahlst ihn in der Regel an den Vermieter; dieser muss ihn binnen 23 Werktagen einreichen. Mit Zustimmung kann der Vermieter dich zur direkten Online-Zahlung an Tenancy Services benennen. Nach Mietende beantragst du die Rückzahlung. Bei einem vollständigen Antrag benötigt Tenancy Services dafür bis zu zehn Werktage. Können sich beide Seiten nicht über die Aufteilung einigen, entscheidet das Tenancy Tribunal. Zusätzliche Vermittlungsgebühren (</w:t>
      </w:r>
      <w:r>
        <w:rPr>
          <w:i/>
          <w:iCs/>
        </w:rPr>
        <w:t xml:space="preserve">Letting Fees</w:t>
      </w:r>
      <w:r>
        <w:t xml:space="preserve">) an Mieter sind seit dem 12. Dezember 2018 verboten. Seit dem 29. Juni 2026 läuft die digitale Kautionsabwicklung über „Bond Hub“ oder eine angebundene Verwaltungssoftware.</w:t>
      </w:r>
    </w:p>
    <w:p>
      <w:pPr>
        <w:pStyle w:val="BlockText"/>
      </w:pPr>
      <w:r>
        <w:rPr>
          <w:b/>
          <w:bCs/>
        </w:rPr>
        <w:t xml:space="preserve">Achtung:</w:t>
      </w:r>
      <w:r>
        <w:t xml:space="preserve"> </w:t>
      </w:r>
      <w:r>
        <w:t xml:space="preserve">In Auckland und Wellington ist der Wettbewerb um gute Mietwohnungen hoch – bereite Einkommensnachweis, Arbeitsvertrag und Referenzen vor, bevor die erste Besichtigung überhaupt beginnt. Wer erst nach der Zusage anfängt, Unterlagen zusammenzusuchen, hat die Wohnung meist schon verloren.</w:t>
      </w:r>
    </w:p>
    <w:p>
      <w:pPr>
        <w:pStyle w:val="BlockText"/>
      </w:pPr>
      <w:r>
        <w:rPr>
          <w:b/>
          <w:bCs/>
        </w:rPr>
        <w:t xml:space="preserve">Spartipp:</w:t>
      </w:r>
      <w:r>
        <w:t xml:space="preserve"> </w:t>
      </w:r>
      <w:r>
        <w:t xml:space="preserve">Christchurch ist bei Kaufpreisen und zentralen Einzimmerwohnungen meist günstiger als Auckland: Ein Apartment im Zentrum kostet dort rund 1.300 bis 1.950 NZD im Monat, in Auckland 2.170 bis 2.820 NZD. Die genannten Wochenmieten für Auckland, Wellington und Christchurch beziehen sich auf unterschiedliche Wohnungszuschnitte und sind deshalb nur grob vergleichbar. Wer beim Jobmarkt flexibel ist, sollte Wohnkosten und Gehalt gemeinsam vergleichen, statt automatisch auf Auckland zu setzen.</w:t>
      </w:r>
    </w:p>
    <w:p>
      <w:pPr>
        <w:pStyle w:val="BlockText"/>
      </w:pPr>
      <w:r>
        <w:rPr>
          <w:b/>
          <w:bCs/>
        </w:rPr>
        <w:t xml:space="preserve">Praxisbeispiel:</w:t>
      </w:r>
      <w:r>
        <w:t xml:space="preserve"> </w:t>
      </w:r>
      <w:r>
        <w:t xml:space="preserve">Familie Krüger (fiktives Beispiel) kommt mit dem</w:t>
      </w:r>
      <w:r>
        <w:t xml:space="preserve"> </w:t>
      </w:r>
      <w:r>
        <w:rPr>
          <w:i/>
          <w:iCs/>
        </w:rPr>
        <w:t xml:space="preserve">Accredited Employer Work Visa</w:t>
      </w:r>
      <w:r>
        <w:t xml:space="preserve"> </w:t>
      </w:r>
      <w:r>
        <w:t xml:space="preserve">(AEWV) nach Christchurch, weil Sebastians Beruf als Agraringenieur auf der</w:t>
      </w:r>
      <w:r>
        <w:t xml:space="preserve"> </w:t>
      </w:r>
      <w:r>
        <w:rPr>
          <w:i/>
          <w:iCs/>
        </w:rPr>
        <w:t xml:space="preserve">Green List</w:t>
      </w:r>
      <w:r>
        <w:t xml:space="preserve"> </w:t>
      </w:r>
      <w:r>
        <w:t xml:space="preserve">(Mangelberufeliste mit erleichtertem Weg zur Residenz) steht. Für die ersten Monate mieten Sebastian und Petra ein Haus in einem Vorort mit nachgewiesen erdbebenverstärktem Fundament – eine Frage, die sie in Deutschland bei einer Besichtigung nie hätten stellen müssen, hier aber routinemäßig stellen, während der Makler geduldig das Baujahr und die letzte Nachrüstung erklärt. Die Kaution von bis zu vier Wochenmieten zahlen sie an die Vermieterin. Diese muss sie bei Tenancy Services hinterlegen; mit Zustimmung der Vermieterin können die Krügers auch direkt über den von ihr gestarteten Online-Vorgang zahlen. Für Lotta (12) und Finn (8) drängt die Schulplatzsuche; Sebastian und Petra prüfen parallel, ob das Haus im Ernstfall sicher ist, und planen ihre beruflichen nächsten Schritte jeweils anhand der eigenen Visabedingungen.</w:t>
      </w:r>
    </w:p>
    <w:bookmarkEnd w:id="1160"/>
    <w:bookmarkStart w:id="1161" w:name="Xe1e65879e0c6776ca5434a17bf070f52ed31eb1"/>
    <w:p>
      <w:pPr>
        <w:pStyle w:val="Heading3"/>
        <w:ind w:left="0" w:firstLine="0"/>
        <w:jc w:val="left"/>
        <w:keepNext/>
      </w:pPr>
      <w:r>
        <w:t xml:space="preserve">Kaufen: Der Foreign-Buyer-Test „ordinarily resident“</w:t>
      </w:r>
    </w:p>
    <w:p>
      <w:pPr>
        <w:pStyle w:val="FirstParagraph"/>
      </w:pPr>
      <w:r>
        <w:t xml:space="preserve">Beim Immobilienkauf prüft ein auf Immobilienrecht spezialisierter Anwalt (</w:t>
      </w:r>
      <w:r>
        <w:rPr>
          <w:i/>
          <w:iCs/>
        </w:rPr>
        <w:t xml:space="preserve">Solicitor</w:t>
      </w:r>
      <w:r>
        <w:t xml:space="preserve">) den Vertrag und die Eintragung im Grundbuch; ein Notartermin wie in Deutschland ist nicht üblich. Bevor du aber überhaupt ein Gebot abgeben kannst, entscheidet eine ganz andere Frage: Giltst du nach neuseeländischem Recht als „</w:t>
      </w:r>
      <w:r>
        <w:rPr>
          <w:i/>
          <w:iCs/>
        </w:rPr>
        <w:t xml:space="preserve">Overseas Person</w:t>
      </w:r>
      <w:r>
        <w:t xml:space="preserve">“ oder nicht?</w:t>
      </w:r>
    </w:p>
    <w:p>
      <w:pPr>
        <w:pStyle w:val="BodyText"/>
      </w:pPr>
      <w:r>
        <w:t xml:space="preserve">Der</w:t>
      </w:r>
      <w:r>
        <w:t xml:space="preserve"> </w:t>
      </w:r>
      <w:r>
        <w:rPr>
          <w:i/>
          <w:iCs/>
        </w:rPr>
        <w:t xml:space="preserve">Overseas Investment Act</w:t>
      </w:r>
      <w:r>
        <w:t xml:space="preserve"> </w:t>
      </w:r>
      <w:r>
        <w:t xml:space="preserve">2005 regelt den Kauf bestehender Wohnimmobilien (</w:t>
      </w:r>
      <w:r>
        <w:rPr>
          <w:i/>
          <w:iCs/>
        </w:rPr>
        <w:t xml:space="preserve">Established Dwellings</w:t>
      </w:r>
      <w:r>
        <w:t xml:space="preserve">): Wer als „Overseas Person“ gilt, darf sie grundsätzlich nicht kaufen. Für den Status „</w:t>
      </w:r>
      <w:r>
        <w:rPr>
          <w:i/>
          <w:iCs/>
        </w:rPr>
        <w:t xml:space="preserve">ordinarily resident</w:t>
      </w:r>
      <w:r>
        <w:t xml:space="preserve">“ musst du laut</w:t>
      </w:r>
      <w:r>
        <w:t xml:space="preserve"> </w:t>
      </w:r>
      <w:r>
        <w:rPr>
          <w:i/>
          <w:iCs/>
        </w:rPr>
        <w:t xml:space="preserve">Land Information New Zealand</w:t>
      </w:r>
      <w:r>
        <w:t xml:space="preserve"> </w:t>
      </w:r>
      <w:r>
        <w:t xml:space="preserve">(LINZ) drei Kriterien zugleich erfüllen: ein</w:t>
      </w:r>
      <w:r>
        <w:t xml:space="preserve"> </w:t>
      </w:r>
      <w:r>
        <w:rPr>
          <w:i/>
          <w:iCs/>
        </w:rPr>
        <w:t xml:space="preserve">Resident Class Visa</w:t>
      </w:r>
      <w:r>
        <w:t xml:space="preserve"> </w:t>
      </w:r>
      <w:r>
        <w:t xml:space="preserve">halten, seit mindestens zwölf Monaten unmittelbar vor dem Kauf in Neuseeland leben und in diesem Zeitraum mehr als 183 Tage physisch im Land gewesen sein. LINZ wertet diese Anwesenheit zugleich als Voraussetzung für die neuseeländische Steuerresidenz in diesem Test. Details dazu erklärt das</w:t>
      </w:r>
      <w:r>
        <w:t xml:space="preserve"> </w:t>
      </w:r>
      <w:hyperlink w:anchor="tnz07">
        <w:r>
          <w:rPr>
            <w:rStyle w:val="Hyperlink"/>
          </w:rPr>
          <w:t xml:space="preserve">Kapitel zu Steuer-ID, Bank und Kredit in diesem Teil</w:t>
        </w:r>
      </w:hyperlink>
      <w:r>
        <w:t xml:space="preserve">. Fehlt ein Kriterium, bist du für diesen Kauf nicht „ordinarily resident“; ausgeschlossen ist ein Kauf damit aber nicht in jedem Fall.</w:t>
      </w:r>
    </w:p>
    <w:p>
      <w:pPr>
        <w:pStyle w:val="BodyText"/>
      </w:pPr>
      <w:r>
        <w:t xml:space="preserve">Eine Sonderregel gilt für australische und singapurische Staatsangehörige. Sie können ohne LINZ-Zustimmung ein Haus oder Grundstück der Kategorien „residential“ oder „lifestyle“ kaufen. Für Grundstücke, die zusätzlich aus einem anderen Grund als sensibel gelten, bestehen weitere Voraussetzungen. Für deutsche Staatsangehörige gilt diese pauschale Ausnahme nicht. Seit dem 6. März 2026 gibt es außerdem eine eng begrenzte Kaufmöglichkeit für bestimmte Inhaber der Investor-Visa Active Investor Plus, Investor 1 oder Investor 2. Mit LINZ-Zustimmung können sie ein Wohnhaus für mehr als 5 Mio. NZD kaufen oder bauen. Dieser Weg gilt nicht allgemein für Fachkräfte-Zuwanderer wie Familie Krüger oder Paul Lindner.</w:t>
      </w:r>
    </w:p>
    <w:p>
      <w:pPr>
        <w:pStyle w:val="BodyText"/>
      </w:pPr>
      <w:r>
        <w:t xml:space="preserve">Für Familie Krüger bedeutet das etwas anderes als für Paul Lindner: Mit dem AEWV halten Sebastian und Petra zunächst kein</w:t>
      </w:r>
      <w:r>
        <w:t xml:space="preserve"> </w:t>
      </w:r>
      <w:r>
        <w:rPr>
          <w:i/>
          <w:iCs/>
        </w:rPr>
        <w:t xml:space="preserve">Resident Class Visa</w:t>
      </w:r>
      <w:r>
        <w:t xml:space="preserve"> </w:t>
      </w:r>
      <w:r>
        <w:t xml:space="preserve">und dürfen deshalb kein Wohnhaus kaufen. Nach einem Wechsel in einen Residence-Class-Status, etwa über die</w:t>
      </w:r>
      <w:r>
        <w:t xml:space="preserve"> </w:t>
      </w:r>
      <w:r>
        <w:rPr>
          <w:i/>
          <w:iCs/>
        </w:rPr>
        <w:t xml:space="preserve">Green List</w:t>
      </w:r>
      <w:r>
        <w:t xml:space="preserve"> </w:t>
      </w:r>
      <w:r>
        <w:t xml:space="preserve">oder die</w:t>
      </w:r>
      <w:r>
        <w:t xml:space="preserve"> </w:t>
      </w:r>
      <w:r>
        <w:rPr>
          <w:i/>
          <w:iCs/>
        </w:rPr>
        <w:t xml:space="preserve">Skilled Migrant Category</w:t>
      </w:r>
      <w:r>
        <w:t xml:space="preserve">, können sie vor Ablauf der zwölf Monate bei LINZ die Zustimmung zum Kauf oder Bau eines Hauses beantragen, in dem sie selbst wohnen wollen. Eine Zustimmung ist an Bedingungen geknüpft; wer zwölf Monate und die übrigen Kriterien erfüllt, kann grundsätzlich ohne diesen Antrag kaufen. Auch bei der Finanzierung selbst lohnt sich Geduld: Ohne neuseeländische Kredithistorie prüfen Banken Einkommen und Bonität in der Regel strenger. Frage frühzeitig bei mehreren Banken oder einem Hypothekenmakler nach den Bedingungen für deine Situation.</w:t>
      </w:r>
    </w:p>
    <w:p>
      <w:pPr>
        <w:pStyle w:val="BodyText"/>
      </w:pPr>
      <w:r>
        <w:t xml:space="preserve">Beziehe den Solicitor vor einem verbindlichen Kaufangebot ein. Lass ihn den</w:t>
      </w:r>
      <w:r>
        <w:t xml:space="preserve"> </w:t>
      </w:r>
      <w:r>
        <w:rPr>
          <w:i/>
          <w:iCs/>
        </w:rPr>
        <w:t xml:space="preserve">LIM report</w:t>
      </w:r>
      <w:r>
        <w:t xml:space="preserve"> </w:t>
      </w:r>
      <w:r>
        <w:t xml:space="preserve">der Gemeinde, den Grundbucheintrag (</w:t>
      </w:r>
      <w:r>
        <w:rPr>
          <w:i/>
          <w:iCs/>
        </w:rPr>
        <w:t xml:space="preserve">record of title</w:t>
      </w:r>
      <w:r>
        <w:t xml:space="preserve">) und einen unabhängigen Gebäudebericht prüfen. Gibt es Hinweise auf Māori freehold land, sollte er Status und Übertragungsregeln mit der Māori Land Court klären. Frage außerdem Bank und Versicherer, ob die Immobilie finanzierbar und versicherbar ist, bevor du ein unbedingtes Angebot abgibst.</w:t>
      </w:r>
    </w:p>
    <w:p>
      <w:pPr>
        <w:pStyle w:val="BlockText"/>
      </w:pPr>
      <w:r>
        <w:rPr>
          <w:b/>
          <w:bCs/>
        </w:rPr>
        <w:t xml:space="preserve">Merke:</w:t>
      </w:r>
      <w:r>
        <w:t xml:space="preserve"> </w:t>
      </w:r>
      <w:r>
        <w:t xml:space="preserve">Ein</w:t>
      </w:r>
      <w:r>
        <w:t xml:space="preserve"> </w:t>
      </w:r>
      <w:r>
        <w:rPr>
          <w:i/>
          <w:iCs/>
        </w:rPr>
        <w:t xml:space="preserve">Resident Class Visa</w:t>
      </w:r>
      <w:r>
        <w:t xml:space="preserve"> </w:t>
      </w:r>
      <w:r>
        <w:t xml:space="preserve">allein macht dich noch nicht „ordinarily resident“. Für einen Kauf ohne Zustimmung müssen außerdem zwölf Monate Aufenthalt und mehr als 183 Tage physische Anwesenheit im unmittelbar vorhergehenden Jahr zusammenkommen. Wer ein Residence-Class-Visum hat, aber diese Fristen noch nicht erfüllt, kann unter Umständen vorab eine LINZ-Zustimmung zum Kauf eines Eigenheims beantragen.</w:t>
      </w:r>
    </w:p>
    <w:p>
      <w:pPr>
        <w:pStyle w:val="BlockText"/>
      </w:pPr>
      <w:r>
        <w:rPr>
          <w:b/>
          <w:bCs/>
        </w:rPr>
        <w:t xml:space="preserve">Achtung:</w:t>
      </w:r>
      <w:r>
        <w:t xml:space="preserve"> </w:t>
      </w:r>
      <w:r>
        <w:t xml:space="preserve">Ein Kauf ohne nötige Zustimmung kann erhebliche Strafen nach sich ziehen. Kläre vor einem Gebot mit einem auf den</w:t>
      </w:r>
      <w:r>
        <w:t xml:space="preserve"> </w:t>
      </w:r>
      <w:r>
        <w:rPr>
          <w:i/>
          <w:iCs/>
        </w:rPr>
        <w:t xml:space="preserve">Overseas Investment Act</w:t>
      </w:r>
      <w:r>
        <w:t xml:space="preserve"> </w:t>
      </w:r>
      <w:r>
        <w:t xml:space="preserve">spezialisierten Solicitor, ob du ohne Zustimmung kaufen darfst oder vorher eine LINZ-Zustimmung brauchst.</w:t>
      </w:r>
    </w:p>
    <w:p>
      <w:pPr>
        <w:pStyle w:val="BlockText"/>
      </w:pPr>
      <w:r>
        <w:rPr>
          <w:b/>
          <w:bCs/>
        </w:rPr>
        <w:t xml:space="preserve">Praxisbeispiel:</w:t>
      </w:r>
      <w:r>
        <w:t xml:space="preserve"> </w:t>
      </w:r>
      <w:r>
        <w:t xml:space="preserve">Paul Lindner (fiktives Beispiel) zieht mit einem</w:t>
      </w:r>
      <w:r>
        <w:t xml:space="preserve"> </w:t>
      </w:r>
      <w:r>
        <w:rPr>
          <w:i/>
          <w:iCs/>
        </w:rPr>
        <w:t xml:space="preserve">Skilled Migrant Category Resident Visa</w:t>
      </w:r>
      <w:r>
        <w:t xml:space="preserve"> </w:t>
      </w:r>
      <w:r>
        <w:t xml:space="preserve">direkt aus Deutschland nach Auckland – damit besitzt er vom ersten Tag an ein</w:t>
      </w:r>
      <w:r>
        <w:t xml:space="preserve"> </w:t>
      </w:r>
      <w:r>
        <w:rPr>
          <w:i/>
          <w:iCs/>
        </w:rPr>
        <w:t xml:space="preserve">Residence-Class-Visum</w:t>
      </w:r>
      <w:r>
        <w:t xml:space="preserve">. Als er nach zehn Monaten eine Eigentumswohnung im Stadtteil Kingsland besichtigen will und dem Makler bereits gedanklich die Möbel einräumt, erklärt dieser ihm höflich, dass die zwölf Monate Aufenthalt noch nicht erreicht sind. Paul mietet zwei Monate weiter und klärt währenddessen mit einem Solicitor und seiner Bank, ob er danach kaufen kann und wie er den Kauf finanziert.</w:t>
      </w:r>
    </w:p>
    <w:bookmarkEnd w:id="1161"/>
    <w:bookmarkStart w:id="1165" w:name="X0a32a680a8e4cbe072422276421400650090482"/>
    <w:p>
      <w:pPr>
        <w:pStyle w:val="Heading3"/>
        <w:ind w:left="0" w:firstLine="0"/>
        <w:jc w:val="left"/>
        <w:keepNext/>
      </w:pPr>
      <w:r>
        <w:t xml:space="preserve">Die besten Orte zum Leben: Klima, Naturgefahren, Kosten, Jobmarkt</w:t>
      </w:r>
    </w:p>
    <w:p>
      <w:pPr>
        <w:pStyle w:val="FirstParagraph"/>
      </w:pPr>
      <w:r>
        <w:t xml:space="preserve">Die folgenden vier Profile sind eine Auswahl, keine vollständige Rangliste des Landes. Prüfe bei der Ortswahl auch kleinere Zentren und Regionen, wenn dort passende Stellen oder ein besseres Verhältnis von Wohnkosten und Lebensstil zu finden sind. Ergänze die Profile durch lokale Quellen: Māori sind tangata whenua, die indigene Bevölkerung Aotearoas. Informiere dich über die Ortsgeschichte und die dortigen iwi und hapū; ihre Verbindungen zum Land sind ortsbezogen und vielfältig.</w:t>
      </w:r>
    </w:p>
    <w:p>
      <w:pPr>
        <w:pStyle w:val="BodyText"/>
      </w:pPr>
      <w:r>
        <w:t xml:space="preserve">Erdbeben sind kein reines Wellington-Thema. Die Erdbebenserie in Christchurch 2010/2011 zeigte, dass auch vermeintlich ruhige Regionen betroffen sein können: Die Verwerfung unter der Canterbury-Ebene war vor dem ersten Beben nicht bekannt. Vergleiche Orte deshalb nach Klima, Naturgefahren, Wohnkosten und Jobmarkt. Rechne neben Miete oder Kaufpreis auch Auto, Strom und Kinderbetreuung ins Budget ein.</w:t>
      </w:r>
    </w:p>
    <w:p>
      <w:pPr>
        <w:pStyle w:val="BodyText"/>
      </w:pPr>
      <w:r>
        <w:t xml:space="preserve">Landesweit lag der Kaufpreis-Median im August 2026 bei 750.000 NZD, 1,3 % weniger als im Vorjahr. Ende 2025 stiegen die Preise in Auckland dagegen noch um 6,0 %, in Wellington um 1,4 %. Das zeigt, wie stark sich die Regionen unterscheiden. Pflegekräfte verdienen landesweit als grobe Orientierung zum Einstieg rund 60.000 bis 65.000 NZD. Mit fünf Jahren Erfahrung sind es 75.000 bis 85.000 NZD, als</w:t>
      </w:r>
      <w:r>
        <w:t xml:space="preserve"> </w:t>
      </w:r>
      <w:r>
        <w:rPr>
          <w:i/>
          <w:iCs/>
        </w:rPr>
        <w:t xml:space="preserve">Nurse Practitioner</w:t>
      </w:r>
      <w:r>
        <w:t xml:space="preserve"> </w:t>
      </w:r>
      <w:r>
        <w:t xml:space="preserve">(Pflegekraft mit erweiterten klinischen Befugnissen) 95.000 bis 135.000 NZD.</w:t>
      </w:r>
    </w:p>
    <w:p>
      <w:pPr>
        <w:pStyle w:val="BodyText"/>
      </w:pPr>
      <w:r>
        <w:rPr>
          <w:b/>
          <w:bCs/>
        </w:rPr>
        <w:t xml:space="preserve">Auckland</w:t>
      </w:r>
      <w:r>
        <w:t xml:space="preserve"> </w:t>
      </w:r>
      <w:r>
        <w:t xml:space="preserve">liegt subtropisch-feucht auf einer schmalen Landenge zwischen zwei warmen Ozeanen. Es gibt rund 132 Regentage im Jahr und 1.119 bis 1.167 Millimeter Niederschlag, dazu kurze, extreme Starkregenereignisse. Die „Auckland Anniversary Weekend“-Flut vom 27. Januar 2023 war laut NIWA ein statistisches Ereignis, das im Schnitt nur alle 200 Jahre vorkommt. An einem Tag fiel so viel Regen wie sonst in einem durchschnittlichen Sommer. Der Sachschaden lag bei rund 2,2 Mrd. NZD; vier Menschen starben. Hinzu kommt das Vulkanrisiko: Auckland liegt auf einem aktiven Vulkanfeld mit 53 Einzelvulkanen. Der letzte Ausbruch, der von Rangitoto, liegt rund 600 Jahre zurück. Geologen schätzen die jährliche Ausbruchswahrscheinlichkeit auf etwa 1:1.000.</w:t>
      </w:r>
    </w:p>
    <w:p>
      <w:pPr>
        <w:pStyle w:val="BodyText"/>
      </w:pPr>
      <w:r>
        <w:t xml:space="preserve">Beim Wohnen ist Auckland die teuerste der vier hier verglichenen Orte: Die Miete liegt bei rund 635 NZD pro Woche, der Kaufmedian bei 950.000 NZD; ein Einzimmerapartment im Zentrum kostet 2.170 bis 2.820 NZD im Monat. Dafür ist der Jobmarkt der breiteste des Landes. Finanz- und Versicherungsdienstleistungen sowie Informationsmedien und Telekommunikation zählen zu den produktivsten Branchen der Stadt; 12 % der Beschäftigten arbeiten in wissenschaftlich-technischen Dienstleistungen. Softwareentwickler verdienen landesweit im Schnitt 78.955 NZD im Jahr; erfahrene Senior-Ingenieure in etablierten Firmen in Auckland oder Wellington kommen auf 140.000 bis 170.000 NZD, in Spezialrollen auf 180.000 bis 220.000 NZD. Für die deutsche Community gibt es einen Honorarkonsul (HSBC Tower, Quay Street) und eine Spielgruppe; eine deutsche Auslandsschule gibt es nicht. Das Goethe-Institut ist von Wellington aus zuständig.</w:t>
      </w:r>
    </w:p>
    <w:p>
      <w:pPr>
        <w:pStyle w:val="BodyText"/>
      </w:pPr>
      <w:r>
        <w:rPr>
          <w:b/>
          <w:bCs/>
        </w:rPr>
        <w:t xml:space="preserve">Wellington</w:t>
      </w:r>
      <w:r>
        <w:t xml:space="preserve"> </w:t>
      </w:r>
      <w:r>
        <w:t xml:space="preserve">ist mild und maritim geprägt, mit vergleichsweise geringen Temperaturschwankungen. Die Stadt gilt als windigste Hauptstadt der Welt: Die Durchschnittswindgeschwindigkeit liegt bei über 26 km/h, an rund 160 Tagen im Jahr gibt es Böen ab 63 km/h. Ursache ist unter anderem der Trichtereffekt der Cook Strait zwischen Nord- und Südinsel. Die Sommer sind mild (19 bis 24 °C, nur selten über 30 °C), die Winter (Juni bis August) nass und unbeständig.</w:t>
      </w:r>
    </w:p>
    <w:p>
      <w:pPr>
        <w:pStyle w:val="BodyText"/>
      </w:pPr>
      <w:r>
        <w:t xml:space="preserve">Das größte Naturgefahren-Risiko liegt unter der Erde. Wellington sitzt an der Kollisionszone zweier tektonischer Platten; zur 170 Kilometer langen Wellington-Verwerfung (mögliche Stärke bis Mw 8) kommen die Ohariu-Verwerfung und die vorgelagerte Hikurangi-Subduktionszone mit Erdbeben- und Tsunamirisiko. Die Wochenmiete liegt hier bei rund 600 NZD; wegen unterschiedlicher Wohnungszuschnitte ist der Wert nicht direkt mit Auckland vergleichbar. Ein stadtspezifischer Kaufpreis ist nicht gesondert ermittelt; das Jahreswachstum lag Ende 2025 bei 1,4 %.</w:t>
      </w:r>
    </w:p>
    <w:p>
      <w:pPr>
        <w:pStyle w:val="BodyText"/>
      </w:pPr>
      <w:r>
        <w:t xml:space="preserve">Der öffentliche Dienst prägt den Jobmarkt und stand 2026 unter Spardruck. Daneben gibt es eine Tech- und Startup-Szene mit Schwerpunkten wie Governance und „Responsible AI“. Wellington ist Sitz der deutschen Botschaft, hat ein Goethe-Institut, die German School Wellington (Newtown, Ergänzungsschule) und eine deutsche Spielgruppe.</w:t>
      </w:r>
    </w:p>
    <w:p>
      <w:pPr>
        <w:pStyle w:val="BodyText"/>
      </w:pPr>
      <w:r>
        <w:rPr>
          <w:b/>
          <w:bCs/>
        </w:rPr>
        <w:t xml:space="preserve">Christchurch</w:t>
      </w:r>
      <w:r>
        <w:t xml:space="preserve"> </w:t>
      </w:r>
      <w:r>
        <w:t xml:space="preserve">ist kühl-gemäßigt, mit deutlicheren Jahreszeiten als Auckland oder Wellington. Das Naturgefahren-Profil ist von den Erdbeben 2010/2011 geprägt. Das Beben vom 4. September 2010 (Stärke 7,1) und besonders das vom 22. Februar 2011 (Stärke 6,3, nur vier Kilometer tief) verursachten inflationsbereinigt rund 54,8 Mrd. NZD Schaden – die teuerste Naturkatastrophe der neuseeländischen Geschichte. 185 Menschen starben, 10.000 Häuser mussten wiederaufgebaut und 3.500 abgerissen werden.</w:t>
      </w:r>
    </w:p>
    <w:p>
      <w:pPr>
        <w:pStyle w:val="BodyText"/>
      </w:pPr>
      <w:r>
        <w:t xml:space="preserve">Beim Kauf ist Christchurch günstiger als Auckland: Der Kaufmedian lag bei 735.000 NZD. Die Wochenmiete von rund 660 NZD bezieht sich auf Häuser mit drei bis vier Zimmern und ist deshalb nur bedingt vergleichbar. Die Lebenshaltungskosten liegen mit rund 1.800 NZD pro Monat und Person nahe am Landesdurchschnitt; ein Einzimmerapartment im Zentrum kostet 1.300 bis 1.950 NZD im Monat.</w:t>
      </w:r>
    </w:p>
    <w:p>
      <w:pPr>
        <w:pStyle w:val="BodyText"/>
      </w:pPr>
      <w:r>
        <w:t xml:space="preserve">Ingenieurwesen, Bauwirtschaft und Fertigung sind wichtige Branchen; hinzu kommen Agrartechnologie und luftfahrtnahe Industrie. Ingenieure verdienen landesweit im Schnitt 92.035 NZD im Jahr, Cloud- und Infrastruktur-Ingenieure 95.000 bis 140.000 NZD. Ein Honorarkonsul vertritt vor Ort die deutschen Interessen. Ein Goethe-Institut und eine deutsche Schule gibt es in Christchurch nicht.</w:t>
      </w:r>
    </w:p>
    <w:p>
      <w:pPr>
        <w:pStyle w:val="BodyText"/>
      </w:pPr>
      <w:r>
        <w:rPr>
          <w:b/>
          <w:bCs/>
        </w:rPr>
        <w:t xml:space="preserve">Queenstown und die Region Otago</w:t>
      </w:r>
      <w:r>
        <w:t xml:space="preserve"> </w:t>
      </w:r>
      <w:r>
        <w:t xml:space="preserve">liegen alpin-kontinental im Regenschatten der Southern Alps: Während auf der Westseite der Alpen 6.000 bis 10.000 Millimeter Niederschlag im Jahr fallen, sind es in Queenstown rund 860 Millimeter. Die Temperaturspannen sind für Neuseeland groß: Wintertiefstwerte bis −10 °C und Sommerhöchstwerte über 33 °C sind selten, aber möglich. Hier sind Naturgefahren eher alpin als tektonisch. Bei starkem Schneefall warnt das Mountain Safety Council regelmäßig vor Lawinen in den Southern Alps; hinzu kommt ein moderates Hochwasserrisiko. 1999 überflutete ein Hochwasser die Innenstadt und Straßeninfrastruktur Queenstowns und verursachte rund 50 Mio. NZD Schaden.</w:t>
      </w:r>
    </w:p>
    <w:p>
      <w:pPr>
        <w:pStyle w:val="BodyText"/>
      </w:pPr>
      <w:r>
        <w:t xml:space="preserve">Eigene Kaufpreiswerte für Queenstown liegen nicht vor; in der weiteren Region Otago lag der Median zuletzt bei 755.000 NZD (+13,2 %). Die lokale Wochenmiete liegt bei 730 NZD und mehr – der höchste Wert der vier hier verglichenen Orte. Der Jobmarkt hängt stark vom Tourismus ab: Skigebiete prägen den Winter, Wander- und Wassersport den Sommer; Central Otago bietet saisonale Arbeit in der Obsternte. Tech-Startups, Filmproduktion und Weinbau erweitern die Branchenbasis. Konsularisch sind das Honorarkonsulat Christchurch beziehungsweise die Botschaft Wellington zuständig; eine deutsche Institution vor Ort ist nicht bekannt.</w:t>
      </w:r>
    </w:p>
    <w:p>
      <w:pPr>
        <w:pStyle w:val="Compact"/>
        <w:numPr>
          <w:ilvl w:val="0"/>
          <w:numId w:val="73"/>
        </w:numPr>
      </w:pPr>
      <w:r>
        <w:rPr>
          <w:b/>
          <w:bCs/>
        </w:rPr>
        <w:t xml:space="preserve">Auckland:</w:t>
      </w:r>
      <w:r>
        <w:t xml:space="preserve"> </w:t>
      </w:r>
      <w:r>
        <w:t xml:space="preserve">Subtropisch-feucht, mit Starkregen- und Vulkanrisiko. Wochenmiete: rund 635 NZD; Kaufmedian: 950.000 NZD. Der breite Dienstleistungsmarkt umfasst Finanzen, Medien und Telekommunikation.</w:t>
      </w:r>
    </w:p>
    <w:p>
      <w:pPr>
        <w:pStyle w:val="Compact"/>
        <w:numPr>
          <w:ilvl w:val="0"/>
          <w:numId w:val="73"/>
        </w:numPr>
      </w:pPr>
      <w:r>
        <w:rPr>
          <w:b/>
          <w:bCs/>
        </w:rPr>
        <w:t xml:space="preserve">Wellington:</w:t>
      </w:r>
      <w:r>
        <w:t xml:space="preserve"> </w:t>
      </w:r>
      <w:r>
        <w:t xml:space="preserve">Windig und mild-maritim, mit Erdbebenrisiko. Wochenmiete: rund 600 NZD; Kaufmedian: n. e. Wichtige Arbeitgeber finden sich in Regierung, Verwaltung und Tech/Governance.</w:t>
      </w:r>
    </w:p>
    <w:p>
      <w:pPr>
        <w:pStyle w:val="Compact"/>
        <w:numPr>
          <w:ilvl w:val="0"/>
          <w:numId w:val="73"/>
        </w:numPr>
      </w:pPr>
      <w:r>
        <w:rPr>
          <w:b/>
          <w:bCs/>
        </w:rPr>
        <w:t xml:space="preserve">Christchurch:</w:t>
      </w:r>
      <w:r>
        <w:t xml:space="preserve"> </w:t>
      </w:r>
      <w:r>
        <w:t xml:space="preserve">Kühl-gemäßigt, mit Erdbebenrisiko (2010/11). Wochenmiete für ein Haus mit drei bis vier Zimmern: rund 660 NZD; Kaufmedian: 735.000 NZD. Starke Branchen sind Ingenieurwesen, Bau und Agritech.</w:t>
      </w:r>
    </w:p>
    <w:p>
      <w:pPr>
        <w:pStyle w:val="Compact"/>
        <w:numPr>
          <w:ilvl w:val="0"/>
          <w:numId w:val="73"/>
        </w:numPr>
      </w:pPr>
      <w:r>
        <w:rPr>
          <w:b/>
          <w:bCs/>
        </w:rPr>
        <w:t xml:space="preserve">Queenstown/Otago:</w:t>
      </w:r>
      <w:r>
        <w:t xml:space="preserve"> </w:t>
      </w:r>
      <w:r>
        <w:t xml:space="preserve">Alpin, im Regenschatten, mit Lawinenrisiko. Wochenmiete: ab 730 NZD; Kaufmedian für die Region Otago: 755.000 NZD. Der Jobmarkt stützt sich auf Tourismus und zunehmend auf Tech und Weinbau.</w:t>
      </w:r>
    </w:p>
    <w:p>
      <w:pPr>
        <w:pStyle w:val="FirstParagraph"/>
      </w:pPr>
      <w:r>
        <w:rPr>
          <w:b/>
          <w:bCs/>
        </w:rPr>
        <w:t xml:space="preserve">Weitere Orte, die sich für die Suche lohnen:</w:t>
      </w:r>
      <w:r>
        <w:t xml:space="preserve"> </w:t>
      </w:r>
      <w:r>
        <w:t xml:space="preserve">Hamilton bietet Stellen in Gesundheit, Logistik, Fertigung und Agrartechnik. Laut Stadtrat ist Gesundheit dort der größte Beschäftigungssektor (</w:t>
      </w:r>
      <w:hyperlink r:id="rId1168">
        <w:r>
          <w:rPr>
            <w:rStyle w:val="Hyperlink"/>
          </w:rPr>
          <w:t xml:space="preserve">Hamilton City Council</w:t>
        </w:r>
      </w:hyperlink>
      <w:r>
        <w:t xml:space="preserve">). Tauranga verbindet Hafenwirtschaft, Handel und regionale Dienstleistungen (</w:t>
      </w:r>
      <w:hyperlink r:id="rId1169">
        <w:r>
          <w:rPr>
            <w:rStyle w:val="Hyperlink"/>
          </w:rPr>
          <w:t xml:space="preserve">Tauranga City Council</w:t>
        </w:r>
      </w:hyperlink>
      <w:r>
        <w:t xml:space="preserve">). In Dunedin finden sich Chancen vor allem in Gesundheit, Bau und Bildung (</w:t>
      </w:r>
      <w:hyperlink r:id="rId1170">
        <w:r>
          <w:rPr>
            <w:rStyle w:val="Hyperlink"/>
          </w:rPr>
          <w:t xml:space="preserve">Dunedin City Council</w:t>
        </w:r>
      </w:hyperlink>
      <w:r>
        <w:t xml:space="preserve">). Die Kurzprofile ersetzen weder aktuelle Mietvergleiche noch ein konkretes Stellenangebot. Prüfe Pendelwege, Gehalt und Wohnkosten für deinen Beruf.</w:t>
      </w:r>
    </w:p>
    <w:p>
      <w:pPr>
        <w:pStyle w:val="BlockText"/>
      </w:pPr>
      <w:r>
        <w:rPr>
          <w:b/>
          <w:bCs/>
        </w:rPr>
        <w:t xml:space="preserve">Achtung:</w:t>
      </w:r>
      <w:r>
        <w:t xml:space="preserve"> </w:t>
      </w:r>
      <w:r>
        <w:t xml:space="preserve">Naturgefahren sind in Neuseeland kein Randthema, sondern ein Versicherungsposten. Die staatliche</w:t>
      </w:r>
      <w:r>
        <w:t xml:space="preserve"> </w:t>
      </w:r>
      <w:r>
        <w:rPr>
          <w:i/>
          <w:iCs/>
        </w:rPr>
        <w:t xml:space="preserve">Natural Hazards Commission Toka Tū Ake</w:t>
      </w:r>
      <w:r>
        <w:t xml:space="preserve"> </w:t>
      </w:r>
      <w:r>
        <w:t xml:space="preserve">(früher EQC) übernimmt bei einem anerkannten Erdbebenschaden am Wohnhaus die ersten 300.000 NZD – vorausgesetzt, eine private Wohngebäudeversicherung mit Feuerschutz besteht bereits. Das staatliche System ergänzt die private Versicherung, ersetzt sie aber nicht. Die jährliche Umlage über die Hausversicherung ist auf 480 NZD zuzüglich Mehrwertsteuer gedeckelt. Hol dir vor jedem Kauf ein konkretes Angebot für genau dieses Grundstück ein.</w:t>
      </w:r>
    </w:p>
    <w:p>
      <w:pPr>
        <w:pStyle w:val="FirstParagraph"/>
      </w:pPr>
      <w:r>
        <w:t xml:space="preserve">Bei Auto, Kinderbetreuung und alltäglichen Lebenshaltungskosten unterscheiden sich die vier Regionen weniger stark als bei den Wohnkosten. Wer aus einer deutschen Großstadt ohne eigenes Auto kommt, sollte trotzdem außerhalb der jeweiligen Innenstadt in praktisch allen vier Regionen ein eigenes Fahrzeug einplanen – Details zu Führerschein-Umtausch, Autokauf und Kfz-Versicherung erklärt das</w:t>
      </w:r>
      <w:r>
        <w:t xml:space="preserve"> </w:t>
      </w:r>
      <w:hyperlink w:anchor="tnz10">
        <w:r>
          <w:rPr>
            <w:rStyle w:val="Hyperlink"/>
          </w:rPr>
          <w:t xml:space="preserve">Kapitel zu Führerschein, Auto und Verkehrsregeln in diesem Teil</w:t>
        </w:r>
      </w:hyperlink>
      <w:r>
        <w:t xml:space="preserve">.</w:t>
      </w:r>
    </w:p>
    <w:bookmarkEnd w:id="1165"/>
    <w:bookmarkStart w:id="1166"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74"/>
        </w:numPr>
      </w:pPr>
      <w:r>
        <w:t xml:space="preserve">Allgemeiner Bond bis vier Wochenmieten; bei genehmigtem Haustier bis zu zwei weitere Wochenmieten Pet Bond. Beide Bonds werden bei Tenancy Services hinterlegt.</w:t>
      </w:r>
    </w:p>
    <w:p>
      <w:pPr>
        <w:pStyle w:val="Compact"/>
        <w:numPr>
          <w:ilvl w:val="0"/>
          <w:numId w:val="74"/>
        </w:numPr>
      </w:pPr>
      <w:r>
        <w:t xml:space="preserve">Vermittlungsgebühren für Mieter seit 2018 verboten</w:t>
      </w:r>
    </w:p>
    <w:p>
      <w:pPr>
        <w:pStyle w:val="Compact"/>
        <w:numPr>
          <w:ilvl w:val="0"/>
          <w:numId w:val="74"/>
        </w:numPr>
      </w:pPr>
      <w:r>
        <w:t xml:space="preserve">Christchurch bietet klar günstigeren Wohnraum und aktive Fachkräfte-Werbung</w:t>
      </w:r>
    </w:p>
    <w:p>
      <w:pPr>
        <w:pStyle w:val="Compact"/>
        <w:numPr>
          <w:ilvl w:val="0"/>
          <w:numId w:val="74"/>
        </w:numPr>
      </w:pPr>
      <w:r>
        <w:t xml:space="preserve">Staatliche Toka-Tū-Ake-Deckung ergänzt die private Erdbebenversicherung</w:t>
      </w:r>
    </w:p>
    <w:p>
      <w:pPr>
        <w:pStyle w:val="Compact"/>
        <w:numPr>
          <w:ilvl w:val="0"/>
          <w:numId w:val="74"/>
        </w:numPr>
      </w:pPr>
      <w:r>
        <w:t xml:space="preserve">Australische und singapurische Staatsangehörige haben eine Sonderregel beim Hauskauf</w:t>
      </w:r>
    </w:p>
    <w:p>
      <w:pPr>
        <w:pStyle w:val="Compact"/>
        <w:numPr>
          <w:ilvl w:val="0"/>
          <w:numId w:val="74"/>
        </w:numPr>
      </w:pPr>
      <w:r>
        <w:t xml:space="preserve">Jede Region hat ein gut dokumentiertes Naturgefahren-Profil, das sich recherchieren lässt</w:t>
      </w:r>
    </w:p>
    <w:p>
      <w:pPr>
        <w:pStyle w:val="FirstParagraph"/>
      </w:pPr>
      <w:r>
        <w:rPr>
          <w:b/>
          <w:bCs/>
        </w:rPr>
        <w:t xml:space="preserve">Minus:</w:t>
      </w:r>
    </w:p>
    <w:p>
      <w:pPr>
        <w:pStyle w:val="Compact"/>
        <w:numPr>
          <w:ilvl w:val="0"/>
          <w:numId w:val="75"/>
        </w:numPr>
      </w:pPr>
      <w:r>
        <w:t xml:space="preserve">Auckland und Wellington mit hohem Wettbewerb um gute Mietwohnungen</w:t>
      </w:r>
    </w:p>
    <w:p>
      <w:pPr>
        <w:pStyle w:val="Compact"/>
        <w:numPr>
          <w:ilvl w:val="0"/>
          <w:numId w:val="75"/>
        </w:numPr>
      </w:pPr>
      <w:r>
        <w:t xml:space="preserve">Bestandsimmobilien-Kauf für die meisten Einwanderer erst nach Erfüllung der „ordinarily resident“-Voraussetzungen möglich</w:t>
      </w:r>
    </w:p>
    <w:p>
      <w:pPr>
        <w:pStyle w:val="Compact"/>
        <w:numPr>
          <w:ilvl w:val="0"/>
          <w:numId w:val="75"/>
        </w:numPr>
      </w:pPr>
      <w:r>
        <w:t xml:space="preserve">Erdbeben-, Überschwemmungs- und Vulkanrisiko unterscheiden sich stark von Region zu Region</w:t>
      </w:r>
    </w:p>
    <w:p>
      <w:pPr>
        <w:pStyle w:val="Compact"/>
        <w:numPr>
          <w:ilvl w:val="0"/>
          <w:numId w:val="75"/>
        </w:numPr>
      </w:pPr>
      <w:r>
        <w:t xml:space="preserve">Die Deckung von 300.000 NZD ersetzt keine ausreichende private Wohngebäudeversicherung</w:t>
      </w:r>
    </w:p>
    <w:p>
      <w:pPr>
        <w:pStyle w:val="Compact"/>
        <w:numPr>
          <w:ilvl w:val="0"/>
          <w:numId w:val="75"/>
        </w:numPr>
      </w:pPr>
      <w:r>
        <w:t xml:space="preserve">Deutsche Staatsangehörige erhalten keine entsprechende pauschale Ausnahme</w:t>
      </w:r>
    </w:p>
    <w:p>
      <w:pPr>
        <w:pStyle w:val="Compact"/>
        <w:numPr>
          <w:ilvl w:val="0"/>
          <w:numId w:val="75"/>
        </w:numPr>
      </w:pPr>
      <w:r>
        <w:t xml:space="preserve">Queenstown/Otago ohne eigene isolierte Miet- oder Kaufstatistik, nur über die Gesamtregion abschätzbar</w:t>
      </w:r>
    </w:p>
    <w:bookmarkEnd w:id="1166"/>
    <w:bookmarkStart w:id="1167" w:name="was-jetzt-zu-tun-ist"/>
    <w:p>
      <w:pPr>
        <w:pStyle w:val="Heading3"/>
        <w:ind w:left="0" w:firstLine="0"/>
        <w:jc w:val="left"/>
        <w:keepNext/>
      </w:pPr>
      <w:r>
        <w:t xml:space="preserve">Was jetzt zu tun ist</w:t>
      </w:r>
    </w:p>
    <w:p>
      <w:pPr>
        <w:pStyle w:val="FirstParagraph"/>
      </w:pPr>
      <w:r>
        <w:t xml:space="preserve">Vergleiche vor der Zusage Gehalt, Wohnkosten, Jobchancen in deinem Beruf und Naturgefahren am Zielort. Kläre früh, ob und wann du die Voraussetzungen für „ordinarily resident“ erfüllst; davon hängt ab, ob ein Hauskauf ohne Zustimmung infrage kommt. Miete zunächst, auch wenn dich ein Kauf reizt. So lernst du Viertel, Schulen und die Erdbebensicherheit eines Hauses kennen, bevor du dich festlegst. Sprich außerdem mit einem Versicherungsmakler über private Wohngebäudeversicherung und staatliche Toka-Tū-Ake-Deckung. Gerade in Wellington und Christchurch beeinflusst diese Kombination dein Monatsbudget.</w:t>
      </w:r>
    </w:p>
    <w:p>
      <w:pPr>
        <w:pStyle w:val="BlockText"/>
      </w:pPr>
      <w:r>
        <w:rPr>
          <w:b/>
          <w:bCs/>
        </w:rPr>
        <w:t xml:space="preserve">Checkliste:</w:t>
      </w:r>
    </w:p>
    <w:p>
      <w:pPr>
        <w:pStyle w:val="Compact"/>
        <w:numPr>
          <w:ilvl w:val="0"/>
          <w:numId w:val="76"/>
        </w:numPr>
      </w:pPr>
      <w:r>
        <w:t xml:space="preserve">LINZ-Kriterien für „ordinarily resident“ geprüft: Residence-Class-Visum, zwölf Monate Aufenthalt, mehr als 183 Tage Anwesenheit im letzten Jahr und steuerliche Ansässigkeit?</w:t>
      </w:r>
    </w:p>
    <w:p>
      <w:pPr>
        <w:pStyle w:val="Compact"/>
        <w:numPr>
          <w:ilvl w:val="0"/>
          <w:numId w:val="77"/>
        </w:numPr>
      </w:pPr>
      <w:r>
        <w:t xml:space="preserve">Unterlagen für Mietbewerbungen vorbereitet: Einkommensnachweis, Arbeitsvertrag, Referenzen früherer Vermieter</w:t>
      </w:r>
    </w:p>
    <w:p>
      <w:pPr>
        <w:pStyle w:val="Compact"/>
        <w:numPr>
          <w:ilvl w:val="0"/>
          <w:numId w:val="78"/>
        </w:numPr>
      </w:pPr>
      <w:r>
        <w:t xml:space="preserve">Allgemeiner Bond (max. vier Wochen) und möglicher Pet Bond (bis zu zwei Wochen) sowie Hinterlegung bei Tenancy Services geklärt</w:t>
      </w:r>
    </w:p>
    <w:p>
      <w:pPr>
        <w:pStyle w:val="Compact"/>
        <w:numPr>
          <w:ilvl w:val="0"/>
          <w:numId w:val="79"/>
        </w:numPr>
      </w:pPr>
      <w:r>
        <w:t xml:space="preserve">Mietvertrag, Healthy-Homes-, Dämmungs- und Versicherungserklärungen geprüft; Einzugszustand dokumentiert</w:t>
      </w:r>
    </w:p>
    <w:p>
      <w:pPr>
        <w:pStyle w:val="Compact"/>
        <w:numPr>
          <w:ilvl w:val="0"/>
          <w:numId w:val="80"/>
        </w:numPr>
      </w:pPr>
      <w:r>
        <w:t xml:space="preserve">Miet- und Kaufpreise mehrerer Regionen im eigenen Berufsfeld verglichen, nicht nur Auckland</w:t>
      </w:r>
    </w:p>
    <w:p>
      <w:pPr>
        <w:pStyle w:val="Compact"/>
        <w:numPr>
          <w:ilvl w:val="0"/>
          <w:numId w:val="81"/>
        </w:numPr>
      </w:pPr>
      <w:r>
        <w:t xml:space="preserve">Lokale Geschichte sowie Informationen der zuständigen iwi und hapū zur Zielregion recherchiert</w:t>
      </w:r>
    </w:p>
    <w:p>
      <w:pPr>
        <w:pStyle w:val="Compact"/>
        <w:numPr>
          <w:ilvl w:val="0"/>
          <w:numId w:val="82"/>
        </w:numPr>
      </w:pPr>
      <w:r>
        <w:t xml:space="preserve">Naturgefahren-Profil der Zielregion recherchiert (Erdbeben, Überschwemmung, Vulkan, Lawine)</w:t>
      </w:r>
    </w:p>
    <w:p>
      <w:pPr>
        <w:pStyle w:val="Compact"/>
        <w:numPr>
          <w:ilvl w:val="0"/>
          <w:numId w:val="83"/>
        </w:numPr>
      </w:pPr>
      <w:r>
        <w:t xml:space="preserve">Private Wohngebäudeversicherung mit Feuerschutz und Toka-Tū-Ake-Deckung abgeglichen</w:t>
      </w:r>
    </w:p>
    <w:p>
      <w:pPr>
        <w:pStyle w:val="Compact"/>
        <w:numPr>
          <w:ilvl w:val="0"/>
          <w:numId w:val="84"/>
        </w:numPr>
      </w:pPr>
      <w:r>
        <w:t xml:space="preserve">Bei Kaufabsicht: Solicitor, LIM report, Grundbucheintrag, Gebäudeprüfung, Finanzierung und Versicherung vor verbindlichem Angebot geklärt</w:t>
      </w:r>
    </w:p>
    <w:p>
      <w:pPr>
        <w:pStyle w:val="Compact"/>
        <w:numPr>
          <w:ilvl w:val="0"/>
          <w:numId w:val="85"/>
        </w:numPr>
      </w:pPr>
      <w:r>
        <w:t xml:space="preserve">Entschieden, mindestens die ersten ein bis zwei Jahre zu mieten</w:t>
      </w:r>
    </w:p>
    <w:bookmarkEnd w:id="1167"/>
    <w:bookmarkStart w:id="1177" w:name="quellen-und-weiterführende-links"/>
    <w:p>
      <w:pPr>
        <w:pStyle w:val="Heading3"/>
        <w:ind w:left="0" w:firstLine="0"/>
        <w:jc w:val="left"/>
        <w:keepNext/>
      </w:pPr>
      <w:r>
        <w:t xml:space="preserve">Quellen und weiterführende Links</w:t>
      </w:r>
    </w:p>
    <w:p>
      <w:pPr>
        <w:pStyle w:val="Compact"/>
        <w:numPr>
          <w:ilvl w:val="0"/>
          <w:numId w:val="86"/>
        </w:numPr>
      </w:pPr>
      <w:r>
        <w:t xml:space="preserve">Tenancy Services — allgemeiner Bond und Pet Bond (</w:t>
      </w:r>
      <w:hyperlink r:id="rId1171">
        <w:r>
          <w:rPr>
            <w:rStyle w:val="Hyperlink"/>
          </w:rPr>
          <w:t xml:space="preserve">tenancy.govt.nz</w:t>
        </w:r>
      </w:hyperlink>
      <w:r>
        <w:t xml:space="preserve">)</w:t>
      </w:r>
    </w:p>
    <w:p>
      <w:pPr>
        <w:pStyle w:val="Compact"/>
        <w:numPr>
          <w:ilvl w:val="0"/>
          <w:numId w:val="86"/>
        </w:numPr>
      </w:pPr>
      <w:r>
        <w:t xml:space="preserve">Tenancy Services — Healthy Homes- und Vertragsangaben (</w:t>
      </w:r>
      <w:hyperlink r:id="rId1172">
        <w:r>
          <w:rPr>
            <w:rStyle w:val="Hyperlink"/>
          </w:rPr>
          <w:t xml:space="preserve">tenancy.govt.nz</w:t>
        </w:r>
      </w:hyperlink>
      <w:r>
        <w:t xml:space="preserve">)</w:t>
      </w:r>
    </w:p>
    <w:p>
      <w:pPr>
        <w:pStyle w:val="Compact"/>
        <w:numPr>
          <w:ilvl w:val="0"/>
          <w:numId w:val="86"/>
        </w:numPr>
      </w:pPr>
      <w:r>
        <w:t xml:space="preserve">Settled.govt.nz — LIM, Grundbuch und Gebäudeprüfung vor dem Kauf (</w:t>
      </w:r>
      <w:hyperlink r:id="rId1173">
        <w:r>
          <w:rPr>
            <w:rStyle w:val="Hyperlink"/>
          </w:rPr>
          <w:t xml:space="preserve">settled.govt.nz</w:t>
        </w:r>
      </w:hyperlink>
      <w:r>
        <w:t xml:space="preserve">)</w:t>
      </w:r>
    </w:p>
    <w:p>
      <w:pPr>
        <w:pStyle w:val="Compact"/>
        <w:numPr>
          <w:ilvl w:val="0"/>
          <w:numId w:val="86"/>
        </w:numPr>
      </w:pPr>
      <w:r>
        <w:t xml:space="preserve">Land Information New Zealand (LINZ) — Kauf eines Eigenheims, Zustimmung und „ordinarily resident“-Kriterien (</w:t>
      </w:r>
      <w:hyperlink r:id="rId1174">
        <w:r>
          <w:rPr>
            <w:rStyle w:val="Hyperlink"/>
          </w:rPr>
          <w:t xml:space="preserve">linz.govt.nz</w:t>
        </w:r>
      </w:hyperlink>
      <w:r>
        <w:t xml:space="preserve">)</w:t>
      </w:r>
    </w:p>
    <w:p>
      <w:pPr>
        <w:pStyle w:val="Compact"/>
        <w:numPr>
          <w:ilvl w:val="0"/>
          <w:numId w:val="86"/>
        </w:numPr>
      </w:pPr>
      <w:r>
        <w:t xml:space="preserve">New Zealand Government — Māori als tangata whenua und Geschichte (</w:t>
      </w:r>
      <w:hyperlink r:id="rId1175">
        <w:r>
          <w:rPr>
            <w:rStyle w:val="Hyperlink"/>
          </w:rPr>
          <w:t xml:space="preserve">govt.nz</w:t>
        </w:r>
      </w:hyperlink>
      <w:r>
        <w:t xml:space="preserve">)</w:t>
      </w:r>
    </w:p>
    <w:p>
      <w:pPr>
        <w:pStyle w:val="Compact"/>
        <w:numPr>
          <w:ilvl w:val="0"/>
          <w:numId w:val="86"/>
        </w:numPr>
      </w:pPr>
      <w:r>
        <w:t xml:space="preserve">LINZ — Māori Land FAQs und Hinweise zur Prüfung des Grundstücksstatus (</w:t>
      </w:r>
      <w:hyperlink r:id="rId1176">
        <w:r>
          <w:rPr>
            <w:rStyle w:val="Hyperlink"/>
          </w:rPr>
          <w:t xml:space="preserve">linz.govt.nz</w:t>
        </w:r>
      </w:hyperlink>
      <w:r>
        <w:t xml:space="preserve">)</w:t>
      </w:r>
    </w:p>
    <w:p>
      <w:pPr>
        <w:pStyle w:val="Compact"/>
        <w:numPr>
          <w:ilvl w:val="0"/>
          <w:numId w:val="86"/>
        </w:numPr>
      </w:pPr>
      <w:r>
        <w:t xml:space="preserve">REINZ — monatliche Kaufpreisberichte (</w:t>
      </w:r>
      <w:hyperlink r:id="rId1177">
        <w:r>
          <w:rPr>
            <w:rStyle w:val="Hyperlink"/>
          </w:rPr>
          <w:t xml:space="preserve">reinz.co.nz</w:t>
        </w:r>
      </w:hyperlink>
      <w:r>
        <w:t xml:space="preserve">)</w:t>
      </w:r>
    </w:p>
    <w:p>
      <w:pPr>
        <w:pStyle w:val="Compact"/>
        <w:numPr>
          <w:ilvl w:val="0"/>
          <w:numId w:val="86"/>
        </w:numPr>
      </w:pPr>
      <w:r>
        <w:t xml:space="preserve">Natural Hazards Commission Toka Tū Ake — Erdbebenversicherung (</w:t>
      </w:r>
      <w:hyperlink r:id="rId1178">
        <w:r>
          <w:rPr>
            <w:rStyle w:val="Hyperlink"/>
          </w:rPr>
          <w:t xml:space="preserve">naturalhazards.govt.nz</w:t>
        </w:r>
      </w:hyperlink>
      <w:r>
        <w:t xml:space="preserve">)</w:t>
      </w:r>
    </w:p>
    <w:p>
      <w:pPr>
        <w:pStyle w:val="Compact"/>
        <w:numPr>
          <w:ilvl w:val="0"/>
          <w:numId w:val="86"/>
        </w:numPr>
      </w:pPr>
      <w:r>
        <w:t xml:space="preserve">Deutsche Botschaft Wellington und Honorarkonsulate — Vertretungen vor Ort (</w:t>
      </w:r>
      <w:hyperlink r:id="rId1179">
        <w:r>
          <w:rPr>
            <w:rStyle w:val="Hyperlink"/>
          </w:rPr>
          <w:t xml:space="preserve">wellington.diplo.de</w:t>
        </w:r>
      </w:hyperlink>
      <w:r>
        <w:t xml:space="preserve">)</w:t>
      </w:r>
    </w:p>
    <w:p>
      <w:pPr>
        <w:pStyle w:val="BlockText"/>
      </w:pPr>
      <w:r>
        <w:rPr>
          <w:b/>
          <w:bCs/>
        </w:rPr>
        <w:t xml:space="preserve">Stand:</w:t>
      </w:r>
      <w:r>
        <w:t xml:space="preserve"> </w:t>
      </w:r>
      <w:r>
        <w:t xml:space="preserve">September 2026 (Schreibdatum 23. September 2026). Miet- und Kaufpreise ändern sich monatlich merklich, ebenso die Kriterien und Ausnahmen des Overseas Investment Act und die Umlagehöhe der Natural Hazards Commission. Prüfe vor jeder Entscheidung die offiziellen Seiten und aktuelle Marktberichte.</w:t>
      </w:r>
    </w:p>
    <w:bookmarkEnd w:id="1177"/>
    <w:bookmarkEnd w:id="1178"/>
    <w:p w14:paraId="239C55C4" w14:textId="77777777" w:rsidR="001F7233" w:rsidRDefault="00000000">
      <w:pPr>
        <w:pStyle w:val="Heading2"/>
        <w:keepNext/>
        <w:spacing w:line="341" w:lineRule="auto"/>
        <w:jc w:val="center"/>
      </w:pPr>
      <w:bookmarkStart w:id="140" w:name="tnz10"/>
      <w:r>
        <w:rPr>
          <w:rFonts w:ascii="Amazon Ember" w:eastAsia="Amazon Ember" w:hAnsi="Amazon Ember" w:cs="Amazon Ember"/>
          <w:color w:val="0000FF"/>
          <w:sz w:val="36"/>
          <w:szCs w:val="36"/>
        </w:rPr>
        <w:lastRenderedPageBreak/>
        <w:t>Neuseeland: Führerschein, Auto und Verkehrsregeln</w:t>
      </w:r>
      <w:bookmarkEnd w:id="140"/>
    </w:p>
    <w:p w14:paraId="3F92FEB2" w14: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w14:paraId="0541B8E0" w14:textId="77777777" w:rsidR="001F7233" w:rsidRDefault="00000000">
      <w:pPr>
        <w:spacing w:after="140"/>
      </w:pPr>
      <w:r>
        <w:t>Du stehst am Mietwagenschalter des Flughafens Auckland und brauchst einen Moment, um zu begreifen, warum der Wagen, den man dir gerade zeigt, so seltsam wirkt: Das Lenkrad sitzt rechts. Zehn Minuten später, in deinem ersten Kreisverkehr im neuen Land, fährst du im Uhrzeigersinn, findest den Blinkerhebel auf der falschen Seite des Lenkrads und aktivierst stattdessen zweimal den Scheibenwischer – bei strahlendem Sonnenschein. Der Wagen nimmt es gelassen hin, ganz so, wie es sich für ein Land gehört, in dem „she’ll be right“ (etwa: „wird schon irgendwie“) eine ernstgemeinte Lebenshaltung ist. Wer nach Neuseeland auswandert, muss nicht nur einen neuen Führerschein besorgen, sondern buchstäblich neu fahren lernen und genau darum geht es in diesem Kapitel.</w:t>
      </w:r>
    </w:p>
    <w:p w14:paraId="455E246B" w14:textId="77777777" w:rsidR="001F7233" w:rsidRDefault="00000000">
      <w:r>
        <w:rPr>
          <w:b/>
        </w:rPr>
        <w:t xml:space="preserve">KURZ GESAGT: </w:t>
      </w:r>
    </w:p>
    <w:p w14:paraId="47A7FBCE" w14:textId="77777777" w:rsidR="001F7233" w:rsidRDefault="00000000">
      <w:r>
        <w:t>• Deutschland zählt zu den exempt countries (den von der Prüfungspflicht befreiten Ländern): Mit einem seit mindestens 2 Jahren gültigen vollen Pkw-Führerschein tauschst du ihn ohne Theorie- oder Praxisprüfung um.</w:t>
      </w:r>
    </w:p>
    <w:p w14:paraId="1273ECFF" w14:textId="77777777" w:rsidR="001F7233" w:rsidRDefault="00000000">
      <w:r>
        <w:t>• Ohne Umtausch darfst du aktuell (Datenstand September 2026, geprüft im Oktober 2026) bis zu 18 Monate ab deiner letzten Einreise mit dem deutschen Führerschein fahren. Eine befristete Verlängerung der ursprünglichen 12-Monats-Frist, die absehbar wieder zurückgenommen wird.</w:t>
      </w:r>
    </w:p>
    <w:p w14:paraId="0457C057" w14:textId="77777777" w:rsidR="001F7233" w:rsidRDefault="00000000">
      <w:r>
        <w:t>• Der wichtigste Punkt überhaupt: Neuseeland fährt auf der linken Straßenseite, wie Australien und Großbritannien. Das betrifft Kreisverkehre, Blinkerhebel und vor allem deinen Blick an der Kreuzung.</w:t>
      </w:r>
    </w:p>
    <w:p w14:paraId="357A8AF2" w14:textId="77777777" w:rsidR="001F7233" w:rsidRDefault="00000000">
      <w:r>
        <w:lastRenderedPageBreak/>
        <w:t>• Seit der „Give-Way“-Reform vom 25. März 2012 hat abbiegender Verkehr nicht mehr automatisch Vorrang; die Regeln ähneln seither stärker den deutschen.</w:t>
      </w:r>
    </w:p>
    <w:p w14:paraId="39312860" w14:textId="77777777" w:rsidR="001F7233" w:rsidRDefault="00000000">
      <w:r>
        <w:t>• Viele Straßen sind unbefestigt, viele Brücken einspurig – beides mit eigenen Vorfahrtsregeln.</w:t>
      </w:r>
    </w:p>
    <w:p w14:paraId="2DE6C923" w14:textId="77777777" w:rsidR="001F7233" w:rsidRDefault="00000000">
      <w:r>
        <w:t>• Alkoholgrenze: 0,05 % für Fahrer ab 20 Jahren, 0,00 % darunter. Handy am Steuer ist meist verboten, auch freihändig für Fahranfänger.</w:t>
      </w:r>
    </w:p>
    <w:p w14:paraId="09BF0A87" w14:textId="77777777" w:rsidR="001F7233" w:rsidRDefault="001F7233">
      <w:pPr>
        <w:spacing w:line="220" w:lineRule="exact"/>
      </w:pPr>
    </w:p>
    <w:p w14:paraId="010383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Führerschein-Umtausch: Deutschland als „exempt country“</w:t>
      </w:r>
    </w:p>
    <w:p w14:paraId="7EC98722" w14:textId="77777777" w:rsidR="001F7233" w:rsidRDefault="00000000">
      <w:pPr>
        <w:spacing w:after="140"/>
      </w:pPr>
      <w:r>
        <w:rPr>
          <w:i/>
          <w:iCs/>
        </w:rPr>
        <w:t>Die neuseeländische Verkehrsbehörde NZTA (New Zealand Transport Agency Waka Kotahi) führt eine Liste von Ländern, deren Führerscheine sie als gleichwertig anerkennt – die exempt countries. Deutschland gehört dazu, ebenso Österreich, die Schweiz, Frankreich, die Niederlande, Japan, Kanada, Australien, die USA, Südkorea und rund ein Dutzend weitere Staaten. Wer seinen vollen Pkw-Führerschein seit mindestens 2 Jahren besitzt, kann ihn bei einer autorisierten Umtauschstelle. Unter anderem ausgewählten Standorten der Automobile Association (AA). Ohne Wissens- oder Fahrprüfung in einen neuseeländischen Führerschein umtauschen.</w:t>
      </w:r>
    </w:p>
    <w:p w14:paraId="14522BE0" w14:textId="77777777" w:rsidR="001F7233" w:rsidRDefault="00000000">
      <w:pPr>
        <w:spacing w:after="140"/>
      </w:pPr>
      <w:r>
        <w:t>Wichtig ist der Nachweis: Das Ausstellungsdatum deines deutschen Führerscheins muss eindeutig belegen, dass er älter als 2 Jahre ist. Steht das nicht klar auf der Karte, brauchst du entweder eine Zusatzbescheinigung der ausstellenden deutschen Behörde oder musst die praktische Prüfung doch ablegen. Vorzulegen sind der physische Original-Führerschein sowie eine von der NZTA anerkannte englische Übersetzung. Besorge diese am besten schon in Deutschland, nicht erst nach der Landung, wenn ohnehin ein Dutzend andere Behördengänge auf dich warten.</w:t>
      </w:r>
    </w:p>
    <w:p w14:paraId="2F69ED71" w14:textId="77777777" w:rsidR="001F7233" w:rsidRDefault="00000000">
      <w:r>
        <w:rPr>
          <w:b/>
        </w:rPr>
        <w:t xml:space="preserve">SPARTIPP: </w:t>
      </w:r>
    </w:p>
    <w:p w14:paraId="0DC6E351" w14:textId="77777777" w:rsidR="001F7233" w:rsidRDefault="00000000">
      <w:r>
        <w:lastRenderedPageBreak/>
        <w:t>• Kläre die englische Übersetzung deines Führerscheins und, falls nötig, eine Bescheinigung des Ausstellungsdatums bereits vor dem Abflug mit deiner deutschen Führerscheinstelle. Das erspart dir in Neuseeland einen zusätzlichen Behördengang und mögliche Wartezeit.</w:t>
      </w:r>
    </w:p>
    <w:p w14:paraId="220B570C" w14:textId="77777777" w:rsidR="001F7233" w:rsidRDefault="001F7233">
      <w:pPr>
        <w:spacing w:line="220" w:lineRule="exact"/>
      </w:pPr>
    </w:p>
    <w:p w14:paraId="281718D0" w14:textId="77777777" w:rsidR="001F7233" w:rsidRDefault="00000000">
      <w:pPr>
        <w:spacing w:after="140"/>
      </w:pPr>
      <w:r>
        <w:t>Bis samt 31. Oktober 2026 gilt für Pkw der vorübergehend verlängerte Zeitraum von bis zu 18 Monaten ab der letzten Einreise. Ab 1. November 2026 gilt für neue Einreisen wieder eine Frist von 12 Monaten. Die Übergangsregel erhält die 18 Monate für Personen, die zwischen dem 1. November 2024 und dem 31. Oktober 2026 eingereist sind. Für Motorrad- und Lkw-Führerscheine gilt die 12-Monats-Frist. Wer dauerhaft bleibt, sollte den Umtausch früh beginnen. Für einen deutschen Pkw-Führerschein nach mindestens zwei Jahren Besitz ist Deutschland ein exempt country. Sodass der Umtausch meist ohne Theorie- oder Fahrprüfung möglich ist. Details und Ausnahmen prüft die NZTA.</w:t>
      </w:r>
    </w:p>
    <w:p w14:paraId="191FB8E9" w14:textId="77777777" w:rsidR="001F7233" w:rsidRDefault="00000000">
      <w:r>
        <w:rPr>
          <w:b/>
        </w:rPr>
        <w:t xml:space="preserve">ACHTUNG: </w:t>
      </w:r>
    </w:p>
    <w:p w14:paraId="710571D9" w14:textId="77777777" w:rsidR="001F7233" w:rsidRDefault="00000000">
      <w:r>
        <w:t xml:space="preserve">• Verlasse dich nicht auf eine feste Zahl von Monaten, ohne sie kurz vor deiner Reise auf </w:t>
      </w:r>
      <w:hyperlink r:id="rId1058">
        <w:r w:rsidR="001F7233">
          <w:rPr>
            <w:color w:val="0563C1"/>
            <w:u w:val="single"/>
          </w:rPr>
          <w:t>nzta.govt.nz</w:t>
        </w:r>
      </w:hyperlink>
      <w:r>
        <w:t xml:space="preserve"> gegenzuprüfen. Übergangsregeln wie diese ändern sich in Neuseeland öfter, als man in Deutschland erwarten würde – und „das war letztes Jahr noch anders“ ist ein Satz, den du hier öfter hörst, als dir lieb ist.</w:t>
      </w:r>
    </w:p>
    <w:p w14:paraId="78ED7C4D" w14:textId="77777777" w:rsidR="001F7233" w:rsidRDefault="001F7233">
      <w:pPr>
        <w:spacing w:line="220" w:lineRule="exact"/>
      </w:pPr>
    </w:p>
    <w:p w14:paraId="49C69A85" w14:textId="77777777" w:rsidR="001F7233" w:rsidRDefault="00000000">
      <w:pPr>
        <w:spacing w:after="140"/>
      </w:pPr>
      <w:r>
        <w:t>Zur Gebührenhöhe des Umtauschs lässt sich derzeit nichts Verlässliches sagen: Die NZTA verweist auf eine dynamische Gebührenseite, die sich erfahrungsgemäß von Jahr zu Jahr ändert. Rechne mit einem überschaubaren, aber nicht ganz zu vernachlässigenden Betrag und prüfe die aktuelle Höhe direkt bei der Umtauschstelle.</w:t>
      </w:r>
    </w:p>
    <w:p w14:paraId="6322C697" w14:textId="77777777" w:rsidR="001F7233" w:rsidRDefault="00000000">
      <w:pPr>
        <w:spacing w:after="140"/>
      </w:pPr>
      <w:r>
        <w:t>Der Ablauf selbst ist überschaubar:</w:t>
      </w:r>
    </w:p>
    <w:p w14:paraId="48298CBC" w14:textId="77777777" w:rsidR="001F7233" w:rsidRDefault="00000000">
      <w:pPr>
        <w:pStyle w:val="ListParagraph"/>
        <w:numPr>
          <w:ilvl w:val="0"/>
          <w:numId w:val="42"/>
        </w:numPr>
        <w:spacing w:after="60"/>
      </w:pPr>
      <w:r>
        <w:rPr>
          <w:b/>
          <w:bCs/>
        </w:rPr>
        <w:t>Termin oder Vor-Ort-Besuch</w:t>
      </w:r>
      <w:r>
        <w:t xml:space="preserve"> bei einer autorisierten </w:t>
      </w:r>
      <w:r>
        <w:rPr>
          <w:i/>
          <w:iCs/>
        </w:rPr>
        <w:t>Overseas Licence Conversion</w:t>
      </w:r>
      <w:r>
        <w:t>-Stelle, etwa einem AA-Driver-Licensing-Standort, vereinbaren.</w:t>
      </w:r>
    </w:p>
    <w:p w14:paraId="7D08E820" w14:textId="77777777" w:rsidR="001F7233" w:rsidRDefault="00000000">
      <w:pPr>
        <w:pStyle w:val="ListParagraph"/>
        <w:numPr>
          <w:ilvl w:val="0"/>
          <w:numId w:val="2"/>
        </w:numPr>
        <w:spacing w:after="60"/>
      </w:pPr>
      <w:r>
        <w:rPr>
          <w:b/>
          <w:bCs/>
        </w:rPr>
        <w:lastRenderedPageBreak/>
        <w:t>Unterlagen zusammenstellen:</w:t>
      </w:r>
      <w:r>
        <w:t xml:space="preserve"> Original-Führerschein, die englische Übersetzung, ein amtlicher Nachweis deiner neuseeländischen Adresse und ein gültiger Identitätsnachweis (Reisepass).</w:t>
      </w:r>
    </w:p>
    <w:p w14:paraId="59BE200A" w14:textId="77777777" w:rsidR="001F7233" w:rsidRDefault="00000000">
      <w:pPr>
        <w:pStyle w:val="ListParagraph"/>
        <w:numPr>
          <w:ilvl w:val="0"/>
          <w:numId w:val="2"/>
        </w:numPr>
        <w:spacing w:after="60"/>
      </w:pPr>
      <w:r>
        <w:rPr>
          <w:b/>
          <w:bCs/>
        </w:rPr>
        <w:t>Sehtest</w:t>
      </w:r>
      <w:r>
        <w:t xml:space="preserve"> vor Ort ablegen – auch als „exempt country“-Umtauscher kommst du daran nicht vorbei.</w:t>
      </w:r>
    </w:p>
    <w:p w14:paraId="6DE008C1" w14:textId="77777777" w:rsidR="001F7233" w:rsidRDefault="00000000">
      <w:pPr>
        <w:pStyle w:val="ListParagraph"/>
        <w:numPr>
          <w:ilvl w:val="0"/>
          <w:numId w:val="2"/>
        </w:numPr>
        <w:spacing w:after="60"/>
      </w:pPr>
      <w:r>
        <w:rPr>
          <w:b/>
          <w:bCs/>
        </w:rPr>
        <w:t>Foto und Unterschrift</w:t>
      </w:r>
      <w:r>
        <w:t xml:space="preserve"> für die neue Karte erfassen lassen.</w:t>
      </w:r>
    </w:p>
    <w:p w14:paraId="46BCCE3F" w14:textId="77777777" w:rsidR="001F7233" w:rsidRDefault="00000000">
      <w:pPr>
        <w:pStyle w:val="ListParagraph"/>
        <w:numPr>
          <w:ilvl w:val="0"/>
          <w:numId w:val="2"/>
        </w:numPr>
        <w:spacing w:after="60"/>
      </w:pPr>
      <w:r>
        <w:rPr>
          <w:b/>
          <w:bCs/>
        </w:rPr>
        <w:t>Neuen Führerschein abwarten:</w:t>
      </w:r>
      <w:r>
        <w:t xml:space="preserve"> Er wird dir zugeschickt, eine vorläufige Bestätigung dient in der Zwischenzeit als Nachweis.</w:t>
      </w:r>
    </w:p>
    <w:p w14:paraId="544123B9" w14:textId="77777777" w:rsidR="001F7233" w:rsidRDefault="001F7233">
      <w:pPr>
        <w:spacing w:line="120" w:lineRule="exact"/>
      </w:pPr>
    </w:p>
    <w:p w14:paraId="62044C11" w14:textId="77777777" w:rsidR="001F7233" w:rsidRDefault="00000000">
      <w:pPr>
        <w:spacing w:after="140"/>
      </w:pPr>
      <w:r>
        <w:t>In der Praxis lässt sich der Termin oft ohne Voranmeldung an einem regulären Werktag erledigen, allerdings mit gut einer Stunde Wartezeit. Zeigt der deutsche Führerschein das Ausstellungsdatum klar erkennbar, entfällt die Zusatzbescheinigung. Den Sehtest bestehst du in aller Regel ohne Vorbereitung. Die neue Karte kommt danach meist in weniger Wochen per Post. Spürbar zügiger, als man es von einer Behörde erwarten würde und fast schon Grund genug, kurz misstrauisch zu werden, ob man nicht doch etwas übersehen hat.</w:t>
      </w:r>
    </w:p>
    <w:p w14:paraId="59E71C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Linksverkehr: die größte Umstellung überhaupt</w:t>
      </w:r>
    </w:p>
    <w:p w14:paraId="123EB759" w14:textId="77777777" w:rsidR="001F7233" w:rsidRDefault="00000000">
      <w:pPr>
        <w:spacing w:after="140"/>
      </w:pPr>
      <w:r>
        <w:t>Neuseeland fährt, wie Australien, auf der linken Straßenseite mit rechtsgesteuerten Fahrzeugen. Ein Erbe der britischen Kolonialzeit, das sich hartnäckiger hält als so manche andere britische Gewohnheit. Für dich als deutschen Neuankömmling ist das die mit Abstand größte Umstellung im gesamten Auswanderungsprozess, größer als jede Formalität rund um Visum oder Bankkonto: Hier ändert sich nicht nur eine Regel, sondern der motorische Reflex von Jahrzehnten.</w:t>
      </w:r>
    </w:p>
    <w:p w14:paraId="0B0C8350" w14:textId="77777777" w:rsidR="001F7233" w:rsidRDefault="00000000">
      <w:pPr>
        <w:spacing w:after="140"/>
      </w:pPr>
      <w:r>
        <w:t>Konkret bedeutet das:</w:t>
      </w:r>
    </w:p>
    <w:p w14:paraId="7A164D74" w14:textId="77777777" w:rsidR="001F7233" w:rsidRDefault="00000000">
      <w:pPr>
        <w:pStyle w:val="ListParagraph"/>
        <w:numPr>
          <w:ilvl w:val="0"/>
          <w:numId w:val="1"/>
        </w:numPr>
        <w:spacing w:after="60"/>
      </w:pPr>
      <w:r>
        <w:lastRenderedPageBreak/>
        <w:t>Kreisverkehre durchfährst du im Uhrzeigersinn statt gegen ihn.</w:t>
      </w:r>
    </w:p>
    <w:p w14:paraId="44A66097" w14:textId="77777777" w:rsidR="001F7233" w:rsidRDefault="00000000">
      <w:pPr>
        <w:pStyle w:val="ListParagraph"/>
        <w:numPr>
          <w:ilvl w:val="0"/>
          <w:numId w:val="1"/>
        </w:numPr>
        <w:spacing w:after="60"/>
      </w:pPr>
      <w:r>
        <w:t>Blinker- und Scheibenwischerhebel sitzen bei vielen Fahrzeugen vertauscht, weil die Fahrerposition gespiegelt ist. Der erste Griff nach dem Blinker aktiviert erfahrungsgemäß erst einmal den Wischer.</w:t>
      </w:r>
    </w:p>
    <w:p w14:paraId="3DD447AA" w14:textId="77777777" w:rsidR="001F7233" w:rsidRDefault="00000000">
      <w:pPr>
        <w:pStyle w:val="ListParagraph"/>
        <w:numPr>
          <w:ilvl w:val="0"/>
          <w:numId w:val="1"/>
        </w:numPr>
        <w:spacing w:after="60"/>
      </w:pPr>
      <w:r>
        <w:t>An Kreuzungen und beim Linksabbiegen musst du dich aktiv daran gewöhnen, zuerst nach rechts zu schauen. Der Gegenverkehr kommt aus der für dich „falschen“ Richtung.</w:t>
      </w:r>
    </w:p>
    <w:p w14:paraId="13CE1130" w14:textId="77777777" w:rsidR="001F7233" w:rsidRDefault="00000000">
      <w:pPr>
        <w:pStyle w:val="ListParagraph"/>
        <w:numPr>
          <w:ilvl w:val="0"/>
          <w:numId w:val="1"/>
        </w:numPr>
        <w:spacing w:after="60"/>
      </w:pPr>
      <w:r>
        <w:t>Auf mehrspurigen Straßen hältst du dich grundsätzlich möglichst weit links und überholst rechts.</w:t>
      </w:r>
    </w:p>
    <w:p w14:paraId="63761C67" w14:textId="77777777" w:rsidR="001F7233" w:rsidRDefault="001F7233">
      <w:pPr>
        <w:spacing w:line="120" w:lineRule="exact"/>
      </w:pPr>
    </w:p>
    <w:p w14:paraId="452C7D93" w14:textId="77777777" w:rsidR="001F7233" w:rsidRDefault="00000000">
      <w:pPr>
        <w:spacing w:after="140"/>
      </w:pPr>
      <w:r>
        <w:t>Die NZTA weist ausdrücklich darauf hin, dass es sehr leicht sei, beim Abbiegen den Blick nach rechts zu vergessen oder in einem unaufmerksamen Moment wieder auf die von zu Hause gewohnte rechte Fahrbahnseite zu geraten. Das ist keine Frage der Fahrerfahrung, sondern der Gewöhnung: Wer 20 oder 30 Jahre rechts gefahren ist, überschreibt diesen Reflex nicht in einer Woche.</w:t>
      </w:r>
    </w:p>
    <w:p w14:paraId="56DA484B" w14:textId="77777777" w:rsidR="001F7233" w:rsidRDefault="00000000">
      <w:r>
        <w:rPr>
          <w:b/>
        </w:rPr>
        <w:t xml:space="preserve">MERKE: </w:t>
      </w:r>
    </w:p>
    <w:p w14:paraId="0F144190" w14:textId="77777777" w:rsidR="001F7233" w:rsidRDefault="00000000">
      <w:r>
        <w:t>• Der Blick nach rechts vor jedem Linksabbiegen ist keine Formsache, sondern die wichtigste neue Bewegung, die du dir in Neuseeland antrainieren musst. Übe sie bewusst, bis sie automatisch wird. Am besten zuerst auf ruhigen Straßen, nicht im Feierabendverkehr von Auckland.</w:t>
      </w:r>
    </w:p>
    <w:p w14:paraId="1723DC66" w14:textId="77777777" w:rsidR="001F7233" w:rsidRDefault="001F7233">
      <w:pPr>
        <w:spacing w:line="220" w:lineRule="exact"/>
      </w:pPr>
    </w:p>
    <w:p w14:paraId="55CAF98A" w14:textId="77777777" w:rsidR="001F7233" w:rsidRDefault="00000000">
      <w:pPr>
        <w:spacing w:after="140"/>
      </w:pPr>
      <w:r>
        <w:t xml:space="preserve">Erschwerend kommt hinzu, dass viele neuseeländische Überlandstraßen schmal, kurvig und bergig sind. Ein Kontrast zu den vergleichsweise breiten und übersichtlichen deutschen Bundesstraßen. Ein Bericht der Verkehrsbehörde zählte in einem Jahr mindestens 558 Unfälle mit Todes- oder Verletzungsfolge unter Beteiligung überseeischer Fahrer, wobei kurvige Landstraßen in Kombination mit dem ungewohnten Linksverkehr als wiederkehrender Risikofaktor genannt werden (Details dazu weiter unten). Plane auf unbekannten Strecken mehr Zeit ein, als es die </w:t>
      </w:r>
      <w:r>
        <w:lastRenderedPageBreak/>
        <w:t>reine Kilometerzahl vermuten lässt und meide nach langen Flugreisen möglichst die ersten Fahrten in der Dämmerung.</w:t>
      </w:r>
    </w:p>
    <w:p w14:paraId="66D3FDB8" w14:textId="77777777" w:rsidR="001F7233" w:rsidRDefault="001F7233">
      <w:pPr>
        <w:spacing w:line="220" w:lineRule="exact"/>
      </w:pPr>
    </w:p>
    <w:p w14:paraId="6DB96C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„Give-Way“-Reform vom 25. März 2012</w:t>
      </w:r>
    </w:p>
    <w:p w14:paraId="7D912448" w14:textId="77777777" w:rsidR="001F7233" w:rsidRDefault="00000000">
      <w:pPr>
        <w:spacing w:after="140"/>
      </w:pPr>
      <w:r>
        <w:t>Verbreiteter Irrtum: Manche ältere Reiseführer und langjährige Bewohner erklären dir noch die alte neuseeländische Sonderregel, nach der rechtsabbiegender Verkehr unter bestimmten Bedingungen Vorrang vor entgegenkommendem linksabbiegendem Verkehr hatte. Tatsächlich gilt diese rund 35 Jahre alte Regel seit dem 25. März 2012, 5 Uhr morgens, nicht mehr. Die NZTA hat sie damals aus Sicherheitsgründen und zur Angleichung an internationale Standards durch zwei neue Grundsätze ersetzt:</w:t>
      </w:r>
    </w:p>
    <w:p w14:paraId="4429D691" w14:textId="77777777" w:rsidR="001F7233" w:rsidRDefault="00000000">
      <w:pPr>
        <w:pStyle w:val="ListParagraph"/>
        <w:numPr>
          <w:ilvl w:val="0"/>
          <w:numId w:val="43"/>
        </w:numPr>
        <w:spacing w:after="60"/>
      </w:pPr>
      <w:r>
        <w:t>Rechtsabbiegender Verkehr muss seitdem entgegenkommendem linksabbiegendem Verkehr Vorfahrt gewähren. An Kreuzungen, T-Kreuzungen und Einfahrten ohne Ampel- oder Schilderregelung.</w:t>
      </w:r>
    </w:p>
    <w:p w14:paraId="14194E9F" w14:textId="77777777" w:rsidR="001F7233" w:rsidRDefault="00000000">
      <w:pPr>
        <w:pStyle w:val="ListParagraph"/>
        <w:numPr>
          <w:ilvl w:val="0"/>
          <w:numId w:val="2"/>
        </w:numPr>
        <w:spacing w:after="60"/>
      </w:pPr>
      <w:r>
        <w:t>An unkontrollierten T-Kreuzungen muss der Verkehr von der endenden Straße (dem „Fuß“ des T) dem durchgehenden Verkehr auf der Straße am „Balken“ des T Vorfahrt gewähren.</w:t>
      </w:r>
    </w:p>
    <w:p w14:paraId="29E9EA5A" w14:textId="77777777" w:rsidR="001F7233" w:rsidRDefault="001F7233">
      <w:pPr>
        <w:spacing w:line="120" w:lineRule="exact"/>
      </w:pPr>
    </w:p>
    <w:p w14:paraId="0DD04834" w14:textId="77777777" w:rsidR="001F7233" w:rsidRDefault="00000000">
      <w:pPr>
        <w:spacing w:after="140"/>
      </w:pPr>
      <w:r>
        <w:t>Für dich als deutschen Neuankömmling ist das eine gute Nachricht: Die heutige Regel ähnelt im Kern dem in Deutschland vertrauten Prinzip, dass durchgehender Verkehr Vorrang vor Abbiegern und Einmündenden hat. Die historische Sonderregel vor 2012 kannst du getrost vergessen. Außer, ein älterer Nachbar erklärt sie dir mit unerschütterlicher Überzeugung als aktuell gültig. Widersprich höflich, aber bestimmt.</w:t>
      </w:r>
    </w:p>
    <w:p w14:paraId="0A6EAD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Tempolimits: Kilometer statt Meilen</w:t>
      </w:r>
    </w:p>
    <w:p w14:paraId="53080946" w14:textId="77777777" w:rsidR="001F7233" w:rsidRDefault="00000000">
      <w:pPr>
        <w:spacing w:after="140"/>
      </w:pPr>
      <w:r>
        <w:rPr>
          <w:i/>
          <w:iCs/>
        </w:rPr>
        <w:t>Neuseeland misst Geschwindigkeit, anders als du es vielleicht aus manchen Reiseberichten über die USA kennst, durchgehend in km/h. Hier gibt es also keine Umrechnung zu üben. Außerorts, auf der sogenannten Open Road, gilt als Standard 100 km/h, auf einzelnen Motorway-Abschnitten bis zu 110 km/h für Pkw und Motorräder ohne Anhänger. Innerorts liegt das Standardtempo bei 50 km/h.</w:t>
      </w:r>
    </w:p>
    <w:p w14:paraId="7658B212" w14:textId="77777777" w:rsidR="001F7233" w:rsidRDefault="00000000">
      <w:pPr>
        <w:spacing w:after="140"/>
      </w:pPr>
      <w:r>
        <w:t>Seit einer neuen Regel („Setting of Speed Limits 2024“, unterzeichnet am 28. September 2024) gilt auch: Alle lokalen Straßen vor Schulen müssen bis zum 1. Juli 2026 ein variables 30-km/h-Limit erhalten, meist auf die Bring- und Abholzeiten begrenzt. Städtische Wohnstraßen bleiben bei 50 km/h, urbane Verbindungsstraßen („Connector Roads“) liegen zwischen 50 und 80 km/h, städtische Motorways zwischen 80 und 100 km/h. Ein allgemeines, unbeschildertes Tempolimit wie die deutsche Landstraßen-Regel von 100 km/h gibt es nicht – die Beschilderung entscheidet und du solltest sie an jeder neuen Strecke bewusst wahrnehmen, statt dich auf ein Gefühl für „typisch neuseeländisches Tempo“ zu verlassen.</w:t>
      </w:r>
    </w:p>
    <w:p w14:paraId="43B44F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Unbefestigte Straßen und Ein-Spur-Brücken</w:t>
      </w:r>
    </w:p>
    <w:p w14:paraId="774B8E4E" w14:textId="77777777" w:rsidR="001F7233" w:rsidRDefault="00000000">
      <w:pPr>
        <w:spacing w:after="140"/>
      </w:pPr>
      <w:r>
        <w:t>Verbreiteter Irrtum: Wer sich Neuseeland als durchgängig asphaltiertes Straßennetz nach deutschem Vorbild vorstellt, irrt gründlich. Tatsächlich sind rund 39 % des lokalen Straßennetzes unbefestigt oder aus Schotter (etwa 31.400 km). In ländlichen Regionen wie Central Otago liegt der Anteil bei bis zu 74 %. Viele Mietwagenverträge schließen unbefestigte Straßen ausdrücklich von der Versicherung aus. Lies das Kleingedruckte, bevor du für einen Ausflug auf der Südinsel den vermeintlich kürzesten Weg über eine Schotterpiste wählst.</w:t>
      </w:r>
    </w:p>
    <w:p w14:paraId="289F3BD3" w14:textId="77777777" w:rsidR="001F7233" w:rsidRDefault="00000000">
      <w:pPr>
        <w:spacing w:after="140"/>
      </w:pPr>
      <w:r>
        <w:rPr>
          <w:i/>
          <w:iCs/>
        </w:rPr>
        <w:lastRenderedPageBreak/>
        <w:t>Ebenso alltäglich sind einspurige Brücken (One-Lane Bridges), auf denen sich der Verkehr aus beiden Richtungen eine einzige Fahrspur teilt. Die Beschilderung ist eindeutig, sobald du sie einmal gelernt hast: Ein gelbes Warndreieck kündigt die Brücke an. Ein rundes Schild mit rotem Rand bedeutet, dass du Vorfahrt gewähren musst. Ein weißer Pfeil auf blauem Rechteck zeigt dir deine eigene Vorfahrt an. Eine Regel gilt dabei unabhängig von der Beschilderung immer: Fahrzeuge, die die Brücke bereits befahren, haben in jedem Fall Vorrang. Du fährst erst auf, wenn die Brücke wieder frei ist.</w:t>
      </w:r>
    </w:p>
    <w:p w14:paraId="7FC6E04B" w14:textId="77777777" w:rsidR="001F7233" w:rsidRDefault="00000000">
      <w:r>
        <w:rPr>
          <w:b/>
        </w:rPr>
        <w:t xml:space="preserve">ACHTUNG: </w:t>
      </w:r>
    </w:p>
    <w:p w14:paraId="0B97AADD" w14:textId="77777777" w:rsidR="001F7233" w:rsidRDefault="00000000">
      <w:r>
        <w:t>• Unbefestigte Straßen verlangen einen anderen Fahrstil als Asphalt: längere Bremswege, vorsichtigeres Lenken in Kurven, mehr Abstand zum Vordermann wegen aufgewirbelter Steine. Wer im Mietwagen unterwegs ist, sollte vor der Abfahrt in den Versicherungsbedingungen nachlesen, ob Schotterstraßen ausgeschlossen sind. Ein Steinschlagschaden auf einer nicht versicherten Piste geht sonst komplett zu deinen Lasten.</w:t>
      </w:r>
    </w:p>
    <w:p w14:paraId="54829F73" w14:textId="77777777" w:rsidR="001F7233" w:rsidRDefault="001F7233">
      <w:pPr>
        <w:spacing w:line="220" w:lineRule="exact"/>
      </w:pPr>
    </w:p>
    <w:p w14:paraId="322BDD57" w14:textId="77777777" w:rsidR="001F7233" w:rsidRDefault="001F7233">
      <w:pPr>
        <w:spacing w:line="220" w:lineRule="exact"/>
      </w:pPr>
    </w:p>
    <w:p w14:paraId="57D70E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und Handy am Steuer</w:t>
      </w:r>
    </w:p>
    <w:p w14:paraId="7064560A" w14:textId="77777777" w:rsidR="001F7233" w:rsidRDefault="00000000">
      <w:pPr>
        <w:spacing w:after="140"/>
      </w:pPr>
      <w:r>
        <w:t>Seit dem 1. Dezember 2014 gilt für Fahrer ab 20 Jahren eine Blutalkoholgrenze von 0,05 % (entsprechend 250 μg Alkohol pro Liter Atemluft) – gesenkt von vorher 0,08 %. Das entspricht in etwa dem deutschen Grenzwert von 0,5 Promille, du bewegst dich hier also auf vertrautem Terrain. Für Fahrer unter 20 Jahren gilt dagegen unabhängig vom Führerscheintyp die Nullgrenze: Schon ein Getränk kann zur Anklage führen. Wichtig ist damit – anders als in Deutschland, wo die Probezeit über den Nullwert entscheidet. Allein das Lebensalter, nicht die Art des Führerscheins.</w:t>
      </w:r>
    </w:p>
    <w:p w14:paraId="5445A376" w14:textId="77777777" w:rsidR="001F7233" w:rsidRDefault="00000000">
      <w:pPr>
        <w:spacing w:after="140"/>
      </w:pPr>
      <w:r>
        <w:rPr>
          <w:i/>
          <w:iCs/>
        </w:rPr>
        <w:t xml:space="preserve">Beim Telefon ist die Regel strenger, als mancher erwartet: Verboten ist jedes Halten oder Bedienen des Mobiltelefons während der Fahrt, samt Telefonieren, Schreiben, Scrollen oder Festhalten zur Navigation. Ein </w:t>
      </w:r>
      <w:r>
        <w:rPr>
          <w:i/>
          <w:iCs/>
        </w:rPr>
        <w:lastRenderedPageBreak/>
        <w:t>Verstoß kostet 150 NZD Bußgeld und 20 Demeritpunkte. Wer innerhalb von 2 Jahren 100 Punkte sammelt, riskiert eine dreimonatige Führerscheinsperre. Lern- und Restricted-Fahrer (die neuseeländischen Zwischenstufen des Führerscheins) dürfen das Telefon während der Fahrt überhaupt nicht nutzen, auch nicht freihändig über eine Halterung.</w:t>
      </w:r>
    </w:p>
    <w:p w14:paraId="0E9CBA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w14:paraId="2D98DE42" w14:textId="77777777" w:rsidR="001F7233" w:rsidRDefault="00000000">
      <w:pPr>
        <w:spacing w:after="140"/>
      </w:pPr>
      <w:r>
        <w:rPr>
          <w:i/>
          <w:iCs/>
        </w:rPr>
        <w:t>Gebrauchtwagen findest du in Neuseeland vor allem über Online-Plattformen wie Trade Me (das neuseeländische Pendant zu Ebay Kleinanzeigen) und Autotrader sowie über Händlerketten wie Turners. Vor dem Kauf lohnt sich eine unabhängige Fahrzeuginspektion, etwa über die AA, dazu ein Fahrzeughistorien-Check. Jedes von einem Händler verkaufte Fahrzeug braucht ein gültiges Warrant of Fitness (WoF, das neuseeländische Pendant zum TÜV), das bei Verkauf höchstens 1 Monat alt sein darf. Bei Privatkäufen gilt dagegen „buyer beware“ – anders als beim Händlerkauf gibt es keine gesetzlichen Verbraucherschutzrechte. Nach dem Kauf müssen Käufer und Verkäufer den Eigentümerwechsel unmittelbar online bei der NZTA melden. Das erledigst du in wenigen Minuten am Rechner, nicht auf einem Amt mit Wartenummer.</w:t>
      </w:r>
    </w:p>
    <w:p w14:paraId="5C93434C" w14:textId="77777777" w:rsidR="001F7233" w:rsidRDefault="00000000">
      <w:r>
        <w:t>Rostprüfung: Neuseeland stellte den Einsatz von gewöhnlichem Streusalz auf Straßen wegen Korrosions- und Umweltbedenken bereits Anfang der 1980er-Jahre ein; in vereisten Regionen kommen unter anderem Splitt und Calcium-Magnesium-Acetat zum Einsatz. Küstenluft, Hochwasser und frühere Reparaturen bleiben Rostrisiken. Lass den Unterboden professionell prüfen; die NZ Transport Agency nennt strukturelle Korrosion ausdrücklich als Sicherheitsmangel. Quellen: https://www.nzta.govt.nz/resources/research/reports/293; https://www.nzta.govt.nz/vehicles/choosing-the-right-vehicle/tips-for-buying-a-used-car.</w:t>
      </w:r>
    </w:p>
    <w:p w14:paraId="188992BA" w14:textId="77777777" w:rsidR="001F7233" w:rsidRDefault="00000000">
      <w:pPr>
        <w:spacing w:after="140"/>
      </w:pPr>
      <w:r>
        <w:rPr>
          <w:i/>
          <w:iCs/>
        </w:rPr>
        <w:lastRenderedPageBreak/>
        <w:t>Bei der Versicherung lohnt sich ein bewusster Vergleich: Eine durchschnittliche Vollkaskoprämie kostete 2026 rund 1.311 NZD im Jahr (109 NZD im Monat) – ein Anstieg von 56 % seit 2022. Reine Teilkasko- oder Haftpflichtdeckung (Third Party) ist mit rund 200 bis 475 NZD im Jahr deutlich günstiger. Laut Vergleichsportalen senkt der Wechsel von Vollkasko auf Teilkasko die Prämie um 40 bis 60 %.</w:t>
      </w:r>
    </w:p>
    <w:p w14:paraId="70CEB46C" w14:textId="77777777" w:rsidR="001F7233" w:rsidRDefault="00000000">
      <w:r>
        <w:rPr>
          <w:b/>
        </w:rPr>
        <w:t xml:space="preserve">SPARTIPP: </w:t>
      </w:r>
    </w:p>
    <w:p w14:paraId="44EC7EAE" w14:textId="77777777" w:rsidR="001F7233" w:rsidRDefault="00000000">
      <w:r>
        <w:t>• Prüfe vor Vertragsabschluss ehrlich, ob du bei einem älteren Gebrauchtwagen wirklich eine Vollkaskodeckung brauchst. Bei Fahrzeugen mit geringem Zeitwert gleicht die Ersparnis bei der Teilkasko einen Totalschaden oft schneller aus, als es die höhere Prämie je könnte.</w:t>
      </w:r>
    </w:p>
    <w:p w14:paraId="3FC4C555" w14:textId="77777777" w:rsidR="001F7233" w:rsidRDefault="001F7233">
      <w:pPr>
        <w:spacing w:line="220" w:lineRule="exact"/>
      </w:pPr>
    </w:p>
    <w:p w14:paraId="7AD32BD6" w14:textId="77777777" w:rsidR="001F7233" w:rsidRDefault="00000000">
      <w:pPr>
        <w:spacing w:after="140"/>
      </w:pPr>
      <w:r>
        <w:t>Wer sich beim Privatkauf unsicher fühlt, sollte die fehlenden Verbraucherschutzrechte nicht unterschätzen: Anders als beim Händler mit WoF-Pflicht kaufst du privat im Wortsinn „wie besehen“. Eine unabhängige Inspektion vor der Zahlung kostet einen überschaubaren Betrag und deckt Rahmenschäden, verdeckten Rost oder eine bevorstehende WoF-Verweigerung zuverlässiger auf als ein Blick unter die Motorhaube auf dem Parkplatz. Bargeld oder eine sofortige Überweisung gegen Übergabe des Fahrzeugbriefs sind üblich. Ein schriftlicher Kaufvertrag mit Kilometerstand, Preis und Datum schützt beide Seiten, auch wenn er in Neuseeland nicht zwingend vorgeschrieben ist.</w:t>
      </w:r>
    </w:p>
    <w:p w14:paraId="1245A8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Geschwindigkeitskameras und die Sache mit den Neuankömmlingen</w:t>
      </w:r>
    </w:p>
    <w:p w14:paraId="155A5468" w14:textId="77777777" w:rsidR="001F7233" w:rsidRDefault="00000000">
      <w:pPr>
        <w:spacing w:after="140"/>
      </w:pPr>
      <w:r>
        <w:t xml:space="preserve">Seit dem 1. Juli 2025 liegt die Verantwortung für das gesamte „Safety Camera“-Netz nicht mehr bei der Polizei, sondern bei der NZTA. Aktuell sind es rund 65 feste und 34 mobile Kameras, mit geplantem Ausbau auf rund 200 Kameras bis 2027. Mobile Einheiten arbeiten </w:t>
      </w:r>
      <w:r>
        <w:lastRenderedPageBreak/>
        <w:t>unmarkiert und landesweit, ganz bewusst als generalpräventive Maßnahme nach dem Motto „könnte jederzeit, überall sein“.</w:t>
      </w:r>
    </w:p>
    <w:p w14:paraId="4564DD37" w14:textId="77777777" w:rsidR="001F7233" w:rsidRDefault="00000000">
      <w:pPr>
        <w:spacing w:after="140"/>
      </w:pPr>
      <w:r>
        <w:t>Zur Ehrenrettung deutscher Neuankömmlinge sei gesagt: Ein Bericht zählte in einem Jahr mindestens 558 Unfälle mit Todes- oder Verletzungsfolge unter Beteiligung überseeischer Fahrer (dazu zählen Touristen ebenso wie neue Einwohner und internationale Studierende), in rund 75 % davon wurde der überseeische Fahrer als Unfallverursacher eingestuft. Betrachtet man aber alle Unfälle mit Personenschaden im Land, verursachten Fahrer mit ausländischer Lizenz insgesamt nur rund 6,2 % davon. Neuseeländische Fahrer selbst sind an mehr Unfällen beteiligt als Besucher. Die kursierende Meldung, wonach 97 % internationaler Fahrer einen informellen Theorietest-Quiz nicht bestanden hätten, ist eine einzelne Medienmeldung, keine amtliche Statistik. Unterhaltsam, aber kein Grund zur Panik.</w:t>
      </w:r>
    </w:p>
    <w:p w14:paraId="4987731A" w14:textId="77777777" w:rsidR="001F7233" w:rsidRDefault="00000000">
      <w:r>
        <w:t>Das Land Transport Act verbietet Ausrüstung, die Geschwindigkeitsmessgeräte stört, ebenso den Besitz von Geräten, die dafür bestimmt sind. Ein Kennzeichen, das verdeckt oder schwer lesbar ist, verstößt ebenfalls gegen die Verkehrsregeln. Lass Sprays, Folien und bewegliche Abdeckungen weg; halte die Platte sauber und vollständig sichtbar. Das Polizeifunknetz ist ein sicheres digitales Netz, kein öffentlicher Verkehrsdienst. Verwende legale Geschwindigkeitswarnungen und halte dich an die ausgeschilderte Grenze.</w:t>
      </w:r>
    </w:p>
    <w:p w14:paraId="6C578A67" w14:textId="77777777" w:rsidR="001F7233" w:rsidRDefault="00000000">
      <w:pPr>
        <w:pStyle w:val="Heading3"/>
      </w:pPr>
      <w:r>
        <w:t>Messgeräte stören und Kennzeichen verdecken</w:t>
      </w:r>
    </w:p>
    <w:p w14:paraId="75658913" w14:textId="77777777" w:rsidR="001F7233" w:rsidRDefault="00000000">
      <w:pPr>
        <w:pStyle w:val="Heading3"/>
      </w:pPr>
      <w:r>
        <w:t>WoF: der nächste Vergleich zur Hauptuntersuchung</w:t>
      </w:r>
    </w:p>
    <w:p w14:paraId="5348A140" w14:textId="77777777" w:rsidR="001F7233" w:rsidRDefault="00000000">
      <w:r>
        <w:t xml:space="preserve">Der Warrant of Fitness (WoF) ist die regelmäßige Sicherheitsprüfung für leichte Fahrzeuge. Stand 8. Oktober 2026 gilt für Fahrzeuge ab Erstzulassung 2000 meist jährlich; ältere Fahrzeuge häufiger. Ab 1. November 2026 ändern sich Intervalle für </w:t>
      </w:r>
      <w:r>
        <w:lastRenderedPageBreak/>
        <w:t>bestimmte Altersgruppen. WoF prüft den Zustand am Prüftag, nicht Motor, Getriebe oder Kaufwürdigkeit.</w:t>
      </w:r>
    </w:p>
    <w:p w14:paraId="245EFE20" w14:textId="77777777" w:rsidR="001F7233" w:rsidRDefault="00000000">
      <w:pPr>
        <w:pStyle w:val="Heading3"/>
      </w:pPr>
      <w:r>
        <w:t>GPS ist erlaubt, das Handy in der Hand nicht</w:t>
      </w:r>
    </w:p>
    <w:p w14:paraId="6B47DE59" w14:textId="77777777" w:rsidR="001F7233" w:rsidRDefault="00000000">
      <w:r>
        <w:t>NZTA erlaubt Navigation, wenn das Handy im Fahrzeug befestigt ist und nur minimal berührt wird. Handheld während der Fahrt ist meist verboten. Display darf Sicht nicht behindern. Ziel vor Fahrtbeginn einstellen und bei nötigen Änderungen sicher parken.</w:t>
      </w:r>
    </w:p>
    <w:p w14:paraId="3F29FC89" w14:textId="77777777" w:rsidR="001F7233" w:rsidRDefault="00000000">
      <w:pPr>
        <w:pStyle w:val="Heading3"/>
      </w:pPr>
      <w:r>
        <w:t>Unfall zu Hause oder im Auto: ACC ersetzt keinen Sachschaden</w:t>
      </w:r>
    </w:p>
    <w:p w14:paraId="48C9E584" w14:textId="77777777" w:rsidR="001F7233" w:rsidRDefault="00000000">
      <w:r>
        <w:t>Bei Lebensgefahr rufst du 111. Halte an, hilf, dokumentiere Beteiligte und Zeugen, melde schwere Unfälle der Polizei und informiere den Versicherer. ACC kann Verletzungsfolgen abdecken, nicht den Blechschaden oder Eigentum im Haus. Dafür brauchst du passende Kfz-, Gebäude-, Hausrat- oder Haftpflichtdeckung.</w:t>
      </w:r>
    </w:p>
    <w:p w14:paraId="0476D951" w14:textId="77777777" w:rsidR="001F7233" w:rsidRDefault="00000000">
      <w:pPr>
        <w:pStyle w:val="Heading3"/>
      </w:pPr>
      <w:r>
        <w:t>Onlinekauf: Händler unabhängig prüfen</w:t>
      </w:r>
    </w:p>
    <w:p w14:paraId="5E7B9C2A"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neuseeländischem Verbraucherrecht.</w:t>
      </w:r>
    </w:p>
    <w:p w14:paraId="4722E9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Führerschein, Auto und Verkehrsregeln</w:t>
      </w:r>
    </w:p>
    <w:p w14:paraId="216E3335" w14:textId="77777777" w:rsidR="001F7233" w:rsidRDefault="00000000">
      <w:r>
        <w:rPr>
          <w:b/>
        </w:rPr>
        <w:t>Plus: Deutschland ist „exempt country“: Umtausch ohne Prüfung</w:t>
      </w:r>
    </w:p>
    <w:p w14:paraId="1BAF4489" w14:textId="77777777" w:rsidR="001F7233" w:rsidRDefault="00000000">
      <w:r>
        <w:rPr>
          <w:b/>
        </w:rPr>
        <w:t xml:space="preserve">Minus: </w:t>
      </w:r>
      <w:r>
        <w:t>Übergangsfristen (12 oder 18 Monate) ändern sich und sind unklar terminiert</w:t>
      </w:r>
    </w:p>
    <w:p w14:paraId="2DE4EBCD" w14:textId="77777777" w:rsidR="001F7233" w:rsidRDefault="00000000">
      <w:r>
        <w:rPr>
          <w:b/>
        </w:rPr>
        <w:t>Plus: Die neue Give-Way-Regel ähnelt der deutschen Vorfahrtslogik</w:t>
      </w:r>
    </w:p>
    <w:p w14:paraId="4236DB82" w14:textId="77777777" w:rsidR="001F7233" w:rsidRDefault="00000000">
      <w:r>
        <w:rPr>
          <w:b/>
        </w:rPr>
        <w:t xml:space="preserve">Minus: </w:t>
      </w:r>
      <w:r>
        <w:t>Linksverkehr ist die größte motorische Umstellung des ganzen Umzugs</w:t>
      </w:r>
    </w:p>
    <w:p w14:paraId="4D8FE15E" w14:textId="77777777" w:rsidR="001F7233" w:rsidRDefault="00000000">
      <w:r>
        <w:rPr>
          <w:b/>
        </w:rPr>
        <w:t>Plus: Landschaftlich reizvolle Nebenstraßen und Ein-Spur-Brücken</w:t>
      </w:r>
    </w:p>
    <w:p w14:paraId="23C5B681" w14:textId="77777777" w:rsidR="001F7233" w:rsidRDefault="00000000">
      <w:r>
        <w:rPr>
          <w:b/>
        </w:rPr>
        <w:t xml:space="preserve">Minus: </w:t>
      </w:r>
      <w:r>
        <w:t>Unbefestigte Straßen sind oft von der Mietwagenversicherung ausgeschlossen</w:t>
      </w:r>
    </w:p>
    <w:p w14:paraId="72F74728" w14:textId="77777777" w:rsidR="001F7233" w:rsidRDefault="00000000">
      <w:r>
        <w:rPr>
          <w:b/>
        </w:rPr>
        <w:t>Plus: Alkoholgrenze (0,05 %) entspricht etwa der deutschen</w:t>
      </w:r>
    </w:p>
    <w:p w14:paraId="1371B0A3" w14:textId="77777777" w:rsidR="001F7233" w:rsidRDefault="00000000">
      <w:r>
        <w:rPr>
          <w:b/>
        </w:rPr>
        <w:t xml:space="preserve">Minus: </w:t>
      </w:r>
      <w:r>
        <w:t>Kfz-Versicherung ist seit 2022 deutlich teurer geworden (plus 56 %)</w:t>
      </w:r>
    </w:p>
    <w:p w14:paraId="0B920E4C" w14:textId="77777777" w:rsidR="001F7233" w:rsidRDefault="00000000">
      <w:r>
        <w:rPr>
          <w:b/>
        </w:rPr>
        <w:t>Plus: Eigentümerwechsel läuft unbürokratisch online über die NZTA</w:t>
      </w:r>
    </w:p>
    <w:p w14:paraId="7D3B2C1C" w14:textId="77777777" w:rsidR="001F7233" w:rsidRDefault="00000000">
      <w:r>
        <w:rPr>
          <w:b/>
        </w:rPr>
        <w:t xml:space="preserve">Minus: </w:t>
      </w:r>
      <w:r>
        <w:t>Handyverbot am Steuer wird mit Kamerapräsenz konsequent verfolgt</w:t>
      </w:r>
    </w:p>
    <w:p w14:paraId="62181858" w14:textId="77777777" w:rsidR="001F7233" w:rsidRDefault="001F7233">
      <w:pPr>
        <w:spacing w:line="180" w:lineRule="exact"/>
      </w:pPr>
    </w:p>
    <w:p w14:paraId="516AD0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9D31A45" w14:textId="77777777" w:rsidR="001F7233" w:rsidRDefault="00000000">
      <w:pPr>
        <w:pStyle w:val="ListParagraph"/>
        <w:numPr>
          <w:ilvl w:val="0"/>
          <w:numId w:val="44"/>
        </w:numPr>
        <w:spacing w:after="60"/>
      </w:pPr>
      <w:r>
        <w:t>Vor dem Abflug: englische Übersetzung des Führerscheins und Nachweis des Ausstellungsdatums klären.</w:t>
      </w:r>
    </w:p>
    <w:p w14:paraId="02A371C2" w14:textId="77777777" w:rsidR="001F7233" w:rsidRDefault="00000000">
      <w:pPr>
        <w:pStyle w:val="ListParagraph"/>
        <w:numPr>
          <w:ilvl w:val="0"/>
          <w:numId w:val="2"/>
        </w:numPr>
        <w:spacing w:after="60"/>
      </w:pPr>
      <w:r>
        <w:t>In den ersten Wochen: Umtauschtermin bei einer autorisierten Stelle (z. B. AA) buchen, bevor die Übergangsfrist näher rückt.</w:t>
      </w:r>
    </w:p>
    <w:p w14:paraId="534FC4CA" w14:textId="77777777" w:rsidR="001F7233" w:rsidRDefault="00000000">
      <w:pPr>
        <w:pStyle w:val="ListParagraph"/>
        <w:numPr>
          <w:ilvl w:val="0"/>
          <w:numId w:val="2"/>
        </w:numPr>
        <w:spacing w:after="60"/>
      </w:pPr>
      <w:r>
        <w:t>Vor dem Autokauf: WoF und Fahrzeughistorie prüfen, mehrere Versicherungsangebote (Voll- und Teilkasko) vergleichen.</w:t>
      </w:r>
    </w:p>
    <w:p w14:paraId="363D64C2" w14:textId="77777777" w:rsidR="001F7233" w:rsidRDefault="00000000">
      <w:pPr>
        <w:pStyle w:val="ListParagraph"/>
        <w:numPr>
          <w:ilvl w:val="0"/>
          <w:numId w:val="2"/>
        </w:numPr>
        <w:spacing w:after="60"/>
      </w:pPr>
      <w:r>
        <w:lastRenderedPageBreak/>
        <w:t>Ab dem ersten Fahrversuch: bewusst den Blick nach rechts beim Abbiegen üben, am besten zuerst auf ruhigen Straßen.</w:t>
      </w:r>
    </w:p>
    <w:p w14:paraId="6C4F3C1E" w14:textId="77777777" w:rsidR="001F7233" w:rsidRDefault="001F7233">
      <w:pPr>
        <w:spacing w:line="120" w:lineRule="exact"/>
      </w:pPr>
    </w:p>
    <w:p w14:paraId="36C23C57" w14:textId="77777777" w:rsidR="001F7233" w:rsidRDefault="00000000">
      <w:r>
        <w:t>• Englische Übersetzung des deutschen Führerscheins besorgt</w:t>
      </w:r>
    </w:p>
    <w:p w14:paraId="5491AFBE" w14:textId="77777777" w:rsidR="001F7233" w:rsidRDefault="00000000">
      <w:r>
        <w:t>• Ausstellungsdatum (älter als 2 Jahre) eindeutig nachweisbar</w:t>
      </w:r>
    </w:p>
    <w:p w14:paraId="740FF991" w14:textId="77777777" w:rsidR="001F7233" w:rsidRDefault="00000000">
      <w:r>
        <w:t>• Aktuelle Übergangsfrist (12 oder 18 Monate) bei der NZTA gegengeprüft</w:t>
      </w:r>
    </w:p>
    <w:p w14:paraId="23E61EF2" w14:textId="77777777" w:rsidR="001F7233" w:rsidRDefault="00000000">
      <w:r>
        <w:t>• Termin für den Umtausch bei einer autorisierten Stelle (z. B. AA) gebucht</w:t>
      </w:r>
    </w:p>
    <w:p w14:paraId="4E3DF9B6" w14:textId="77777777" w:rsidR="001F7233" w:rsidRDefault="00000000">
      <w:r>
        <w:t>• Mietwagen- oder Kfz-Versicherung auf Ausschluss unbefestigter Straßen geprüft</w:t>
      </w:r>
    </w:p>
    <w:p w14:paraId="3AA1A61E" w14:textId="77777777" w:rsidR="001F7233" w:rsidRDefault="00000000">
      <w:r>
        <w:t>• Fahrzeughistorie und WoF vor dem Autokauf kontrolliert</w:t>
      </w:r>
    </w:p>
    <w:p w14:paraId="666E8F0F" w14:textId="77777777" w:rsidR="001F7233" w:rsidRDefault="00000000">
      <w:r>
        <w:t>• Mindestens zwei Versicherungsangebote (Voll- und Teilkasko) verglichen</w:t>
      </w:r>
    </w:p>
    <w:p w14:paraId="3A731B33" w14:textId="77777777" w:rsidR="001F7233" w:rsidRDefault="00000000">
      <w:r>
        <w:t>• Eigentümerwechsel nach dem Kauf sofort online bei der NZTA gemeldet</w:t>
      </w:r>
    </w:p>
    <w:p w14:paraId="6CE74AD1" w14:textId="77777777" w:rsidR="001F7233" w:rsidRDefault="00000000">
      <w:r>
        <w:t>• Ein-Spur-Brücken-Beschilderung (Warndreieck, Vorfahrt-, eigenes Vorfahrtsschild) verinnerlicht</w:t>
      </w:r>
    </w:p>
    <w:p w14:paraId="002E2539" w14:textId="77777777" w:rsidR="001F7233" w:rsidRDefault="00000000">
      <w:r>
        <w:t>• Bewusst geübt: erst nach rechts schauen, dann links abbiegen</w:t>
      </w:r>
    </w:p>
    <w:p w14:paraId="0556A166" w14:textId="77777777" w:rsidR="001F7233" w:rsidRDefault="001F7233">
      <w:pPr>
        <w:spacing w:line="220" w:lineRule="exact"/>
      </w:pPr>
    </w:p>
    <w:p w14:paraId="677A87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2AEBE44" w14:textId="77777777" w:rsidR="001F7233" w:rsidRDefault="00000000">
      <w:pPr>
        <w:pStyle w:val="ListParagraph"/>
        <w:numPr>
          <w:ilvl w:val="0"/>
          <w:numId w:val="1"/>
        </w:numPr>
        <w:spacing w:after="60"/>
      </w:pPr>
      <w:r>
        <w:t>NZ Transport Agency Waka Kotahi (NZTA) — Führerschein-Umtausch, Verkehrsregeln, Geschwindigkeitskameras (</w:t>
      </w:r>
      <w:hyperlink r:id="rId1059">
        <w:r w:rsidR="001F7233">
          <w:rPr>
            <w:color w:val="0563C1"/>
            <w:u w:val="single"/>
          </w:rPr>
          <w:t>nzta.govt.nz</w:t>
        </w:r>
      </w:hyperlink>
      <w:r>
        <w:t>)</w:t>
      </w:r>
    </w:p>
    <w:p w14:paraId="64C6176F" w14:textId="77777777" w:rsidR="001F7233" w:rsidRDefault="00000000">
      <w:pPr>
        <w:pStyle w:val="ListParagraph"/>
        <w:numPr>
          <w:ilvl w:val="0"/>
          <w:numId w:val="1"/>
        </w:numPr>
        <w:spacing w:after="60"/>
      </w:pPr>
      <w:r>
        <w:t>Automobile Association (AA) — Fahrzeugkauf, -prüfung und Umtauschstellen (</w:t>
      </w:r>
      <w:hyperlink r:id="rId1060">
        <w:r w:rsidR="001F7233">
          <w:rPr>
            <w:color w:val="0563C1"/>
            <w:u w:val="single"/>
          </w:rPr>
          <w:t>aa.co.nz</w:t>
        </w:r>
      </w:hyperlink>
      <w:r>
        <w:t>)</w:t>
      </w:r>
    </w:p>
    <w:p w14:paraId="1E7DEA46" w14:textId="77777777" w:rsidR="001F7233" w:rsidRDefault="00000000">
      <w:pPr>
        <w:pStyle w:val="ListParagraph"/>
        <w:numPr>
          <w:ilvl w:val="0"/>
          <w:numId w:val="1"/>
        </w:numPr>
        <w:spacing w:after="60"/>
      </w:pPr>
      <w:r>
        <w:t>Ministry of Transport — Alkoholgrenzwerte und Verkehrssicherheit (</w:t>
      </w:r>
      <w:hyperlink r:id="rId1061">
        <w:r w:rsidR="001F7233">
          <w:rPr>
            <w:color w:val="0563C1"/>
            <w:u w:val="single"/>
          </w:rPr>
          <w:t>transport.govt.nz</w:t>
        </w:r>
      </w:hyperlink>
      <w:r>
        <w:t>)</w:t>
      </w:r>
    </w:p>
    <w:p w14:paraId="5F9136F3" w14:textId="77777777" w:rsidR="001F7233" w:rsidRDefault="00000000">
      <w:pPr>
        <w:pStyle w:val="ListParagraph"/>
        <w:numPr>
          <w:ilvl w:val="0"/>
          <w:numId w:val="1"/>
        </w:numPr>
        <w:spacing w:after="60"/>
      </w:pPr>
      <w:r>
        <w:t>Consumer Protection, MBIE — Rechte beim Fahrzeugkauf (</w:t>
      </w:r>
      <w:hyperlink r:id="rId1062">
        <w:r w:rsidR="001F7233">
          <w:rPr>
            <w:color w:val="0563C1"/>
            <w:u w:val="single"/>
          </w:rPr>
          <w:t>consumerprotection.govt.nz</w:t>
        </w:r>
      </w:hyperlink>
      <w:r>
        <w:t>)</w:t>
      </w:r>
    </w:p>
    <w:p w14:paraId="60F5F8F8" w14:textId="77777777" w:rsidR="001F7233" w:rsidRDefault="00000000">
      <w:pPr>
        <w:pStyle w:val="ListParagraph"/>
        <w:numPr>
          <w:ilvl w:val="0"/>
          <w:numId w:val="1"/>
        </w:numPr>
        <w:spacing w:after="60"/>
      </w:pPr>
      <w:r>
        <w:t>New Zealand Police — Verkehrsregeln, Bußgelder, Demeritpunkte (</w:t>
      </w:r>
      <w:hyperlink r:id="rId1063">
        <w:r w:rsidR="001F7233">
          <w:rPr>
            <w:color w:val="0563C1"/>
            <w:u w:val="single"/>
          </w:rPr>
          <w:t>police.govt.nz</w:t>
        </w:r>
      </w:hyperlink>
      <w:r>
        <w:t>)</w:t>
      </w:r>
    </w:p>
    <w:p w14:paraId="575D2320" w14:textId="77777777" w:rsidR="001F7233" w:rsidRDefault="001F7233">
      <w:pPr>
        <w:spacing w:line="120" w:lineRule="exact"/>
      </w:pPr>
    </w:p>
    <w:p w14:paraId="2B196515" w14:textId="77777777" w:rsidR="001F7233" w:rsidRDefault="00000000">
      <w:pPr>
        <w:pStyle w:val="ListParagraph"/>
      </w:pPr>
      <w:r>
        <w:t xml:space="preserve">New Zealand Legislation — Land Transport Act 1998, section 16B and section 55: </w:t>
      </w:r>
      <w:hyperlink r:id="rId1064">
        <w:r w:rsidR="001F7233">
          <w:rPr>
            <w:rStyle w:val="Hyperlink"/>
          </w:rPr>
          <w:t>legislation.govt.nz/act/public/1998/0110/latest/</w:t>
        </w:r>
      </w:hyperlink>
    </w:p>
    <w:p w14:paraId="0847A409" w14:textId="77777777" w:rsidR="001F7233" w:rsidRDefault="00000000">
      <w:pPr>
        <w:pStyle w:val="ListParagraph"/>
      </w:pPr>
      <w:r>
        <w:t xml:space="preserve">New Zealand Legislation — Land Transport (Motor Vehicle Registration and Licensing) Regulations 2011, regulation 87: </w:t>
      </w:r>
      <w:hyperlink r:id="rId1065">
        <w:r w:rsidR="001F7233">
          <w:rPr>
            <w:rStyle w:val="Hyperlink"/>
          </w:rPr>
          <w:t>legislation.govt.nz/regulation/public/2011/0079/latest/</w:t>
        </w:r>
      </w:hyperlink>
    </w:p>
    <w:p w14:paraId="3F6C92BC" w14:textId="77777777" w:rsidR="001F7233" w:rsidRDefault="00000000">
      <w:pPr>
        <w:pStyle w:val="ListParagraph"/>
      </w:pPr>
      <w:r>
        <w:t xml:space="preserve">NZ Transport Agency Waka Kotahi — Number plates must be visible: </w:t>
      </w:r>
      <w:hyperlink r:id="rId1066">
        <w:r w:rsidR="001F7233">
          <w:rPr>
            <w:rStyle w:val="Hyperlink"/>
          </w:rPr>
          <w:t>nzta.govt.nz/vehicles/licensing-rego/number-plates</w:t>
        </w:r>
      </w:hyperlink>
    </w:p>
    <w:p w14:paraId="4346093E" w14:textId="77777777" w:rsidR="001F7233" w:rsidRDefault="00000000">
      <w:pPr>
        <w:pStyle w:val="ListParagraph"/>
      </w:pPr>
      <w:r>
        <w:t xml:space="preserve">New Zealand Police — Third-party access to the Secure Digital Radio Network: </w:t>
      </w:r>
      <w:hyperlink r:id="rId1067">
        <w:r w:rsidR="001F7233">
          <w:rPr>
            <w:rStyle w:val="Hyperlink"/>
          </w:rPr>
          <w:t>police.govt.nz/about-us/publication/third-party-access-secure-digital-radio-network-police-manual-chapter</w:t>
        </w:r>
      </w:hyperlink>
    </w:p>
    <w:p w14:paraId="70DD6C48" w14:textId="77777777" w:rsidR="001F7233" w:rsidRDefault="00000000">
      <w:pPr>
        <w:pStyle w:val="ListParagraph"/>
      </w:pPr>
      <w:r>
        <w:t xml:space="preserve">NZTA — WoF: </w:t>
      </w:r>
      <w:hyperlink r:id="rId1068">
        <w:r w:rsidR="001F7233">
          <w:rPr>
            <w:rStyle w:val="Hyperlink"/>
          </w:rPr>
          <w:t>nzta.govt.nz/vehicles/warrants-and-certificates/warrant-of-fitness</w:t>
        </w:r>
      </w:hyperlink>
      <w:r>
        <w:t xml:space="preserve">; phone navigation rules: </w:t>
      </w:r>
      <w:hyperlink r:id="rId1069">
        <w:r w:rsidR="001F7233">
          <w:rPr>
            <w:rStyle w:val="Hyperlink"/>
          </w:rPr>
          <w:t>nzta.govt.nz/driving-skills/safe-driving-habits/driver-distraction/using-mobile-phones-while-driving</w:t>
        </w:r>
      </w:hyperlink>
    </w:p>
    <w:p w14:paraId="79900169" w14:textId="77777777" w:rsidR="001F7233" w:rsidRDefault="00000000">
      <w:r>
        <w:t>• Quellen- und Datenstand: September 2026; Redaktionsschluss: Oktober 2026. Schnell ändern sich: die Übergangsfrist für das Fahren mit ausländischem Führerschein (aktuell 18 Monate, Rückkehr zu 12 Monaten angekündigt), Umtauschgebühren, Versicherungsprämien und die Zahl der Geschwindigkeitskameras. Prüfe vor der Abreise die aktuellen Angaben auf nzta.govt.nz.</w:t>
      </w:r>
    </w:p>
    <w:p w14:paraId="249311B5" w14:textId="77777777" w:rsidR="001F7233" w:rsidRDefault="00000000">
      <w:pPr>
        <w:spacing w:line="220" w:lineRule="exact"/>
      </w:pPr>
      <w:r>
        <w:br w:type="page"/>
      </w:r>
    </w:p>
    <w:p w14:paraId="391B0A45" w14:textId="77777777" w:rsidR="001F7233" w:rsidRDefault="00000000">
      <w:pPr>
        <w:pStyle w:val="Heading2"/>
        <w:keepNext/>
        <w:spacing w:line="341" w:lineRule="auto"/>
        <w:jc w:val="center"/>
      </w:pPr>
      <w:bookmarkStart w:id="141" w:name="tnz11"/>
      <w:r>
        <w:rPr>
          <w:rFonts w:ascii="Amazon Ember" w:eastAsia="Amazon Ember" w:hAnsi="Amazon Ember" w:cs="Amazon Ember"/>
          <w:color w:val="0000FF"/>
          <w:sz w:val="36"/>
          <w:szCs w:val="36"/>
        </w:rPr>
        <w:lastRenderedPageBreak/>
        <w:t>Neuseeland: Alltagskultur und Umgangsformen</w:t>
      </w:r>
      <w:bookmarkEnd w:id="141"/>
    </w:p>
    <w:p w14:paraId="5D65D7C6" w14:textId="77777777" w:rsidR="001F7233" w:rsidRDefault="00000000">
      <w:pPr>
        <w:spacing w:after="140"/>
      </w:pPr>
      <w:r>
        <w:t>Am ersten Arbeitstag begrüßt dich die Geschäftsführerin mit einem lockeren „Kia ora. Nice to meet you“ und spricht dich vom ersten Satz an mit deinem Vornamen an: keine Krawatte, kein förmlicher Nachname. Du suchst instinktiv nach der unsichtbaren Hierarchie im Raum und findest sie erst, als dir auffällt, dass die Chefin bei Besprechungen genauso am Konferenztisch sitzt wie alle anderen und ihren Kaffee selbst holt. Willkommen in einem der informellsten Länder der westlichen Welt.</w:t>
      </w:r>
    </w:p>
    <w:p w14:paraId="2713B78C" w14:textId="77777777" w:rsidR="001F7233" w:rsidRDefault="00000000">
      <w:r>
        <w:rPr>
          <w:b/>
        </w:rPr>
        <w:t xml:space="preserve">KURZ GESAGT: </w:t>
      </w:r>
    </w:p>
    <w:p w14:paraId="3A754FED" w14:textId="77777777" w:rsidR="001F7233" w:rsidRDefault="00000000">
      <w:r>
        <w:t>• Neuseeland gilt als eine der informellsten westlichen Gesellschaften: Vornamen sind Standard, auch beim Chef, Kleidung im Beruf ist lockerer als in Deutschland.</w:t>
      </w:r>
    </w:p>
    <w:p w14:paraId="4187F750" w14:textId="77777777" w:rsidR="001F7233" w:rsidRDefault="00000000">
      <w:r>
        <w:t>• Der Kommunikationsstil ist konfliktvermeidender und indirekter als die deutsche Direktheit – Kritik kommt selten geradeheraus.</w:t>
      </w:r>
    </w:p>
    <w:p w14:paraId="18278517" w14:textId="77777777" w:rsidR="001F7233" w:rsidRDefault="00000000">
      <w:r>
        <w:t>• Te Ao Māori (die Māori-Weltsicht) prägt zunehmend den Alltag: Begrüßungen auf Te Reo Māori, Willkommenszeremonien im Job, respektvoller Umgang mit Māori-Bräuchen.</w:t>
      </w:r>
    </w:p>
    <w:p w14:paraId="3F2992B4" w14:textId="77777777" w:rsidR="001F7233" w:rsidRDefault="00000000">
      <w:r>
        <w:t>• „No worries“ und „she’ll be right“ stehen für eine entspannte Grundhaltung gegen Terminen und kleinen Pannen. Das ist aber nicht mit Unzuverlässigkeit zu verwechseln.</w:t>
      </w:r>
    </w:p>
    <w:p w14:paraId="38EDEAF1" w14:textId="77777777" w:rsidR="001F7233" w:rsidRDefault="00000000">
      <w:r>
        <w:t>• Die geografische Isolation (nächster großer Nachbar Australien, rund 2.000 km entfernt) prägt Mentalität, Reiseplanung und den Kontakt zur Familie in Deutschland.</w:t>
      </w:r>
    </w:p>
    <w:p w14:paraId="1A5AFA71" w14:textId="77777777" w:rsidR="001F7233" w:rsidRDefault="001F7233">
      <w:pPr>
        <w:spacing w:line="220" w:lineRule="exact"/>
      </w:pPr>
    </w:p>
    <w:p w14:paraId="2F46813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Informalität: Vornamen, lockere Kleidung, flache Hierarchien</w:t>
      </w:r>
    </w:p>
    <w:p w14:paraId="3ED6FADC" w14:textId="77777777" w:rsidR="001F7233" w:rsidRDefault="00000000">
      <w:pPr>
        <w:spacing w:after="140"/>
      </w:pPr>
      <w:r>
        <w:t>Neuseeland gehört zu den informellsten westlichen Gesellschaften überhaupt. Die Anrede mit Vornamen ist Standard – vom Postboten bis zur Geschäftsführerin, in E-Mails ebenso wie im persönlichen Gespräch. Wer aus Deutschland eine über Jahre eingeübte förmliche Anrede mit Nachname und Titel mitbringt, muss diesen Reflex bewusst ablegen: Ein steifer Gruß mit Nachname und Höflichkeitsform wirkt in Neuseeland eher hölzern als respektvoll. Auch die Kleidung im Berufsleben ist tendenziell lockerer als in deutschen Büros; eine feste Anzugpflicht gibt es außerhalb von Anwaltskanzleien und Banken kaum. Das gilt ebenso für den Umgangston in Besprechungen: Hierarchien existieren zweifellos, zeigen sich aber seltener in äußeren Signalen wie Sitzordnung oder Titeln als in Deutschland. Zu Togs, Jandals, Schuluniformen und Größenumrechnung: Kapitel </w:t>
      </w:r>
      <w:hyperlink w:anchor="k34">
        <w:r w:rsidR="001F7233">
          <w:t>34</w:t>
        </w:r>
      </w:hyperlink>
      <w:r>
        <w:t xml:space="preserve"> im USA-Teil, das Kleidung länderübergreifend behandelt.</w:t>
      </w:r>
    </w:p>
    <w:p w14:paraId="58629D64" w14:textId="77777777" w:rsidR="001F7233" w:rsidRDefault="00000000">
      <w:pPr>
        <w:spacing w:after="140"/>
      </w:pPr>
      <w:r>
        <w:rPr>
          <w:i/>
          <w:iCs/>
        </w:rPr>
        <w:t>Wer zum ersten Mal von der eigenen Führungskraft locker beim Vornamen angesprochen wird und instinktiv nach der passenden, etwas steiferen Antwort sucht, kann sich entspannen: Hier ist Nähe keine Unhöflichkeit, sondern die Grundeinstellung, mit der das Land in den Tag startet. Viele Neuseeländerinnen und Neuseeländer haben zudem selbst eine Zeit lang im Ausland gelebt. Oft als mehrmonatige bis mehrjährige Overseas Experience (OE, ein Auslandsjahr als fester Bestandteil vieler Lebensläufe), meist in Europa oder Großbritannien. Das schafft auf beiden Seiten Verständnis fürs Auswandern und macht dich als Neuankömmling schneller zum Gesprächspartner als zum Exoten.</w:t>
      </w:r>
    </w:p>
    <w:p w14:paraId="5A3CEC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Begrüßung und Small Talk im Alltag</w:t>
      </w:r>
    </w:p>
    <w:p w14:paraId="6E49EF45" w14:textId="77777777" w:rsidR="001F7233" w:rsidRDefault="00000000">
      <w:pPr>
        <w:spacing w:after="140"/>
      </w:pPr>
      <w:r>
        <w:t>Die neuseeländische Standardfrage im Vorbeigehen lautet „How’s it going?“ oder schlicht „Good day“. Eine Begrüßung, keine echte Frage nach deinem Befinden. Erwartet wird eine kurze, positive Antwort wie „yeah, good, you?“, nicht die ausführliche Bestandsaufnahme, die in Deutschland auf ein ehrlich gemeintes „Wie geht’s?“ folgen kann. Im Supermarkt, an der Bushaltestelle oder beim Warten an der Kasse ist ein kurzes Gespräch über Wetter, Wochenende oder den Garten üblich und endet nach zwei, drei Sätzen von selbst.</w:t>
      </w:r>
    </w:p>
    <w:p w14:paraId="256D252D" w14:textId="77777777" w:rsidR="001F7233" w:rsidRDefault="00000000">
      <w:pPr>
        <w:spacing w:after="140"/>
      </w:pPr>
      <w:r>
        <w:rPr>
          <w:i/>
          <w:iCs/>
        </w:rPr>
        <w:t>Kiwi-Slang begegnet dir dabei ständig: Sweet as und good as gold bedeuten einfach „gut“ oder „in Ordnung“, choice ist eine Bestätigung im Sinne von „klasse“ und ein knappes ta ersetzt oft ein ausführlicheres „thank you“. Diese Ausdrücke wirken für deutsche Ohren zunächst wie Satzfragmente. Als hätte jemand mitten im Gedanken aufgehört zu sprechen –, sind aber vollständige, verstandene Aussagen. Wer aus Deutschland eine präzise, vollständige Antwort gewohnt ist, muss sich daran gewöhnen, dass ein knappes „sweet as“ bereits das Ende des Gesprächs markiert, nicht, weil dein Gegen unhöflich wäre, sondern weil hier gilt: Je weniger Worte für ein zufriedenes Ergebnis nötig sind, desto besser.</w:t>
      </w:r>
    </w:p>
    <w:p w14:paraId="6737F39B" w14:textId="77777777" w:rsidR="001F7233" w:rsidRDefault="00000000">
      <w:pPr>
        <w:spacing w:after="140"/>
      </w:pPr>
      <w:r>
        <w:t>Nachbarn grüßen im Vorbeigehen, auch ohne dass man sich näher kennt. Ein kurzes Winken oder Nicken reicht. Spontane Besuche sind seltener als ihr Ruf. Auch in Neuseeland kündigt man sich meist kurz per Nachricht an, bevor man vorbeikommt.</w:t>
      </w:r>
    </w:p>
    <w:p w14:paraId="68896D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Kommunikationsstil: Understatement statt Konfrontation</w:t>
      </w:r>
    </w:p>
    <w:p w14:paraId="7B35130C" w14:textId="77777777" w:rsidR="001F7233" w:rsidRDefault="00000000">
      <w:pPr>
        <w:spacing w:after="140"/>
      </w:pPr>
      <w:r>
        <w:t xml:space="preserve">Neuseeländische Kommunikation wird oft als zurückhaltend beschrieben, doch kein einzelner Ausdruck hat in jedem Team dieselbe Bedeutung. „Yeah, nah“ wird häufig als Ablehnung </w:t>
      </w:r>
      <w:r>
        <w:lastRenderedPageBreak/>
        <w:t>verstanden, „nah, yeah“ als Zustimmung mit möglichem Vorbehalt; Ton und Kontext zählen. „She’ll be right“ kann Zuversicht ausdrücken, ist aber kein Ersatz für einen belastbaren Plan. Als Scherz kann „still right, just later“ eine Verspätung auf den Punkt bringen. Bei einer echten Frist braucht es trotzdem einen neuen Termin. „Interesting approach“ kann echte Neugier oder einen vorsichtigen Vorbehalt ausdrücken. Bei Fristen oder Entscheidungen bitte die konkrete Zusage, verantwortliche Person und den Termin bestätigen lassen.</w:t>
      </w:r>
    </w:p>
    <w:p w14:paraId="3E28AF24" w14:textId="77777777" w:rsidR="001F7233" w:rsidRDefault="00000000">
      <w:r>
        <w:rPr>
          <w:b/>
        </w:rPr>
        <w:t xml:space="preserve">ACHTUNG: </w:t>
      </w:r>
    </w:p>
    <w:p w14:paraId="39D3D49E" w14:textId="77777777" w:rsidR="001F7233" w:rsidRDefault="00000000">
      <w:r>
        <w:t>Lies „no worries“, „not fussed“ oder „we’ll see“ nicht als sichere Zusage oder Ablehnung. Wenn die Sache Folgen hat, frage freundlich nach: „Just to confirm, are we doing X by Friday?“ Eine Nachfrage schafft Klarheit, ohne dem Gegen eine versteckte Absicht zu unterstellen.</w:t>
      </w:r>
    </w:p>
    <w:p w14:paraId="0E907164" w14:textId="77777777" w:rsidR="001F7233" w:rsidRDefault="001F7233">
      <w:pPr>
        <w:spacing w:line="220" w:lineRule="exact"/>
      </w:pPr>
    </w:p>
    <w:p w14:paraId="565AC173" w14:textId="77777777" w:rsidR="001F7233" w:rsidRDefault="00000000">
      <w:pPr>
        <w:spacing w:after="140"/>
      </w:pPr>
      <w:r>
        <w:t xml:space="preserve">Kalibriere deinen eigenen Ton bewusst: Deutsche Direktheit kann in neuseeländischen Teams schnell als schroff wahrgenommen werden, umgekehrt wird neuseeländische Zurückhaltung von Deutschen leicht als fehlende Meinung missverstanden. Eine Frage statt einer Feststellung öffnet meist mehr Türen als ein klares „das ist falsch“. Auch in formellen Mitarbeitergesprächen bleibt dieses Muster bestehen: Kritik wird meist in ein „have we thought about …“ oder ein „it might be worth considering …“ verpackt, selten in einen direkten Satz mit Verbesserungsbedarf. Wer aus einem deutschen Jahresgespräch eine klare Note oder Zielverfehlung erwartet, muss lernen, zwischen den freundlichen Formulierungen den eigentlichen Handlungsbedarf herauszuhören – im Zweifel hilft eine direkte, aber höfliche Nachfrage mehr als eine abwartende Interpretation. Mehr zu Feedback und Umgangsformen im Job findest du im </w:t>
      </w:r>
      <w:hyperlink w:anchor="tnz14">
        <w:r w:rsidR="001F7233">
          <w:rPr>
            <w:color w:val="0563C1"/>
            <w:u w:val="single"/>
          </w:rPr>
          <w:t>Kapitel zur Arbeitswelt in diesem Teil</w:t>
        </w:r>
      </w:hyperlink>
      <w:r>
        <w:t>.</w:t>
      </w:r>
    </w:p>
    <w:p w14:paraId="72BC34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 Ao Māori im Alltag</w:t>
      </w:r>
    </w:p>
    <w:p w14:paraId="393685D6" w14:textId="77777777" w:rsidR="001F7233" w:rsidRDefault="00000000">
      <w:pPr>
        <w:spacing w:after="140"/>
      </w:pPr>
      <w:r>
        <w:rPr>
          <w:i/>
          <w:iCs/>
        </w:rPr>
        <w:t>Neuseeland versteht sich zunehmend als bikulturelles Land auf Grundlage des Vertrags von Waitangi (1840), des Gründungsdokuments zwischen der britischen Krone und Māori-Stammesführern. Für deinen Alltag bedeutet das konkret: Begrüßungsfloskeln aus dem Te Reo Māori (der Māori-Sprache) sind allgegenwärtig. Kia ora (etwa „sei gesund“ oder schlicht „hallo“) hörst du im Supermarkt genauso wie in offiziellen E-Mails. Ngā mihi oder Ngā mihi nui (Dank, Grüße) ist eine gängige Grußformel am Ende einer geschäftlichen Nachricht.</w:t>
      </w:r>
    </w:p>
    <w:p w14:paraId="7BB94844" w14:textId="77777777" w:rsidR="001F7233" w:rsidRDefault="00000000">
      <w:pPr>
        <w:spacing w:after="140"/>
      </w:pPr>
      <w:r>
        <w:rPr>
          <w:i/>
          <w:iCs/>
        </w:rPr>
        <w:t>In vielen Organisationen – zuerst Behörden, zunehmend auch Unternehmen. Wirst du als neue Mitarbeiterin oder neuer Mitarbeiter mit einem Pōwhiri oder dem etwas kürzeren Mihi Whakatau willkommen geheißen: einer Zeremonie mit Reden (Kōrero), Gesang (Waiata) und einem kurzen einleitenden Ritual (Karakia), das oft nicht länger als eine halbe Minute dauert. Auch viele Besprechungen werden mit einer Karakia eröffnet oder beendet. Ein kurzer, meist ruhiger Moment, den du respektvoll mitträgst, auch wenn du die Worte nicht verstehst.</w:t>
      </w:r>
    </w:p>
    <w:p w14:paraId="0E165DA1" w14:textId="77777777" w:rsidR="001F7233" w:rsidRDefault="00000000">
      <w:pPr>
        <w:spacing w:after="140"/>
      </w:pPr>
      <w:r>
        <w:rPr>
          <w:i/>
          <w:iCs/>
        </w:rPr>
        <w:t>Besuchst du eine Marae (den traditionellen Versammlungsort eines Māori-Stammes mit Versammlungshaus, dem Wharenui), gelten eigene Umgangsformen: Schuhe bleiben meist vor dem Versammlungshaus, du wartest auf die formelle Begrüßung, bevor du eintrittst und isst meist nicht im Wharenui selbst. Wie der Ablauf im Einzelfall genau aussieht, erklärt dir meist jemand vom gastgebenden Stamm vor Ort. Frag lieber einmal zu viel, als etwas falsch zu machen. Der Grundton ist überall derselbe: Respekt vor dem Ritual zählt mehr als perfekte Aussprache.</w:t>
      </w:r>
    </w:p>
    <w:p w14:paraId="0B12A5F5" w14:textId="77777777" w:rsidR="001F7233" w:rsidRDefault="00000000">
      <w:pPr>
        <w:spacing w:after="140"/>
      </w:pPr>
      <w:r>
        <w:rPr>
          <w:i/>
          <w:iCs/>
        </w:rPr>
        <w:t xml:space="preserve">Auch außerhalb von Zeremonien begegnet dir Te Ao Māori im Berufsalltag: Projekte, Rollen und ganze Behörden tragen zunehmend Māori-Namen neben oder statt der englischen Bezeichnung und viele Besprechungen eröffnen mit einem kurzen Whakataukī (einem </w:t>
      </w:r>
      <w:r>
        <w:rPr>
          <w:i/>
          <w:iCs/>
        </w:rPr>
        <w:lastRenderedPageBreak/>
        <w:t>traditionellen Sprichwort), das den Ton für das Treffen setzt. Von dir wird dabei keine eigene Übersetzung oder gar ein eigener Redebeitrag auf Te Reo Māori erwartet. Aufmerksames Zuhören und die grundsätzliche Bereitschaft, sich auf diese Ebene der Organisation einzulassen, genügen.</w:t>
      </w:r>
    </w:p>
    <w:p w14:paraId="657571E2" w14:textId="77777777" w:rsidR="001F7233" w:rsidRDefault="00000000">
      <w:r>
        <w:rPr>
          <w:b/>
        </w:rPr>
        <w:t xml:space="preserve">MERKE: </w:t>
      </w:r>
    </w:p>
    <w:p w14:paraId="659EC8AF" w14:textId="77777777" w:rsidR="001F7233" w:rsidRDefault="00000000">
      <w:r>
        <w:t>• Du musst kein Māori sprechen, um dich richtig zu verhalten. Es reicht, Begrüßungen wie „Kia ora“ zu übernehmen, Zeremonien aufmerksam mitzutragen und bei Unsicherheit einfach zu fragen, statt zu improvisieren.</w:t>
      </w:r>
    </w:p>
    <w:p w14:paraId="1785DCC2" w14:textId="77777777" w:rsidR="001F7233" w:rsidRDefault="001F7233">
      <w:pPr>
        <w:spacing w:line="220" w:lineRule="exact"/>
      </w:pPr>
    </w:p>
    <w:p w14:paraId="0572C9A2" w14:textId="77777777" w:rsidR="001F7233" w:rsidRDefault="001F7233">
      <w:pPr>
        <w:spacing w:line="220" w:lineRule="exact"/>
      </w:pPr>
    </w:p>
    <w:p w14:paraId="1FAE067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worries“-Lässigkeit und Termine</w:t>
      </w:r>
    </w:p>
    <w:p w14:paraId="723A1EE6" w14:textId="77777777" w:rsidR="001F7233" w:rsidRDefault="00000000">
      <w:pPr>
        <w:spacing w:after="140"/>
      </w:pPr>
      <w:r>
        <w:rPr>
          <w:i/>
          <w:iCs/>
        </w:rPr>
        <w:t>Die entspannte Grundhaltung, für die Neuseeland ähnlich wie Australien bekannt ist, zeigt sich am deutlichsten im Umgang mit kleinen Pannen und Terminen. No worries ist die Standardantwort auf fast alles. Eine verpasste Verabredung, ein verschütteter Kaffee, eine Verspätung von 10 Minuten. Wo ein deutscher Kollege eine Entschuldigung mit Begründung erwartet, reicht in Neuseeland oft ein knappes „sorry, running a bit late“ ohne weitere Erklärung, gefolgt von einem ebenso knappen „no worries“ als Antwort.</w:t>
      </w:r>
    </w:p>
    <w:p w14:paraId="3AC05571" w14:textId="77777777" w:rsidR="001F7233" w:rsidRDefault="00000000">
      <w:pPr>
        <w:spacing w:after="140"/>
      </w:pPr>
      <w:r>
        <w:t xml:space="preserve">Das heißt nicht, dass Verlässlichkeit keine Rolle spielt: Bei Terminen im Beruf, bei Handwerkern und Behörden wird pünktlich erwartet, was besprochen ist, genau wie in Deutschland. Der Unterschied liegt im Ton. Wo eine Verspätung in Deutschland eine ausführliche Rechtfertigung nach sich zieht, wird sie in Neuseeland eher mit einem Schulterzucken quittiert. Für Deutsche, die diese Gelassenheit zunächst als Sorglosigkeit oder Nachlässigkeit deuten, lohnt sich der zweite Blick: Unter der lässigen Oberfläche bleibt die eigentliche Verabredung meist bindend. Wer aus Deutschland eine minutengenaue Fahrplan-Mentalität mitbringt, lernt hier schnell, </w:t>
      </w:r>
      <w:r>
        <w:lastRenderedPageBreak/>
        <w:t>dass „about ten minutes“ auch fünfzehn oder fünfundzwanzig bedeuten kann, ohne dass irgendjemand darin ein Problem sieht.</w:t>
      </w:r>
    </w:p>
    <w:p w14:paraId="7F9A9B80" w14:textId="77777777" w:rsidR="001F7233" w:rsidRDefault="00000000">
      <w:r>
        <w:rPr>
          <w:b/>
        </w:rPr>
        <w:t xml:space="preserve">ACHTUNG: </w:t>
      </w:r>
    </w:p>
    <w:p w14:paraId="694C7A54" w14:textId="77777777" w:rsidR="001F7233" w:rsidRDefault="00000000">
      <w:r>
        <w:t>• So entspannt der Ton im Alltag ist. Bei Fristen der Einwanderungsbehörde, der Steuerbehörde Inland Revenue (IRD) oder im Mietvertrag zählt Pünktlichkeit wie in Deutschland. Verwechsle die lässige Sprache nicht mit lässigen Konsequenzen: Ein verspätetes Formular bleibt ein verspätetes Formular, so freundlich die Rückmeldung dazu auch klingen mag.</w:t>
      </w:r>
    </w:p>
    <w:p w14:paraId="35FDDA08" w14:textId="77777777" w:rsidR="001F7233" w:rsidRDefault="001F7233">
      <w:pPr>
        <w:spacing w:line="220" w:lineRule="exact"/>
      </w:pPr>
    </w:p>
    <w:p w14:paraId="66A245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Arbeitsleben, Pausenkultur und Wochenende</w:t>
      </w:r>
    </w:p>
    <w:p w14:paraId="7A5F0AC5" w14:textId="77777777" w:rsidR="001F7233" w:rsidRDefault="00000000">
      <w:pPr>
        <w:spacing w:after="140"/>
      </w:pPr>
      <w:r>
        <w:rPr>
          <w:i/>
          <w:iCs/>
        </w:rPr>
        <w:t>Auch im Berufsalltag zeigt sich die entspanntere Grundhaltung, ohne dass die Arbeit dadurch weniger ernst genommen wird. Die informelle Kaffee- oder Teepause zwischendurch trägt vielerorts noch den traditionellen Namen Smoko (ursprünglich die Raucherpause, heute meist eine kurze gemeinsame Pause ohne Zigarette) und ist ein fester, akzeptierter Bestandteil des Arbeitstages, gerade in handwerklichen und landwirtschaftlichen Berufen. Nach Feierabend sind spontane Friday Drinks mit dem Team verbreitet. Ein informelles Getränk zum Wochenausklang, oft direkt im Büro oder in der nächsten Bar, ohne festes Protokoll oder Ansprache.</w:t>
      </w:r>
    </w:p>
    <w:p w14:paraId="2B2D1F74" w14:textId="77777777" w:rsidR="001F7233" w:rsidRDefault="00000000">
      <w:pPr>
        <w:spacing w:after="140"/>
      </w:pPr>
      <w:r>
        <w:t>Das Wochenende selbst gehört in weiten Teilen des Landes der Natur: Wandern (</w:t>
      </w:r>
      <w:r>
        <w:rPr>
          <w:i/>
          <w:iCs/>
        </w:rPr>
        <w:t>Tramping</w:t>
      </w:r>
      <w:r>
        <w:t>), Strand, Garten und ein gemeinsames Grillen (</w:t>
      </w:r>
      <w:r>
        <w:rPr>
          <w:i/>
          <w:iCs/>
        </w:rPr>
        <w:t>Barbecue</w:t>
      </w:r>
      <w:r>
        <w:t xml:space="preserve">, kurz </w:t>
      </w:r>
      <w:r>
        <w:rPr>
          <w:i/>
          <w:iCs/>
        </w:rPr>
        <w:t>BBQ</w:t>
      </w:r>
      <w:r>
        <w:t xml:space="preserve">) prägen den Ton stärker als Museum oder Café-Kultur. Wer aus Deutschland eine strikte Trennung zwischen Berufs- und Privatleben gewohnt ist, erlebt beides in Neuseeland enger verflochten: Kolleginnen und Kollegen werden schneller zu Freizeitbekanntschaften, gemeinsame Wochenendausflüge sind ein üblicher Gesprächseinstieg am Montagmorgen. Das erleichtert den ersten Kontakt erheblich – mehr </w:t>
      </w:r>
      <w:r>
        <w:lastRenderedPageBreak/>
        <w:t xml:space="preserve">zum Aufbau echter Freundschaften darüber hinaus liest du im </w:t>
      </w:r>
      <w:hyperlink w:anchor="tnz12">
        <w:r w:rsidR="001F7233">
          <w:rPr>
            <w:color w:val="0563C1"/>
            <w:u w:val="single"/>
          </w:rPr>
          <w:t>Kapitel zu Freundschaften und Kulturschock in diesem Teil</w:t>
        </w:r>
      </w:hyperlink>
      <w:r>
        <w:t>.</w:t>
      </w:r>
    </w:p>
    <w:p w14:paraId="7D1C70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Geografische Isolation</w:t>
      </w:r>
    </w:p>
    <w:p w14:paraId="47184DB0" w14:textId="77777777" w:rsidR="001F7233" w:rsidRDefault="00000000">
      <w:pPr>
        <w:spacing w:after="140"/>
      </w:pPr>
      <w:r>
        <w:t>Ein Faktor, der die neuseeländische Mentalität stärker prägt, als es auf den ersten Blick scheint, ist die schiere Entfernung zur übrigen Welt. Australien, der nächste größere Nachbar, liegt rund 2.000 km entfernt. Jeder andere Kontinent ist noch weiter weg. Ein Flug nach Deutschland dauert, je nach Route und Zwischenstopp, gut und gerne einen ganzen Tag. Die Zeitverschiebung beträgt je nach Jahreszeit und Sommerzeit-Überschneidung etwa 10 bis 12 Stunden.</w:t>
      </w:r>
    </w:p>
    <w:p w14:paraId="0A692418" w14:textId="77777777" w:rsidR="001F7233" w:rsidRDefault="00000000">
      <w:pPr>
        <w:spacing w:after="140"/>
      </w:pPr>
      <w:r>
        <w:t>Für deinen Alltag bedeutet das: Ein spontanes Wochenende bei den Eltern in Deutschland ist keine Option mehr, sondern eine Reise, die Wochen im Voraus geplant und mit einem erheblichen Reisebudget verbunden ist. Videotelefonate mit Deutschland verlangen wegen der Zeitverschiebung Kompromisse. Wenn es in Christchurch früher Abend ist, schläft die Familie in Deutschland noch, oder umgekehrt. Diese Isolation erklärt auch einen Teil der neuseeländischen Mentalität: eine gewisse Selbstgenügsamkeit, ein starkes Interesse an Natur und Freizeit direkt vor der Haustür und eine Portion Gelassenheit gegen Nachrichten aus der übrigen Welt, die ohnehin erst mit Verzögerung ankommen.</w:t>
      </w:r>
    </w:p>
    <w:p w14:paraId="7E9A674F" w14:textId="77777777" w:rsidR="001F7233" w:rsidRDefault="00000000">
      <w:r>
        <w:rPr>
          <w:b/>
        </w:rPr>
        <w:t xml:space="preserve">SPARTIPP: </w:t>
      </w:r>
    </w:p>
    <w:p w14:paraId="047A438E" w14:textId="77777777" w:rsidR="001F7233" w:rsidRDefault="00000000">
      <w:r>
        <w:t>• Buche Flüge nach Deutschland so früh wie möglich und lege, wenn der Zeitplan es zulässt, einen längeren Zwischenstopp ein statt eines reinen Umsteigezwischenstopps. Etwa in Singapur, Dubai oder Hongkong. Das unterbricht die lange Reise wenigstens einmal angenehm, statt sie in einem einzigen Flugmarathon durchzustehen.</w:t>
      </w:r>
    </w:p>
    <w:p w14:paraId="617E49D1" w14:textId="77777777" w:rsidR="001F7233" w:rsidRDefault="001F7233">
      <w:pPr>
        <w:spacing w:line="220" w:lineRule="exact"/>
      </w:pPr>
    </w:p>
    <w:p w14:paraId="44E2CFB6" w14:textId="77777777" w:rsidR="001F7233" w:rsidRDefault="001F7233">
      <w:pPr>
        <w:spacing w:line="220" w:lineRule="exact"/>
      </w:pPr>
    </w:p>
    <w:p w14:paraId="4C474B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Neuseeländer an Deutschen schätzen und was irritiert</w:t>
      </w:r>
    </w:p>
    <w:p w14:paraId="6626DF9B" w14:textId="77777777" w:rsidR="001F7233" w:rsidRDefault="00000000">
      <w:pPr>
        <w:spacing w:after="140"/>
      </w:pPr>
      <w:r>
        <w:t>Die folgenden Punkte sind Tendenzen aus Erfahrungsberichten, keine Messwerte, und gelten nicht für jede Person. Diese Gewohnheiten können auch dir helfen: gut vorbereitet erscheinen, Absprachen nachhalten und fachliche Arbeit ordentlich dokumentieren. Das ist kein deutscher Sonderbonus, sondern nützliches Handwerk. In Neuseeland kommt es besser an, wenn du es mit Understatement und echtem Interesse an der örtlichen Lösung verbindest.</w:t>
      </w:r>
    </w:p>
    <w:p w14:paraId="7C5D332B" w14:textId="77777777" w:rsidR="001F7233" w:rsidRDefault="00000000">
      <w:pPr>
        <w:spacing w:after="140"/>
      </w:pPr>
      <w:r>
        <w:t>Häufig geschätzt wird deutsche Zuverlässigkeit, Pünktlichkeit im Beruf und handwerkliche Gründlichkeit. Neuseeländer fragen oft neugierig nach dem deutschen Bildungssystem, nach Bahn und Wanderwegen in Europa. Auch der deutsche Umgang mit Regeln und Prozessen gilt vielen als vorbildlich strukturiert. Eine Eigenschaft, die im entspannten neuseeländischen Alltag durchaus mit Respekt beobachtet wird, solange sie nicht zur Besserwisserei wird.</w:t>
      </w:r>
    </w:p>
    <w:p w14:paraId="1E80EE1C" w14:textId="77777777" w:rsidR="001F7233" w:rsidRDefault="00000000">
      <w:pPr>
        <w:spacing w:after="140"/>
      </w:pPr>
      <w:r>
        <w:t>Häufig irritiert dagegen eine zu direkte, unverpackte Kritik, die schnell als unhöflich gilt, sowie das Bedürfnis, Regeln oder Abläufe sofort und lautstark zu hinterfragen, statt erst einmal abzuwarten, wie sich die Dinge von selbst fügen. Auch ein zu ernster Umgang mit kleinen Pannen – ein verpasster Bus, ein falsch bestelltes Gericht. Wirkt auf Neuseeländer schnell überzogen; Humor über die eigene Verwirrung kommt fast immer besser an als eine Beschwerde.</w:t>
      </w:r>
    </w:p>
    <w:p w14:paraId="533B7AD1" w14:textId="77777777" w:rsidR="001F7233" w:rsidRDefault="00000000">
      <w:r>
        <w:rPr>
          <w:b/>
        </w:rPr>
        <w:t>Anrede im Beruf</w:t>
      </w:r>
    </w:p>
    <w:p w14:paraId="2BE38B2E" w14:textId="77777777" w:rsidR="001F7233" w:rsidRDefault="00000000">
      <w:r>
        <w:rPr>
          <w:b/>
        </w:rPr>
        <w:t xml:space="preserve">In Deutschland: </w:t>
      </w:r>
      <w:r>
        <w:t>Nachname, oft mit Titel</w:t>
      </w:r>
    </w:p>
    <w:p w14:paraId="535F22BA" w14:textId="77777777" w:rsidR="001F7233" w:rsidRDefault="00000000">
      <w:r>
        <w:rPr>
          <w:b/>
        </w:rPr>
        <w:t xml:space="preserve">In Neuseeland: </w:t>
      </w:r>
      <w:r>
        <w:t>Vorname, auch beim Chef</w:t>
      </w:r>
    </w:p>
    <w:p w14:paraId="03C40A32" w14:textId="77777777" w:rsidR="001F7233" w:rsidRDefault="00000000">
      <w:r>
        <w:rPr>
          <w:b/>
        </w:rPr>
        <w:t xml:space="preserve">Tipp: </w:t>
      </w:r>
      <w:r>
        <w:t>Vorname anbieten, Titel meiden</w:t>
      </w:r>
    </w:p>
    <w:p w14:paraId="12C7E4BA" w14:textId="77777777" w:rsidR="001F7233" w:rsidRDefault="00000000">
      <w:r>
        <w:rPr>
          <w:b/>
        </w:rPr>
        <w:t>Kritik äußern</w:t>
      </w:r>
    </w:p>
    <w:p w14:paraId="199E6EC4" w14:textId="77777777" w:rsidR="001F7233" w:rsidRDefault="00000000">
      <w:r>
        <w:rPr>
          <w:b/>
        </w:rPr>
        <w:t xml:space="preserve">In Deutschland: </w:t>
      </w:r>
      <w:r>
        <w:t>Direkt und sachlich</w:t>
      </w:r>
    </w:p>
    <w:p w14:paraId="6E0C1BB5" w14:textId="77777777" w:rsidR="001F7233" w:rsidRDefault="00000000">
      <w:r>
        <w:rPr>
          <w:b/>
        </w:rPr>
        <w:t xml:space="preserve">In Neuseeland: </w:t>
      </w:r>
      <w:r>
        <w:t>Indirekt, oft als Frage verpackt</w:t>
      </w:r>
    </w:p>
    <w:p w14:paraId="618FEC08" w14:textId="77777777" w:rsidR="001F7233" w:rsidRDefault="00000000">
      <w:r>
        <w:rPr>
          <w:b/>
        </w:rPr>
        <w:lastRenderedPageBreak/>
        <w:t xml:space="preserve">Tipp: </w:t>
      </w:r>
      <w:r>
        <w:t>Erst Anerkennung, dann vorsichtig fragen</w:t>
      </w:r>
    </w:p>
    <w:p w14:paraId="695EE3B8" w14:textId="77777777" w:rsidR="001F7233" w:rsidRDefault="00000000">
      <w:r>
        <w:rPr>
          <w:b/>
        </w:rPr>
        <w:t>Verspätung</w:t>
      </w:r>
    </w:p>
    <w:p w14:paraId="7852EA80" w14:textId="77777777" w:rsidR="001F7233" w:rsidRDefault="00000000">
      <w:r>
        <w:rPr>
          <w:b/>
        </w:rPr>
        <w:t xml:space="preserve">In Deutschland: </w:t>
      </w:r>
      <w:r>
        <w:t>Entschuldigung mit Grund erwartet</w:t>
      </w:r>
    </w:p>
    <w:p w14:paraId="1FFB167B" w14:textId="77777777" w:rsidR="001F7233" w:rsidRDefault="00000000">
      <w:r>
        <w:rPr>
          <w:b/>
        </w:rPr>
        <w:t xml:space="preserve">In Neuseeland: </w:t>
      </w:r>
      <w:r>
        <w:t>Kurzes „sorry“, „no worries“ reicht</w:t>
      </w:r>
    </w:p>
    <w:p w14:paraId="7E9A2866" w14:textId="77777777" w:rsidR="001F7233" w:rsidRDefault="00000000">
      <w:r>
        <w:rPr>
          <w:b/>
        </w:rPr>
        <w:t xml:space="preserve">Tipp: </w:t>
      </w:r>
      <w:r>
        <w:t>Nicht überrechtfertigen</w:t>
      </w:r>
    </w:p>
    <w:p w14:paraId="7B0CC856" w14:textId="77777777" w:rsidR="001F7233" w:rsidRDefault="00000000">
      <w:r>
        <w:rPr>
          <w:b/>
        </w:rPr>
        <w:t>Meeting-Eröffnung</w:t>
      </w:r>
    </w:p>
    <w:p w14:paraId="346E920A" w14:textId="77777777" w:rsidR="001F7233" w:rsidRDefault="00000000">
      <w:r>
        <w:rPr>
          <w:b/>
        </w:rPr>
        <w:t xml:space="preserve">In Deutschland: </w:t>
      </w:r>
      <w:r>
        <w:t>Sachlicher Einstieg</w:t>
      </w:r>
    </w:p>
    <w:p w14:paraId="10E55AC9" w14:textId="77777777" w:rsidR="001F7233" w:rsidRDefault="00000000">
      <w:r>
        <w:rPr>
          <w:b/>
        </w:rPr>
        <w:t xml:space="preserve">In Neuseeland: </w:t>
      </w:r>
      <w:r>
        <w:t>Oft Karakia oder kurze Māori-Begrüßung</w:t>
      </w:r>
    </w:p>
    <w:p w14:paraId="49D879A1" w14:textId="77777777" w:rsidR="001F7233" w:rsidRDefault="00000000">
      <w:r>
        <w:rPr>
          <w:b/>
        </w:rPr>
        <w:t xml:space="preserve">Tipp: </w:t>
      </w:r>
      <w:r>
        <w:t>Aufmerksam mittragen, nicht kommentieren</w:t>
      </w:r>
    </w:p>
    <w:p w14:paraId="10BF0090" w14:textId="77777777" w:rsidR="001F7233" w:rsidRDefault="001F7233">
      <w:pPr>
        <w:spacing w:line="180" w:lineRule="exact"/>
      </w:pPr>
    </w:p>
    <w:p w14:paraId="0A855D72" w14:textId="77777777" w:rsidR="001F7233" w:rsidRDefault="00000000">
      <w:r>
        <w:rPr>
          <w:b/>
        </w:rPr>
        <w:t xml:space="preserve">MERKE: </w:t>
      </w:r>
    </w:p>
    <w:p w14:paraId="395E9CAE" w14:textId="77777777" w:rsidR="001F7233" w:rsidRDefault="00000000">
      <w:r>
        <w:t>• Vergleiche mit Deutschland kommen gut an, wenn sie neugierig klingen und schlecht, wenn sie wie ein Urteil wirken. In einem Land, das sich selbst mit einer gewissen Selbstironie betrachtet, ist ein „bei uns machen wir das anders, warum eigentlich hier so?“ meist willkommener als jeder Vergleichs-Vortrag.</w:t>
      </w:r>
    </w:p>
    <w:p w14:paraId="7DAD96E0" w14:textId="77777777" w:rsidR="001F7233" w:rsidRDefault="001F7233">
      <w:pPr>
        <w:spacing w:line="220" w:lineRule="exact"/>
      </w:pPr>
    </w:p>
    <w:p w14:paraId="0781FD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Neuseeländisches Englisch vor der Abreise trainieren</w:t>
      </w:r>
    </w:p>
    <w:p w14:paraId="20D95254" w14:textId="77777777" w:rsidR="001F7233" w:rsidRDefault="00000000">
      <w:pPr>
        <w:spacing w:after="140"/>
      </w:pPr>
      <w:r>
        <w:t>Schulenglisch ist meist britisch geprägt; der neuseeländische Alltagston mit seiner eigenen Sprechmelodie und Māori-Lehnwörtern (siehe oben) klingt trotzdem anfangs ungewohnt. Gegen den ersten Fremdheitseffekt hilft einfaches, dialoggetriebenes Lesefutter mehr als jedes Lehrbuch. Krimis und Thriller mit viel wörtlicher Rede bauen Wortschatz nebenbei auf. Die „Accent Expert“-Reihe von WIRED auf YouTube (Dialektcoach Erik Singer) erklärt anschaulich, woran du neuseeländisches von australischem und amerikanischem Englisch unterscheidest. Für ungeübte Ohren klingen die beiden Südhalbkugel-Akzente zunächst ähnlich, Kiwis selbst hören den Unterschied sofort.</w:t>
      </w:r>
    </w:p>
    <w:p w14:paraId="4C382AD8" w14:textId="77777777" w:rsidR="001F7233" w:rsidRDefault="00000000">
      <w:pPr>
        <w:spacing w:after="140"/>
      </w:pPr>
      <w:r>
        <w:t xml:space="preserve">Zwei neuseeländische Filme geben einen guten Eindruck vom Originalton: „What We Do in the Shadows“ und „Hunt for the Wilderpeople“, beide von Taika Waititi. Prüfe die aktuelle Verfügbarkeit und Tonspur über </w:t>
      </w:r>
      <w:hyperlink r:id="rId1070">
        <w:r w:rsidR="001F7233">
          <w:rPr>
            <w:color w:val="0563C1"/>
            <w:u w:val="single"/>
          </w:rPr>
          <w:t>JustWatch.de</w:t>
        </w:r>
      </w:hyperlink>
      <w:r>
        <w:t>, denn Streaming-Kataloge wechseln.</w:t>
      </w:r>
    </w:p>
    <w:p w14:paraId="21D08181" w14:textId="77777777" w:rsidR="001F7233" w:rsidRDefault="00000000">
      <w:pPr>
        <w:spacing w:after="140"/>
      </w:pPr>
      <w:r>
        <w:t xml:space="preserve">Für Kinder gilt eine andere, altersabhängige Auswahl – dazu mehr im </w:t>
      </w:r>
      <w:hyperlink w:anchor="tnz13">
        <w:r w:rsidR="001F7233">
          <w:rPr>
            <w:color w:val="0563C1"/>
            <w:u w:val="single"/>
          </w:rPr>
          <w:t>Kapitel zu Kindern, Schule und Sprache in diesem Teil</w:t>
        </w:r>
      </w:hyperlink>
      <w:r>
        <w:t>.</w:t>
      </w:r>
    </w:p>
    <w:p w14:paraId="5704EDF4" w14:textId="77777777" w:rsidR="001F7233" w:rsidRDefault="00000000">
      <w:pPr>
        <w:pStyle w:val="Heading3"/>
      </w:pPr>
      <w:r>
        <w:t>Deutschland im Rückblick: Was fehlen könnte – und was nicht unbedingt</w:t>
      </w:r>
    </w:p>
    <w:p w14:paraId="73299D67" w14:textId="77777777" w:rsidR="001F7233" w:rsidRDefault="00000000">
      <w:r>
        <w:t>Aus Deutschland können vertrautes Brot, die größere Auswahl in Geschäften, dichte Bahnverbindungen und die Nähe zur Familie fehlen. Die geografische Distanz macht Heimreisen teuer und erschwert spontane Besuche; plane dafür ein realistisches Jahresbudget. Was dir vielleicht nicht fehlen wird, hängt von deiner bisherigen Lebensweise ab: Manche schätzen Natur und kleinere Alltagsradien, andere vermissen das kulturelle Angebot und die Verkehrsanbindung größerer europäischer Städte. Prüfe vor dem Umzug die Verbindung zwischen Wohnung, Arbeit, Einkauf und medizinischer Versorgung sowie die Kosten einer Deutschlandreise.</w:t>
      </w:r>
    </w:p>
    <w:p w14:paraId="1E886A9C" w14:textId="77777777" w:rsidR="001F7233" w:rsidRDefault="00000000">
      <w:r>
        <w:t>In kleineren Orten bringen A&amp;P Shows (Agricultural and Pastoral Shows), Rugby, Schule und freiwillige Feuerwehr Menschen zusammen. Entfernungen, Wetter und eingeschränkte Dienste prägen den Alltag stärker als eine Postkartenansicht vermuten lässt. Wenn du zu einem Marae eingeladen wirst, frage den Gastgeber vorher nach dem örtlichen Ablauf und den passenden Regeln. Tikanga und manaakitanga sind gelebte Māori-Praktiken, keine Touristenfolklore. Māori-Gemeinschaften sind vielfältig. „Bogan“ kann, ähnlich wie in Australien, abwertend oder selbstironisch klingen. Lass andere das Wort für sich selbst wählen.</w:t>
      </w:r>
    </w:p>
    <w:p w14:paraId="726EB59D" w14:textId="77777777" w:rsidR="001F7233" w:rsidRDefault="00000000">
      <w:pPr>
        <w:pStyle w:val="Heading3"/>
      </w:pPr>
      <w:r>
        <w:lastRenderedPageBreak/>
        <w:t>Kleinstadt und Land: A&amp;P Show, Rugby und Manaakitanga</w:t>
      </w:r>
    </w:p>
    <w:p w14:paraId="1C3A4B2A" w14:textId="77777777" w:rsidR="001F7233" w:rsidRDefault="00000000">
      <w:pPr>
        <w:pStyle w:val="Heading3"/>
      </w:pPr>
      <w:r>
        <w:t>Höflichkeit und Understatement</w:t>
      </w:r>
    </w:p>
    <w:p w14:paraId="036238F1" w14:textId="77777777" w:rsidR="001F7233" w:rsidRDefault="00000000">
      <w:r>
        <w:t>Ein ruhiger Ton und „not quite“ können ein deutliches Nein sein. Frag bei Zusagen nach Datum oder nächstem Schritt. Direktheit darf bleiben, solange sie respektvoll ist und niemanden öffentlich bloßstellt.</w:t>
      </w:r>
    </w:p>
    <w:p w14:paraId="6A2F2F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Alltagskultur und Umgangsformen</w:t>
      </w:r>
    </w:p>
    <w:p w14:paraId="2F34587B" w14:textId="77777777" w:rsidR="001F7233" w:rsidRDefault="00000000">
      <w:r>
        <w:rPr>
          <w:b/>
        </w:rPr>
        <w:t>Plus: Schnelle, unkomplizierte Kontakte im Alltag</w:t>
      </w:r>
    </w:p>
    <w:p w14:paraId="0633434C" w14:textId="77777777" w:rsidR="001F7233" w:rsidRDefault="00000000">
      <w:r>
        <w:rPr>
          <w:b/>
        </w:rPr>
        <w:t xml:space="preserve">Minus: </w:t>
      </w:r>
      <w:r>
        <w:t>Echte Nähe braucht trotzdem Zeit (siehe das Kapitel zu Freundschaften in diesem Teil)</w:t>
      </w:r>
    </w:p>
    <w:p w14:paraId="77A98190" w14:textId="77777777" w:rsidR="001F7233" w:rsidRDefault="00000000">
      <w:r>
        <w:rPr>
          <w:b/>
        </w:rPr>
        <w:t>Plus: Wenig Hierarchie-Theater im Job</w:t>
      </w:r>
    </w:p>
    <w:p w14:paraId="3CDC720A" w14:textId="77777777" w:rsidR="001F7233" w:rsidRDefault="00000000">
      <w:r>
        <w:rPr>
          <w:b/>
        </w:rPr>
        <w:t xml:space="preserve">Minus: </w:t>
      </w:r>
      <w:r>
        <w:t>Kritik richtig zu deuten braucht Übung</w:t>
      </w:r>
    </w:p>
    <w:p w14:paraId="700FC5DE" w14:textId="77777777" w:rsidR="001F7233" w:rsidRDefault="00000000">
      <w:r>
        <w:rPr>
          <w:b/>
        </w:rPr>
        <w:t>Plus: Bikulturelle Rituale schaffen Zugehörigkeit</w:t>
      </w:r>
    </w:p>
    <w:p w14:paraId="2826C67E" w14:textId="77777777" w:rsidR="001F7233" w:rsidRDefault="00000000">
      <w:r>
        <w:rPr>
          <w:b/>
        </w:rPr>
        <w:t xml:space="preserve">Minus: </w:t>
      </w:r>
      <w:r>
        <w:t>Wer Te Ao Māori ignoriert, wirkt schnell respektlos</w:t>
      </w:r>
    </w:p>
    <w:p w14:paraId="72999887" w14:textId="77777777" w:rsidR="001F7233" w:rsidRDefault="00000000">
      <w:r>
        <w:rPr>
          <w:b/>
        </w:rPr>
        <w:t>Plus: Entspannter Umgang mit kleinen Pannen</w:t>
      </w:r>
    </w:p>
    <w:p w14:paraId="097D5B32" w14:textId="77777777" w:rsidR="001F7233" w:rsidRDefault="00000000">
      <w:r>
        <w:rPr>
          <w:b/>
        </w:rPr>
        <w:t xml:space="preserve">Minus: </w:t>
      </w:r>
      <w:r>
        <w:t>Gelassenheit kann bei echten Problemen wie Trägheit wirken</w:t>
      </w:r>
    </w:p>
    <w:p w14:paraId="29205339" w14:textId="77777777" w:rsidR="001F7233" w:rsidRDefault="00000000">
      <w:r>
        <w:rPr>
          <w:b/>
        </w:rPr>
        <w:t>Plus: Beeindruckende Natur direkt vor der Haustür</w:t>
      </w:r>
    </w:p>
    <w:p w14:paraId="5825852D" w14:textId="77777777" w:rsidR="001F7233" w:rsidRDefault="00000000">
      <w:r>
        <w:rPr>
          <w:b/>
        </w:rPr>
        <w:t xml:space="preserve">Minus: </w:t>
      </w:r>
      <w:r>
        <w:t>Geografische Isolation erschwert spontane Deutschlandbesuche</w:t>
      </w:r>
    </w:p>
    <w:p w14:paraId="3272F686" w14:textId="77777777" w:rsidR="001F7233" w:rsidRDefault="001F7233">
      <w:pPr>
        <w:spacing w:line="180" w:lineRule="exact"/>
      </w:pPr>
    </w:p>
    <w:p w14:paraId="7F6851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FFBB419" w14:textId="77777777" w:rsidR="001F7233" w:rsidRDefault="00000000">
      <w:pPr>
        <w:spacing w:after="140"/>
      </w:pPr>
      <w:r>
        <w:t xml:space="preserve">Beobachte in den ersten Wochen bewusst, wie Kolleginnen und Nachbarn Kritik formulieren, wie Meetings eröffnet werden und wie klar Vornamen fallen. Übernimm das Muster, statt es zu bewerten </w:t>
      </w:r>
      <w:r>
        <w:lastRenderedPageBreak/>
        <w:t>und plane den Kontakt nach Deutschland von Anfang an mit fester Zeitverschiebung statt mit Spontaneität.</w:t>
      </w:r>
    </w:p>
    <w:p w14:paraId="56390DB4" w14:textId="77777777" w:rsidR="001F7233" w:rsidRDefault="00000000">
      <w:r>
        <w:t>• Vornamen-Anrede im neuen Job und unter Nachbarn von Anfang an übernommen</w:t>
      </w:r>
    </w:p>
    <w:p w14:paraId="65CF9E6F" w14:textId="77777777" w:rsidR="001F7233" w:rsidRDefault="00000000">
      <w:r>
        <w:t>• Grundbegriffe auf Te Reo Māori (Kia ora, Ngā mihi) eingeübt</w:t>
      </w:r>
    </w:p>
    <w:p w14:paraId="68FE05AD" w14:textId="77777777" w:rsidR="001F7233" w:rsidRDefault="00000000">
      <w:r>
        <w:t>• Verhalten bei Pōwhiri oder Karakia im Job vorab erfragt</w:t>
      </w:r>
    </w:p>
    <w:p w14:paraId="742CB9A0" w14:textId="77777777" w:rsidR="001F7233" w:rsidRDefault="00000000">
      <w:r>
        <w:t>• Eigene Kritik bewusst indirekter formuliert, mit Frage statt Feststellung</w:t>
      </w:r>
    </w:p>
    <w:p w14:paraId="72DA3206" w14:textId="77777777" w:rsidR="001F7233" w:rsidRDefault="00000000">
      <w:r>
        <w:t>• Zurückhaltende Antworten („yeah, nah“, „we’ll see“) richtig eingeordnet</w:t>
      </w:r>
    </w:p>
    <w:p w14:paraId="37BDF69C" w14:textId="77777777" w:rsidR="001F7233" w:rsidRDefault="00000000">
      <w:r>
        <w:t>• Festen Videotelefonie-Termin mit der Familie in Deutschland unter Berücksichtigung der Zeitverschiebung eingerichtet</w:t>
      </w:r>
    </w:p>
    <w:p w14:paraId="0DAA7DD7" w14:textId="77777777" w:rsidR="001F7233" w:rsidRDefault="00000000">
      <w:r>
        <w:t>• Reisebudget und Vorlaufzeit für Deutschlandbesuche realistisch eingeplant</w:t>
      </w:r>
    </w:p>
    <w:p w14:paraId="60AA594D" w14:textId="77777777" w:rsidR="001F7233" w:rsidRDefault="00000000">
      <w:r>
        <w:t>• Bei Marae-Besuchen vorab nach den geltenden Umgangsformen gefragt</w:t>
      </w:r>
    </w:p>
    <w:p w14:paraId="0230C1A8" w14:textId="77777777" w:rsidR="001F7233" w:rsidRDefault="001F7233">
      <w:pPr>
        <w:spacing w:line="220" w:lineRule="exact"/>
      </w:pPr>
    </w:p>
    <w:p w14:paraId="238205F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E2C0749" w14:textId="77777777" w:rsidR="001F7233" w:rsidRDefault="00000000">
      <w:pPr>
        <w:pStyle w:val="ListParagraph"/>
        <w:numPr>
          <w:ilvl w:val="0"/>
          <w:numId w:val="1"/>
        </w:numPr>
        <w:spacing w:after="60"/>
      </w:pPr>
      <w:r>
        <w:t>Te Puni Kōkiri (Ministerium für Māori-Entwicklung) — Te Ao Māori im Alltag und am Arbeitsplatz (</w:t>
      </w:r>
      <w:hyperlink r:id="rId1071">
        <w:r w:rsidR="001F7233">
          <w:rPr>
            <w:color w:val="0563C1"/>
            <w:u w:val="single"/>
          </w:rPr>
          <w:t>tpk.govt.nz</w:t>
        </w:r>
      </w:hyperlink>
      <w:r>
        <w:t>)</w:t>
      </w:r>
    </w:p>
    <w:p w14:paraId="0A206698" w14:textId="77777777" w:rsidR="001F7233" w:rsidRDefault="00000000">
      <w:pPr>
        <w:pStyle w:val="ListParagraph"/>
        <w:numPr>
          <w:ilvl w:val="0"/>
          <w:numId w:val="1"/>
        </w:numPr>
        <w:spacing w:after="60"/>
      </w:pPr>
      <w:r>
        <w:t>New Zealand Now, Immigration New Zealand — Einleben und Alltagskultur (</w:t>
      </w:r>
      <w:hyperlink r:id="rId1072">
        <w:r w:rsidR="001F7233">
          <w:rPr>
            <w:color w:val="0563C1"/>
            <w:u w:val="single"/>
          </w:rPr>
          <w:t>newzealand.govt.nz</w:t>
        </w:r>
      </w:hyperlink>
      <w:r>
        <w:t>)</w:t>
      </w:r>
    </w:p>
    <w:p w14:paraId="180C9E5A" w14:textId="77777777" w:rsidR="001F7233" w:rsidRDefault="00000000">
      <w:pPr>
        <w:pStyle w:val="ListParagraph"/>
        <w:numPr>
          <w:ilvl w:val="0"/>
          <w:numId w:val="1"/>
        </w:numPr>
        <w:spacing w:after="60"/>
      </w:pPr>
      <w:r>
        <w:t>Ministry for Culture and Heritage — Vertrag von Waitangi, Te Reo Māori (</w:t>
      </w:r>
      <w:hyperlink r:id="rId1073">
        <w:r w:rsidR="001F7233">
          <w:rPr>
            <w:color w:val="0563C1"/>
            <w:u w:val="single"/>
          </w:rPr>
          <w:t>mch.govt.nz</w:t>
        </w:r>
      </w:hyperlink>
      <w:r>
        <w:t>)</w:t>
      </w:r>
    </w:p>
    <w:p w14:paraId="3723A0F6" w14:textId="77777777" w:rsidR="001F7233" w:rsidRDefault="00000000">
      <w:pPr>
        <w:pStyle w:val="ListParagraph"/>
        <w:numPr>
          <w:ilvl w:val="0"/>
          <w:numId w:val="1"/>
        </w:numPr>
        <w:spacing w:after="60"/>
      </w:pPr>
      <w:r>
        <w:t>Stats NZ — Bevölkerung, Herkunft und Lebensverhältnisse (</w:t>
      </w:r>
      <w:hyperlink r:id="rId1074">
        <w:r w:rsidR="001F7233">
          <w:rPr>
            <w:color w:val="0563C1"/>
            <w:u w:val="single"/>
          </w:rPr>
          <w:t>stats.govt.nz</w:t>
        </w:r>
      </w:hyperlink>
      <w:r>
        <w:t>)</w:t>
      </w:r>
    </w:p>
    <w:p w14:paraId="6CE2D508" w14:textId="77777777" w:rsidR="001F7233" w:rsidRDefault="001F7233">
      <w:pPr>
        <w:spacing w:line="120" w:lineRule="exact"/>
      </w:pPr>
    </w:p>
    <w:p w14:paraId="551381AD" w14:textId="77777777" w:rsidR="001F7233" w:rsidRDefault="00000000">
      <w:pPr>
        <w:pStyle w:val="ListParagraph"/>
      </w:pPr>
      <w:r>
        <w:t xml:space="preserve">Employment New Zealand — Marae protocol and cultural practices: </w:t>
      </w:r>
      <w:hyperlink r:id="rId1075">
        <w:r w:rsidR="001F7233">
          <w:rPr>
            <w:rStyle w:val="Hyperlink"/>
          </w:rPr>
          <w:t>employment.govt.nz</w:t>
        </w:r>
      </w:hyperlink>
    </w:p>
    <w:p w14:paraId="6862A7BB" w14:textId="77777777" w:rsidR="001F7233" w:rsidRDefault="00000000">
      <w:r>
        <w:t xml:space="preserve">• Quellen- und Datenstand: September 2026; Redaktionsschluss: Oktober 2026. Diese Angaben ändern sich langsamer als Zahlen und Fristen, sind aber Tendenzen und keine Messwerte: </w:t>
      </w:r>
      <w:r>
        <w:lastRenderedPageBreak/>
        <w:t>Wahrnehmungen zu Kommunikationsstil und Umgangsformen schwanken je nach Region, Branche und Generation. Prüfe im Zweifel, etwa vor einem Pōwhiri, direkt bei den Beteiligten vor Ort nach.</w:t>
      </w:r>
    </w:p>
    <w:p w14:paraId="2BC9A1A1" w14:textId="77777777" w:rsidR="001F7233" w:rsidRDefault="001F7233">
      <w:pPr>
        <w:spacing w:line="220" w:lineRule="exact"/>
      </w:pPr>
    </w:p>
    <w:p w14:paraId="714A5828" w14:textId="77777777" w:rsidR="001F7233" w:rsidRDefault="00000000">
      <w:pPr>
        <w:pStyle w:val="Heading3"/>
      </w:pPr>
      <w:r>
        <w:t>Kaffee bestellen: Größen, Cappuccino und Trinkgeld</w:t>
      </w:r>
    </w:p>
    <w:p w14:paraId="4C24D8FD" w14:textId="77777777" w:rsidR="001F7233" w:rsidRDefault="00000000">
      <w:r>
        <w:t>Café coffee is usually espresso-based: flat white, long black, latte and cappuccino are common. Sizes are often smaller than large US chain servings, and “long black” is not simply drip coffee. Ask whether the cup is single or double shot if caffeine matters. Tipping is not generally compulsory; check for any service charge and treat card-terminal prompts as optional.</w:t>
      </w:r>
      <w:r>
        <w:br w:type="page"/>
      </w:r>
    </w:p>
    <w:p w14:paraId="3CA52F76" w14:textId="77777777" w:rsidR="001F7233" w:rsidRDefault="00000000">
      <w:pPr>
        <w:pStyle w:val="Heading2"/>
        <w:keepNext/>
        <w:spacing w:line="341" w:lineRule="auto"/>
        <w:jc w:val="center"/>
      </w:pPr>
      <w:bookmarkStart w:id="142" w:name="tnz12"/>
      <w:r>
        <w:rPr>
          <w:rFonts w:ascii="Amazon Ember" w:eastAsia="Amazon Ember" w:hAnsi="Amazon Ember" w:cs="Amazon Ember"/>
          <w:color w:val="0000FF"/>
          <w:sz w:val="36"/>
          <w:szCs w:val="36"/>
        </w:rPr>
        <w:lastRenderedPageBreak/>
        <w:t>Neuseeland: Freunde finden und der Kulturschock der Distanz</w:t>
      </w:r>
      <w:bookmarkEnd w:id="142"/>
    </w:p>
    <w:p w14:paraId="281A9BA2" w14:textId="77777777" w:rsidR="001F7233" w:rsidRDefault="00000000">
      <w:pPr>
        <w:spacing w:after="140"/>
      </w:pPr>
      <w:r>
        <w:t>„Kia ora, how’s it going?“ ruft die Nachbarin über den niedrigen Gartenzaun, während sie in Jandals (den hier allgegenwärtigen Flip-Flops) zum Briefkasten schlurft. Eine ausführliche Antwort erwartet sie nicht. „Kia ora“ (der Māori-Gruß, mittlerweile fester Bestandteil des neuseeländischen Alltagsenglisch für „Hallo“) plus ein knappes „Good, thanks“ reicht vollkommen. Abends rechnest du vielleicht nach, wie spät es gerade bei den Eltern in Deutschland ist. Dann wird klar: Neuseeland liegt nicht einfach „noch etwas weiter weg als Australien“, sondern am anderen Ende der Welt. Diese Distanz prägt Freundschaften und Heimweh hier deutlicher als bei jedem anderen Ziel des Buches.</w:t>
      </w:r>
    </w:p>
    <w:p w14:paraId="1FD1608F" w14:textId="77777777" w:rsidR="001F7233" w:rsidRDefault="00000000">
      <w:r>
        <w:rPr>
          <w:b/>
        </w:rPr>
        <w:t xml:space="preserve">KURZ GESAGT: </w:t>
      </w:r>
    </w:p>
    <w:p w14:paraId="3E720519" w14:textId="77777777" w:rsidR="001F7233" w:rsidRDefault="00000000">
      <w:r>
        <w:t>• Neuseeländische Freundlichkeit ist echt, aber zurückhaltend: Kiwis öffnen die Tür bereitwillig, laden seltener spontan ins Wohnzimmer ein, als es sich im ersten Moment anfühlt.</w:t>
      </w:r>
    </w:p>
    <w:p w14:paraId="373A5DEF" w14:textId="77777777" w:rsidR="001F7233" w:rsidRDefault="00000000">
      <w:r>
        <w:t>• Sportvereine (vor allem Rugby und Netball), Krabbelgruppen, Freiwilligenarbeit bei Feuerwehr oder Nachbarschaftswache und der Kontakt über die eigenen Kinder sind die verlässlichsten Wege zu festen Bekanntschaften.</w:t>
      </w:r>
    </w:p>
    <w:p w14:paraId="55326919" w14:textId="77777777" w:rsidR="001F7233" w:rsidRDefault="00000000">
      <w:r>
        <w:t>• Die deutsche Infrastruktur konzentriert sich auf Wellington; Auckland hat wenig, Christchurch fast nichts. Abseits davon bist du überwiegend auf dich gestellt.</w:t>
      </w:r>
    </w:p>
    <w:p w14:paraId="09F6C4AB" w14:textId="77777777" w:rsidR="001F7233" w:rsidRDefault="00000000">
      <w:r>
        <w:t>• Neuseeland liegt für deutsche Verhältnisse extrem weit weg: keine Direktflüge, meist 24 bis 27 Stunden Reisezeit, 10 bis 12 Stunden Zeitverschiebung. Eine Distanz, die noch über der Australiens liegt.</w:t>
      </w:r>
    </w:p>
    <w:p w14:paraId="5AE38CC4" w14:textId="77777777" w:rsidR="001F7233" w:rsidRDefault="00000000">
      <w:r>
        <w:t>• Die kritischsten Monate sind meist der dritte bis sechste, verschärft durch ein Weihnachtsfest am Strand statt am Tannenbaum.</w:t>
      </w:r>
    </w:p>
    <w:p w14:paraId="669C2154" w14:textId="77777777" w:rsidR="001F7233" w:rsidRDefault="00000000">
      <w:r>
        <w:lastRenderedPageBreak/>
        <w:t>• Bei anhaltender Erschöpfung oder Einsamkeit gibt es rund um die Uhr erreichbare, kostenlose Hilfe.</w:t>
      </w:r>
    </w:p>
    <w:p w14:paraId="0EB78376" w14:textId="77777777" w:rsidR="001F7233" w:rsidRDefault="001F7233">
      <w:pPr>
        <w:spacing w:line="220" w:lineRule="exact"/>
      </w:pPr>
    </w:p>
    <w:p w14:paraId="313B07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Kiwi-Freundlichkeit: höflich, zurückhaltend, gründlich unaufgeregt</w:t>
      </w:r>
    </w:p>
    <w:p w14:paraId="409E9E12" w14:textId="77777777" w:rsidR="001F7233" w:rsidRDefault="00000000">
      <w:pPr>
        <w:spacing w:after="140"/>
      </w:pPr>
      <w:r>
        <w:t>Neuseeland gilt als eine der informellsten westlichen Gesellschaften überhaupt: Vornamen-Anrede ist Standard, auch gegen Vorgesetzten und wer im Bewerbungsgespräch versehentlich „Mr. Schmidt“ sagt, erntet eher ein überraschtes Lächeln als Respekt. Diese Lockerheit täuscht allerdings leicht über etwas anderes hinweg: Neuseeländische Kommunikation gilt im internationalen Vergleich als vergleichsweise konfliktvermeidend und indirekt. Ein deutlicher Unterschied zur als sehr direkt wahrgenommenen deutschen Gesprächskultur. Kritik wird selten offen ausgesprochen, Ablehnung selten klar formuliert. „yeah, maybe“ bedeutet in vielen Zusammenhängen ein höfliches Nein, kein vages Vielleicht.</w:t>
      </w:r>
    </w:p>
    <w:p w14:paraId="2022E232" w14:textId="77777777" w:rsidR="001F7233" w:rsidRDefault="00000000">
      <w:pPr>
        <w:spacing w:after="140"/>
      </w:pPr>
      <w:r>
        <w:t>Verbreiteter Irrtum: Viele stellen sich Neuseeländer als eine Art ruhigere Kopie der Australier vor. Gleiche Sprache, gleiche Nachbarschaft, also auch gleicher Umgangston. Tatsächlich fällt die neuseeländische Zurückhaltung im Alltag spürbar stärker aus als die robustere, direktere australische Art und wer diesen Unterschied übersieht, missversteht schnell höfliches Desinteresse als tiefere Ablehnung oder umgekehrt beiläufige Freundlichkeit als festen Freundschaftsantrag. Die Realität liegt dazwischen: freundlich, aber gründlich unaufgeregt.</w:t>
      </w:r>
    </w:p>
    <w:p w14:paraId="754C60D7" w14:textId="77777777" w:rsidR="001F7233" w:rsidRDefault="00000000">
      <w:pPr>
        <w:spacing w:after="140"/>
      </w:pPr>
      <w:r>
        <w:rPr>
          <w:i/>
          <w:iCs/>
        </w:rPr>
        <w:t xml:space="preserve">Typisch für diese Grundhaltung ist die Redewendung „she’ll be right“ (sinngemäß „wird schon werden“), die auf beinahe jedes Problem angewendet wird, vom verspäteten Bus bis zur undichten Wasserleitung. Verwandt damit ist die sogenannte No.-8-wire-Mentalität (benannt nach dem Standard-Zaundraht, mit dem findige Farmer früher praktisch alles reparierten). Ein tief verwurzelter Stolz </w:t>
      </w:r>
      <w:r>
        <w:rPr>
          <w:i/>
          <w:iCs/>
        </w:rPr>
        <w:lastRenderedPageBreak/>
        <w:t>auf pragmatische Selbsthilfe statt auf teure Lösungen von außen. Wer als deutsche Fachkraft mit dem Ruf „gründlich und plangetreu“ anreist, erlebt diesen Improvisationsgeist gelegentlich als chaotisch. In Wahrheit funktioniert er meist erstaunlich gut, nur eben anders, als es das deutsche Organisationstalent erwartet.</w:t>
      </w:r>
    </w:p>
    <w:p w14:paraId="0E2C1FA7" w14:textId="77777777" w:rsidR="001F7233" w:rsidRDefault="00000000">
      <w:r>
        <w:rPr>
          <w:b/>
        </w:rPr>
        <w:t xml:space="preserve">MERKE: </w:t>
      </w:r>
    </w:p>
    <w:p w14:paraId="4DC713C6" w14:textId="77777777" w:rsidR="001F7233" w:rsidRDefault="00000000">
      <w:r>
        <w:t>• Ein entspanntes „Kia ora“ oder „How’s it going?“ ist ein Türöffner, keine Einladung ins Wohnzimmer. Nimm die erste Freundlichkeit dankbar an, erwarte die eigentliche Freundschaft aber erst nach mehreren Wiederholungen desselben Kontakts.</w:t>
      </w:r>
    </w:p>
    <w:p w14:paraId="694E5F0E" w14:textId="77777777" w:rsidR="001F7233" w:rsidRDefault="001F7233">
      <w:pPr>
        <w:spacing w:line="220" w:lineRule="exact"/>
      </w:pPr>
    </w:p>
    <w:p w14:paraId="7EA18AE7" w14:textId="77777777" w:rsidR="001F7233" w:rsidRDefault="00000000">
      <w:pPr>
        <w:spacing w:after="140"/>
      </w:pPr>
      <w:r>
        <w:rPr>
          <w:i/>
          <w:iCs/>
        </w:rPr>
        <w:t>Eine zusätzliche, spezifisch neuseeländische Ebene bildet Te Ao Māori (die Māori-Weltsicht), die im Alltag präsenter ist, als viele Neuankömmlinge erwarten. Neue Mitarbeitende werden in manchen Organisationen mit einem Mihi Whakatau oder einer formelleren Pōwhiri (Willkommenszeremonie mit Reden, Liedern und einem kurzen einleitenden Ritual, der Karakia) begrüßt. Meetings beginnen und enden in vielen Behörden und zunehmend auch Unternehmen mit einer kurzen Karakia. Wer diesen Ritualen mit echtem Respekt statt mit Verlegenheit begegnet, gewinnt dabei überraschend oft die ersten Sympathiepunkte im neuen Job. Ein Baustein für spätere Freundschaften, der in keinem anderen Land dieses Buches eine vergleichbare Rolle spielt.</w:t>
      </w:r>
    </w:p>
    <w:p w14:paraId="165AB29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w14:paraId="3080EE7E" w14:textId="77777777" w:rsidR="001F7233" w:rsidRDefault="00000000">
      <w:pPr>
        <w:spacing w:after="140"/>
      </w:pPr>
      <w:r>
        <w:rPr>
          <w:i/>
          <w:iCs/>
        </w:rPr>
        <w:t xml:space="preserve">Rugby ist mehr als Sport – die All Blacks sind identitätsstiftend und ein örtlicher Rugbyclub ist fast überall im Land ein sicherer sozialer Ankerpunkt, auch für Zugezogene ohne jede Ballerfahrung. Fast ebenso präsent ist Netball, in Neuseeland überwiegend, wenn auch nicht nur, von Frauen und Mädchen gespielt und mit eigenen Ligen bis in kleinste Orte organisiert. Wer weniger Kontaktsport sucht, findet in </w:t>
      </w:r>
      <w:r>
        <w:rPr>
          <w:i/>
          <w:iCs/>
        </w:rPr>
        <w:lastRenderedPageBreak/>
        <w:t>Touch (einer kontaktfreien Variante des Rugby, gemischtgeschlechtlich, oft nach Feierabend auf dem nächsten Sportplatz gespielt) einen besonders leicht zugänglichen Einstieg: Die Regeln lernt man in einer Trainingseinheit, das Bier danach gehört meist automatisch dazu. Cricket dominiert die Sommermonate, Tramping (Wandern über mehrere Tage, meist mit Hüttenübernachtung. Ein eigenes neuseeländisches Wort, keine wörtliche Übersetzung von „trampen“) hat landesweit organisierte Clubs mit regelmäßigen Gruppentouren.</w:t>
      </w:r>
    </w:p>
    <w:p w14:paraId="5D4A29BE" w14:textId="77777777" w:rsidR="001F7233" w:rsidRDefault="00000000">
      <w:pPr>
        <w:spacing w:after="140"/>
      </w:pPr>
      <w:r>
        <w:rPr>
          <w:i/>
          <w:iCs/>
        </w:rPr>
        <w:t>Für Familien mit kleinen Kindern ist Plunket (eine landesweite gemeinnützige Organisation für frühkindliche Gesundheit und Familienbegleitung) oft der schnellste Weg zu anderen Eltern: Kostenlose Krabbelgruppen und Gesundheitschecks bringen regelmäßig dieselben Gesichter zusammen, lange bevor die Kinder in die Schule kommen. Eine zweite, sehr neuseeländische Tür ist die Freiwilligenarbeit: Fire and Emergency New Zealand (die nationale Feuerwehrorganisation) betreibt außerhalb der großen Städte überwiegend freiwillige Brigaden, die dringend Mitglieder suchen. Neighbourhood Support (ein landesweites Netzwerk aus Nachbarschaftsgruppen zur gegenseitigen Wachsamkeit und Hilfe bei Notfällen) organisiert in vielen Straßenzügen feste Treffen. Wer sich für eine dieser Gruppen entscheidet, lernt Nachbarn kennen, die im Ernstfall ohnehin zusammenhalten müssen. Eine Bekanntschaft, die oft tragfähiger ist als eine, die nur am Gartenzaun begann.</w:t>
      </w:r>
    </w:p>
    <w:p w14:paraId="0130534A" w14:textId="77777777" w:rsidR="001F7233" w:rsidRDefault="00000000">
      <w:r>
        <w:rPr>
          <w:b/>
        </w:rPr>
        <w:t>Rugbyclub, Netball, Touch, Cricket</w:t>
      </w:r>
    </w:p>
    <w:p w14:paraId="35F7FBA0" w14:textId="77777777" w:rsidR="001F7233" w:rsidRDefault="00000000">
      <w:r>
        <w:rPr>
          <w:b/>
        </w:rPr>
        <w:t xml:space="preserve">Besonders geeignet für: </w:t>
      </w:r>
      <w:r>
        <w:t>breite Altersgruppen, auch ohne Vorerfahrung</w:t>
      </w:r>
    </w:p>
    <w:p w14:paraId="057CF662" w14:textId="77777777" w:rsidR="001F7233" w:rsidRDefault="00000000">
      <w:r>
        <w:rPr>
          <w:b/>
        </w:rPr>
        <w:t>Plunket-Krabbelgruppe</w:t>
      </w:r>
    </w:p>
    <w:p w14:paraId="2604B098" w14:textId="77777777" w:rsidR="001F7233" w:rsidRDefault="00000000">
      <w:r>
        <w:rPr>
          <w:b/>
        </w:rPr>
        <w:t xml:space="preserve">Besonders geeignet für: </w:t>
      </w:r>
      <w:r>
        <w:t>Eltern mit Kleinkindern</w:t>
      </w:r>
    </w:p>
    <w:p w14:paraId="1CF78A64" w14:textId="77777777" w:rsidR="001F7233" w:rsidRDefault="00000000">
      <w:r>
        <w:rPr>
          <w:b/>
        </w:rPr>
        <w:t>Freiwillige Feuerwehr, Neighbourhood Support</w:t>
      </w:r>
    </w:p>
    <w:p w14:paraId="5F84E9A1" w14:textId="77777777" w:rsidR="001F7233" w:rsidRDefault="00000000">
      <w:r>
        <w:rPr>
          <w:b/>
        </w:rPr>
        <w:t xml:space="preserve">Besonders geeignet für: </w:t>
      </w:r>
      <w:r>
        <w:t>wer schnell feste Nachbarschaftskontakte sucht</w:t>
      </w:r>
    </w:p>
    <w:p w14:paraId="0903B463" w14:textId="77777777" w:rsidR="001F7233" w:rsidRDefault="00000000">
      <w:r>
        <w:rPr>
          <w:b/>
        </w:rPr>
        <w:t>Tramping-Club, Rotary, Toastmasters</w:t>
      </w:r>
    </w:p>
    <w:p w14:paraId="6E2BE6D8" w14:textId="77777777" w:rsidR="001F7233" w:rsidRDefault="00000000">
      <w:r>
        <w:rPr>
          <w:b/>
        </w:rPr>
        <w:lastRenderedPageBreak/>
        <w:t xml:space="preserve">Besonders geeignet für: </w:t>
      </w:r>
      <w:r>
        <w:t>Erwachsene ohne Kinder oder festen Verein</w:t>
      </w:r>
    </w:p>
    <w:p w14:paraId="2543E51B" w14:textId="77777777" w:rsidR="001F7233" w:rsidRDefault="001F7233">
      <w:pPr>
        <w:spacing w:line="180" w:lineRule="exact"/>
      </w:pPr>
    </w:p>
    <w:p w14:paraId="38B9015E" w14:textId="77777777" w:rsidR="001F7233" w:rsidRDefault="00000000">
      <w:pPr>
        <w:spacing w:after="140"/>
      </w:pPr>
      <w:r>
        <w:t>Ganz ähnlich funktioniert die Working Bee, ein gemeinsamer Arbeitseinsatz am Samstagvormittag – zum Beispiel im Schulgarten oder am Marae-Vorplatz. Wer zwei Stunden streicht oder jätet, bekommt meist Tee und Kekse und lernt ein halbes Dutzend Menschen kennen, die beim nächsten Schulfest schon vertraut sind.</w:t>
      </w:r>
    </w:p>
    <w:p w14:paraId="2C7654B5" w14:textId="77777777" w:rsidR="001F7233" w:rsidRDefault="00000000">
      <w:pPr>
        <w:spacing w:after="140"/>
      </w:pPr>
      <w:r>
        <w:rPr>
          <w:i/>
          <w:iCs/>
        </w:rPr>
        <w:t>Wer beruflich in Kontakt mit Māori-Institutionen kommt oder in der Nähe eines Marae (dem zentralen Versammlungsort einer Māori-Gemeinschaft, mit eigenem Versammlungshaus und eigenen Verhaltensregeln) wohnt, findet dort gelegentlich zusätzliche Gelegenheit zu echtem Austausch. Wenn, man kommt als aufmerksamer Gast, nicht als Tourist mit Kamera. Eine offene Einladung zu einem Gemeinschaftsanlass ehrlich anzunehmen, statt sie aus Unsicherheit abzulehnen, öffnet hier oft mehr Türen, als es die reine Sprachbarriere vermuten lässt.</w:t>
      </w:r>
    </w:p>
    <w:p w14:paraId="529C6A43" w14:textId="77777777" w:rsidR="001F7233" w:rsidRDefault="001F7233">
      <w:pPr>
        <w:spacing w:line="220" w:lineRule="exact"/>
      </w:pPr>
    </w:p>
    <w:p w14:paraId="55A56341" w14:textId="77777777" w:rsidR="001F7233" w:rsidRDefault="00000000">
      <w:pPr>
        <w:pStyle w:val="Heading4"/>
      </w:pPr>
      <w:r>
        <w:t>Malen und Vloggen: vom Landschaftsbild zum Alltag</w:t>
      </w:r>
    </w:p>
    <w:p w14:paraId="44DDA96D" w14:textId="77777777" w:rsidR="001F7233" w:rsidRDefault="00000000">
      <w:r>
        <w:t xml:space="preserve">Ein Skizzenbuch kann die Landschaft festhalten, aber ein guter Vlog zeigt auch den Alltag dazwischen: den Bus, den Supermarkt, eine Wanderung, einen Regentag oder einen Ausdruck, den du erst nach drei Wochen verstanden hast. Frag Menschen vor einem </w:t>
      </w:r>
      <w:r>
        <w:lastRenderedPageBreak/>
        <w:t>erkennbaren Porträt oder Interview um Zustimmung. Bei Kindern brauchst du die Zustimmung der Sorgeberechtigten. Bei Māori-Orten, tikanga und taonga (kulturell bedeutsamen Dingen oder Wissen) frag nach den örtlichen Wünschen und filme keine wāhi tapu oder eingeschränkt zugänglichen Orte.</w:t>
      </w:r>
    </w:p>
    <w:p w14:paraId="06B99B42" w14:textId="77777777" w:rsidR="001F7233" w:rsidRDefault="00000000">
      <w:r>
        <w:t xml:space="preserve">Auf öffentlichem Conservation Land verlangt DOC für kommerzielle Filmaufnahmen eine Konzession; die Regel erfasst ausdrücklich auch Social-Media-Influencer. Ein privater, nicht kommerzieller Spaziergang mit Handy ist etwas anderes, aber Drohnen, sensible Orte und nahe Tieraufnahmen haben eigene Regeln. Vor Werbung, Plattformzahlungen, Sponsoring oder Sachgeschenken prüfst du Visum- und Steuerfolgen und führst einfache Einnahmen- und Ausgabenlisten. Quellen: </w:t>
      </w:r>
      <w:hyperlink r:id="rId1076">
        <w:r w:rsidR="001F7233">
          <w:rPr>
            <w:color w:val="0563C1"/>
            <w:u w:val="single"/>
          </w:rPr>
          <w:t>DOC: Filmen auf Conservation Land</w:t>
        </w:r>
      </w:hyperlink>
      <w:r>
        <w:t xml:space="preserve"> · </w:t>
      </w:r>
      <w:hyperlink r:id="rId1077">
        <w:r w:rsidR="001F7233">
          <w:rPr>
            <w:color w:val="0563C1"/>
            <w:u w:val="single"/>
          </w:rPr>
          <w:t>IRD: digitale Content Creator</w:t>
        </w:r>
      </w:hyperlink>
    </w:p>
    <w:p w14:paraId="1985F2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Botschaft, Goethe-Institut, Landsleute</w:t>
      </w:r>
    </w:p>
    <w:p w14:paraId="42B86CDD" w14:textId="77777777" w:rsidR="001F7233" w:rsidRDefault="00000000">
      <w:pPr>
        <w:spacing w:after="140"/>
      </w:pPr>
      <w:r>
        <w:t>Der direkte Draht zur alten Heimat ist in Neuseeland dünner organisiert als in den anderen Zielländern dieses Buches. Die deutsche Botschaft sitzt in Wellington und ist konsularisch für ganz Neuseeland sowie mehrere Pazifikstaaten zuständig. Honorarkonsuln gibt es auch in Auckland und Christchurch, die jedoch überwiegend formale Amtsgeschäfte übernehmen, kein Vereinsleben. Das einzige Goethe-Institut des Landes sitzt ebenfalls in Wellington und deckt von dort aus Sprachkurse und kulturelle Veranstaltungen für das ganze Land ab. Wer in Auckland oder Christchurch lebt, nimmt entweder online teil oder reist gelegentlich an.</w:t>
      </w:r>
    </w:p>
    <w:p w14:paraId="3835243D" w14:textId="77777777" w:rsidR="001F7233" w:rsidRDefault="00000000">
      <w:r>
        <w:rPr>
          <w:b/>
        </w:rPr>
        <w:t>Wellington</w:t>
      </w:r>
    </w:p>
    <w:p w14:paraId="69BC1CB6" w14:textId="77777777" w:rsidR="001F7233" w:rsidRDefault="00000000">
      <w:r>
        <w:rPr>
          <w:b/>
        </w:rPr>
        <w:t xml:space="preserve">Konsularische Vertretung: </w:t>
      </w:r>
      <w:r>
        <w:t>Botschaft</w:t>
      </w:r>
    </w:p>
    <w:p w14:paraId="70A6692D" w14:textId="77777777" w:rsidR="001F7233" w:rsidRDefault="00000000">
      <w:r>
        <w:rPr>
          <w:b/>
        </w:rPr>
        <w:t xml:space="preserve">Goethe-Institut: </w:t>
      </w:r>
      <w:r>
        <w:t>ja</w:t>
      </w:r>
    </w:p>
    <w:p w14:paraId="3B1DD53D" w14:textId="77777777" w:rsidR="001F7233" w:rsidRDefault="00000000">
      <w:r>
        <w:rPr>
          <w:b/>
        </w:rPr>
        <w:lastRenderedPageBreak/>
        <w:t xml:space="preserve">Deutsche Angebote vor Ort: </w:t>
      </w:r>
      <w:r>
        <w:t>German School Wellington (Ergänzungsschule), deutsche Spielgruppe</w:t>
      </w:r>
    </w:p>
    <w:p w14:paraId="028A629A" w14:textId="77777777" w:rsidR="001F7233" w:rsidRDefault="00000000">
      <w:r>
        <w:rPr>
          <w:b/>
        </w:rPr>
        <w:t>Auckland</w:t>
      </w:r>
    </w:p>
    <w:p w14:paraId="11F54E78" w14:textId="77777777" w:rsidR="001F7233" w:rsidRDefault="00000000">
      <w:r>
        <w:rPr>
          <w:b/>
        </w:rPr>
        <w:t xml:space="preserve">Konsularische Vertretung: </w:t>
      </w:r>
      <w:r>
        <w:t>Honorarkonsul</w:t>
      </w:r>
    </w:p>
    <w:p w14:paraId="0ACFFEA2" w14:textId="77777777" w:rsidR="001F7233" w:rsidRDefault="00000000">
      <w:r>
        <w:rPr>
          <w:b/>
        </w:rPr>
        <w:t xml:space="preserve">Goethe-Institut: </w:t>
      </w:r>
      <w:r>
        <w:t>nein (Zuständigkeit Wellington)</w:t>
      </w:r>
    </w:p>
    <w:p w14:paraId="68683755" w14:textId="77777777" w:rsidR="001F7233" w:rsidRDefault="00000000">
      <w:r>
        <w:rPr>
          <w:b/>
        </w:rPr>
        <w:t xml:space="preserve">Deutsche Angebote vor Ort: </w:t>
      </w:r>
      <w:r>
        <w:t>deutsche Spielgruppe</w:t>
      </w:r>
    </w:p>
    <w:p w14:paraId="011FB7B6" w14:textId="77777777" w:rsidR="001F7233" w:rsidRDefault="00000000">
      <w:r>
        <w:rPr>
          <w:b/>
        </w:rPr>
        <w:t>Christchurch</w:t>
      </w:r>
    </w:p>
    <w:p w14:paraId="38D76FF3" w14:textId="77777777" w:rsidR="001F7233" w:rsidRDefault="00000000">
      <w:r>
        <w:rPr>
          <w:b/>
        </w:rPr>
        <w:t xml:space="preserve">Konsularische Vertretung: </w:t>
      </w:r>
      <w:r>
        <w:t>Honorarkonsul</w:t>
      </w:r>
    </w:p>
    <w:p w14:paraId="3BEE84E9" w14:textId="77777777" w:rsidR="001F7233" w:rsidRDefault="00000000">
      <w:r>
        <w:rPr>
          <w:b/>
        </w:rPr>
        <w:t xml:space="preserve">Goethe-Institut: </w:t>
      </w:r>
      <w:r>
        <w:t>nein (Zuständigkeit Wellington)</w:t>
      </w:r>
    </w:p>
    <w:p w14:paraId="486DB676" w14:textId="77777777" w:rsidR="001F7233" w:rsidRDefault="00000000">
      <w:r>
        <w:rPr>
          <w:b/>
        </w:rPr>
        <w:t xml:space="preserve">Deutsche Angebote vor Ort: </w:t>
      </w:r>
      <w:r>
        <w:t>keine identifiziert</w:t>
      </w:r>
    </w:p>
    <w:p w14:paraId="33FDA236" w14:textId="77777777" w:rsidR="001F7233" w:rsidRDefault="001F7233">
      <w:pPr>
        <w:spacing w:line="180" w:lineRule="exact"/>
      </w:pPr>
    </w:p>
    <w:p w14:paraId="2444C730" w14:textId="77777777" w:rsidR="001F7233" w:rsidRDefault="00000000">
      <w:r>
        <w:rPr>
          <w:b/>
        </w:rPr>
        <w:t xml:space="preserve">SPARTIPP: </w:t>
      </w:r>
    </w:p>
    <w:p w14:paraId="7D9A408B" w14:textId="77777777" w:rsidR="001F7233" w:rsidRDefault="00000000">
      <w:r>
        <w:t>• Suche schon vor dem Umzug nach „Germans in“ plus Zielstadt bei Facebook und Meetup. Gerade dort, wo es keine offizielle deutsche Infrastruktur gibt. Wie in Christchurch –, sind diese informellen Gruppen oft die einzige Quelle für Erfahrungswerte zu Ärzten, Kitas und Behördenwegen aus erster Hand.</w:t>
      </w:r>
    </w:p>
    <w:p w14:paraId="21AB18F9" w14:textId="77777777" w:rsidR="001F7233" w:rsidRDefault="001F7233">
      <w:pPr>
        <w:spacing w:line="220" w:lineRule="exact"/>
      </w:pPr>
    </w:p>
    <w:p w14:paraId="3BE9C154" w14:textId="77777777" w:rsidR="001F7233" w:rsidRDefault="00000000">
      <w:pPr>
        <w:spacing w:after="140"/>
      </w:pPr>
      <w:r>
        <w:t>Die Kehrseite dieser dünnen Infrastruktur ist zugleich ein kleiner Vorteil: Wer in Neuseeland lebt, landet fast zwangsläufig schneller im englischsprachigen Alltag, weil eine bequeme deutsche Blase schlicht seltener bereit steht als etwa in Sydney oder Melbourne. Das beschleunigt die Sprachgewöhnung, verschärft aber in den ersten Monaten auch das Gefühl, ganz auf sich gestellt zu sein. Ein Punkt, der im Abschnitt zur Distanz weiter unten noch wichtig wird.</w:t>
      </w:r>
    </w:p>
    <w:p w14:paraId="11AA88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563756A7" w14:textId="77777777" w:rsidR="001F7233" w:rsidRDefault="00000000">
      <w:pPr>
        <w:spacing w:after="140"/>
      </w:pPr>
      <w:r>
        <w:t xml:space="preserve">Auf den meisten neuseeländischen Arbeits- und Daueraufenthaltsvisa dürfen mitreisende Partnerinnen und Partner von Anfang an arbeiten, was zumindest den rechtlichen Druck aus der Situation nimmt. Trotzdem trifft der Neustart häufig eine Person deutlich stärker: Während die Hauptantragstellerin oder der Hauptantragsteller über den neuen Arbeitgeber sofort Kollegen und Tagesstruktur hat, muss der Partner eigene Kontakte, oft eine eigene </w:t>
      </w:r>
      <w:r>
        <w:lastRenderedPageBreak/>
        <w:t>Berufszulassung und ein komplett neues Netzwerk von null aufbauen. Bei reglementierten Berufen – etwa in der Tiermedizin oder Pflege. Kann die Anerkennung der Qualifikation durch die passende neuseeländische Stelle mehrere Monate dauern, bevor die eigentliche Stellensuche überhaupt beginnt.</w:t>
      </w:r>
    </w:p>
    <w:p w14:paraId="24042DDF" w14:textId="77777777" w:rsidR="001F7233" w:rsidRDefault="00000000">
      <w:r>
        <w:rPr>
          <w:b/>
        </w:rPr>
        <w:t xml:space="preserve">ACHTUNG: </w:t>
      </w:r>
    </w:p>
    <w:p w14:paraId="4F607863" w14:textId="77777777" w:rsidR="001F7233" w:rsidRDefault="00000000">
      <w:r>
        <w:t>• Warte mit dem eigenen Netzwerkaufbau nicht, bis die Berufszulassung durch ist. Ein fester Wochentermin – ob Plunket-Gruppe, Sportverein oder Ehrenamt. Wirkt in dieser Wartezeit doppelt: gegen die Einsamkeit und als Vorbereitung auf den späteren Berufseinstieg.</w:t>
      </w:r>
    </w:p>
    <w:p w14:paraId="42F74688" w14:textId="77777777" w:rsidR="001F7233" w:rsidRDefault="001F7233">
      <w:pPr>
        <w:spacing w:line="220" w:lineRule="exact"/>
      </w:pPr>
    </w:p>
    <w:p w14:paraId="23599D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18.200 Kilometer ohne Abkürzung</w:t>
      </w:r>
    </w:p>
    <w:p w14:paraId="4003FB7A" w14:textId="77777777" w:rsidR="001F7233" w:rsidRDefault="00000000">
      <w:pPr>
        <w:spacing w:after="140"/>
      </w:pPr>
      <w:r>
        <w:t>Was Neuseeland von jedem anderen Ziel dieses Buches unterscheidet, ist das schiere Ausmaß der Entfernung. Frankfurt und Auckland trennen rund 18.200 Kilometer Luftlinie und einen Direktflug gibt es nicht: Über Drehkreuze wie Singapur, Dubai, Doha oder Hongkong dauert die Reise inklusive Umstieg realistisch 24 bis 27 Stunden. Ein spontaner „Sprung übers Wochenende nach Hause“ ist damit, nüchtern betrachtet, keine ernsthafte Option, sondern eher ein mehrtägiges Jetlag-Projekt. Dazu kommt eine Zeitverschiebung, die übers Jahr zwischen rund 10 und 12 Stunden schwankt: Deutschland und Neuseeland haben gegenläufige Sommerzeiten. Sodass der Unterschied im europäischen Sommer bei etwa 10 Stunden liegt und im europäischen Winter auf bis zu 12 Stunden anwächst. Während in Köln das Frühstücksei noch dampft, geht in Auckland oder Christchurch bereits das Licht aus.</w:t>
      </w:r>
    </w:p>
    <w:p w14:paraId="73D33F2C" w14:textId="77777777" w:rsidR="001F7233" w:rsidRDefault="00000000">
      <w:pPr>
        <w:spacing w:after="140"/>
      </w:pPr>
      <w:r>
        <w:t xml:space="preserve">Diese Distanz verändert den Charakter des Heimwehs spürbar. In näher gelegenen Zielländern bleibt ein Wochenendbesuch zumindest theoretisch denkbar, selbst wenn ihn kaum jemand tatsächlich </w:t>
      </w:r>
      <w:r>
        <w:lastRenderedPageBreak/>
        <w:t>bucht. In Neuseeland fällt diese gedankliche Rückfahrkarte praktisch ganz weg, noch konsequenter als in Australien. Wer in der Kulturschock-Talsohle – meist zwischen dem dritten und sechsten Monat. Spontan ein Last-Minute-Ticket kauft, zahlt für einen Flug, der wegen Jetlag und Kürze kaum erholsam ist, oft ein Vielfaches des Normalpreises.</w:t>
      </w:r>
    </w:p>
    <w:p w14:paraId="0A2B829C" w14:textId="77777777" w:rsidR="001F7233" w:rsidRDefault="00000000">
      <w:r>
        <w:rPr>
          <w:b/>
        </w:rPr>
        <w:t xml:space="preserve">ACHTUNG: </w:t>
      </w:r>
    </w:p>
    <w:p w14:paraId="423E4575" w14:textId="77777777" w:rsidR="001F7233" w:rsidRDefault="001F7233">
      <w:pPr>
        <w:spacing w:line="220" w:lineRule="exact"/>
      </w:pPr>
    </w:p>
    <w:p w14:paraId="69FB687A" w14:textId="77777777" w:rsidR="001F7233" w:rsidRDefault="00000000">
      <w:pPr>
        <w:spacing w:after="140"/>
      </w:pPr>
      <w:r>
        <w:t>Auch der umgekehrte Fall verdient Vorbereitung: Wird zu Hause jemand plötzlich pflegebedürftig oder passiert ein familiärer Notfall, bedeutet die Distanz meist mindestens anderthalb Reisetage, bevor du überhaupt ankommst. Eine Vorsorgevollmacht für eine Person vor Ort in Deutschland und ein grober Plan, wer im Ernstfall organisiert, gehören deshalb früh auf die Liste. Nicht erst, wenn nachts um drei das Telefon klingelt.</w:t>
      </w:r>
    </w:p>
    <w:p w14:paraId="6CE3FB64" w14:textId="77777777" w:rsidR="001F7233" w:rsidRDefault="00000000">
      <w:r>
        <w:rPr>
          <w:b/>
        </w:rPr>
        <w:t xml:space="preserve">MERKE: </w:t>
      </w:r>
    </w:p>
    <w:p w14:paraId="01301AD3" w14:textId="77777777" w:rsidR="001F7233" w:rsidRDefault="001F7233">
      <w:pPr>
        <w:spacing w:line="220" w:lineRule="exact"/>
      </w:pPr>
    </w:p>
    <w:p w14:paraId="2D81CEEB" w14: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Chat-Gruppe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danach zwei Monate ausfällt.</w:t>
      </w:r>
    </w:p>
    <w:p w14:paraId="67EBE5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Phasen, verkehrte Jahreszeiten, Hilfe</w:t>
      </w:r>
    </w:p>
    <w:p w14:paraId="5FBE838A" w14:textId="77777777" w:rsidR="001F7233" w:rsidRDefault="00000000">
      <w:pPr>
        <w:spacing w:after="140"/>
      </w:pPr>
      <w:r>
        <w:t xml:space="preserve">Heimweh folgt auch in Neuseeland einem einigermaßen vorhersehbaren Muster: Einer Anfangseuphorie folgt meist zwischen dem dritten und sechsten Monat eine Talsohle aus Erschöpfung und </w:t>
      </w:r>
      <w:r>
        <w:lastRenderedPageBreak/>
        <w:t>Zweifeln, bevor sich der Alltag ab etwa einem halben bis einem Jahr normalisiert. Verschärft wird diese Phase durch die verkehrte Jahreszeit: Weihnachten fällt auf der Südhalbkugel mitten in den Hochsommer, mit Strand und Grillfleisch statt Schnee und Glühwein. Für die einen ein hübsches Kuriosum, für andere – gerade im ersten Jahr. Ein zusätzlicher Stich, wenn Fotos vom verschneiten Weihnachtsmarkt zu Hause auf dem Handy aufploppen, während man selbst in kurzen Hosen am Grill steht.</w:t>
      </w:r>
    </w:p>
    <w:p w14:paraId="2AC931A1" w14:textId="77777777" w:rsidR="001F7233" w:rsidRDefault="001F7233">
      <w:pPr>
        <w:spacing w:line="220" w:lineRule="exact"/>
      </w:pPr>
    </w:p>
    <w:p w14:paraId="0381C7EE" w14:textId="77777777" w:rsidR="001F7233" w:rsidRDefault="00000000">
      <w:pPr>
        <w:spacing w:after="140"/>
      </w:pPr>
      <w:r>
        <w:t>Wer allein und ohne festen Arbeitgeber im Rücken kommt, erlebt eine andere Form der Isolation als Familien: kein Kollegium, kein Schulnetzwerk, oft ein wechselnder Kreis aus anderen internationalen Neuankömmlingen. Familien mit Kindern finden über Schule und Sportverein meist schneller Struktur, tragen aber die Verantwortung für den emotionalen Zustand aller Mitreisenden gemeinsam.</w:t>
      </w:r>
    </w:p>
    <w:p w14:paraId="24DFB228" w14:textId="77777777" w:rsidR="001F7233" w:rsidRDefault="00000000">
      <w:r>
        <w:rPr>
          <w:b/>
        </w:rPr>
        <w:t xml:space="preserve">ACHTUNG: </w:t>
      </w:r>
    </w:p>
    <w:p w14:paraId="34C260F4" w14:textId="77777777" w:rsidR="001F7233" w:rsidRDefault="00000000">
      <w:r>
        <w:t>• Bei anhaltender Erschöpfung, Schlafproblemen oder dem Gefühl, nicht mehr allein zurechtzukommen, ist professionelle Hilfe kein Zeichen des Scheiterns. 1737 (Anruf oder SMS, kostenlos, rund um die Uhr, mit geschulten Beraterinnen und Beratern) und Lifeline Aotearoa sind niedrigschwellig erreichbar, auf Englisch. Für ein Gespräch auf Deutsch hilft die Nachfrage in den oben genannten Facebook- und Meetup-Gruppen. Bei akuter Gefahr wählst du 111, den neuseeländischen Notruf.</w:t>
      </w:r>
    </w:p>
    <w:p w14:paraId="200E41DD" w14:textId="77777777" w:rsidR="001F7233" w:rsidRDefault="001F7233">
      <w:pPr>
        <w:spacing w:line="220" w:lineRule="exact"/>
      </w:pPr>
    </w:p>
    <w:p w14:paraId="5E0191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Freunde finden und der Kulturschock der Distanz</w:t>
      </w:r>
    </w:p>
    <w:p w14:paraId="7D2D4505" w14:textId="77777777" w:rsidR="001F7233" w:rsidRDefault="00000000">
      <w:r>
        <w:rPr>
          <w:b/>
        </w:rPr>
        <w:t>Plus: Sportvereine, Plunket-Gruppen und Nachbarschaftswache sind offene, niedrigschwellige Türen</w:t>
      </w:r>
    </w:p>
    <w:p w14:paraId="4CBDC0AF" w14:textId="77777777" w:rsidR="001F7233" w:rsidRDefault="00000000">
      <w:r>
        <w:rPr>
          <w:b/>
        </w:rPr>
        <w:t xml:space="preserve">Minus: </w:t>
      </w:r>
      <w:r>
        <w:t>Schneller Kontakt heißt nicht automatisch tiefe Freundschaft</w:t>
      </w:r>
    </w:p>
    <w:p w14:paraId="2695DAC2" w14:textId="77777777" w:rsidR="001F7233" w:rsidRDefault="00000000">
      <w:r>
        <w:rPr>
          <w:b/>
        </w:rPr>
        <w:t>Plus: Dünne deutsche Infrastruktur beschleunigt die eigene Sprach- und Alltagsintegration</w:t>
      </w:r>
    </w:p>
    <w:p w14:paraId="5DF60E81" w14:textId="77777777" w:rsidR="001F7233" w:rsidRDefault="00000000">
      <w:r>
        <w:rPr>
          <w:b/>
        </w:rPr>
        <w:t xml:space="preserve">Minus: </w:t>
      </w:r>
      <w:r>
        <w:t>Wenig Rückhalt aus einer organisierten deutschen Community, besonders außerhalb Wellingtons</w:t>
      </w:r>
    </w:p>
    <w:p w14:paraId="43975663" w14:textId="77777777" w:rsidR="001F7233" w:rsidRDefault="00000000">
      <w:r>
        <w:rPr>
          <w:b/>
        </w:rPr>
        <w:t>Plus: Entspannte, informelle Umgangsformen erleichtern erste Kontakte</w:t>
      </w:r>
    </w:p>
    <w:p w14:paraId="1FD9E08B" w14:textId="77777777" w:rsidR="001F7233" w:rsidRDefault="00000000">
      <w:r>
        <w:rPr>
          <w:b/>
        </w:rPr>
        <w:t xml:space="preserve">Minus: </w:t>
      </w:r>
      <w:r>
        <w:t>Indirekte Kommunikation macht Ablehnung oder echte Not schwer erkennbar</w:t>
      </w:r>
    </w:p>
    <w:p w14:paraId="04880067" w14:textId="77777777" w:rsidR="001F7233" w:rsidRDefault="00000000">
      <w:r>
        <w:rPr>
          <w:b/>
        </w:rPr>
        <w:t>Plus: Videotelefonie hält Kontakt trotz der Distanz aufrecht</w:t>
      </w:r>
    </w:p>
    <w:p w14:paraId="708422F7" w14:textId="77777777" w:rsidR="001F7233" w:rsidRDefault="00000000">
      <w:r>
        <w:rPr>
          <w:b/>
        </w:rPr>
        <w:t xml:space="preserve">Minus: </w:t>
      </w:r>
      <w:r>
        <w:t>Keine Direktflüge, 24 bis 27 Stunden Reisezeit, hohe Preise bei Last-Minute-Buchungen</w:t>
      </w:r>
    </w:p>
    <w:p w14:paraId="183E5CBD" w14:textId="77777777" w:rsidR="001F7233" w:rsidRDefault="00000000">
      <w:r>
        <w:rPr>
          <w:b/>
        </w:rPr>
        <w:t>Plus: Professionelle Hilfe ist rund um die Uhr kostenlos erreichbar</w:t>
      </w:r>
    </w:p>
    <w:p w14:paraId="2B786DA4" w14:textId="77777777" w:rsidR="001F7233" w:rsidRDefault="00000000">
      <w:r>
        <w:rPr>
          <w:b/>
        </w:rPr>
        <w:t xml:space="preserve">Minus: </w:t>
      </w:r>
      <w:r>
        <w:t>Größte Zeitverschiebung aller vier Zielländer erschwert spontane Nähe im Ernstfall</w:t>
      </w:r>
    </w:p>
    <w:p w14:paraId="46130225" w14:textId="77777777" w:rsidR="001F7233" w:rsidRDefault="001F7233">
      <w:pPr>
        <w:spacing w:line="180" w:lineRule="exact"/>
      </w:pPr>
    </w:p>
    <w:p w14:paraId="62462F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9A9021E" w14:textId="77777777" w:rsidR="001F7233" w:rsidRDefault="00000000">
      <w:pPr>
        <w:spacing w:after="140"/>
      </w:pPr>
      <w:r>
        <w:t>Wähle vor dem Umzug einen Sportverein, eine Plunket-Gruppe oder ein Ehrenamt in deiner Zielstadt aus, tritt den passenden Online-Gruppen bei und plane feste Rituale mit der Familie zu Hause trotz Zeitverschiebung ein. Bereite dich darauf vor, dass Heimatbesuche in Neuseeland geplant statt spontan sind und kläre die wichtigsten Notfallfragen, bevor du sie brauchst.</w:t>
      </w:r>
    </w:p>
    <w:p w14:paraId="23C31822" w14:textId="77777777" w:rsidR="001F7233" w:rsidRDefault="00000000">
      <w:r>
        <w:lastRenderedPageBreak/>
        <w:t>• Vor dem Umzug einen Sportclub, eine Plunket-Gruppe oder ein Ehrenamt (Feuerwehr, Neighbourhood Support) der Zielstadt recherchiert.</w:t>
      </w:r>
    </w:p>
    <w:p w14:paraId="0E81A506" w14:textId="77777777" w:rsidR="001F7233" w:rsidRDefault="00000000">
      <w:r>
        <w:t>• Facebook- und Meetup-Gruppen „Germans in [Stadt]“ gesucht und beigetreten</w:t>
      </w:r>
    </w:p>
    <w:p w14:paraId="1EA49466" w14:textId="77777777" w:rsidR="001F7233" w:rsidRDefault="00000000">
      <w:r>
        <w:t>• Zuständigkeiten von Botschaft Wellington, Honorarkonsul und Goethe-Institut notiert</w:t>
      </w:r>
    </w:p>
    <w:p w14:paraId="2ADDCFE4" w14:textId="77777777" w:rsidR="001F7233" w:rsidRDefault="00000000">
      <w:r>
        <w:t>• Festen Wochentermin für Kontakt nach Deutschland trotz Zeitverschiebung vereinbart</w:t>
      </w:r>
    </w:p>
    <w:p w14:paraId="1A7D3892" w14:textId="77777777" w:rsidR="001F7233" w:rsidRDefault="00000000">
      <w:r>
        <w:t>• Heimatbesuch zu Weihnachten oder größeren Feiertagen früh gebucht, nicht im akuten Tief</w:t>
      </w:r>
    </w:p>
    <w:p w14:paraId="50EFEB3E" w14:textId="77777777" w:rsidR="001F7233" w:rsidRDefault="00000000">
      <w:r>
        <w:t>• Vorsorgevollmacht für eine Person in Deutschland geklärt, bevor ein Notfall eintritt</w:t>
      </w:r>
    </w:p>
    <w:p w14:paraId="1F2077D3" w14:textId="77777777" w:rsidR="001F7233" w:rsidRDefault="00000000">
      <w:r>
        <w:t>• 1737 und den Notruf 111 gespeichert</w:t>
      </w:r>
    </w:p>
    <w:p w14:paraId="3BA1AC60" w14:textId="77777777" w:rsidR="001F7233" w:rsidRDefault="00000000">
      <w:r>
        <w:t>• Ein eigenes Weihnachtsritual für die Südhalbkugel überlegt, statt das erste Fest zu improvisieren</w:t>
      </w:r>
    </w:p>
    <w:p w14:paraId="445EA6BB" w14:textId="77777777" w:rsidR="001F7233" w:rsidRDefault="001F7233">
      <w:pPr>
        <w:spacing w:line="220" w:lineRule="exact"/>
      </w:pPr>
    </w:p>
    <w:p w14:paraId="7E2F35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41869CC" w14:textId="77777777" w:rsidR="001F7233" w:rsidRDefault="00000000">
      <w:pPr>
        <w:pStyle w:val="ListParagraph"/>
        <w:numPr>
          <w:ilvl w:val="0"/>
          <w:numId w:val="1"/>
        </w:numPr>
        <w:spacing w:after="60"/>
      </w:pPr>
      <w:r>
        <w:t>Deutsche Botschaft Wellington — Zuständigkeiten, Kontakt, Honorarkonsuln (</w:t>
      </w:r>
      <w:hyperlink r:id="rId1078">
        <w:r w:rsidR="001F7233">
          <w:rPr>
            <w:color w:val="0563C1"/>
            <w:u w:val="single"/>
          </w:rPr>
          <w:t>wellington.diplo.de</w:t>
        </w:r>
      </w:hyperlink>
      <w:r>
        <w:t>)</w:t>
      </w:r>
    </w:p>
    <w:p w14:paraId="679F9E95" w14:textId="77777777" w:rsidR="001F7233" w:rsidRDefault="00000000">
      <w:pPr>
        <w:pStyle w:val="ListParagraph"/>
        <w:numPr>
          <w:ilvl w:val="0"/>
          <w:numId w:val="1"/>
        </w:numPr>
        <w:spacing w:after="60"/>
      </w:pPr>
      <w:r>
        <w:t>Goethe-Institut Neuseeland — Standort Wellington, Sprachkurse (</w:t>
      </w:r>
      <w:hyperlink r:id="rId1079">
        <w:r w:rsidR="001F7233">
          <w:rPr>
            <w:color w:val="0563C1"/>
            <w:u w:val="single"/>
          </w:rPr>
          <w:t>goethe.de/ins/nz</w:t>
        </w:r>
      </w:hyperlink>
      <w:r>
        <w:t>)</w:t>
      </w:r>
    </w:p>
    <w:p w14:paraId="7193B47C" w14:textId="77777777" w:rsidR="001F7233" w:rsidRDefault="00000000">
      <w:pPr>
        <w:pStyle w:val="ListParagraph"/>
        <w:numPr>
          <w:ilvl w:val="0"/>
          <w:numId w:val="1"/>
        </w:numPr>
        <w:spacing w:after="60"/>
      </w:pPr>
      <w:r>
        <w:t>1737 Need to Talk — kostenlose Beratung rund um die Uhr (</w:t>
      </w:r>
      <w:hyperlink r:id="rId1080">
        <w:r w:rsidR="001F7233">
          <w:rPr>
            <w:color w:val="0563C1"/>
            <w:u w:val="single"/>
          </w:rPr>
          <w:t>1737.org.nz</w:t>
        </w:r>
      </w:hyperlink>
      <w:r>
        <w:t>)</w:t>
      </w:r>
    </w:p>
    <w:p w14:paraId="4A7FEAA3" w14:textId="77777777" w:rsidR="001F7233" w:rsidRDefault="00000000">
      <w:pPr>
        <w:pStyle w:val="ListParagraph"/>
        <w:numPr>
          <w:ilvl w:val="0"/>
          <w:numId w:val="1"/>
        </w:numPr>
        <w:spacing w:after="60"/>
      </w:pPr>
      <w:r>
        <w:t>Lifeline Aotearoa — Krisenhilfe (</w:t>
      </w:r>
      <w:hyperlink r:id="rId1081">
        <w:r w:rsidR="001F7233">
          <w:rPr>
            <w:color w:val="0563C1"/>
            <w:u w:val="single"/>
          </w:rPr>
          <w:t>lifeline.org.nz</w:t>
        </w:r>
      </w:hyperlink>
      <w:r>
        <w:t>)</w:t>
      </w:r>
    </w:p>
    <w:p w14:paraId="28595724" w14:textId="77777777" w:rsidR="001F7233" w:rsidRDefault="00000000">
      <w:pPr>
        <w:pStyle w:val="ListParagraph"/>
        <w:numPr>
          <w:ilvl w:val="0"/>
          <w:numId w:val="1"/>
        </w:numPr>
        <w:spacing w:after="60"/>
      </w:pPr>
      <w:r>
        <w:t>Plunket — Krabbelgruppen und Familienangebote (</w:t>
      </w:r>
      <w:hyperlink r:id="rId1082">
        <w:r w:rsidR="001F7233">
          <w:rPr>
            <w:color w:val="0563C1"/>
            <w:u w:val="single"/>
          </w:rPr>
          <w:t>plunket.org.nz</w:t>
        </w:r>
      </w:hyperlink>
      <w:r>
        <w:t>)</w:t>
      </w:r>
    </w:p>
    <w:p w14:paraId="0670D773" w14:textId="77777777" w:rsidR="001F7233" w:rsidRDefault="00000000">
      <w:pPr>
        <w:pStyle w:val="ListParagraph"/>
        <w:numPr>
          <w:ilvl w:val="0"/>
          <w:numId w:val="1"/>
        </w:numPr>
        <w:spacing w:after="60"/>
      </w:pPr>
      <w:r>
        <w:t>Fire and Emergency New Zealand — freiwillige Mitarbeit (</w:t>
      </w:r>
      <w:hyperlink r:id="rId1083">
        <w:r w:rsidR="001F7233">
          <w:rPr>
            <w:color w:val="0563C1"/>
            <w:u w:val="single"/>
          </w:rPr>
          <w:t>fireandemergency.nz</w:t>
        </w:r>
      </w:hyperlink>
      <w:r>
        <w:t>)</w:t>
      </w:r>
    </w:p>
    <w:p w14:paraId="32060250" w14:textId="77777777" w:rsidR="001F7233" w:rsidRDefault="001F7233">
      <w:pPr>
        <w:spacing w:line="120" w:lineRule="exact"/>
      </w:pPr>
    </w:p>
    <w:p w14:paraId="2B937EFF" w14:textId="77777777" w:rsidR="001F7233" w:rsidRDefault="00000000">
      <w:r>
        <w:t xml:space="preserve">• Quellen- und Datenstand: September 2026; Redaktionsschluss: Oktober 2026. Diese Angaben ändern sich: Zuständigkeiten von </w:t>
      </w:r>
      <w:r>
        <w:lastRenderedPageBreak/>
        <w:t>Konsulat und Goethe-Institut, Flugverbindungen und -preise sowie Kontaktdaten von Hilfsangeboten. Prüfe vor jeder Entscheidung die aktuellen Angaben der genannten Stellen.</w:t>
      </w:r>
    </w:p>
    <w:p w14:paraId="547BBE7F" w14:textId="77777777" w:rsidR="001F7233" w:rsidRDefault="001F7233">
      <w:pPr>
        <w:spacing w:line="220" w:lineRule="exact"/>
      </w:pPr>
    </w:p>
    <w:p w14:paraId="2A480161" w14:textId="77777777" w:rsidR="001F7233" w:rsidRDefault="00000000">
      <w:pPr>
        <w:pStyle w:val="Heading3"/>
      </w:pPr>
      <w:r>
        <w:t>Obdachlosigkeit, Ansprechen auf der Straße und Haustürbesuche</w:t>
      </w:r>
    </w:p>
    <w:p w14:paraId="2769A7A7" w14:textId="77777777" w:rsidR="001F7233" w:rsidRDefault="00000000">
      <w:r>
        <w:t xml:space="preserve">In größeren neuseeländischen Orten siehst du vielleicht Menschen, die im Freien schlafen oder Passanten um Geld bitten. Jobverlust, Wohnkosten, Krankheit, Behinderung, familiäre Krisen oder Gewalt können zusammen zum Verlust der Wohnung führen; Wohnungslosigkeit ist kein Hinweis auf Kriminalität. „Hobo“ ist veraltet; respektvoller sind „wohnungslose Menschen“ oder „Menschen ohne sicheren Wohnraum“. Wenn du helfen möchtest, nutze die Informationen des örtlichen Councils, der Wohnungsnot- und Outreach-Dienste oder einer Gemeindeorganisation. Anspruch auf Notunterkunft kann vom Aufenthaltsstatus abhängen. Achte auf deine Umgebung und rufe den Notruf bei unmittelbarer Gefahr oder einem medizinischen Notfall. An der Haustür können Religionsgemeinschaften, Wohltätigkeitsorganisationen, Vereine, Schulen mit Spendenaktionen oder Verkäufer werben. Du kannst ablehnen, eine Organisation selbst überprüfen und die Regeln des Gebäudes oder Councils beachten; für alle Arten der Ansprache gilt nicht dieselbe landesweite Regel. Mitwirkung in einer Eigentümergemeinschaft, Schule oder Glaubensgemeinschaft, öffentliche Anhörungen und Wahlrecht sind verschiedene Dinge. </w:t>
      </w:r>
    </w:p>
    <w:p w14:paraId="1B517B1A" w14:textId="77777777" w:rsidR="001F7233" w:rsidRDefault="00000000">
      <w:r>
        <w:t>Quelle: </w:t>
      </w:r>
      <w:hyperlink r:id="rId1084">
        <w:r w:rsidR="001F7233">
          <w:rPr>
            <w:color w:val="0563C1"/>
            <w:u w:val="single"/>
          </w:rPr>
          <w:t>Ministry of Social Development: Emergency housing information</w:t>
        </w:r>
      </w:hyperlink>
    </w:p>
    <w:p w14:paraId="1FEC4839" w14:textId="77777777" w:rsidR="001F7233" w:rsidRDefault="00000000">
      <w:r>
        <w:t>Quelle: </w:t>
      </w:r>
      <w:hyperlink r:id="rId1085">
        <w:r w:rsidR="001F7233">
          <w:rPr>
            <w:color w:val="0563C1"/>
            <w:u w:val="single"/>
          </w:rPr>
          <w:t>MSD: Housing support services</w:t>
        </w:r>
      </w:hyperlink>
      <w:r>
        <w:br w:type="page"/>
      </w:r>
    </w:p>
    <w:p w14:paraId="469B79E4" w14:textId="77777777" w:rsidR="001F7233" w:rsidRDefault="00000000">
      <w:pPr>
        <w:pStyle w:val="Heading2"/>
        <w:keepNext/>
        <w:spacing w:line="341" w:lineRule="auto"/>
        <w:jc w:val="center"/>
      </w:pPr>
      <w:bookmarkStart w:id="143" w:name="tnz13"/>
      <w:r>
        <w:rPr>
          <w:rFonts w:ascii="Amazon Ember" w:eastAsia="Amazon Ember" w:hAnsi="Amazon Ember" w:cs="Amazon Ember"/>
          <w:color w:val="0000FF"/>
          <w:sz w:val="36"/>
          <w:szCs w:val="36"/>
        </w:rPr>
        <w:lastRenderedPageBreak/>
        <w:t>Neuseeland: Kinder, Schule und Spracheingewöhnung</w:t>
      </w:r>
      <w:bookmarkEnd w:id="143"/>
    </w:p>
    <w:p w14:paraId="559FE8BB" w14: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w14:paraId="72B04405" w14:textId="77777777" w:rsidR="001F7233" w:rsidRDefault="00000000">
      <w:r>
        <w:rPr>
          <w:b/>
        </w:rPr>
        <w:t xml:space="preserve">KURZ GESAGT: </w:t>
      </w:r>
    </w:p>
    <w:p w14:paraId="6F2E57D8" w14:textId="77777777" w:rsidR="001F7233" w:rsidRDefault="00000000">
      <w:r>
        <w:t>• Neuseelands Schuljahr läuft von Ende Januar/Anfang Februar bis Mitte Dezember, in vier Terms (Schulblöcken) mit kurzen Ferien dazwischen. Ein zentraler Unterschied zum deutschen Rhythmus, den du bei der Umzugsplanung nutzen solltest.</w:t>
      </w:r>
    </w:p>
    <w:p w14:paraId="5FECE630" w14:textId="77777777" w:rsidR="001F7233" w:rsidRDefault="00000000">
      <w:r>
        <w:t>• Primary School dauert meist Year 1 bis Year 8 (teils mit eigener Intermediate School für Year 7/8), Secondary School Year 9 bis Year 13. Anders als in Deutschland zählen alle Jahrgänge bundesweit einheitlich durch.</w:t>
      </w:r>
    </w:p>
    <w:p w14:paraId="1E47AEDC" w14:textId="77777777" w:rsidR="001F7233" w:rsidRDefault="00000000">
      <w:r>
        <w:t>• Rund vier von fünf Kindern besuchen staatliche Schulen. Gebührenfrei ist der Unterricht für domestic students; Kinder befristet Zugewanderter gelten nicht automatisch als solche. State-integrated und private Schulen können auch Gebühren erheben.</w:t>
      </w:r>
    </w:p>
    <w:p w14:paraId="3F0BE538" w14:textId="77777777" w:rsidR="001F7233" w:rsidRDefault="00000000">
      <w:r>
        <w:t>• Kinder dürfen ab dem fünften Geburtstag eingeschult werden, müssen es aber erst mit sechs Jahren. Schulzonen nach Wohnadresse entscheiden vielerorts über den Platz an der Wunschschule.</w:t>
      </w:r>
    </w:p>
    <w:p w14:paraId="46657121" w14:textId="77777777" w:rsidR="001F7233" w:rsidRDefault="00000000">
      <w:r>
        <w:t>• Sprachförderung heißt ESOL und wird über Jahre hinweg gestaffelt vom Ministerium mitfinanziert. Kinder gewöhnen sich meist deutlich schneller ein als ihre Eltern.</w:t>
      </w:r>
    </w:p>
    <w:p w14:paraId="3CB1EC62" w14:textId="77777777" w:rsidR="001F7233" w:rsidRDefault="00000000">
      <w:r>
        <w:t>• Deutschsprachige Angebote sind örtlich unterschiedlich. Prüfe Schulen, Spielgruppen und Kurse aktuell im Zielort. Ein nicht gefundenes Angebot beweist nicht, dass keines besteht.</w:t>
      </w:r>
    </w:p>
    <w:p w14:paraId="10C64CF0" w14:textId="77777777" w:rsidR="001F7233" w:rsidRDefault="001F7233">
      <w:pPr>
        <w:spacing w:line="220" w:lineRule="exact"/>
      </w:pPr>
    </w:p>
    <w:p w14:paraId="228244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von der Kita bis zur Universitätsreife</w:t>
      </w:r>
    </w:p>
    <w:p w14:paraId="7A95DCA9" w14:textId="77777777" w:rsidR="001F7233" w:rsidRDefault="00000000">
      <w:pPr>
        <w:spacing w:after="140"/>
      </w:pPr>
      <w:r>
        <w:rPr>
          <w:i/>
          <w:iCs/>
        </w:rPr>
        <w:t>Vor der Schulpflicht gibt es in Neuseeland kein flächendeckendes, kostenloses Kita-Netz wie in Deutschland. Frühkindliche Bildung (Early Childhood Education, ECE) läuft überwiegend über private oder gemeinnützige Einrichtungen. Von klassischen Kindergartens über Playcentres (Eltern-Kind-Initiativen mit hohem Elternengagement) bis zu ganztägigen Daycare-Zentren. Der Staat bezuschusst einen Teil der Betreuungsstunden für Drei- bis Fünfjährige über ein Programm, dessen genaue Fördersätze sich regelmäßig ändern. Verlässlich ist vor allem, dass beliebte Zentren in Auckland und Wellington oft Wartelisten von mehreren Monaten haben. Sodass sich eine frühzeitige Anmeldung lohnt, auch wenn der Umzugstermin noch nicht feststeht.</w:t>
      </w:r>
    </w:p>
    <w:p w14:paraId="623F3315" w14:textId="77777777" w:rsidR="001F7233" w:rsidRDefault="00000000">
      <w:pPr>
        <w:spacing w:after="140"/>
      </w:pPr>
      <w:r>
        <w:rPr>
          <w:i/>
          <w:iCs/>
        </w:rPr>
        <w:t>Neuseelands Schulzeit folgt einem landesweit einheitlichen Zählsystem, anders als das föderal organisierte deutsche System. Year 1 bis Year 8 bilden die Primarstufe. An vielen Orten ist sie als durchgehende Full Primary School organisiert; andernorts wechseln Kinder für Year 7 und 8 an eine eigene Intermediate School. Year 9 bis Year 13 bilden die Sekundarstufe (Secondary School), die oft schlicht „College“ oder „High School“ heißt.</w:t>
      </w:r>
    </w:p>
    <w:p w14:paraId="2D9797DA" w14:textId="77777777" w:rsidR="001F7233" w:rsidRDefault="00000000">
      <w:pPr>
        <w:spacing w:after="140"/>
      </w:pPr>
      <w:r>
        <w:rPr>
          <w:i/>
          <w:iCs/>
        </w:rPr>
        <w:t xml:space="preserve">Dieser Abschluss heißt NCEA (National Certificate of Educational Achievement) und wird in drei aufeinander aufbauenden Stufen erworben, die ungefähr Year 11 bis Year 13 entsprechen. Ein System, das über Einzelfächer und Kredit-Punkte funktioniert und deshalb flexibler, aber auch unübersichtlicher ist als das deutsche Abitur. Wichtig für die Planung: Die neuseeländische Regierung hat im März 2026 angekündigt, NCEA zwischen 2028 und 2030 schrittweise durch ein neues Qualifikationssystem zu ersetzen. Wer heute mit älteren Kindern einwandert, sollte diese Übergangsphase im Blick behalten </w:t>
      </w:r>
      <w:r>
        <w:rPr>
          <w:i/>
          <w:iCs/>
        </w:rPr>
        <w:lastRenderedPageBreak/>
        <w:t>und sich bei der Zielschule direkt nach dem aktuellen Planungsstand erkundigen, statt sich auf ältere Informationen zu verlassen.</w:t>
      </w:r>
    </w:p>
    <w:p w14:paraId="2BA95D43" w14:textId="77777777" w:rsidR="001F7233" w:rsidRDefault="00000000">
      <w:r>
        <w:rPr>
          <w:b/>
        </w:rPr>
        <w:t xml:space="preserve">MERKE: </w:t>
      </w:r>
    </w:p>
    <w:p w14:paraId="1B6BAFBB" w14:textId="77777777" w:rsidR="001F7233" w:rsidRDefault="00000000">
      <w:r>
        <w:t>• Vergiss die Suche nach „der deutschen Klassenstufe“ als Vergleichsgröße. Neuseeland zählt bundesweit einheitlich in Years, aber die Einstufung deines Kindes hängt am Ende vor allem vom Geburtsdatum und einem kurzen Einstufungsgespräch der Zielschule ab, nicht von einer mechanischen Umrechnung.</w:t>
      </w:r>
    </w:p>
    <w:p w14:paraId="0D414AFD" w14:textId="77777777" w:rsidR="001F7233" w:rsidRDefault="001F7233">
      <w:pPr>
        <w:spacing w:line="220" w:lineRule="exact"/>
      </w:pPr>
    </w:p>
    <w:p w14:paraId="1CE68C47" w14:textId="77777777" w:rsidR="001F7233" w:rsidRDefault="00000000">
      <w:pPr>
        <w:spacing w:after="140"/>
      </w:pPr>
      <w:r>
        <w:t>Ein Detail überrascht viele deutsche Familien: Schuluniformen sind an staatlichen wie privaten Schulen praktisch überall üblich, von einem einfachen Polohemd mit Schullogo in der Primarstufe bis zu vollständigeren Sets in der Sekundarstufe. Die Erstausstattung kostet, je nach Schule, durchaus einen dreistelligen NZD-Betrag. Gebraucht über den schuleigenen Second-Hand-Verkauf ist sie meist deutlich günstiger zu bekommen. Der Schultag selbst beginnt meist zwischen 8:45 und 9 Uhr und endet gegen 15 Uhr. Ähnlich wie in Teilen Deutschlands, allerdings ohne das dichte Nachmittagsangebot deutscher Ganztagsschulen. Betreuung außer dieser Zeiten organisieren viele Schulen über angegliederte, kostenpflichtige „Out of School Care“-Programme.</w:t>
      </w:r>
    </w:p>
    <w:p w14:paraId="53A03464" w14:textId="77777777" w:rsidR="001F7233" w:rsidRDefault="00000000">
      <w:pPr>
        <w:spacing w:after="140"/>
      </w:pPr>
      <w:r>
        <w:rPr>
          <w:i/>
          <w:iCs/>
        </w:rPr>
        <w:t>Ein weiteres, sehr neuseeländisches Element des Schulalltags ist Kapa Haka: schulische Gruppen, die traditionelle Māori-Gesänge, Tänze und den bekannten Haka einüben und bei Schulversammlungen, Sportturnieren oder besonderen Anlässen auftreten. Teilnahme steht in aller Regel allen Kindern offen, unabhängig von Herkunft und ist für viele zugezogene Kinder ein überraschend wirksamer Weg, schnell Teil der Schulgemeinschaft zu werden. Körperlicher Ausdruck und Rhythmus überbrücken hier die Sprachlücke oft schneller als jedes Gespräch auf dem Pausenhof.</w:t>
      </w:r>
    </w:p>
    <w:p w14:paraId="4406CD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Staatlich, state-integriert oder privat: drei Schulwelten</w:t>
      </w:r>
    </w:p>
    <w:p w14:paraId="5411F369" w14:textId="77777777" w:rsidR="001F7233" w:rsidRDefault="00000000">
      <w:pPr>
        <w:spacing w:after="140"/>
      </w:pPr>
      <w:r>
        <w:rPr>
          <w:i/>
          <w:iCs/>
        </w:rPr>
        <w:t>Wie in Australien existieren in Neuseeland drei Schulsektoren nebeneinander, wenn auch mit anderer Verteilung. Die große Mehrheit der Kinder besucht staatliche State Schools: gebührenfrei für domestic students. Manche abhängigen Kinder von Arbeitsvisuminhabern erhalten diesen Status, aber nicht automatisch alle. Bei AEWV hängen die Möglichkeiten unter anderem von Tätigkeit, Einkommen und Übergangsregeln ab; andere Kinder können internationale Schulgebühren zahlen. Kläre Visum und Gebührenstatus mit INZ und Bildungsministerium, bevor du kalkulierst. Die Aufnahme richtet sich vielerorts nach der Wohnadresse. Dem deutschen Prinzip „Schulbezirk bestimmt Schule“ nicht unähnlich. Daneben stehen State-integrated Schools: ehemals private, meist konfessionell geprägte Schulen, die unter einem eigenen Gesetz in das staatliche System integriert wurden. Der Unterricht selbst ist staatlich finanziert, doch die Schulen erheben weiterhin sogenannte Attendance Dues (Schulbesuchsgebühren) für den Erhalt von Gebäuden und Grundstück, die im Unterschied zur „freiwilligen“ Spende staatlicher Schulen tatsächlich verpflichtend sind. Ganz unabhängig bleiben die Independent Schools (Privatschulen), deren Schulgeld von einigen Tausend bis über 20.000 NZD im Jahr reicht, an einzelnen renommierten Internaten auch deutlich darüber.</w:t>
      </w:r>
    </w:p>
    <w:p w14:paraId="4FB3D6FD" w14:textId="77777777" w:rsidR="001F7233" w:rsidRDefault="00000000">
      <w:r>
        <w:rPr>
          <w:b/>
        </w:rPr>
        <w:t>State School (staatlich)</w:t>
      </w:r>
    </w:p>
    <w:p w14:paraId="414B8B91" w14:textId="77777777" w:rsidR="001F7233" w:rsidRDefault="00000000">
      <w:r>
        <w:rPr>
          <w:b/>
        </w:rPr>
        <w:t xml:space="preserve">Kosten: </w:t>
      </w:r>
      <w:r>
        <w:t>gebührenfrei, freiwillige Spende üblich</w:t>
      </w:r>
    </w:p>
    <w:p w14:paraId="0A36037C" w14:textId="77777777" w:rsidR="001F7233" w:rsidRDefault="00000000">
      <w:r>
        <w:rPr>
          <w:b/>
        </w:rPr>
        <w:t xml:space="preserve">Besonderheit: </w:t>
      </w:r>
      <w:r>
        <w:t>Aufnahme meist nach Wohnzone</w:t>
      </w:r>
    </w:p>
    <w:p w14:paraId="55305C4D" w14:textId="77777777" w:rsidR="001F7233" w:rsidRDefault="00000000">
      <w:r>
        <w:rPr>
          <w:b/>
        </w:rPr>
        <w:t>State-integrated School</w:t>
      </w:r>
    </w:p>
    <w:p w14:paraId="3B51CEEA" w14:textId="77777777" w:rsidR="001F7233" w:rsidRDefault="00000000">
      <w:r>
        <w:rPr>
          <w:b/>
        </w:rPr>
        <w:t xml:space="preserve">Kosten: </w:t>
      </w:r>
      <w:r>
        <w:t>verpflichtende Attendance Dues (meist niedrig- bis mittlerer dreistelliger NZD-Betrag/Jahr)</w:t>
      </w:r>
    </w:p>
    <w:p w14:paraId="4C7BB1C9" w14:textId="77777777" w:rsidR="001F7233" w:rsidRDefault="00000000">
      <w:r>
        <w:rPr>
          <w:b/>
        </w:rPr>
        <w:t xml:space="preserve">Besonderheit: </w:t>
      </w:r>
      <w:r>
        <w:t>oft eigenes religiöses oder pädagogisches Profil</w:t>
      </w:r>
    </w:p>
    <w:p w14:paraId="40605080" w14:textId="77777777" w:rsidR="001F7233" w:rsidRDefault="00000000">
      <w:r>
        <w:rPr>
          <w:b/>
        </w:rPr>
        <w:t>Independent School (privat)</w:t>
      </w:r>
    </w:p>
    <w:p w14:paraId="49FD083B" w14:textId="77777777" w:rsidR="001F7233" w:rsidRDefault="00000000">
      <w:r>
        <w:rPr>
          <w:b/>
        </w:rPr>
        <w:t xml:space="preserve">Kosten: </w:t>
      </w:r>
      <w:r>
        <w:t>mehrere Tausend bis über 20.000 NZD/Jahr</w:t>
      </w:r>
    </w:p>
    <w:p w14:paraId="0B318F16" w14:textId="77777777" w:rsidR="001F7233" w:rsidRDefault="00000000">
      <w:r>
        <w:rPr>
          <w:b/>
        </w:rPr>
        <w:lastRenderedPageBreak/>
        <w:t xml:space="preserve">Besonderheit: </w:t>
      </w:r>
      <w:r>
        <w:t>volle Unabhängigkeit vom staatlichen System</w:t>
      </w:r>
    </w:p>
    <w:p w14:paraId="074AF5B2" w14:textId="77777777" w:rsidR="001F7233" w:rsidRDefault="001F7233">
      <w:pPr>
        <w:spacing w:line="180" w:lineRule="exact"/>
      </w:pPr>
    </w:p>
    <w:p w14:paraId="61C051B4" w14:textId="77777777" w:rsidR="001F7233" w:rsidRDefault="00000000">
      <w:pPr>
        <w:spacing w:after="140"/>
      </w:pPr>
      <w:r>
        <w:rPr>
          <w:i/>
          <w:iCs/>
        </w:rPr>
        <w:t>Für domestic students ist der Unterricht an staatlichen Schulen gebührenfrei. Ob ein Kind mit befristetem Visum diesen Status erhält, muss vorab geklärt werden. Auch bei gebührenfreiem Unterricht doch die meisten Schulen bitten Eltern jährlich um eine freiwillige Spende (School Donation) für Materialien, Exkursionen und Ausstattung. Rechtlich freiwillig, sozial aber meist erwartet, ähnlich der „Voluntary Contribution“ australischer Schulen. Hinzu kommen Kosten für Schuluniform, Stationery-Pakete (Schreibwaren-Sets, die viele Schulen vorab zusammenstellen und in Rechnung stellen) und gelegentliche Exkursionsbeiträge.</w:t>
      </w:r>
    </w:p>
    <w:p w14:paraId="2A0B4E65" w14:textId="77777777" w:rsidR="001F7233" w:rsidRDefault="00000000">
      <w:r>
        <w:rPr>
          <w:b/>
        </w:rPr>
        <w:t xml:space="preserve">SPARTIPP: </w:t>
      </w:r>
    </w:p>
    <w:p w14:paraId="0ECB30AB" w14:textId="77777777" w:rsidR="001F7233" w:rsidRDefault="00000000">
      <w:r>
        <w:t>• Bevor du eine kostenpflichtige State-integrated- oder Independent School ins Auge fasst, prüfe zuerst das staatliche Angebot deiner Zielzone. Der Ruf einer Schule hängt in Neuseeland stark vom Einzugsgebiet und Engagement der Elternschaft ab, nicht zwingend vom Etikett „privat“. Ein Besuchstermin vor Ort sagt oft mehr als jede Rangliste.</w:t>
      </w:r>
    </w:p>
    <w:p w14:paraId="2416B789" w14:textId="77777777" w:rsidR="001F7233" w:rsidRDefault="001F7233">
      <w:pPr>
        <w:spacing w:line="220" w:lineRule="exact"/>
      </w:pPr>
    </w:p>
    <w:p w14:paraId="168BCB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Zonierung und Anmeldung: wer wo hin darf</w:t>
      </w:r>
    </w:p>
    <w:p w14:paraId="0BFA7C9C" w14:textId="77777777" w:rsidR="001F7233" w:rsidRDefault="00000000">
      <w:pPr>
        <w:spacing w:after="140"/>
      </w:pPr>
      <w:r>
        <w:t xml:space="preserve">Viele beliebte neuseeländische Schulen arbeiten mit einer </w:t>
      </w:r>
      <w:r>
        <w:rPr>
          <w:i/>
          <w:iCs/>
        </w:rPr>
        <w:t>Enrolment Zone</w:t>
      </w:r>
      <w:r>
        <w:t xml:space="preserve"> (Schulzone): Wer innerhalb der festgelegten Adressgrenzen wohnt, hat einen garantierten Platz; wer außerhalb wohnt, landet auf einer Warteliste oder muss eine Ballotage (Losverfahren bei Übernachfrage) durchlaufen. Bevor du eine Wohnung oder ein Haus fest anmietest oder kaufst (siehe das </w:t>
      </w:r>
      <w:hyperlink w:anchor="tnz09">
        <w:r w:rsidR="001F7233">
          <w:rPr>
            <w:color w:val="0563C1"/>
            <w:u w:val="single"/>
          </w:rPr>
          <w:t>Kapitel zum Wohnen in diesem Teil</w:t>
        </w:r>
      </w:hyperlink>
      <w:r>
        <w:t>), lohnt sich deshalb ein Blick auf die exakten Zonengrenzen der gewünschten Schule – ein paar Hundert Meter können hier über den Schulplatz entscheiden.</w:t>
      </w:r>
    </w:p>
    <w:p w14:paraId="238B24F2" w14:textId="77777777" w:rsidR="001F7233" w:rsidRDefault="00000000">
      <w:pPr>
        <w:spacing w:after="140"/>
      </w:pPr>
      <w:r>
        <w:rPr>
          <w:i/>
          <w:iCs/>
        </w:rPr>
        <w:lastRenderedPageBreak/>
        <w:t>Ein zweites Detail überrascht viele deutsche Eltern: Es gibt keinen einzelnen, bundesweiten Einschulungsstichtag. Kinder dürfen ab ihrem fünften Geburtstag zur Schule angemeldet werden, müssen es aber erst mit sechs Jahren. Viele Schulen praktizieren inzwischen eine sogenannte Cohort Entry (Gruppen-Einschulung): Statt am exakten Geburtstag zu starten, beginnen neue Erstklässler an einem von mehreren festen Terminen im Jahr. Ein System, das ankommenden Familien tatsächlich entgegenkommt, weil es keinen einzigen, unumstößlichen deutschen „Einschulungstag“ gibt, um den herum ein Umzug organisiert werden müsste.</w:t>
      </w:r>
    </w:p>
    <w:p w14:paraId="2C151B34" w14:textId="77777777" w:rsidR="001F7233" w:rsidRDefault="00000000">
      <w:pPr>
        <w:spacing w:after="140"/>
      </w:pPr>
      <w:r>
        <w:t>Für die eigentliche Anmeldung an einer staatlichen Schule braucht es in aller Regel: einen Altersnachweis (Geburtsurkunde oder Reisepass), einen Wohnsitznachweis für die Zone (Mietvertrag oder eine Rechnung mit der neuen Adresse), die Visumsdaten des Kindes sowie einen Nachweis der bisherigen Impfungen. Zeugnisse der letzten Schuljahre, möglichst mit englischer Übersetzung, helfen der Schule bei der Einstufung, sind aber selten zwingend, weil ohnehin oft ein kurzes Einstufungsgespräch mit der Schulleitung stattfindet.</w:t>
      </w:r>
    </w:p>
    <w:p w14:paraId="40C151B6" w14:textId="77777777" w:rsidR="001F7233" w:rsidRDefault="001F7233">
      <w:pPr>
        <w:spacing w:line="220" w:lineRule="exact"/>
      </w:pPr>
    </w:p>
    <w:p w14:paraId="536899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w14:paraId="6ECEAF56" w14:textId="77777777" w:rsidR="001F7233" w:rsidRDefault="00000000">
      <w:pPr>
        <w:spacing w:after="140"/>
      </w:pPr>
      <w:r>
        <w:rPr>
          <w:i/>
          <w:iCs/>
        </w:rPr>
        <w:t xml:space="preserve">Für deutsche Familien ist dies wahrscheinlich die wichtigste praktische Erkenntnis dieses Kapitels: Das neuseeländische Schuljahr folgt der Südhalbkugel, nicht dem europäischen Rhythmus. Es beginnt Ende Januar oder Anfang Februar (der genaue Tag variiert leicht von Schule zu Schule) und endet Mitte Dezember. Mitten im neuseeländischen Sommer, während in Deutschland zeitgleich die Weihnachtsferien laufen. Statt zwei langer Halbjahre mit Sommer- und Winterferien gliedert sich das Jahr in vier Terms von rund zehn Wochen, unterbrochen von zwei- bis dreiwöchigen Pausen. Die längste Pause liegt zwischen Mitte Dezember und Ende Januar/Anfang Februar und </w:t>
      </w:r>
      <w:r>
        <w:rPr>
          <w:i/>
          <w:iCs/>
        </w:rPr>
        <w:lastRenderedPageBreak/>
        <w:t>übernimmt damit die Funktion der deutschen Sommerferien – nur eben eine Jahreszeit versetzt.</w:t>
      </w:r>
    </w:p>
    <w:p w14:paraId="0A295A33" w14:textId="77777777" w:rsidR="001F7233" w:rsidRDefault="00000000">
      <w:r>
        <w:rPr>
          <w:b/>
        </w:rPr>
        <w:t>Term 1</w:t>
      </w:r>
    </w:p>
    <w:p w14:paraId="6F7615FD" w14:textId="77777777" w:rsidR="001F7233" w:rsidRDefault="00000000">
      <w:r>
        <w:rPr>
          <w:b/>
        </w:rPr>
        <w:t xml:space="preserve">Ungefährer Zeitraum (2026): </w:t>
      </w:r>
      <w:r>
        <w:t>Ende Januar/Anfang Februar – Anfang April</w:t>
      </w:r>
    </w:p>
    <w:p w14:paraId="20368558" w14:textId="77777777" w:rsidR="001F7233" w:rsidRDefault="00000000">
      <w:r>
        <w:rPr>
          <w:b/>
        </w:rPr>
        <w:t xml:space="preserve">Pause danach: </w:t>
      </w:r>
      <w:r>
        <w:t>ca. 2 Wochen (meist mit Ostern)</w:t>
      </w:r>
    </w:p>
    <w:p w14:paraId="66A65350" w14:textId="77777777" w:rsidR="001F7233" w:rsidRDefault="00000000">
      <w:r>
        <w:rPr>
          <w:b/>
        </w:rPr>
        <w:t>Term 2</w:t>
      </w:r>
    </w:p>
    <w:p w14:paraId="15D715CE" w14:textId="77777777" w:rsidR="001F7233" w:rsidRDefault="00000000">
      <w:r>
        <w:rPr>
          <w:b/>
        </w:rPr>
        <w:t xml:space="preserve">Ungefährer Zeitraum (2026): </w:t>
      </w:r>
      <w:r>
        <w:t>Mitte/Ende April – Anfang Juli</w:t>
      </w:r>
    </w:p>
    <w:p w14:paraId="776C4F55" w14:textId="77777777" w:rsidR="001F7233" w:rsidRDefault="00000000">
      <w:r>
        <w:rPr>
          <w:b/>
        </w:rPr>
        <w:t xml:space="preserve">Pause danach: </w:t>
      </w:r>
      <w:r>
        <w:t>ca. 2 Wochen</w:t>
      </w:r>
    </w:p>
    <w:p w14:paraId="112C655F" w14:textId="77777777" w:rsidR="001F7233" w:rsidRDefault="00000000">
      <w:r>
        <w:rPr>
          <w:b/>
        </w:rPr>
        <w:t>Term 3</w:t>
      </w:r>
    </w:p>
    <w:p w14:paraId="6F3999CB" w14:textId="77777777" w:rsidR="001F7233" w:rsidRDefault="00000000">
      <w:r>
        <w:rPr>
          <w:b/>
        </w:rPr>
        <w:t xml:space="preserve">Ungefährer Zeitraum (2026): </w:t>
      </w:r>
      <w:r>
        <w:t>Mitte/Ende Juli – Ende September</w:t>
      </w:r>
    </w:p>
    <w:p w14:paraId="0FCDE800" w14:textId="77777777" w:rsidR="001F7233" w:rsidRDefault="00000000">
      <w:r>
        <w:rPr>
          <w:b/>
        </w:rPr>
        <w:t xml:space="preserve">Pause danach: </w:t>
      </w:r>
      <w:r>
        <w:t>ca. 2 Wochen</w:t>
      </w:r>
    </w:p>
    <w:p w14:paraId="694A072A" w14:textId="77777777" w:rsidR="001F7233" w:rsidRDefault="00000000">
      <w:r>
        <w:rPr>
          <w:b/>
        </w:rPr>
        <w:t>Term 4</w:t>
      </w:r>
    </w:p>
    <w:p w14:paraId="5801B4D1" w14:textId="77777777" w:rsidR="001F7233" w:rsidRDefault="00000000">
      <w:r>
        <w:rPr>
          <w:b/>
        </w:rPr>
        <w:t xml:space="preserve">Ungefährer Zeitraum (2026): </w:t>
      </w:r>
      <w:r>
        <w:t>Anfang/Mitte Oktober – Mitte Dezember</w:t>
      </w:r>
    </w:p>
    <w:p w14:paraId="5482989B" w14:textId="77777777" w:rsidR="001F7233" w:rsidRDefault="00000000">
      <w:r>
        <w:rPr>
          <w:b/>
        </w:rPr>
        <w:t xml:space="preserve">Pause danach: </w:t>
      </w:r>
      <w:r>
        <w:t>ca. 6 Wochen Sommerferien</w:t>
      </w:r>
    </w:p>
    <w:p w14:paraId="3125549E" w14:textId="77777777" w:rsidR="001F7233" w:rsidRDefault="001F7233">
      <w:pPr>
        <w:spacing w:line="180" w:lineRule="exact"/>
      </w:pPr>
    </w:p>
    <w:p w14:paraId="002BF0DE" w14:textId="77777777" w:rsidR="001F7233" w:rsidRDefault="00000000">
      <w:pPr>
        <w:spacing w:after="140"/>
      </w:pPr>
      <w:r>
        <w:t>Die genauen Daten legt jede Schule im Rahmen ministerieller Vorgaben einzeln fest und veröffentlicht sie auf der eigenen Website. Sie unterscheiden sich von Jahr zu Jahr und zwischen einzelnen Schulen um bis zu einer Woche.</w:t>
      </w:r>
    </w:p>
    <w:p w14:paraId="30C4225B" w14:textId="77777777" w:rsidR="001F7233" w:rsidRDefault="00000000">
      <w:pPr>
        <w:spacing w:after="140"/>
      </w:pPr>
      <w:r>
        <w:t xml:space="preserve">Für den Umzug selbst bedeutet das doppeltes Rechnen: Wer sein Kind mitten im deutschen Schuljahr, aber zu Beginn eines neuseeländischen Terms verpflanzt, erwischt einen vergleichsweise glatten Einstieg. Die neue Klasse startet dann ebenfalls gerade neu oder ist noch nicht tief in einem Themenblock. Wer dagegen versucht, exakt zum deutschen Schuljahresende im Sommer umzuziehen, landet in Neuseeland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w:t>
      </w:r>
      <w:r>
        <w:lastRenderedPageBreak/>
        <w:t>Schuljahr und startet in Neuseeland fast punktgenau mit Term 1 im neuen Jahr.</w:t>
      </w:r>
    </w:p>
    <w:p w14:paraId="6F66CF41" w14:textId="77777777" w:rsidR="001F7233" w:rsidRDefault="00000000">
      <w:r>
        <w:rPr>
          <w:b/>
        </w:rPr>
        <w:t xml:space="preserve">ACHTUNG: </w:t>
      </w:r>
    </w:p>
    <w:p w14:paraId="5629E2CE" w14:textId="77777777" w:rsidR="001F7233" w:rsidRDefault="00000000">
      <w:r>
        <w:t>• Unterschätze die Wucht dieses Wechsels nicht, nur weil er banal klingt. Kinder, die ihren ersten neuseeländischen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w14:paraId="1FEECBC9" w14:textId="77777777" w:rsidR="001F7233" w:rsidRDefault="001F7233">
      <w:pPr>
        <w:spacing w:line="220" w:lineRule="exact"/>
      </w:pPr>
    </w:p>
    <w:p w14:paraId="270C946B" w14:textId="77777777" w:rsidR="001F7233" w:rsidRDefault="00000000">
      <w:pPr>
        <w:spacing w:after="140"/>
      </w:pPr>
      <w:r>
        <w:t>Besonders heikel wird ein Umzug, wenn ein Teenager mitten in den letzten beiden Schuljahren steckt, weil NCEA über einzelne Fächer und Kredit-Punkte je Schuljahr aufgebaut ist, lässt sich ein begonnenes Year 12 oder 13 aus Deutschland selten nahtlos fortsetzen. Schulen prüfen mitgebrachte Zeugnisse einzeln und entscheiden von Fall zu Fall, welche Fächer anerkannt werden. Wegen der angekündigten Ablösung von NCEA ab 2028 kommt für Familien, die in den kommenden Jahren mit älteren Teenagern umziehen, eine weitere Unsicherheitsebene hinzu.</w:t>
      </w:r>
    </w:p>
    <w:p w14:paraId="28A6A1C4" w14:textId="77777777" w:rsidR="001F7233" w:rsidRDefault="00000000">
      <w:r>
        <w:rPr>
          <w:b/>
        </w:rPr>
        <w:t xml:space="preserve">ACHTUNG: </w:t>
      </w:r>
    </w:p>
    <w:p w14:paraId="1B98AE54" w14:textId="77777777" w:rsidR="001F7233" w:rsidRDefault="00000000">
      <w:r>
        <w:t>• Bei Teenagern in den letzten beiden Schuljahren lohnt es sich, vor dem Umzug direkt mit der Zielschule zu klären, welche NCEA-Kredite übernommen werden und wie sich die geplante Reform auf den konkreten Jahrgang deines Kindes auswirkt. Diese Entscheidung früh zu klären erspart Jugendlichen in einer ohnehin anspruchsvollen Phase unnötigen Extra-Stress.</w:t>
      </w:r>
    </w:p>
    <w:p w14:paraId="4B6482FD" w14:textId="77777777" w:rsidR="001F7233" w:rsidRDefault="001F7233">
      <w:pPr>
        <w:spacing w:line="220" w:lineRule="exact"/>
      </w:pPr>
    </w:p>
    <w:p w14:paraId="6A01FF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Spracheingewöhnung: ESOL und wie Kinder (und Eltern) ankommen</w:t>
      </w:r>
    </w:p>
    <w:p w14:paraId="69BE1CEE" w14: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Neuseeländische Schulen sind darauf eingerichtet: Sprachförderung heißt ESOL (English for Speakers of Other Languages) und wird vom Bildungsministerium auch zur allgemeinen Schulfinanzierung bezuschusst. Für Kinder aus Migranten- oder Flüchtlingsfamilien wird die Förderung für maximal fünf Jahre (20 Terms) finanziert, für in Neuseeland geborene Kinder migrantischer Eltern für maximal drei Jahre (12 Terms). Für Primar- und Intermediate-Schüler liegt die Förderpauschale je Kind bei aktuell 780 NZD im Jahr, obendrauf zur regulären Schulfinanzierung. Schulen setzen das Geld unterschiedlich ein. Von einer eigenen ESOL-Lehrkraft über Kleingruppenförderung bis zu zweisprachigen Assistenzkräften, je nach Bedarf der jeweiligen Schülerschaft.</w:t>
      </w:r>
    </w:p>
    <w:p w14:paraId="3D68B3AC" w14:textId="77777777" w:rsidR="001F7233" w:rsidRDefault="00000000">
      <w:r>
        <w:rPr>
          <w:b/>
        </w:rPr>
        <w:t xml:space="preserve">ACHTUNG: </w:t>
      </w:r>
    </w:p>
    <w:p w14:paraId="74C1A5D2" w14:textId="77777777" w:rsidR="001F7233" w:rsidRDefault="001F7233">
      <w:pPr>
        <w:spacing w:line="220" w:lineRule="exact"/>
      </w:pPr>
    </w:p>
    <w:p w14:paraId="44036F69" w14:textId="77777777" w:rsidR="001F7233" w:rsidRDefault="00000000">
      <w:pPr>
        <w:spacing w:after="140"/>
      </w:pPr>
      <w:r>
        <w:t>Kinder verarbeiten den Sprachwechsel zudem altersabhängig unterschiedlich: Jüngere Grundschulkinder gewöhnen sich oft binnen weniger Monate ein, während ältere Kinder und Teenager die Fachsprache in Geschichte oder Biologie länger brauchen und sozial stärker unter der Sprachlücke leiden, weil freundschaften in dieser Lebensphase stärker über Wortwitz und schnelle Antworten laufen.</w:t>
      </w:r>
    </w:p>
    <w:p w14:paraId="52D5EE61" w14:textId="77777777" w:rsidR="001F7233" w:rsidRDefault="001F7233">
      <w:pPr>
        <w:spacing w:line="220" w:lineRule="exact"/>
      </w:pPr>
    </w:p>
    <w:p w14:paraId="7426D3E8" w14:textId="77777777" w:rsidR="001F7233" w:rsidRDefault="00000000">
      <w:pPr>
        <w:spacing w:after="140"/>
      </w:pPr>
      <w:r>
        <w:t xml:space="preserve">Für Erwachsene sieht die Lage anders aus: Wer über die Skilled Migrant Category einwandert, hat einen Englischnachweis meist bereits für den Visumsantrag erbracht (siehe das </w:t>
      </w:r>
      <w:hyperlink w:anchor="tnz03">
        <w:r w:rsidR="001F7233">
          <w:rPr>
            <w:color w:val="0563C1"/>
            <w:u w:val="single"/>
          </w:rPr>
          <w:t>Kapitel zum Arbeitsweg in diesem Teil</w:t>
        </w:r>
      </w:hyperlink>
      <w:r>
        <w:t xml:space="preserve">); trotzdem bleibt der Alltag – Elternabende, Behördengänge, Small Talk am Schultor – für viele </w:t>
      </w:r>
      <w:r>
        <w:lastRenderedPageBreak/>
        <w:t xml:space="preserve">Erwachsene die eigentliche Übungsstrecke. Volkshochschulähnliche Kurse an lokalen </w:t>
      </w:r>
      <w:r>
        <w:rPr>
          <w:i/>
          <w:iCs/>
        </w:rPr>
        <w:t>Community Education</w:t>
      </w:r>
      <w:r>
        <w:t>-Zentren sowie das Gespräch mit anderen Eltern helfen hier oft mehr als ein weiteres Lehrbuch.</w:t>
      </w:r>
    </w:p>
    <w:p w14:paraId="109C4E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578A3732" w14:textId="77777777" w:rsidR="001F7233" w:rsidRDefault="00000000">
      <w:pPr>
        <w:spacing w:after="140"/>
      </w:pPr>
      <w:r>
        <w:t xml:space="preserve">Speziell neuseeländische Kinderserien sind international kaum zu finden; die australische Serie „Bluey“ (Disney+ Deutschland, englischer Originalton wählbar) funktioniert trotzdem gut als Einstieg für Kleinkinder (2–5), da sich Sprechtempo und Alltagsszenen ähneln. Grundschulkinder (6–9) wachsen mit „Paw Patrol“ und ersten Kapitelbüchern wie „Diary of a Wimpy Kid“ in erste eigenständige englische Lektüre hinein. Für die Mittelstufe (10–13) eignen sich „Percy Jackson“-Bücher; der neuseeländische Familienfilm „Hunt for the Wilderpeople“ (bei Netflix oder Amazon Prime Video oft verfügbar, Verfügbarkeit auf </w:t>
      </w:r>
      <w:hyperlink r:id="rId1086">
        <w:r w:rsidR="001F7233">
          <w:rPr>
            <w:color w:val="0563C1"/>
            <w:u w:val="single"/>
          </w:rPr>
          <w:t>JustWatch.de</w:t>
        </w:r>
      </w:hyperlink>
      <w:r>
        <w:t xml:space="preserve"> prüfen) funktioniert schon für diese Altersgruppe und zeigt echten Kiwi-Alltagston. Teenager (14–17) kommen mit aktueller englischsprachiger Jugendliteratur und denselben Filmen in ungekürzter Fassung weiter.</w:t>
      </w:r>
    </w:p>
    <w:p w14:paraId="6C745ADE" w14:textId="77777777" w:rsidR="001F7233" w:rsidRDefault="00000000">
      <w:pPr>
        <w:pStyle w:val="Heading3"/>
        <w:keepNext/>
        <w:spacing w:line="341" w:lineRule="auto"/>
        <w:jc w:val="center"/>
      </w:pPr>
      <w:r>
        <w:t>Deutsch bewahren: Angebote und eigene Routine</w:t>
      </w:r>
    </w:p>
    <w:p w14:paraId="46CEF175" w14:textId="77777777" w:rsidR="001F7233" w:rsidRDefault="00000000">
      <w:r>
        <w:t xml:space="preserve">Für deutsche Nachrichten und Sendungen in Neuseeland starte mit den offiziellen ARD- und ZDF-Mediatheken und den deutschsprachigen Onlineangeboten der DW. Die Rechte gelten nicht automatisch weltweit: Einzelne ARD-Beiträge sind geoblockiert. ZDFs 24/7-Livestreams sind meist nur in Deutschland sichtbar, einige Sendungen aber als „Auslandsstreams“. Prüfe den Titel am Zielort. Smart-TV-Apps, Streaming-Sticks und unterstütztes AirPlay/Chromecast bringen erlaubte Streams auf den Fernseher. Bluetooth überträgt meist nur den Ton. Erkundige dich bei lokalen Kabel- oder IPTV-Anbietern nach deutschen Senderpaketen und </w:t>
      </w:r>
      <w:r>
        <w:lastRenderedPageBreak/>
        <w:t>vergleiche Senderliste,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0C11E442" w14:textId="77777777" w:rsidR="001F7233" w:rsidRDefault="00000000">
      <w:pPr>
        <w:spacing w:after="140"/>
      </w:pPr>
      <w:r>
        <w:t>Für Deutsch neben dem neuseeländischen Schulalltag gibt es in Wellington nach dem für dieses Buch geprüften Angebot die German School Wellington als Ergänzungsschule sowie Kurse des Goethe-Instituts und eine Spielgruppe. Das ist keine vollständige, dauerhaft aktuelle Landesliste; Angebote, Altersgruppen und Termine können wechseln. Frage vor Ort bei Schulen, Goethe-Institut, Vereinen und deutschsprachigen Elterngruppen nach.</w:t>
      </w:r>
    </w:p>
    <w:p w14:paraId="256E67C8" w14:textId="77777777" w:rsidR="001F7233" w:rsidRDefault="00000000">
      <w:pPr>
        <w:spacing w:after="140"/>
      </w:pPr>
      <w:r>
        <w:t>Außer Wellingtons lässt sich die aktuelle Angebotslage schwerer aus einer zentralen Quelle feststellen. Für Auckland wurde bei der Recherche eine kleine Spielgruppe gefunden. Für Christchurch konnte kein verlässlich bestätigtes, laufendes Schulangebot ermittelt werden. Das ist kein Beleg, dass dort keines existiert. Prüfe lokale Gruppen und Schulen; falls es nichts Passendes gibt, helfen feste Vorlese- und Schreibzeiten auf Deutsch, Hörbücher, Serien, Videoanrufe und falls nötig eine selbst organisierte Lerngruppe.</w:t>
      </w:r>
    </w:p>
    <w:p w14:paraId="17903927" w14:textId="77777777" w:rsidR="001F7233" w:rsidRDefault="00000000">
      <w:r>
        <w:rPr>
          <w:b/>
        </w:rPr>
        <w:t xml:space="preserve">SPARTIPP: </w:t>
      </w:r>
    </w:p>
    <w:p w14:paraId="12ED4A50" w14:textId="77777777" w:rsidR="001F7233" w:rsidRDefault="00000000">
      <w:r>
        <w:t xml:space="preserve">• Vergleiche die Gesamtlösung: Eine gebührenfreie staatliche Schule setzt domestic-student-Status voraus. Bei manchen befristeten Visa kann Schulgeld anfallen. Ergänze den Schulalltag je nach Ziel durch </w:t>
      </w:r>
      <w:r>
        <w:lastRenderedPageBreak/>
        <w:t>Deutsch zu Hause, eine örtliche Lerngruppe oder Unterricht. Prüfe zuerst, was es am konkreten Wohnort tatsächlich gibt.</w:t>
      </w:r>
    </w:p>
    <w:p w14:paraId="34489AEE" w14:textId="77777777" w:rsidR="001F7233" w:rsidRDefault="001F7233">
      <w:pPr>
        <w:spacing w:line="220" w:lineRule="exact"/>
      </w:pPr>
    </w:p>
    <w:p w14:paraId="606C7B52" w14:textId="77777777" w:rsidR="001F7233" w:rsidRDefault="00000000">
      <w:pPr>
        <w:pStyle w:val="Heading3"/>
      </w:pPr>
      <w:r>
        <w:t>Unterricht, Homeschooling und Sport</w:t>
      </w:r>
    </w:p>
    <w:p w14:paraId="3CC3D0FB" w14:textId="77777777" w:rsidR="001F7233" w:rsidRDefault="00000000">
      <w:r>
        <w:t>Neuseelands früher Bildungsweg hat mit Te Whāriki einen landesweiten, spielbasierten Rahmen, der Wohlbefinden, Zugehörigkeit, Beziehungen und Entdecken zusammenführt. Das kann Kindern beim übergang in die Schule helfen, ohne Lernen auf frühes Auswendiglernen zu verengen. In der Schule sind lokale Gestaltung und kultureller Kontext sichtbar; die konkreten Angebote unterscheiden sich nach Einrichtung. Offizielle Informationen zu Te Whāriki: https://www.education.govt.nz/education-professionals/early-learning/licensing-and-certification/early-learning-curriculum-framework.</w:t>
      </w:r>
    </w:p>
    <w:p w14:paraId="3F34FF01" w14:textId="77777777" w:rsidR="001F7233" w:rsidRDefault="00000000">
      <w:r>
        <w:t>Home education braucht vor Beginn eine Befreiung von der Schulpflicht. Das Bildungsministerium prüft, ob das geplante Lernen mindestens so regelmäßig und gut wie in einer registrierten Schule sein wird; bei älteren bereits eingeschulten Kindern muss der Antrag währenddessen weiter beschult werden. Bearbeitung und Bedingungen nachlesen: https://www.education.govt.nz/parents-and-caregivers/schools-year-0-13/home-education/apply-home-educate-your-child. Sport verbindet Schule und örtliche Clubs; frage nach Beiträgen, Ausrüstung, Fahrten und Möglichkeiten für Anfänger. Bei Home Education musst du solche regelmäßigen Gruppenaktivitäten selbst organisieren.</w:t>
      </w:r>
    </w:p>
    <w:p w14:paraId="6F27B0B0" w14:textId="77777777" w:rsidR="001F7233" w:rsidRDefault="00000000">
      <w:pPr>
        <w:pStyle w:val="Heading3"/>
      </w:pPr>
      <w:r>
        <w:t>Schlechte Zeugnisse: erst Ursache, dann Weg</w:t>
      </w:r>
    </w:p>
    <w:p w14:paraId="60B23C48" w14:textId="77777777" w:rsidR="001F7233" w:rsidRDefault="00000000">
      <w:r>
        <w:t>Schlechte Zeugnisse? Bitte die Schule, Leistungen nicht mechanisch in Years oder NCEA-Credits umzurechnen. Klärt, ob Sprache, Fachlücken oder Lernbedingungen die Noten erklären; vereinbart Unterstützung und einen Überprüfungstermin. Fragt früh, welche Literacy-/Numeracy-Voraussetzungen und Credits noch fehlen und welche Abschlussregeln für den Jahrgang gelten.</w:t>
      </w:r>
    </w:p>
    <w:p w14:paraId="30BF89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Kinder, Schule und Spracheingewöhnung</w:t>
      </w:r>
    </w:p>
    <w:p w14:paraId="3EFE2FDB" w14:textId="77777777" w:rsidR="001F7233" w:rsidRDefault="00000000">
      <w:r>
        <w:rPr>
          <w:b/>
        </w:rPr>
        <w:t>Plus: Für domestic students ist der Unterricht an staatlichen Schulen gebührenfrei</w:t>
      </w:r>
    </w:p>
    <w:p w14:paraId="387EBA5A" w14:textId="77777777" w:rsidR="001F7233" w:rsidRDefault="00000000">
      <w:r>
        <w:rPr>
          <w:b/>
        </w:rPr>
        <w:t xml:space="preserve">Minus: </w:t>
      </w:r>
      <w:r>
        <w:t>Zonierung kann die Wunschschule vom Wohnort abhängig machen</w:t>
      </w:r>
    </w:p>
    <w:p w14:paraId="70BFE7B5" w14:textId="77777777" w:rsidR="001F7233" w:rsidRDefault="00000000">
      <w:r>
        <w:rPr>
          <w:b/>
        </w:rPr>
        <w:t>Plus: Kein starrer Einschulungsstichtag – Umzugstermin lässt sich flexibel legen</w:t>
      </w:r>
    </w:p>
    <w:p w14:paraId="0D2902DE" w14:textId="77777777" w:rsidR="001F7233" w:rsidRDefault="00000000">
      <w:r>
        <w:rPr>
          <w:b/>
        </w:rPr>
        <w:t xml:space="preserve">Minus: </w:t>
      </w:r>
      <w:r>
        <w:t>Schuljahresrhythmus verkehrt zu Deutschland erschwert die Umzugsplanung</w:t>
      </w:r>
    </w:p>
    <w:p w14:paraId="795FB8B7" w14:textId="77777777" w:rsidR="001F7233" w:rsidRDefault="00000000">
      <w:r>
        <w:rPr>
          <w:b/>
        </w:rPr>
        <w:t>Plus: ESOL-Förderung ist über Jahre hinweg strukturiert finanziert</w:t>
      </w:r>
    </w:p>
    <w:p w14:paraId="683E3BEA" w14:textId="77777777" w:rsidR="001F7233" w:rsidRDefault="00000000">
      <w:r>
        <w:rPr>
          <w:b/>
        </w:rPr>
        <w:t>Minus: Deutsche Sprachangebote sind außer einzelner Zentren schwerer zu finden und müssen vor Ort geprüft werden.</w:t>
      </w:r>
    </w:p>
    <w:p w14:paraId="368D6E87" w14:textId="77777777" w:rsidR="001F7233" w:rsidRDefault="00000000">
      <w:r>
        <w:rPr>
          <w:b/>
        </w:rPr>
        <w:t>Plus: Kinder gewöhnen sich meist rascher ein als Erwachsene</w:t>
      </w:r>
    </w:p>
    <w:p w14:paraId="6AD607CF" w14:textId="77777777" w:rsidR="001F7233" w:rsidRDefault="00000000">
      <w:r>
        <w:rPr>
          <w:b/>
        </w:rPr>
        <w:t xml:space="preserve">Minus: </w:t>
      </w:r>
      <w:r>
        <w:t>Ältere Kinder und Teenager tun sich mit Fachsprache und sozialem Anschluss schwerer</w:t>
      </w:r>
    </w:p>
    <w:p w14:paraId="2FF67714" w14:textId="77777777" w:rsidR="001F7233" w:rsidRDefault="00000000">
      <w:r>
        <w:rPr>
          <w:b/>
        </w:rPr>
        <w:t>Plus: Drei Schulsektoren bieten Wahlmöglichkeit nach Budget</w:t>
      </w:r>
    </w:p>
    <w:p w14:paraId="1D42FCE1" w14:textId="77777777" w:rsidR="001F7233" w:rsidRDefault="00000000">
      <w:r>
        <w:rPr>
          <w:b/>
        </w:rPr>
        <w:t xml:space="preserve">Minus: </w:t>
      </w:r>
      <w:r>
        <w:t>NCEA-Umstellung ab 2028 schafft zusätzliche Planungsunsicherheit für Teenager</w:t>
      </w:r>
    </w:p>
    <w:p w14:paraId="2DEC0993" w14:textId="77777777" w:rsidR="001F7233" w:rsidRDefault="001F7233">
      <w:pPr>
        <w:spacing w:line="180" w:lineRule="exact"/>
      </w:pPr>
    </w:p>
    <w:p w14:paraId="53380A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8099946" w14:textId="77777777" w:rsidR="001F7233" w:rsidRDefault="00000000">
      <w:pPr>
        <w:spacing w:after="140"/>
      </w:pPr>
      <w:r>
        <w:t>Kläre vor dem Umzug die Schulzone deiner Zieladresse und die Einstufung deines Kindes bei der Zielschule, lege den Umzugstermin nach Möglichkeit auf einen Term-Beginn, sammle Geburtsurkunde, Impfnachweis und übersetzte Zeugnisse und entscheide früh, ob eine organisierte deutsche Sprachstruktur infrage kommt oder ob dir Deutsch zu Hause reicht.</w:t>
      </w:r>
    </w:p>
    <w:p w14:paraId="1349C95B" w14:textId="77777777" w:rsidR="001F7233" w:rsidRDefault="00000000">
      <w:r>
        <w:t>• Schulzone der Zieladresse und Aufnahmechancen an der Wunschschule geprüft</w:t>
      </w:r>
    </w:p>
    <w:p w14:paraId="10BE6102" w14:textId="77777777" w:rsidR="001F7233" w:rsidRDefault="00000000">
      <w:r>
        <w:lastRenderedPageBreak/>
        <w:t>• Schultyp entschieden: staatlich, state-integriert oder privat, inklusive Kostenvergleich</w:t>
      </w:r>
    </w:p>
    <w:p w14:paraId="729C3EFF" w14:textId="77777777" w:rsidR="001F7233" w:rsidRDefault="00000000">
      <w:r>
        <w:t>• Umzugstermin nach Möglichkeit auf den Beginn eines Terms gelegt</w:t>
      </w:r>
    </w:p>
    <w:p w14:paraId="6F29C275" w14:textId="77777777" w:rsidR="001F7233" w:rsidRDefault="00000000">
      <w:r>
        <w:t>• Geburtsurkunde, Reisepass, Impfnachweis und übersetzte Zeugnisse zusammengestellt</w:t>
      </w:r>
    </w:p>
    <w:p w14:paraId="3015EC3B" w14:textId="77777777" w:rsidR="001F7233" w:rsidRDefault="00000000">
      <w:r>
        <w:t>• Zielschule direkt nach genauen Anmeldeunterlagen und Cohort-Entry-Terminen gefragt</w:t>
      </w:r>
    </w:p>
    <w:p w14:paraId="5414524C" w14:textId="77777777" w:rsidR="001F7233" w:rsidRDefault="00000000">
      <w:r>
        <w:t>• Bei Sprachförderbedarf früh das Gespräch mit der Schule über ESOL gesucht</w:t>
      </w:r>
    </w:p>
    <w:p w14:paraId="2AA616A9" w14:textId="77777777" w:rsidR="001F7233" w:rsidRDefault="00000000">
      <w:r>
        <w:t>• Deutschunterricht, Spielgruppen oder Vereine im konkreten Zielort aktuell recherchiert. Bei fehlendem Angebot einen Familienplan für Lesen und Schreiben festgelegt.</w:t>
      </w:r>
    </w:p>
    <w:p w14:paraId="40C01E32" w14:textId="77777777" w:rsidR="001F7233" w:rsidRDefault="00000000">
      <w:r>
        <w:t>• Bei Teenagern zusätzlich NCEA-Kreditübernahme und die angekündigte Reform ab 2028 mit der Zielschule besprochen</w:t>
      </w:r>
    </w:p>
    <w:p w14:paraId="255344F9" w14:textId="77777777" w:rsidR="001F7233" w:rsidRDefault="001F7233">
      <w:pPr>
        <w:spacing w:line="220" w:lineRule="exact"/>
      </w:pPr>
    </w:p>
    <w:p w14:paraId="0689D2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04A707D" w14:textId="77777777" w:rsidR="001F7233" w:rsidRDefault="00000000">
      <w:pPr>
        <w:pStyle w:val="ListParagraph"/>
        <w:numPr>
          <w:ilvl w:val="0"/>
          <w:numId w:val="1"/>
        </w:numPr>
        <w:spacing w:after="60"/>
      </w:pPr>
      <w:r>
        <w:t>New Zealand Ministry of Education — Schulsystem, Term- und Ferientermine (</w:t>
      </w:r>
      <w:hyperlink r:id="rId1087">
        <w:r w:rsidR="001F7233">
          <w:rPr>
            <w:color w:val="0563C1"/>
            <w:u w:val="single"/>
          </w:rPr>
          <w:t>education.govt.nz</w:t>
        </w:r>
      </w:hyperlink>
      <w:r>
        <w:t>)</w:t>
      </w:r>
    </w:p>
    <w:p w14:paraId="72CA5C79" w14:textId="77777777" w:rsidR="001F7233" w:rsidRDefault="00000000">
      <w:pPr>
        <w:pStyle w:val="ListParagraph"/>
        <w:numPr>
          <w:ilvl w:val="0"/>
          <w:numId w:val="1"/>
        </w:numPr>
        <w:spacing w:after="60"/>
      </w:pPr>
      <w:r>
        <w:t>New Zealand Qualifications Authority — NCEA, Reformpläne ab 2028 (</w:t>
      </w:r>
      <w:hyperlink r:id="rId1088">
        <w:r w:rsidR="001F7233">
          <w:rPr>
            <w:color w:val="0563C1"/>
            <w:u w:val="single"/>
          </w:rPr>
          <w:t>nzqa.govt.nz</w:t>
        </w:r>
      </w:hyperlink>
      <w:r>
        <w:t>)</w:t>
      </w:r>
    </w:p>
    <w:p w14:paraId="584A91E8" w14:textId="77777777" w:rsidR="001F7233" w:rsidRDefault="00000000">
      <w:pPr>
        <w:pStyle w:val="ListParagraph"/>
        <w:numPr>
          <w:ilvl w:val="0"/>
          <w:numId w:val="1"/>
        </w:numPr>
        <w:spacing w:after="60"/>
      </w:pPr>
      <w:r>
        <w:t>Ministry of Education — ESOL-Förderung für Schulen (</w:t>
      </w:r>
      <w:hyperlink r:id="rId1089">
        <w:r w:rsidR="001F7233">
          <w:rPr>
            <w:color w:val="0563C1"/>
            <w:u w:val="single"/>
          </w:rPr>
          <w:t>education.govt.nz</w:t>
        </w:r>
      </w:hyperlink>
      <w:r>
        <w:t>, Suchbegriff „ESOL funding“)</w:t>
      </w:r>
    </w:p>
    <w:p w14:paraId="3FCC462D" w14:textId="77777777" w:rsidR="001F7233" w:rsidRDefault="00000000">
      <w:pPr>
        <w:pStyle w:val="ListParagraph"/>
        <w:numPr>
          <w:ilvl w:val="0"/>
          <w:numId w:val="1"/>
        </w:numPr>
        <w:spacing w:after="60"/>
      </w:pPr>
      <w:r>
        <w:t>Zentralstelle für das Auslandsschulwesen — deutsche Angebote im Ausland (</w:t>
      </w:r>
      <w:hyperlink r:id="rId1090">
        <w:r w:rsidR="001F7233">
          <w:rPr>
            <w:color w:val="0563C1"/>
            <w:u w:val="single"/>
          </w:rPr>
          <w:t>auslandsschulwesen.de</w:t>
        </w:r>
      </w:hyperlink>
      <w:r>
        <w:t>)</w:t>
      </w:r>
    </w:p>
    <w:p w14:paraId="1AACFE79" w14:textId="77777777" w:rsidR="001F7233" w:rsidRDefault="00000000">
      <w:pPr>
        <w:pStyle w:val="ListParagraph"/>
        <w:numPr>
          <w:ilvl w:val="0"/>
          <w:numId w:val="1"/>
        </w:numPr>
        <w:spacing w:after="60"/>
      </w:pPr>
      <w:r>
        <w:t>Goethe-Institut Neuseeland — Standort Wellington (</w:t>
      </w:r>
      <w:hyperlink r:id="rId1091">
        <w:r w:rsidR="001F7233">
          <w:rPr>
            <w:color w:val="0563C1"/>
            <w:u w:val="single"/>
          </w:rPr>
          <w:t>goethe.de/ins/nz</w:t>
        </w:r>
      </w:hyperlink>
      <w:r>
        <w:t>)</w:t>
      </w:r>
    </w:p>
    <w:p w14:paraId="79AB1E6D" w14:textId="77777777" w:rsidR="001F7233" w:rsidRDefault="001F7233">
      <w:pPr>
        <w:spacing w:line="120" w:lineRule="exact"/>
      </w:pPr>
    </w:p>
    <w:p w14:paraId="34BB3DD3" w14:textId="77777777" w:rsidR="001F7233" w:rsidRDefault="00000000">
      <w:r>
        <w:t xml:space="preserve">• Quellen- und Datenstand: September 2026; Redaktionsschluss: Oktober 2026. Diese Angaben ändern sich: genaue Term-Termine (jedes Jahr neu, je Schule leicht abweichend), Höhe der ESOL-Förderpauschale, Details und Zeitplan der NCEA-Reform sowie Schulgelder von state-integrierten und privaten Schulen. Prüfe vor </w:t>
      </w:r>
      <w:r>
        <w:lastRenderedPageBreak/>
        <w:t>jeder Entscheidung die aktuellen Angaben der passenden Bildungsbehörde und Zielschule.</w:t>
      </w:r>
    </w:p>
    <w:p w14:paraId="0E3F95CE" w14:textId="77777777" w:rsidR="001F7233" w:rsidRDefault="00000000">
      <w:pPr>
        <w:spacing w:line="220" w:lineRule="exact"/>
      </w:pPr>
      <w:r>
        <w:br w:type="page"/>
      </w:r>
    </w:p>
    <w:p w14:paraId="3862C49F" w14:textId="77777777" w:rsidR="001F7233" w:rsidRDefault="00000000">
      <w:pPr>
        <w:pStyle w:val="Heading2"/>
        <w:keepNext/>
        <w:spacing w:line="341" w:lineRule="auto"/>
        <w:jc w:val="center"/>
      </w:pPr>
      <w:bookmarkStart w:id="144" w:name="tnz14"/>
      <w:r>
        <w:rPr>
          <w:rFonts w:ascii="Amazon Ember" w:eastAsia="Amazon Ember" w:hAnsi="Amazon Ember" w:cs="Amazon Ember"/>
          <w:color w:val="0000FF"/>
          <w:sz w:val="36"/>
          <w:szCs w:val="36"/>
        </w:rPr>
        <w:lastRenderedPageBreak/>
        <w:t>Neuseeland: Arbeitswelt und Jobwechsel</w:t>
      </w:r>
      <w:bookmarkEnd w:id="144"/>
    </w:p>
    <w:p w14:paraId="401DD7DC" w14: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w14:paraId="53EEF36E" w14:textId="77777777" w:rsidR="001F7233" w:rsidRDefault="00000000">
      <w:r>
        <w:rPr>
          <w:b/>
        </w:rPr>
        <w:t xml:space="preserve">KURZ GESAGT: </w:t>
      </w:r>
    </w:p>
    <w:p w14:paraId="10FD9B01" w14:textId="77777777" w:rsidR="001F7233" w:rsidRDefault="00000000">
      <w:r>
        <w:t>• Neuseeländisches Arbeitsrecht gilt bundesweit einheitlich – keine Bundesstaaten, keine Provinzen, keine Awards oder Tarifebenen wie in Australien oder Kanada.</w:t>
      </w:r>
    </w:p>
    <w:p w14:paraId="6C30393F" w14:textId="77777777" w:rsidR="001F7233" w:rsidRDefault="00000000">
      <w:r>
        <w:t>• Der gesetzliche Mindesturlaub liegt bei vier Wochen im Jahr, dazu kommen elf bis zwölf Feiertage und zehn Tage bezahlter Krankheitsurlaub nach sechs Monaten Betriebszugehörigkeit.</w:t>
      </w:r>
    </w:p>
    <w:p w14:paraId="11111575" w14:textId="77777777" w:rsidR="001F7233" w:rsidRDefault="00000000">
      <w:r>
        <w:t>• Ein Kündigungsschutzgesetz nach deutschem Muster gibt es nicht, aber auch kein grundloses Entlassen: Der Maßstab ist, ob ein fairer, vernünftiger Arbeitgeber unter den gegebenen Umständen ebenso gehandelt hätte.</w:t>
      </w:r>
    </w:p>
    <w:p w14:paraId="5770EED0" w14:textId="77777777" w:rsidR="001F7233" w:rsidRDefault="00000000">
      <w:r>
        <w:t>• Seit dem 23. Dezember 2023 darf jeder Arbeitgeber, unabhängig von der Betriebsgröße, eine 90-tägige Probezeit ohne Kündigungsschutz vereinbaren. Zuvor war das auf Kleinbetriebe unter 20 Beschäftigten beschränkt.</w:t>
      </w:r>
    </w:p>
    <w:p w14:paraId="22867C14" w14:textId="77777777" w:rsidR="001F7233" w:rsidRDefault="00000000">
      <w:r>
        <w:t>• Eine gesetzliche Abfindung bei betriebsbedingter Kündigung gibt es nicht automatisch. Sie gilt nur, wenn der Arbeitsvertrag sie ausdrücklich vorsieht.</w:t>
      </w:r>
    </w:p>
    <w:p w14:paraId="1C52CEEE" w14:textId="77777777" w:rsidR="001F7233" w:rsidRDefault="00000000">
      <w:r>
        <w:t>• Beim Accredited Employer Work Visa (AEWV) bist du an einen konkreten Arbeitgeber gebunden: Ein Wechsel braucht dessen Akkreditierung und eine genehmigte Stellenprüfung, bevor du dort anfangen darfst.</w:t>
      </w:r>
    </w:p>
    <w:p w14:paraId="2FD934C3" w14:textId="77777777" w:rsidR="001F7233" w:rsidRDefault="001F7233">
      <w:pPr>
        <w:spacing w:line="220" w:lineRule="exact"/>
      </w:pPr>
    </w:p>
    <w:p w14:paraId="3AC9EE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Arbeitsrecht in Neuseeland: erfrischend einheitlich</w:t>
      </w:r>
    </w:p>
    <w:p w14:paraId="6FCD111B" w14:textId="77777777" w:rsidR="001F7233" w:rsidRDefault="00000000">
      <w:pPr>
        <w:spacing w:after="140"/>
      </w:pPr>
      <w:r>
        <w:t xml:space="preserve">Nach den föderalen Verwicklungen, die dieses Buch für die USA, Kanada und Australien beschreibt, wirkt Neuseeland fast schon unterkomplex: Es gibt keine Bundesstaaten, keine Provinzen, keine Territorien – nur ein einziges nationales Arbeitsrecht, das überall im Land gleich gilt. Grundlage ist der Employment Relations Act 2000 (das zentrale Arbeitsverhältnisgesetz), ergänzt um den Holidays Act 2003 (das Urlaubs- und Feiertagsgesetz). Zuständige Behörde für Information und kostenlose Beratung ist Employment New Zealand (der Arbeitsbereich des Ministeriums für Wirtschaft, Innovation und Beschäftigung, MBIE, </w:t>
      </w:r>
      <w:hyperlink r:id="rId1092">
        <w:r w:rsidR="001F7233">
          <w:rPr>
            <w:color w:val="0563C1"/>
            <w:u w:val="single"/>
          </w:rPr>
          <w:t>employment.govt.nz</w:t>
        </w:r>
      </w:hyperlink>
      <w:r>
        <w:t>).</w:t>
      </w:r>
    </w:p>
    <w:p w14:paraId="29163185" w14:textId="77777777" w:rsidR="001F7233" w:rsidRDefault="00000000">
      <w:pPr>
        <w:spacing w:after="140"/>
      </w:pPr>
      <w:r>
        <w:rPr>
          <w:i/>
          <w:iCs/>
        </w:rPr>
        <w:t>Zentraler Rechtsgrundsatz ist good faith (Treu und Glauben): Arbeitgeber und Beschäftigte sind gesetzlich verpflichtet, offen, ehrlich und ohne Hintergedanken miteinander umzugehen. Ein Prinzip, das zur informellen, beziehungsorientierten Art passt, mit der dir in neuseeländischen Büros begegnet wird. Ein Betriebsrat nach deutschem Muster existiert nicht. Gewerkschaften sind vor allem im öffentlichen Dienst, im Gesundheitswesen und in der Landwirtschaft präsent. Streitigkeiten landen zunächst bei den kostenlosen Employment Mediation Services (der staatlichen Schlichtungsstelle), dann bei der Employment Relations Authority (ERA, der arbeitsrechtlichen Untersuchungsbehörde) und erst in letzter Instanz vor dem Employment Court (Arbeitsgericht).</w:t>
      </w:r>
    </w:p>
    <w:p w14:paraId="537686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w14:paraId="051D0A0A" w14:textId="77777777" w:rsidR="001F7233" w:rsidRDefault="00000000">
      <w:pPr>
        <w:spacing w:after="140"/>
      </w:pPr>
      <w:r>
        <w:rPr>
          <w:i/>
          <w:iCs/>
        </w:rPr>
        <w:t xml:space="preserve">Der Holidays Act 2003 garantiert mindestens vier Wochen bezahlten Jahresurlaub (20 Arbeitstage bei einer Fünftagewoche). Der Anspruch entsteht mit dem ersten Arbeitstag, ausgezahlt und regulär genommen wird er aber meist erst nach zwölf Monaten ununterbrochener Beschäftigung, sofern nicht Arbeitgeber und Beschäftigter einen </w:t>
      </w:r>
      <w:r>
        <w:rPr>
          <w:i/>
          <w:iCs/>
        </w:rPr>
        <w:lastRenderedPageBreak/>
        <w:t>früheren Bezug vereinbaren. Dazu kommen elf landesweite Feiertage – darunter Neujahr (zwei Tage), Waitangi Day (Nationalfeiertag zum Vertrag von Waitangi), Karfreitag, Ostermontag, Anzac Day, der König-Geburtstag, Matariki (das Māori-Neujahrsfest, seit 2022 gesetzlicher Feiertag mit wechselndem Datum nach dem Mondkalender) sowie Weihnachten und der zweite Weihnachtsfeiertag. Hinzu kommt, ähnlich wie in einigen australischen Bundesstaaten, ein regionaler Anniversary Day (Provinz-Gründungstag), dessen Datum von der Region abhängt. Macht effektiv zwölf freie Tage im Jahr, ordentlich, aber kein Grund zur Übertreibung im Vergleich zu den 9 bis 13 Feiertagen deutscher Bundesländer.</w:t>
      </w:r>
    </w:p>
    <w:p w14:paraId="4616C646" w14:textId="77777777" w:rsidR="001F7233" w:rsidRDefault="00000000">
      <w:pPr>
        <w:spacing w:after="140"/>
      </w:pPr>
      <w:r>
        <w:t>Verbreiteter Irrtum: Wer aus Deutschland mindestens 20 gesetzliche Urlaubstage und meist 25 bis 30 tarifliche gewohnt ist, hält vier Wochen für ein mageres Angebot. Rechnerisch stimmt das, doch es ist das gesetzliche Minimum, keine übliche Norm. Viele Arbeitgeber im IT- und Ingenieurbereich rund um Auckland und Christchurch bieten fünf Wochen an, um im engen Fachkräftemarkt zu bestehen. Frage danach, statt es als Deckelung hinzunehmen.</w:t>
      </w:r>
    </w:p>
    <w:p w14:paraId="72C13E73" w14:textId="77777777" w:rsidR="001F7233" w:rsidRDefault="00000000">
      <w:pPr>
        <w:spacing w:after="140"/>
      </w:pPr>
      <w:r>
        <w:rPr>
          <w:i/>
          <w:iCs/>
        </w:rPr>
        <w:t>Bezahlter Krankheitsurlaub (Sick Leave) steht dir mit zehn Tagen pro Jahr zu, allerdings erst nach Abschluss der ersten sechs Beschäftigungsmonate. Danach erneuert sich der Anspruch jeweils zu deinem persönlichen Jahrestag. Nicht genommene Krankheitstage verfallen nicht sofort, sondern sammeln sich bis zu einer gesetzlichen Obergrenze an. Bei einem Todesfall in der engeren Familie stehen drei Tage bezahlter Bereavement Leave (Trauerurlaub) zu, bei entfernteren Beziehungen ein Tag, sofern der Arbeitgeber einen echten Bedarf anerkennt.</w:t>
      </w:r>
    </w:p>
    <w:p w14:paraId="7A85A581" w14:textId="77777777" w:rsidR="001F7233" w:rsidRDefault="00000000">
      <w:r>
        <w:rPr>
          <w:b/>
        </w:rPr>
        <w:t xml:space="preserve">ACHTUNG: </w:t>
      </w:r>
    </w:p>
    <w:p w14:paraId="742B3D12" w14:textId="77777777" w:rsidR="001F7233" w:rsidRDefault="00000000">
      <w:r>
        <w:t xml:space="preserve">• Verlasse dich nie auf mündliche Zusagen zu Urlaub, Krankheitstagen oder Feiertagsvergütung. Lass dir die genauen Ansprüche schriftlich im Arbeitsvertrag bestätigen. Der Holidays Act ist detailreich und wird in der betrieblichen Praxis nicht immer </w:t>
      </w:r>
      <w:r>
        <w:lastRenderedPageBreak/>
        <w:t>korrekt angewendet, wie wiederkehrende Prüfberichte des MBIE zu Nachzahlungsfällen zeigen.</w:t>
      </w:r>
    </w:p>
    <w:p w14:paraId="39D2DB71" w14:textId="77777777" w:rsidR="001F7233" w:rsidRDefault="001F7233">
      <w:pPr>
        <w:spacing w:line="220" w:lineRule="exact"/>
      </w:pPr>
    </w:p>
    <w:p w14:paraId="69395A4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90-Tage-Probezeit und Personal Grievance</w:t>
      </w:r>
    </w:p>
    <w:p w14:paraId="5849935C" w14:textId="77777777" w:rsidR="001F7233" w:rsidRDefault="00000000">
      <w:pPr>
        <w:spacing w:after="140"/>
      </w:pPr>
      <w:r>
        <w:rPr>
          <w:i/>
          <w:iCs/>
        </w:rPr>
        <w:t>Ein Kündigungsschutzgesetz wie in Deutschland kennt Neuseeland nicht, aber auch kein grundloses Entlassen nach US-amerikanischem Vorbild. Der gesetzliche Maßstab (Section 103A des Employment Relations Act) lautet: Eine Kündigung ist nur dann rechtmäßig, wenn ein fairer und vernünftiger Arbeitgeber unter den gegebenen Umständen ebenso gehandelt hätte. Ein Test aus Verfahren (wurde fair angehört, gab es eine echte Untersuchung?) und Substanz (gab es einen triftigen Grund?) zugleich. Fühlst du dich ungerecht behandelt, kannst du eine Personal Grievance (arbeitsrechtliche Beschwerde) erheben, ohne eine Mindestbeschäftigungszeit erfüllen zu müssen. Anders als in Australien, wo der Schutz erst nach sechs oder zwölf Monaten greift. Die Frist dafür ist jedoch kurz: 90 Tage ab der beanstandeten Handlung.</w:t>
      </w:r>
    </w:p>
    <w:p w14:paraId="19A71F65" w14:textId="77777777" w:rsidR="001F7233" w:rsidRDefault="00000000">
      <w:pPr>
        <w:spacing w:after="140"/>
      </w:pPr>
      <w:r>
        <w:rPr>
          <w:i/>
          <w:iCs/>
        </w:rPr>
        <w:t xml:space="preserve">Die auffälligste neuseeländische Besonderheit ist die 90-Day Trial Period (90-Tage-Probezeit ohne Kündigungsschutz): Seit einer Gesetzesänderung, die am 23. Dezember 2023 in Kraft trat (Employment Relations (Trial Periods) Amendment Act 2023), darf jeder Arbeitgeber – unabhängig von der Betriebsgröße. Mit neuen Beschäftigten eine bis zu 90 Tage lange Probezeit vereinbaren, in der eine Kündigung ohne Angabe von Gründen möglich ist und keine Personal Grievance wegen der Entlassung selbst erhoben werden kann. Zuvor war diese Möglichkeit von 2011 bis Ende 2023 auf Betriebe mit weniger als 20 Beschäftigten beschränkt. Wichtig für die Wirksamkeit: Die Probezeit-Klausel muss im schriftlichen Arbeitsvertrag stehen und du musst ihn unterschrieben haben, bevor du deine erste Schicht antrittst. Ein nachträglich unterschriebener Vertrag rettet die Klausel </w:t>
      </w:r>
      <w:r>
        <w:rPr>
          <w:i/>
          <w:iCs/>
        </w:rPr>
        <w:lastRenderedPageBreak/>
        <w:t>nicht mehr. Wichtig: Immigration New Zealand lässt Trial Periods für Beschäftigte auf einem Accredited Employer Work Visa (AEWV) nicht zu. Eine vertragliche probationary period (Probezeit) ist davon zu unterscheiden und eröffnet nicht dieselbe Kündigung ohne Grund und Verfahren.</w:t>
      </w:r>
    </w:p>
    <w:p w14:paraId="3B6C198B" w14:textId="77777777" w:rsidR="001F7233" w:rsidRDefault="00000000">
      <w:r>
        <w:rPr>
          <w:b/>
        </w:rPr>
        <w:t xml:space="preserve">ACHTUNG: </w:t>
      </w:r>
    </w:p>
    <w:p w14:paraId="3D1CB7A6" w14:textId="77777777" w:rsidR="001F7233" w:rsidRDefault="00000000">
      <w:r>
        <w:t>• Auf einem AEWV ist eine 90-Day Trial Period nicht zulässig. Prüfe trotzdem, ob dein Vertrag eine normale Probezeit (probationary period) enthält. Sie ist rechtlich etwas anderes. Plane einen Jobverlust weiterhin als Aufenthalts- und Einkommensrisiko und kläre mit Immigration New Zealand, welche Fristen und Schritte für deinen konkreten Status gelten.</w:t>
      </w:r>
    </w:p>
    <w:p w14:paraId="11BE2018" w14:textId="77777777" w:rsidR="001F7233" w:rsidRDefault="001F7233">
      <w:pPr>
        <w:spacing w:line="220" w:lineRule="exact"/>
      </w:pPr>
    </w:p>
    <w:p w14:paraId="45E1E274" w14:textId="77777777" w:rsidR="001F7233" w:rsidRDefault="00000000">
      <w:pPr>
        <w:spacing w:after="140"/>
      </w:pPr>
      <w:r>
        <w:rPr>
          <w:i/>
          <w:iCs/>
        </w:rPr>
        <w:t>Kündigungsfristen legt in Neuseeland, anders als in Australien oder Kanada, kein Bundesgesetz mit gestaffelten Wochenzahlen fest. Maßgeblich ist die Frist, die dein Arbeitsvertrag nennt. Fehlt eine Regelung, gilt eine „angemessene Frist“ nach den Umständen des Einzelfalls (Common-Law-Grundsatz). Verbreiteter Irrtum, besonders bei Neuankömmlingen mit deutschem oder australischem Vergleichshorizont: Bei betriebsbedingter Kündigung (Redundancy) gebe es automatisch eine Abfindung wie einen Sozialplan. Tatsächlich schreibt das Gesetz keine Mindestabfindung vor. Sie steht dir nur zu, wenn dein Arbeits- oder Tarifvertrag sie ausdrücklich vorsieht. Garantiert ist in jedem Fall nur die Auszahlung nicht genommenen Urlaubs sowie die vereinbarte Kündigungsfrist oder eine Abgeltung dafür.</w:t>
      </w:r>
    </w:p>
    <w:p w14:paraId="05B95CA7" w14:textId="77777777" w:rsidR="001F7233" w:rsidRDefault="00000000">
      <w:r>
        <w:t>• Dieser Abschnitt gibt eine Orientierung, keine Rechtsberatung. Ob eine Kündigung oder eine Probezeit-Klausel im Einzelfall wirksam ist, hängt vom genauen Vertragswortlaut und den Umständen ab. Lass Arbeitsverträge und vor allem jede Kündigung von einer neuseeländischen Arbeitsrechtskanzlei oder kostenlos von Employment Mediation Services prüfen.</w:t>
      </w:r>
    </w:p>
    <w:p w14:paraId="33242459" w14:textId="77777777" w:rsidR="001F7233" w:rsidRDefault="001F7233">
      <w:pPr>
        <w:spacing w:line="220" w:lineRule="exact"/>
      </w:pPr>
    </w:p>
    <w:p w14:paraId="0C932E38" w14:textId="77777777" w:rsidR="001F7233" w:rsidRDefault="00000000">
      <w:r>
        <w:rPr>
          <w:b/>
        </w:rPr>
        <w:t xml:space="preserve">SPARTIPP: </w:t>
      </w:r>
    </w:p>
    <w:p w14:paraId="0560E38D" w14:textId="77777777" w:rsidR="001F7233" w:rsidRDefault="00000000">
      <w:r>
        <w:lastRenderedPageBreak/>
        <w:t xml:space="preserve">• Employment New Zealand bietet unter </w:t>
      </w:r>
      <w:hyperlink r:id="rId1093">
        <w:r w:rsidR="001F7233">
          <w:rPr>
            <w:color w:val="0563C1"/>
            <w:u w:val="single"/>
          </w:rPr>
          <w:t>employment.govt.nz</w:t>
        </w:r>
      </w:hyperlink>
      <w:r>
        <w:t xml:space="preserve"> kostenlose Musterverträge, einen Feiertagsrechner und eine telefonische Erstberatung (0800 20 90 20). Die Employment Mediation Services vermitteln bei Konflikten ebenfalls kostenlos, bevor es zu einem förmlichen ERA-Verfahren kommt.</w:t>
      </w:r>
    </w:p>
    <w:p w14:paraId="71065D74" w14:textId="77777777" w:rsidR="001F7233" w:rsidRDefault="001F7233">
      <w:pPr>
        <w:spacing w:line="220" w:lineRule="exact"/>
      </w:pPr>
    </w:p>
    <w:p w14:paraId="1C3C2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entspannt, aber nicht beliebig</w:t>
      </w:r>
    </w:p>
    <w:p w14:paraId="4A662B94" w14:textId="77777777" w:rsidR="001F7233" w:rsidRDefault="00000000">
      <w:pPr>
        <w:spacing w:after="140"/>
      </w:pPr>
      <w:r>
        <w:t>Die übliche Vollzeitwoche liegt bei rund 40 Stunden. Ein gesetzlicher Anspruch auf Überstundenzuschläge existiert nicht automatisch, sondern richtet sich nach dem Arbeitsvertrag. Der Umgangston ist informell: Vornamen bis in die Chefetage, Krawatten nur noch in Anwaltskanzleien und Banken und die vielbeschworene Gelassenheit („she’ll be right“, „no worries“, „sweet as“) ist weniger Faulheit als eine kulturelle Grundhaltung, die Konflikte lieber entschärft als eskaliert. Wer aus Deutschland direkte, unverblümte Kritik gewohnt ist, muss lernen, zwischen den Zeilen zu lesen: Ein zurückhaltendes „yeah, maybe“ bedeutet oft ein höfliches Nein, kein „vielleicht“.</w:t>
      </w:r>
    </w:p>
    <w:p w14:paraId="4CA2AE06" w14:textId="77777777" w:rsidR="001F7233" w:rsidRDefault="00000000">
      <w:r>
        <w:rPr>
          <w:b/>
        </w:rPr>
        <w:t xml:space="preserve">MERKE: </w:t>
      </w:r>
    </w:p>
    <w:p w14:paraId="17FAED2E" w14:textId="77777777" w:rsidR="001F7233" w:rsidRDefault="00000000">
      <w:r>
        <w:t>• Dass dein neuseeländischer Kollege pünktlich um fünf geht, ist kein Zeichen von Desinteresse. Wer aus Gewohnheit länger bleibt, weil es in Deutschland so gehört, wird eher gefragt, ob zu Hause alles in Ordnung ist, als dafür gelobt.</w:t>
      </w:r>
    </w:p>
    <w:p w14:paraId="1069BEC0" w14:textId="77777777" w:rsidR="001F7233" w:rsidRDefault="001F7233">
      <w:pPr>
        <w:spacing w:line="220" w:lineRule="exact"/>
      </w:pPr>
    </w:p>
    <w:p w14:paraId="43C798B4" w14:textId="77777777" w:rsidR="001F7233" w:rsidRDefault="00000000">
      <w:pPr>
        <w:spacing w:after="140"/>
      </w:pPr>
      <w:r>
        <w:t>Work-Life-Balance wird ernst genommen, gerade außer der Großstädte: Ein Nachmittag am Strand oder in den Bergen gilt als legitimer Grund, den Bürotag früher zu beenden, sofern die Arbeit erledigt ist. Das täuscht aber nicht darüber hinweg, dass Fachkräftemangel in vielen Berufen. Von der Landwirtschaft bis zur IT – reale Mehrbelastung bedeuten kann. „entspannt“ heißt nicht „wenig zu tun“.</w:t>
      </w:r>
    </w:p>
    <w:p w14:paraId="5B39F9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und Bewerbung in einem kleinen Land</w:t>
      </w:r>
    </w:p>
    <w:p w14:paraId="5A2FE63D" w14:textId="77777777" w:rsidR="001F7233" w:rsidRDefault="00000000">
      <w:pPr>
        <w:spacing w:after="140"/>
      </w:pPr>
      <w:r>
        <w:t>Mit rund 5,3 Millionen Einwohnern ist Neuseeland ein Land, in dem sich Branchen schnell als überschaubar erweisen: Wer in Christchurch oder Wellington in Ingenieurwesen, Landwirtschaft oder IT arbeitet, trifft früher oder später denselben Bekanntenkreis wieder, oft über zwei statt sechs Ecken. Das macht Networking wichtiger, als es die reine Stellenanzahl vermuten lässt. Ein guter Ruf reist hier schneller, als einem manchmal lieb ist und das gilt in beide Richtungen. Die wichtigsten Online-Jobbörsen sind Seek und TradeMe Jobs, ergänzt um LinkedIn, das inzwischen auch in Neuseeland Standard ist, wenn auch mit spürbar kleinerem Netzwerk als in Deutschland oder den USA.</w:t>
      </w:r>
    </w:p>
    <w:p w14:paraId="7AA08C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dem AEWV: was die Arbeitgeberbindung bedeutet</w:t>
      </w:r>
    </w:p>
    <w:p w14:paraId="7C418C81" w14:textId="77777777" w:rsidR="001F7233" w:rsidRDefault="00000000">
      <w:r>
        <w:rPr>
          <w:b/>
        </w:rPr>
        <w:t xml:space="preserve">ACHTUNG: </w:t>
      </w:r>
    </w:p>
    <w:p w14:paraId="79B831F6" w14:textId="77777777" w:rsidR="001F7233" w:rsidRDefault="00000000">
      <w:r>
        <w:t>• Kündige beim bisherigen Arbeitgeber nie, bevor die Variation of Conditions oder das neue AEWV tatsächlich genehmigt ist und arbeite nie schon „auf Zuruf“ für den neuen Arbeitgeber, solange die Genehmigung noch aussteht. Wer ohne gültige Erlaubnis für den neuen Arbeitgeber tätig wird, verstößt gegen seine Visumsbedingungen. Mit Risiko für Visum und künftige Anträge.</w:t>
      </w:r>
    </w:p>
    <w:p w14:paraId="2A61A95F" w14:textId="77777777" w:rsidR="001F7233" w:rsidRDefault="001F7233">
      <w:pPr>
        <w:spacing w:line="220" w:lineRule="exact"/>
      </w:pPr>
    </w:p>
    <w:p w14:paraId="7FAB76DA" w14:textId="77777777" w:rsidR="001F7233" w:rsidRDefault="00000000">
      <w:pPr>
        <w:spacing w:after="140"/>
      </w:pPr>
      <w:r>
        <w:t>Wenn du deine Stelle beim AEWV-Sponsor verlierst – etwa bei einer betriebsbedingten Kündigung oder während der ersten 90 Tage – kann das dein Visum beeinflussen. Es erlischt nicht automatisch mit dem Jobverlust; maßgeblich sind das eingetragene Ablaufdatum und die Bedingungen deines konkreten Visums. Du darfst nur in dem Job, für den Arbeitgeber und an dem Ort arbeiten, die darin stehen. Immigration New Zealand rät Betroffenen, sich frühzeitig zu melden und ihre Optionen zu klären. Für einen Wechsel können ein Job Change (Änderung der Visumsbedingungen) oder ein neues Visum erforderlich sein. Beginne nicht bei einem neuen Arbeitgeber, bevor die nötige Genehmigung vorliegt.</w:t>
      </w:r>
      <w:r/>
    </w:p>
    <w:p w14:paraId="6FFB8520" w14:textId="77777777" w:rsidR="001F7233" w:rsidRDefault="001F7233">
      <w:pPr>
        <w:spacing w:line="220" w:lineRule="exact"/>
      </w:pPr>
    </w:p>
    <w:p w14:paraId="1F2F0740" w14:textId="77777777" w:rsidR="001F7233" w:rsidRDefault="001F7233">
      <w:pPr>
        <w:spacing w:line="220" w:lineRule="exact"/>
      </w:pPr>
    </w:p>
    <w:p w14:paraId="6A35E8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und Verhandlung</w:t>
      </w:r>
    </w:p>
    <w:p w14:paraId="311272B0" w14:textId="77777777" w:rsidR="001F7233" w:rsidRDefault="00000000">
      <w:pPr>
        <w:spacing w:after="140"/>
      </w:pPr>
      <w:r>
        <w:t xml:space="preserve">Stellenanzeigen nennen meist ein Jahresgehalt oder einen Stundensatz; eine Neuseeland-spezifische Zusatzleistung wie Australiens Superannuation-Pflichtbeitrag gibt es nicht in dieser Form – die freiwillige </w:t>
      </w:r>
      <w:r>
        <w:rPr>
          <w:i/>
          <w:iCs/>
        </w:rPr>
        <w:t>KiwiSaver</w:t>
      </w:r>
      <w:r>
        <w:t xml:space="preserve">-Altersvorsorge (das staatlich geförderte Sparprogramm) wird meist erst im Gesamtpaket sichtbar, nicht immer schon in der Anzeige. Der neuseeländische Mindestlohn liegt seit dem 1. April 2026 bei 23,95 NZD pro Stunde; die meisten Fach- und Ingenieurstellen liegen deutlich darüber, orientiert am Markt und, bei AEWV-Stellen, zusätzlich an den Lohnschwellen der Einwanderungsbehörde (mehr dazu im </w:t>
      </w:r>
      <w:hyperlink w:anchor="tnz03">
        <w:r w:rsidR="001F7233">
          <w:rPr>
            <w:color w:val="0563C1"/>
            <w:u w:val="single"/>
          </w:rPr>
          <w:t>Kapitel zum Arbeitsweg in diesem Teil</w:t>
        </w:r>
      </w:hyperlink>
      <w:r>
        <w:t>). Gehaltsverhandlungen sind erwartet, laufen aber typisch neuseeländisch verhalten ab – frage aktiv nach der Spanne, statt eine Zahl vorzuschlagen, und sprich Zusatzleistungen wie KiwiSaver-Aufstockung oder Homeoffice-Tage ruhig an, wenn beim Grundgehalt wenig Spielraum bleibt.</w:t>
      </w:r>
    </w:p>
    <w:p w14:paraId="2BC69B3C" w14:textId="77777777" w:rsidR="001F7233" w:rsidRDefault="00000000">
      <w:r>
        <w:t>Geprüft werden praktische Eignung, Kommunikation, Zusammenarbeit und ob deine Beispiele zum tatsächlichen Arbeitsplatz passen. Antworte konkret und knapp: etwa eine Minute für den Einstieg, bis zu zwei Minuten für ein anspruchsvolles Beispiel. STAR hilft, die Geschichte nicht im Hintergrund zu verlieren. Verknüpfe deine Erfahrung mit der ausgeschriebenen Aufgabe und zeig, was du selbst getan und gelernt hast. Frag nach einem typischen Arbeitstag, Erfolgskriterien, dem Team und den nächsten Schritten. Kläre Arbeitsberechtigung, Starttermin und falls nötig den AEWV-Sponsor, bevor du annimmst, dass ein freundliches Gespräch schon ein Angebot ist.</w:t>
      </w:r>
    </w:p>
    <w:p w14:paraId="7D3E29B4" w14:textId="77777777" w:rsidR="001F7233" w:rsidRDefault="00000000">
      <w:pPr>
        <w:pStyle w:val="Heading3"/>
      </w:pPr>
      <w:r>
        <w:lastRenderedPageBreak/>
        <w:t>Vorstellungsgespräch: kurze, belegbare Antworten</w:t>
      </w:r>
    </w:p>
    <w:p w14:paraId="54D2E795" w14:textId="77777777" w:rsidR="001F7233" w:rsidRDefault="00000000">
      <w:pPr>
        <w:pStyle w:val="Heading3"/>
      </w:pPr>
      <w:bookmarkStart w:id="145" w:name="sponsor_nz"/>
      <w:r>
        <w:t>In Neuseeland akkreditierte Arbeitgeber finden</w:t>
      </w:r>
      <w:bookmarkEnd w:id="145"/>
    </w:p>
    <w:p w14:paraId="3A0B2F72" w14:textId="77777777" w:rsidR="001F7233" w:rsidRDefault="00000000">
      <w:r>
        <w:t xml:space="preserve">Suche nach Beruf plus „AEWV“ und prüfe die Firma in der </w:t>
      </w:r>
      <w:hyperlink r:id="rId1094">
        <w:r w:rsidR="001F7233">
          <w:rPr>
            <w:color w:val="0563C1"/>
            <w:u w:val="single"/>
          </w:rPr>
          <w:t>Liste akkreditierter Arbeitgeber</w:t>
        </w:r>
      </w:hyperlink>
      <w:r>
        <w:t xml:space="preserve">. Die Liste wird täglich aktualisiert; manche Firmen lassen ihren Namen nicht anzeigen. Frage sie dann direkt nach ihrem Akkreditierungsstatus. Für ein Accredited Employer Work Visa (AEWV) muss auch die konkrete Stelle den Job Check bestehen. </w:t>
      </w:r>
      <w:hyperlink r:id="rId1095">
        <w:r w:rsidR="001F7233">
          <w:rPr>
            <w:color w:val="0563C1"/>
            <w:u w:val="single"/>
          </w:rPr>
          <w:t>Immigration New Zealand erklärt beide Schritte</w:t>
        </w:r>
      </w:hyperlink>
      <w:r>
        <w:t>. Eine akkreditierte Firma garantiert weder, dass genau diese Stelle offen ist, noch dass dein Visumantrag bewilligt wird. Zahle nicht für ein Jobangebot.</w:t>
      </w:r>
    </w:p>
    <w:p w14:paraId="5A280C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Arbeitswelt und Jobwechsel</w:t>
      </w:r>
    </w:p>
    <w:p w14:paraId="4D8656CB" w14:textId="77777777" w:rsidR="001F7233" w:rsidRDefault="00000000">
      <w:r>
        <w:rPr>
          <w:b/>
        </w:rPr>
        <w:t>Plus: Ein einziges, landesweit einheitliches Arbeitsrecht ohne föderale Verwirrung</w:t>
      </w:r>
    </w:p>
    <w:p w14:paraId="35BC7546" w14:textId="77777777" w:rsidR="001F7233" w:rsidRDefault="00000000">
      <w:r>
        <w:rPr>
          <w:b/>
        </w:rPr>
        <w:t xml:space="preserve">Minus: </w:t>
      </w:r>
      <w:r>
        <w:t>Vier Wochen Urlaub sind das gesetzliche Minimum, kein branchenüblicher Standard darüber</w:t>
      </w:r>
    </w:p>
    <w:p w14:paraId="19EBDBDE" w14:textId="77777777" w:rsidR="001F7233" w:rsidRDefault="00000000">
      <w:r>
        <w:rPr>
          <w:b/>
        </w:rPr>
        <w:t>Plus: Personal-Grievance-Schutz gilt ab dem ersten Tag, ohne Wartezeit</w:t>
      </w:r>
    </w:p>
    <w:p w14:paraId="085E9A89" w14:textId="77777777" w:rsidR="001F7233" w:rsidRDefault="00000000">
      <w:r>
        <w:rPr>
          <w:b/>
        </w:rPr>
        <w:t xml:space="preserve">Minus: </w:t>
      </w:r>
      <w:r>
        <w:t>Seit Ende 2023 kann jeder Arbeitgeber eine 90-Tage-Probezeit ohne Kündigungsschutz nutzen</w:t>
      </w:r>
    </w:p>
    <w:p w14:paraId="305B26CD" w14:textId="77777777" w:rsidR="001F7233" w:rsidRDefault="00000000">
      <w:r>
        <w:rPr>
          <w:b/>
        </w:rPr>
        <w:t>Plus: Informelle, konfliktarme Arbeitskultur mit echter Work-Life-Balance</w:t>
      </w:r>
    </w:p>
    <w:p w14:paraId="33EC66AF" w14:textId="77777777" w:rsidR="001F7233" w:rsidRDefault="00000000">
      <w:r>
        <w:rPr>
          <w:b/>
        </w:rPr>
        <w:t xml:space="preserve">Minus: </w:t>
      </w:r>
      <w:r>
        <w:t>Keine gesetzliche Abfindungspflicht bei betriebsbedingter Kündigung</w:t>
      </w:r>
    </w:p>
    <w:p w14:paraId="0F2C03BF" w14:textId="77777777" w:rsidR="001F7233" w:rsidRDefault="00000000">
      <w:r>
        <w:rPr>
          <w:b/>
        </w:rPr>
        <w:t>Plus: SMC- und Green-List-Tier-1-Visa machen von Anfang an frei von jeder Arbeitgeberbindung</w:t>
      </w:r>
    </w:p>
    <w:p w14:paraId="26986465" w14:textId="77777777" w:rsidR="001F7233" w:rsidRDefault="00000000">
      <w:r>
        <w:rPr>
          <w:b/>
        </w:rPr>
        <w:t xml:space="preserve">Minus: </w:t>
      </w:r>
      <w:r>
        <w:t>Beim AEWV bindet dich das Visum an einen einzelnen Arbeitgeber und eine einzelne Stelle</w:t>
      </w:r>
    </w:p>
    <w:p w14:paraId="3F503E66" w14:textId="77777777" w:rsidR="001F7233" w:rsidRDefault="00000000">
      <w:r>
        <w:rPr>
          <w:b/>
        </w:rPr>
        <w:lastRenderedPageBreak/>
        <w:t>Plus: Kostenlose, gut erreichbare Beratung über Employment New Zealand</w:t>
      </w:r>
    </w:p>
    <w:p w14:paraId="0476A261" w14:textId="77777777" w:rsidR="001F7233" w:rsidRDefault="00000000">
      <w:r>
        <w:rPr>
          <w:b/>
        </w:rPr>
        <w:t xml:space="preserve">Minus: </w:t>
      </w:r>
      <w:r>
        <w:t>Ein Arbeitgeberwechsel beim AEWV braucht Zeit: Akkreditierung und Job Check zuerst</w:t>
      </w:r>
    </w:p>
    <w:p w14:paraId="5640161D" w14:textId="77777777" w:rsidR="001F7233" w:rsidRDefault="00000000">
      <w:r>
        <w:rPr>
          <w:b/>
        </w:rPr>
        <w:t>Plus: Kleines Land, enge Branchennetzwerke erleichtern die Jobsuche über Empfehlungen</w:t>
      </w:r>
    </w:p>
    <w:p w14:paraId="739D3D2F" w14:textId="77777777" w:rsidR="001F7233" w:rsidRDefault="00000000">
      <w:r>
        <w:rPr>
          <w:b/>
        </w:rPr>
        <w:t xml:space="preserve">Minus: </w:t>
      </w:r>
      <w:r>
        <w:t>Derselbe kleine Kreis macht einen schlechten Ruf ebenso schnell bekannt wie einen guten</w:t>
      </w:r>
    </w:p>
    <w:p w14:paraId="72412E6E" w14:textId="77777777" w:rsidR="001F7233" w:rsidRDefault="001F7233">
      <w:pPr>
        <w:spacing w:line="180" w:lineRule="exact"/>
      </w:pPr>
    </w:p>
    <w:p w14:paraId="499F23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926A017" w14:textId="77777777" w:rsidR="001F7233" w:rsidRDefault="00000000">
      <w:pPr>
        <w:spacing w:after="140"/>
      </w:pPr>
      <w:r>
        <w:t>Lies deinen Arbeitsvertrag genau, bevor du unterschreibst und kläre vor allem, ob eine 90-Tage-Probezeit vereinbart ist. Bist du auf einem AEWV, plane jeden Arbeitgeberwechsel als Verwaltungsvorgang mit mehreren Wochen Vorlauf, nicht als spontane Entscheidung: Akkreditierung und Job Check des neuen Arbeitgebers zuerst, eigene Genehmigung danach, Kündigung beim alten Arbeitgeber erst zum Schluss.</w:t>
      </w:r>
    </w:p>
    <w:p w14:paraId="59D892EE" w14:textId="77777777" w:rsidR="001F7233" w:rsidRDefault="00000000">
      <w:r>
        <w:t>• Arbeitsvertrag auf Probezeit-Klausel, Kündigungsfrist und Urlaubsregelung geprüft, bevor unterschrieben wird.</w:t>
      </w:r>
    </w:p>
    <w:p w14:paraId="6489A8F9" w14:textId="77777777" w:rsidR="001F7233" w:rsidRDefault="00000000">
      <w:r>
        <w:t>• Geklärt, ob und wann die 90-Tage-Trial-Period für die eigene Stelle gilt.</w:t>
      </w:r>
    </w:p>
    <w:p w14:paraId="1024439C" w14:textId="77777777" w:rsidR="001F7233" w:rsidRDefault="00000000">
      <w:r>
        <w:t>• Eigenen Visumstyp gekannt: arbeitgebergebunden (AEWV) oder frei (SMC-Resident-Visa, Green-List-Tier-1).</w:t>
      </w:r>
    </w:p>
    <w:p w14:paraId="5A426168" w14:textId="77777777" w:rsidR="001F7233" w:rsidRDefault="00000000">
      <w:r>
        <w:t>• Bei geplantem Arbeitgeberwechsel: Akkreditierungsstatus des neuen Arbeitgebers und Bearbeitungszeit für den Job Check realistisch eingeplant.</w:t>
      </w:r>
    </w:p>
    <w:p w14:paraId="3F9FB34A" w14:textId="77777777" w:rsidR="001F7233" w:rsidRDefault="00000000">
      <w:r>
        <w:t>• Erst gekündigt, wenn die Variation of Conditions oder das neue AEWV tatsächlich genehmigt ist.</w:t>
      </w:r>
    </w:p>
    <w:p w14:paraId="6CADF5EC" w14:textId="77777777" w:rsidR="001F7233" w:rsidRDefault="00000000">
      <w:r>
        <w:t>• Zwei bis drei Referees vorbereitet und um Erlaubnis gefragt, bevor sie angegeben werden.</w:t>
      </w:r>
    </w:p>
    <w:p w14:paraId="68C048FB" w14:textId="77777777" w:rsidR="001F7233" w:rsidRDefault="00000000">
      <w:r>
        <w:t>• CV und LinkedIn-Profil auf neuseeländisches Format gebracht (kein Foto, kein Geburtsdatum).</w:t>
      </w:r>
    </w:p>
    <w:p w14:paraId="33BCB4E7" w14:textId="77777777" w:rsidR="001F7233" w:rsidRDefault="00000000">
      <w:r>
        <w:lastRenderedPageBreak/>
        <w:t>• Bei Unsicherheiten kostenlos bei Employment New Zealand oder den Employment Mediation Services nachgefragt.</w:t>
      </w:r>
    </w:p>
    <w:p w14:paraId="6974D516" w14:textId="77777777" w:rsidR="001F7233" w:rsidRDefault="001F7233">
      <w:pPr>
        <w:spacing w:line="220" w:lineRule="exact"/>
      </w:pPr>
    </w:p>
    <w:p w14:paraId="421F9E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1681ED" w14:textId="77777777" w:rsidR="001F7233" w:rsidRDefault="00000000">
      <w:pPr>
        <w:pStyle w:val="ListParagraph"/>
        <w:numPr>
          <w:ilvl w:val="0"/>
          <w:numId w:val="1"/>
        </w:numPr>
        <w:spacing w:after="60"/>
      </w:pPr>
      <w:r>
        <w:t xml:space="preserve">Employment New Zealand (MBIE) – Employment Relations Act, Holidays Act, Musterverträge, Beratung: </w:t>
      </w:r>
      <w:hyperlink r:id="rId1096">
        <w:r w:rsidR="001F7233">
          <w:rPr>
            <w:color w:val="0563C1"/>
            <w:u w:val="single"/>
          </w:rPr>
          <w:t>employment.govt.nz</w:t>
        </w:r>
      </w:hyperlink>
    </w:p>
    <w:p w14:paraId="44833458" w14:textId="77777777" w:rsidR="001F7233" w:rsidRDefault="00000000">
      <w:pPr>
        <w:pStyle w:val="ListParagraph"/>
        <w:numPr>
          <w:ilvl w:val="0"/>
          <w:numId w:val="1"/>
        </w:numPr>
        <w:spacing w:after="60"/>
      </w:pPr>
      <w:r>
        <w:t xml:space="preserve">Employment New Zealand – 90-Day Trial Periods: </w:t>
      </w:r>
      <w:hyperlink r:id="rId1097">
        <w:r w:rsidR="001F7233">
          <w:rPr>
            <w:color w:val="0563C1"/>
            <w:u w:val="single"/>
          </w:rPr>
          <w:t>employment.govt.nz/starting-employment/trial-periods</w:t>
        </w:r>
      </w:hyperlink>
    </w:p>
    <w:p w14:paraId="787BE63D" w14:textId="77777777" w:rsidR="001F7233" w:rsidRDefault="00000000">
      <w:pPr>
        <w:pStyle w:val="ListParagraph"/>
        <w:numPr>
          <w:ilvl w:val="0"/>
          <w:numId w:val="1"/>
        </w:numPr>
        <w:spacing w:after="60"/>
      </w:pPr>
      <w:r>
        <w:t xml:space="preserve">Employment Relations Authority – Verfahren bei Personal Grievance: </w:t>
      </w:r>
      <w:hyperlink r:id="rId1098">
        <w:r w:rsidR="001F7233">
          <w:rPr>
            <w:color w:val="0563C1"/>
            <w:u w:val="single"/>
          </w:rPr>
          <w:t>era.govt.nz</w:t>
        </w:r>
      </w:hyperlink>
    </w:p>
    <w:p w14:paraId="443C9CEF" w14:textId="77777777" w:rsidR="001F7233" w:rsidRDefault="00000000">
      <w:pPr>
        <w:pStyle w:val="ListParagraph"/>
        <w:numPr>
          <w:ilvl w:val="0"/>
          <w:numId w:val="1"/>
        </w:numPr>
        <w:spacing w:after="60"/>
      </w:pPr>
      <w:r>
        <w:t xml:space="preserve">Immigration New Zealand – Accredited Employer Work Visa, Job Check, Variation of Conditions: </w:t>
      </w:r>
      <w:hyperlink r:id="rId1099">
        <w:r w:rsidR="001F7233">
          <w:rPr>
            <w:color w:val="0563C1"/>
            <w:u w:val="single"/>
          </w:rPr>
          <w:t>immigration.govt.nz/visas/accredited-employer-work-visa</w:t>
        </w:r>
      </w:hyperlink>
    </w:p>
    <w:p w14:paraId="645D5084" w14:textId="77777777" w:rsidR="001F7233" w:rsidRDefault="00000000">
      <w:pPr>
        <w:pStyle w:val="ListParagraph"/>
        <w:numPr>
          <w:ilvl w:val="0"/>
          <w:numId w:val="1"/>
        </w:numPr>
        <w:spacing w:after="60"/>
      </w:pPr>
      <w:r>
        <w:t xml:space="preserve">New Zealand Legislation – Employment Relations (Trial Periods) Amendment Act 2023: </w:t>
      </w:r>
      <w:hyperlink r:id="rId1100">
        <w:r w:rsidR="001F7233">
          <w:rPr>
            <w:color w:val="0563C1"/>
            <w:u w:val="single"/>
          </w:rPr>
          <w:t>legislation.govt.nz</w:t>
        </w:r>
      </w:hyperlink>
    </w:p>
    <w:p w14:paraId="6AE6D408" w14:textId="77777777" w:rsidR="001F7233" w:rsidRDefault="00000000">
      <w:pPr>
        <w:pStyle w:val="ListParagraph"/>
        <w:numPr>
          <w:ilvl w:val="0"/>
          <w:numId w:val="1"/>
        </w:numPr>
        <w:spacing w:after="60"/>
      </w:pPr>
      <w:r>
        <w:t xml:space="preserve">Seek New Zealand / TradeMe Jobs – Stellenbörsen: </w:t>
      </w:r>
      <w:hyperlink r:id="rId1101">
        <w:r w:rsidR="001F7233">
          <w:rPr>
            <w:color w:val="0563C1"/>
            <w:u w:val="single"/>
          </w:rPr>
          <w:t>seek.co.nz</w:t>
        </w:r>
      </w:hyperlink>
      <w:r>
        <w:t xml:space="preserve">, </w:t>
      </w:r>
      <w:hyperlink r:id="rId1102">
        <w:r w:rsidR="001F7233">
          <w:rPr>
            <w:color w:val="0563C1"/>
            <w:u w:val="single"/>
          </w:rPr>
          <w:t>trademe.co.nz/jobs</w:t>
        </w:r>
      </w:hyperlink>
    </w:p>
    <w:p w14:paraId="34612F51" w14:textId="77777777" w:rsidR="001F7233" w:rsidRDefault="001F7233">
      <w:pPr>
        <w:spacing w:line="120" w:lineRule="exact"/>
      </w:pPr>
    </w:p>
    <w:p w14:paraId="0F610C5F" w14:textId="77777777" w:rsidR="001F7233" w:rsidRDefault="00000000">
      <w:pPr>
        <w:pStyle w:val="ListParagraph"/>
      </w:pPr>
      <w:r>
        <w:t xml:space="preserve">Careers New Zealand — Prepare for a job interview: </w:t>
      </w:r>
      <w:hyperlink r:id="rId1103">
        <w:r w:rsidR="001F7233">
          <w:rPr>
            <w:rStyle w:val="Hyperlink"/>
          </w:rPr>
          <w:t>careers.govt.nz/job-hunting/finding-work/prepare-for-an-interview/</w:t>
        </w:r>
      </w:hyperlink>
    </w:p>
    <w:p w14:paraId="1924591A" w14:textId="77777777" w:rsidR="001F7233" w:rsidRDefault="00000000">
      <w:r>
        <w:t xml:space="preserve">• 23.09.2026. Diese Angaben ändern sich schnell: der Mindestlohn wird jeweils zum 1. April angepasst, AEWV-Lohnschwellen und Bearbeitungszeiten laufend, und die Details der 90-Tage-Probezeit werden seit ihrer Ausweitung Ende 2023 weiterhin durch Gerichtsentscheidungen geschärft. Prüfe vor jeder Entscheidung </w:t>
      </w:r>
      <w:hyperlink r:id="rId1104">
        <w:r w:rsidR="001F7233">
          <w:rPr>
            <w:color w:val="0563C1"/>
            <w:u w:val="single"/>
          </w:rPr>
          <w:t>employment.govt.nz</w:t>
        </w:r>
      </w:hyperlink>
      <w:r>
        <w:t xml:space="preserve"> und </w:t>
      </w:r>
      <w:hyperlink r:id="rId1105">
        <w:r w:rsidR="001F7233">
          <w:rPr>
            <w:color w:val="0563C1"/>
            <w:u w:val="single"/>
          </w:rPr>
          <w:t>immigration.govt.nz</w:t>
        </w:r>
      </w:hyperlink>
      <w:r>
        <w:t>.</w:t>
      </w:r>
    </w:p>
    <w:p w14:paraId="227B03F4" w14:textId="77777777" w:rsidR="001F7233" w:rsidRDefault="00000000">
      <w:pPr>
        <w:spacing w:line="220" w:lineRule="exact"/>
      </w:pPr>
      <w:r>
        <w:br w:type="page"/>
      </w:r>
    </w:p>
    <w:p w14:paraId="64536262" w14:textId="77777777" w:rsidR="001F7233" w:rsidRDefault="00000000">
      <w:pPr>
        <w:pStyle w:val="Heading2"/>
        <w:keepNext/>
        <w:spacing w:line="341" w:lineRule="auto"/>
        <w:jc w:val="center"/>
      </w:pPr>
      <w:bookmarkStart w:id="146" w:name="tnz15"/>
      <w:r>
        <w:rPr>
          <w:rFonts w:ascii="Amazon Ember" w:eastAsia="Amazon Ember" w:hAnsi="Amazon Ember" w:cs="Amazon Ember"/>
          <w:color w:val="0000FF"/>
          <w:sz w:val="36"/>
          <w:szCs w:val="36"/>
        </w:rPr>
        <w:lastRenderedPageBreak/>
        <w:t>Neuseeland: Recht, Sicherheit und Polizeikontakt</w:t>
      </w:r>
      <w:bookmarkEnd w:id="146"/>
    </w:p>
    <w:p w14:paraId="6DF23306" w14:textId="77777777" w:rsidR="001F7233" w:rsidRDefault="00000000">
      <w:r>
        <w:rPr>
          <w:b/>
        </w:rPr>
        <w:t xml:space="preserve">KURZ GESAGT: </w:t>
      </w:r>
    </w:p>
    <w:p w14:paraId="7F9C5CD2" w14:textId="77777777" w:rsidR="001F7233" w:rsidRDefault="00000000">
      <w:r>
        <w:t>• Die neuseeländische Polizei patrouilliert im Regelbetrieb unbewaffnet. Eine bewusste, öffentlich immer wieder bestätigte Entscheidung, keine Ausnahme.</w:t>
      </w:r>
    </w:p>
    <w:p w14:paraId="2CA1D701" w14:textId="77777777" w:rsidR="001F7233" w:rsidRDefault="00000000">
      <w:r>
        <w:t>• Verdachtsunabhängige Alkoholkontrollen im Straßenverkehr sind seit Langem Alltag; seit dem landesweiten Rollout zum 1. Juli 2026 kommen ebenso verdachtsunabhängige Drogen-Speicheltests hinzu.</w:t>
      </w:r>
    </w:p>
    <w:p w14:paraId="57C21ECC" w14:textId="77777777" w:rsidR="001F7233" w:rsidRDefault="00000000">
      <w:r>
        <w:t>Nach der Verschärfung infolge des Anschlags von 2019 trat am 23. September 2026 der Arms Act 2026 weitgehend in Kraft. Das Gesetz richtet mit Firearms Safety and Education New Zealand (FSE) eine autonome Aufsichtsbehörde ein, die bei der Polizei angesiedelt ist.</w:t>
      </w:r>
    </w:p>
    <w:p w14:paraId="4D24655B" w14:textId="77777777" w:rsidR="001F7233" w:rsidRDefault="00000000">
      <w:r>
        <w:t>• Cannabis bleibt trotz eines knapp gescheiterten Referendums 2020 im ganzen Land illegal. Anders als in Teilen Australiens gibt es keinen regionalen Sonderfall.</w:t>
      </w:r>
    </w:p>
    <w:p w14:paraId="08512775" w14:textId="77777777" w:rsidR="001F7233" w:rsidRDefault="00000000">
      <w:r>
        <w:t>• Erdbeben sind eine reale, wiederkehrende Gefahr: Die staatliche Grundversicherung Toka Tū Ake/EQC deckt die ersten 300.000 NZD Gebäudeschaden, ersetzt aber keine private Police.</w:t>
      </w:r>
    </w:p>
    <w:p w14:paraId="2C636D5A" w14:textId="77777777" w:rsidR="001F7233" w:rsidRDefault="00000000">
      <w:r>
        <w:t>• Neuseeland liegt auf einer aktiven Vulkanzone. Von Auckland bis zum Tongariro-Nationalpark wird das Risiko laufend über GeoNet überwacht.</w:t>
      </w:r>
    </w:p>
    <w:p w14:paraId="7D66D1DC" w14:textId="77777777" w:rsidR="001F7233" w:rsidRDefault="001F7233">
      <w:pPr>
        <w:spacing w:line="220" w:lineRule="exact"/>
      </w:pPr>
    </w:p>
    <w:p w14:paraId="6C8DDF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Kürze</w:t>
      </w:r>
    </w:p>
    <w:p w14:paraId="19C9F7E4" w14:textId="77777777" w:rsidR="001F7233" w:rsidRDefault="00000000">
      <w:pPr>
        <w:spacing w:after="140"/>
      </w:pPr>
      <w:r>
        <w:rPr>
          <w:i/>
          <w:iCs/>
        </w:rPr>
        <w:t xml:space="preserve">Neuseeland folgt wie Großbritannien dem Common Law (Fallrecht, das stark auf Präzedenzfällen und Richterrecht aufbaut). Anders als in den Länderkapiteln zu den USA, Kanada und Australien in diesem Buch musst du dir hier keine 50 oder mehr Rechtsordnungen merken: </w:t>
      </w:r>
      <w:r>
        <w:rPr>
          <w:i/>
          <w:iCs/>
        </w:rPr>
        <w:lastRenderedPageBreak/>
        <w:t>Neuseeland hat kein föderales System, sondern ein einziges, landesweit einheitliches Straf-, Polizei- und Verkehrsrecht. Zivil- und Strafsachen durchlaufen das District Court (Amts- und Landgericht in einem), bei schwereren Fällen das High Court, in der Berufung das Court of Appeal und zuletzt das Supreme Court (den obersten Gerichtshof) – der erst seit dem 1. Januar 2004 die letzte Instanz bildet. Davor musste ein letztes Rechtsmittel formell beim Privy Council in London eingelegt werden. Ein hübsches Detail, das zeigt, wie jung Neuseelands vollständige rechtliche Eigenständigkeit tatsächlich ist.</w:t>
      </w:r>
    </w:p>
    <w:p w14:paraId="7437A0CB" w14:textId="77777777" w:rsidR="001F7233" w:rsidRDefault="00000000">
      <w:pPr>
        <w:spacing w:after="140"/>
      </w:pPr>
      <w:r>
        <w:rPr>
          <w:i/>
          <w:iCs/>
        </w:rPr>
        <w:t>Ebenso einheitlich ist die Polizei organisiert: New Zealand Police ist die einzige Polizeibehörde des Landes, es gibt keine parallelen Bundesstaaten- oder Provinzpolizeien wie in Australien oder Kanada. Für dich als Neuankömmling bedeutet das: Die Regeln, die du in Auckland lernst, gelten unverändert in Christchurch oder Wellington.</w:t>
      </w:r>
    </w:p>
    <w:p w14:paraId="15208A14" w14:textId="77777777" w:rsidR="001F7233" w:rsidRDefault="00000000">
      <w:pPr>
        <w:pStyle w:val="Heading4"/>
      </w:pPr>
      <w:r>
        <w:t>Betrugsanrufe und Dating-Profile: lokal melden</w:t>
      </w:r>
    </w:p>
    <w:p w14:paraId="1C5DDE56" w14:textId="77777777" w:rsidR="001F7233" w:rsidRDefault="00000000">
      <w:r>
        <w:t xml:space="preserve">In Neuseeland können Nummer und Identität vorgetäuscht sein. Teile keine Sicherheitscodes und ruf die Organisation über ihre offizielle Website zurück. Telefon- und Online-Scams meldest du Netsafe; bei konkretem Straftatverdacht oder Geldverlust kannst du zusätzlich Police 105 kontaktieren. Nach einer Zahlung sofort die Bank anrufen und Nachrichten sowie Belege sichern. Quellen: </w:t>
      </w:r>
      <w:hyperlink r:id="rId1106">
        <w:r w:rsidR="001F7233">
          <w:rPr>
            <w:color w:val="0563C1"/>
            <w:u w:val="single"/>
          </w:rPr>
          <w:t>DIA: Betrug melden</w:t>
        </w:r>
      </w:hyperlink>
      <w:r>
        <w:t xml:space="preserve"> | </w:t>
      </w:r>
      <w:hyperlink r:id="rId1107">
        <w:r w:rsidR="001F7233">
          <w:rPr>
            <w:color w:val="0563C1"/>
            <w:u w:val="single"/>
          </w:rPr>
          <w:t>Netsafe: Romance-Scams</w:t>
        </w:r>
      </w:hyperlink>
    </w:p>
    <w:p w14:paraId="58273E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unbewaffnet, aber nicht beliebig</w:t>
      </w:r>
    </w:p>
    <w:p w14:paraId="7487CE0E" w14:textId="77777777" w:rsidR="001F7233" w:rsidRDefault="00000000">
      <w:pPr>
        <w:spacing w:after="140"/>
      </w:pPr>
      <w:r>
        <w:rPr>
          <w:i/>
          <w:iCs/>
        </w:rPr>
        <w:t>New Zealand Police gehört zu den wenigen Polizeikräften der OECD, die im Regelbetrieb unbewaffnet arbeiten. Wie ernst das Land diese Grundhaltung nimmt, zeigte ein Versuch zwischen Oktober 2019 und April 2020: Nach den Anschlägen von Christchurch testete die Polizei in einigen Regionen durchgehend bewaffnete Armed Response Teams (ART). Nach öffentlichem Widerstand beendete sie das Pilotprojekt. Sie begründete dies damit, die Polizei solle „im Wesentlichen ein unbewaffneter Dienst“ bleiben.</w:t>
      </w:r>
      <w:r>
        <w:rPr>
          <w:i/>
          <w:iCs/>
        </w:rPr>
      </w:r>
    </w:p>
    <w:p w14:paraId="18F8ED45" w14:textId="77777777" w:rsidR="001F7233" w:rsidRDefault="00000000">
      <w:pPr>
        <w:spacing w:after="140"/>
      </w:pPr>
      <w:r>
        <w:rPr>
          <w:i/>
          <w:iCs/>
        </w:rPr>
        <w:t>Verdachtsunabhängige Alkoholkontrollen (Compulsory Breath Testing, CBT) sind seit Jahrzehnten Alltag: Ein Beamter darf jeden Fahrer jederzeit anhalten und pusten lassen, ganz ohne Anfangsverdacht. Ähnlich wie in Australien, nur ohne den dortigen Spitznamen „Booze Bus“. Der Grenzwert liegt für Fahrer ab 20 Jahren bei 250 Mikrogramm Alkohol pro Liter Atemluft oder 50 Milligramm pro 100 Milliliter Blut; unter 20 Jahren gilt eine Nullgrenze. Seit dem landesweiten Rollout zum 1. Juli 2026 (zuvor als Pilotprojekt in Wellington getestet) kommt ein zweites, ebenfalls verdachtsunabhängiges Verfahren hinzu: ein Speicheltest auf die vier Substanzen THC (Cannabis), Methamphetamin, MDMA und Kokain, mit einem zweiten Test bei einem positiven Ergebnis. Verhalte dich bei jeder dieser Kontrollen wie bei einer normalen Verkehrskontrolle: rechts ranfahren, Motor aus, Führerschein bereithalten, freundlich bleiben. Der Test selbst dauert meist nur wenige Minuten.</w:t>
      </w:r>
    </w:p>
    <w:p w14:paraId="20B31F0C" w14:textId="77777777" w:rsidR="001F7233" w:rsidRDefault="00000000">
      <w:r>
        <w:rPr>
          <w:b/>
        </w:rPr>
        <w:t xml:space="preserve">ACHTUNG: </w:t>
      </w:r>
    </w:p>
    <w:p w14:paraId="12BAE4EE" w14:textId="77777777" w:rsidR="001F7233" w:rsidRDefault="00000000">
      <w:r>
        <w:t>• Auch mit ärztlichem Rezept für medizinisches Cannabis schützt dich das nicht automatisch beim Fahren. Der Speicheltest weist die Substanz nach, nicht die tatsächliche Beeinträchtigung. Ein positives Ergebnis kann unabhängig vom Rezept rechtliche Folgen haben.</w:t>
      </w:r>
    </w:p>
    <w:p w14:paraId="26ED4293" w14:textId="77777777" w:rsidR="001F7233" w:rsidRDefault="001F7233">
      <w:pPr>
        <w:spacing w:line="220" w:lineRule="exact"/>
      </w:pPr>
    </w:p>
    <w:p w14:paraId="771FB9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Deine Rechte gegenüber der Polizei</w:t>
      </w:r>
    </w:p>
    <w:p w14:paraId="170EC60B" w14:textId="77777777" w:rsidR="001F7233" w:rsidRDefault="00000000">
      <w:pPr>
        <w:spacing w:after="140"/>
      </w:pPr>
      <w:r>
        <w:rPr>
          <w:i/>
          <w:iCs/>
        </w:rPr>
        <w:t>Der New Zealand Bill of Rights Act 1990 (die neuseeländische Grundrechtecharta) gilt für jeden im Land, unabhängig von der Staatsangehörigkeit. Er garantiert unter anderem das Recht, bei einer Festnahme oder Ingewahrsamnahme umgehend über den Grund informiert zu werden, das Recht auf einen Anwalt ohne Verzögerung sowie das Recht, darüber informiert zu werden. Ein allgemeines Schweigerecht gilt ebenfalls: Über deinen Namen sowie die bei einer Verkehrskontrolle gesetzlich verlangten Angaben (Führerschein, Fahrzeugpapiere) hinaus musst du nichts sagen. Eine Durchsuchung deiner Wohnung oder deines Fahrzeugs ohne konkreten Verdacht oder richterlichen Beschluss darfst du höflich ablehnen. „I do not consent to a search“ –, ohne dich körperlich zu widersetzen. Ob die Ablehnung Bestand hat, klärt im Zweifel ein Gericht. Das Filmen einer Polizeikontrolle in der Öffentlichkeit ist meist erlaubt, solange du die Diensthandlung nicht behinderst.</w:t>
      </w:r>
    </w:p>
    <w:p w14:paraId="2CD04261" w14:textId="77777777" w:rsidR="001F7233" w:rsidRDefault="00000000">
      <w:r>
        <w:rPr>
          <w:b/>
        </w:rPr>
        <w:t xml:space="preserve">MERKE: </w:t>
      </w:r>
    </w:p>
    <w:p w14:paraId="4C8F476C" w14:textId="77777777" w:rsidR="001F7233" w:rsidRDefault="00000000">
      <w:r>
        <w:t xml:space="preserve">• Neuseeland: Wenn die Polizei dich befragt, festhält oder verhaftet, darfst du nach dem Grund fragen. Bei Festnahme oder Haft darfst du ohne Verzögerung vertraulich mit einem Anwalt sprechen und eine Aussage verweigern. Bitte um anwaltlichen Rat, bevor du zu einem möglichen Vorwurf aussagst. Die Polizei veröffentlicht eine kompakte Rechteübersicht und eine Liste erreichbarer Strafverteidiger. </w:t>
      </w:r>
      <w:hyperlink r:id="rId1108">
        <w:r w:rsidR="001F7233">
          <w:rPr>
            <w:color w:val="0563C1"/>
            <w:u w:val="single"/>
          </w:rPr>
          <w:t>New Zealand Police: Your rights with Police</w:t>
        </w:r>
      </w:hyperlink>
      <w:r>
        <w:t>.</w:t>
      </w:r>
    </w:p>
    <w:p w14:paraId="2FB3DF50" w14:textId="77777777" w:rsidR="001F7233" w:rsidRDefault="001F7233">
      <w:pPr>
        <w:spacing w:line="220" w:lineRule="exact"/>
      </w:pPr>
    </w:p>
    <w:p w14:paraId="228ADB2D" w14:textId="77777777" w:rsidR="001F7233" w:rsidRDefault="00000000">
      <w:pPr>
        <w:spacing w:after="140"/>
      </w:pPr>
      <w:r>
        <w:t>Bei einer Festnahme hast du auch als deutscher Staatsangehöriger das Recht, mit einem Konsularbeamten zu sprechen. Verlange das ausdrücklich, es wird nicht überall automatisch angeboten. Sprichst du kein ausreichendes Englisch, steht dir bei einer polizeilichen Befragung ein Dolmetscher zu. Nenne wie in jedem Rechtssystem nur Namen, Adresse und den Wunsch nach einem Anwalt, mehr nicht, bis dieser da ist.</w:t>
      </w:r>
    </w:p>
    <w:p w14:paraId="440722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nach Christchurch verschärft, 2026 neu geordnet</w:t>
      </w:r>
    </w:p>
    <w:p w14:paraId="60BF3662" w14:textId="77777777" w:rsidR="001F7233" w:rsidRDefault="00000000">
      <w:pPr>
        <w:spacing w:after="140"/>
      </w:pPr>
      <w:r>
        <w:rPr>
          <w:i/>
          <w:iCs/>
        </w:rPr>
        <w:t>Am 15. März 2019 tötete ein bewaffneter Angreifer bei einem Anschlag auf zwei Moscheen in Christchurch 51 Menschen. Neuseeland reagierte in ungewöhnlichem Tempo: In weniger Wochen verabschiedete das Parlament den Arms (Prohibited Firearms, Magazines, and Parts) Amendment Act 2019, der die meisten halbautomatischen „Military Style“-Waffen sowie bestimmte Pump-Action-Schrotflinten als verboten einstufte. In einem anschließenden Rückkaufprogramm gaben rund 33.000 Personen etwa 56.000 Waffen gegen Entschädigung ab.</w:t>
      </w:r>
    </w:p>
    <w:p w14:paraId="22964890" w14:textId="77777777" w:rsidR="001F7233" w:rsidRDefault="00000000">
      <w:pPr>
        <w:spacing w:after="140"/>
      </w:pPr>
      <w:r>
        <w:t>Das neuseeländische Lizenzsystem unterscheidet eine Standardlizenz der Kategorie A für die meisten Jagd- und Sportgewehre. Hinzu kommen vier Zusatz-Endorsements: B für den Besitz von Pistolen (nur für Mitglieder eines Schützenvereins und zur Nutzung auf zugelassenen Schießständen), C für Pistolen und weitere „restricted weapons“, D für Waffenhändler und Büchsenmacher sowie E für die wenigen noch erlaubten „Military Style Semi-Automatics“. Dazu zählen etwa Waffen für berufliche Schädlingsbekämpfung, Sammler oder bestimmte Sportschützen-Disziplinen.</w:t>
      </w:r>
    </w:p>
    <w:p w14:paraId="7A6A728F" w14:textId="77777777" w:rsidR="001F7233" w:rsidRDefault="00000000">
      <w:r>
        <w:rPr>
          <w:b/>
        </w:rPr>
        <w:t xml:space="preserve">ACHTUNG: </w:t>
      </w:r>
    </w:p>
    <w:p w14:paraId="60B9C545" w14:textId="77777777" w:rsidR="001F7233" w:rsidRDefault="00000000">
      <w:r>
        <w:t>Der Arms Act 2026 erhielt am 5. August 2026 die königliche Zustimmung; die meisten Bestimmungen traten am 23. September 2026 in Kraft. Er ersetzt die bisherige Firearms Safety Authority. Te Tari Pūreke, eine als eigener Geschäftsbereich geführte Einheit der Polizei. Durch Firearms Safety and Education New Zealand (FSE), eine autonome Aufsichtsbehörde, die bei der Polizei angesiedelt ist. Einzelne Übergangsfristen reichen bis 2028. Prüfe aktuelle Vorgaben direkt bei FSE und im Gesetz.</w:t>
      </w:r>
    </w:p>
    <w:p w14:paraId="51D1C281" w14:textId="77777777" w:rsidR="001F7233" w:rsidRDefault="001F7233">
      <w:pPr>
        <w:spacing w:line="220" w:lineRule="exact"/>
      </w:pPr>
    </w:p>
    <w:p w14:paraId="771FB1EA" w14:textId="77777777" w:rsidR="001F7233" w:rsidRDefault="00000000">
      <w:pPr>
        <w:spacing w:after="140"/>
      </w:pPr>
      <w:r>
        <w:lastRenderedPageBreak/>
        <w:t>Für dich als Neuankömmling bedeutet das in der Praxis meist wenig Berührung mit dem Thema: Fasse fremde Waffen bei Einladungen zur Jagd oder zum Sportschießen nicht ohne Weiteres an, leihe keine aus, ohne selbst lizenziert zu sein. Aus Deutschland solltest du ohnehin keine Waffen mitbringen; die Einfuhr unterliegt eigenen, strengen Bestimmungen.</w:t>
      </w:r>
    </w:p>
    <w:p w14:paraId="15F96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nach dem Referendum weiterhin illegal</w:t>
      </w:r>
    </w:p>
    <w:p w14:paraId="1B5DC6D5" w14:textId="77777777" w:rsidR="001F7233" w:rsidRDefault="00000000">
      <w:pPr>
        <w:spacing w:after="140"/>
      </w:pPr>
      <w:r>
        <w:rPr>
          <w:i/>
          <w:iCs/>
        </w:rPr>
        <w:t>Am 17. Oktober 2020 stimmten die Neuseeländer in einem Referendum über die Legalisierung von Freizeit-Cannabis ab und lehnten sie denkbar knapp ab, mit 51,17 % Nein-Stimmen gegen 48,83 % Ja-Stimmen. Cannabis bleibt seither im ganzen Land ein Klasse-C-Betäubungsmittel nach dem Misuse of Drugs Act 1975 (dem zentralen Betäubungsmittelgesetz). Der Besitz zum Eigenkonsum kann theoretisch mit bis zu drei Monaten Haft oder einer Geldstrafe von bis zu 500 NZD geahndet werden.</w:t>
      </w:r>
    </w:p>
    <w:p w14:paraId="77A18FEC" w14:textId="77777777" w:rsidR="001F7233" w:rsidRDefault="00000000">
      <w:pPr>
        <w:spacing w:after="140"/>
      </w:pPr>
      <w:r>
        <w:rPr>
          <w:i/>
          <w:iCs/>
        </w:rPr>
        <w:t xml:space="preserve">Verbreiteter Irrtum: Wer aus dem Australien-Teil dieses Buches oder aus internationalen Nachrichten über das knappe Ergebnis weiß, nimmt manchmal an, Neuseeland habe eine ähnliche Grauzone wie das australische Hauptstadtterritorium ACT. Tatsächlich ist Cannabis, anders als in Australiens föderalem Flickenteppich, in Neuseeland einheitlich und ausnahmslos illegal. Es gibt keine Region mit eigener Sonderregel. Das ist auch strenger als der deutsche Rechtsstand: Seit dem deutschen Cannabisgesetz vom 1. April 2024 sind Besitz begrenzter Mengen und der Eigenanbau von bis zu drei Pflanzen erlaubt. Ein Maßstab, den du in Neuseeland komplett vergisst. Der Misuse of Drugs Amendment Act 2019 verpflichtet die Polizei zwar, bei geringen Mengen zum Eigenbedarf einen gesundheitsbasierten statt einen strafrechtlichen Ansatz zu erwägen. Das ist Ermessen im Einzelfall, keine Entkriminalisierung. Seit 2020 gibt es auch ein staatlich reguliertes Medizinalcannabis-Programm für ärztlich </w:t>
      </w:r>
      <w:r>
        <w:rPr>
          <w:i/>
          <w:iCs/>
        </w:rPr>
        <w:lastRenderedPageBreak/>
        <w:t>verschriebene Präparate, das mit dem allgemeinen Verbot nichts zu tun hat.</w:t>
      </w:r>
    </w:p>
    <w:p w14:paraId="0C1B59EE" w14:textId="77777777" w:rsidR="001F7233" w:rsidRDefault="00000000">
      <w:r>
        <w:rPr>
          <w:b/>
        </w:rPr>
        <w:t xml:space="preserve">ACHTUNG: </w:t>
      </w:r>
    </w:p>
    <w:p w14:paraId="1055C96B" w14:textId="77777777" w:rsidR="001F7233" w:rsidRDefault="00000000">
      <w:r>
        <w:t>• Seit dem landesweiten Rollout der Drogen-Speicheltests zum 1. Juli 2026 wird THC-Konsum im Straßenverkehr aktiv und verdachtsunabhängig kontrolliert. Ein positiver Test zieht dieselben Folgen nach sich wie bei anderen erfassten Substanzen. Unabhängig davon, ob eine tatsächliche Fahrbeeinträchtigung vorliegt.</w:t>
      </w:r>
    </w:p>
    <w:p w14:paraId="461CCC10" w14:textId="77777777" w:rsidR="001F7233" w:rsidRDefault="001F7233">
      <w:pPr>
        <w:spacing w:line="220" w:lineRule="exact"/>
      </w:pPr>
    </w:p>
    <w:p w14:paraId="59CD52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Erdbeben: Toka Tū Ake/EQC und die Alpine Fault</w:t>
      </w:r>
    </w:p>
    <w:p w14:paraId="34E3371E" w14:textId="77777777" w:rsidR="001F7233" w:rsidRDefault="00000000">
      <w:pPr>
        <w:spacing w:after="140"/>
      </w:pPr>
      <w:r>
        <w:t xml:space="preserve">Neuseeland liegt auf dem Pazifischen Feuerring, an der Grenze zweier tektonischer Platten – Erdbeben sind hier keine Ausnahme, sondern eingeplanter Alltag. Am 22. Februar 2011 traf ein Erdbeben der Stärke 6,3 die Region Christchurch und tötete 185 Menschen; es ist bis heute das Referenzereignis, an dem sich Vorsorge in Neuseeland orientiert (mehr zu Bauqualität und Versicherung im </w:t>
      </w:r>
      <w:hyperlink w:anchor="tnz09">
        <w:r w:rsidR="001F7233">
          <w:rPr>
            <w:color w:val="0563C1"/>
            <w:u w:val="single"/>
          </w:rPr>
          <w:t>Kapitel zum Wohnen in diesem Teil</w:t>
        </w:r>
      </w:hyperlink>
      <w:r>
        <w:t xml:space="preserve">). Auf der Südinsel kommt ein weiteres, gut erforschtes Risiko hinzu: die </w:t>
      </w:r>
      <w:r>
        <w:rPr>
          <w:i/>
          <w:iCs/>
        </w:rPr>
        <w:t>Alpine Fault</w:t>
      </w:r>
      <w:r>
        <w:t xml:space="preserve"> (die Alpen-Verwerfung entlang der Südalpen). Eine 2024 veröffentlichte Studie mehrerer neuseeländischer und internationaler Forschungseinrichtungen beziffert die Wahrscheinlichkeit eines schweren Bruchs mit einer Stärke von etwa 8 auf rund 75 % innerhalb der nächsten 50 Jahre – ein deutlich höherer Wert, als frühere Schätzungen annahmen. Das staatlich mitgetragene Vorsorgeprogramm </w:t>
      </w:r>
      <w:r>
        <w:rPr>
          <w:i/>
          <w:iCs/>
        </w:rPr>
        <w:t>AF8</w:t>
      </w:r>
      <w:r>
        <w:t xml:space="preserve"> bereitet Gemeinden auf der Südinsel gezielt auf ein solches Ereignis vor.</w:t>
      </w:r>
    </w:p>
    <w:p w14:paraId="0BC65756" w14:textId="77777777" w:rsidR="001F7233" w:rsidRDefault="00000000">
      <w:pPr>
        <w:spacing w:after="140"/>
      </w:pPr>
      <w:r>
        <w:t xml:space="preserve">Toka Tū Ake (Natural Hazards Commission, vormals Earthquake Commission) deckt bei anerkannten Schäden an einem Wohngebäude die ersten 300.000 NZD, sofern eine private Wohngebäudeversicherung mit Feuerschutz besteht. Die Umlage ist auf 480 NZD zuzüglich Mehrwertsteuer pro Jahr gedeckelt und wird über die private Police eingezogen. Weitere Hinweise: </w:t>
      </w:r>
      <w:hyperlink w:anchor="tnz09">
        <w:r w:rsidR="001F7233">
          <w:rPr>
            <w:color w:val="0563C1"/>
            <w:u w:val="single"/>
          </w:rPr>
          <w:t>Kapitel zum Wohnen in diesem Teil</w:t>
        </w:r>
      </w:hyperlink>
      <w:r>
        <w:t>.</w:t>
      </w:r>
    </w:p>
    <w:p w14:paraId="53114520" w14:textId="77777777" w:rsidR="001F7233" w:rsidRDefault="001F7233">
      <w:pPr>
        <w:spacing w:line="220" w:lineRule="exact"/>
      </w:pPr>
    </w:p>
    <w:p w14:paraId="5895B0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Vulkanrisiko: von Auckland bis Tongariro</w:t>
      </w:r>
    </w:p>
    <w:p w14:paraId="018E9007" w14:textId="77777777" w:rsidR="001F7233" w:rsidRDefault="00000000">
      <w:pPr>
        <w:spacing w:after="140"/>
      </w:pPr>
      <w:r>
        <w:rPr>
          <w:i/>
          <w:iCs/>
        </w:rPr>
        <w:t>Was viele Neuankömmlinge überrascht: Auch die größte Stadt des Landes liegt auf einem Vulkanfeld. Das Auckland Volcanic Field (Auckland-Vulkanfeld) umfasst rund 53 einzelne Vulkankegel unter und um die Stadt, darunter bekannte Wahrzeichen wie den Mount Eden oder Rangitoto Island. Letztere der jüngste und größte Kegel des Feldes, entstanden vor rund 600 Jahren. Das Feld gilt als ruhend, nicht als erloschen, und wird permanent überwacht.</w:t>
      </w:r>
    </w:p>
    <w:p w14:paraId="553818B6" w14:textId="77777777" w:rsidR="001F7233" w:rsidRDefault="00000000">
      <w:pPr>
        <w:spacing w:after="140"/>
      </w:pPr>
      <w:r>
        <w:rPr>
          <w:i/>
          <w:iCs/>
        </w:rPr>
        <w:t>GeoNet – das gemeinsame Erdbeben-, Vulkan- und Tsunami-Überwachungssystem von GNS Science, Toka Tū Ake und weiteren Behörden – beobachtet aktive und potenziell aktive Vulkane. Es ordnet ihre Aktivität auf einer sechsstufigen Volcanic Alert Level (VAL, Vulkan-Warnstufe) von 0 bis 5 ein. Stufe 0 steht für Ruhe ohne Unruhe; die Stufen 1 und 2 zeigen zunehmende vulkanische Unruhe an. Die Stufen 3 bis 5 bezeichnen einen tatsächlichen Ausbruch von geringer bis schwerer Intensität.</w:t>
      </w:r>
    </w:p>
    <w:p w14:paraId="6418D27C" w14:textId="77777777" w:rsidR="001F7233" w:rsidRDefault="00000000">
      <w:pPr>
        <w:spacing w:after="140"/>
      </w:pPr>
      <w:r>
        <w:rPr>
          <w:i/>
          <w:iCs/>
        </w:rPr>
        <w:t>Das aktivste Beispiel liegt vor der Küste: Whakaari/White Island, eine Insel rund 48 Kilometer vor der Bay of Plenty, ist Neuseelands aktivster Vulkan und war jahrzehntelang ein beliebtes Tourismusziel. Am 9. Dezember 2019 kam es dort zu einer plötzlichen Eruption, bei der 22 Menschen starben, die meisten von ihnen Touristen auf einer geführten Tour. Seither gelten deutlich strengere Auflagen für touristische Besuche aktiver Vulkangebiete im ganzen Land. Im Zentrum der Nordinsel überwacht GeoNet zudem laufend den Tongariro-</w:t>
      </w:r>
      <w:r>
        <w:rPr>
          <w:i/>
          <w:iCs/>
        </w:rPr>
        <w:lastRenderedPageBreak/>
        <w:t>Vulkankomplex mit dem Mount Ruapehu – hier ereignete sich am 24. Dezember 1953 eines der schwersten Unglücke der neuseeländischen Geschichte: Ein Lahar (ein Schlammstrom aus vulkanischem Material und Wasser, ausgelöst durch den Kraterseeausbruch des Ruapehu) riss bei Tangiwai eine Eisenbahnbrücke fort, kurz bevor ein Personenzug sie passierte; 151 Menschen starben.</w:t>
      </w:r>
    </w:p>
    <w:p w14:paraId="274FD895" w14:textId="77777777" w:rsidR="001F7233" w:rsidRDefault="001F7233">
      <w:pPr>
        <w:spacing w:line="220" w:lineRule="exact"/>
      </w:pPr>
    </w:p>
    <w:p w14:paraId="3D3497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Tsunami und Notfallausrüstung</w:t>
      </w:r>
    </w:p>
    <w:p w14:paraId="25A245DB" w14:textId="77777777" w:rsidR="001F7233" w:rsidRDefault="00000000">
      <w:pPr>
        <w:spacing w:after="140"/>
      </w:pPr>
      <w:r>
        <w:t xml:space="preserve">Für Küstenregionen gilt die Faustregel „Long or Strong, Get Gone“. Dauert ein Erdbeben länger als eine Minute oder kannst du kaum stehen, geh sofort zu Fuß oder mit dem Rad ins Hochland oder landeinwärts. Warte nicht auf eine offizielle Warnung. Weitere Hinweise: </w:t>
      </w:r>
      <w:hyperlink r:id="rId1109">
        <w:r w:rsidR="001F7233">
          <w:rPr>
            <w:color w:val="0563C1"/>
            <w:u w:val="single"/>
          </w:rPr>
          <w:t>getready.govt.nz</w:t>
        </w:r>
      </w:hyperlink>
      <w:r>
        <w:t>.</w:t>
      </w:r>
    </w:p>
    <w:p w14:paraId="5D5EB5CD" w14:textId="77777777" w:rsidR="001F7233" w:rsidRDefault="00000000">
      <w:pPr>
        <w:spacing w:after="140"/>
      </w:pPr>
      <w:r>
        <w:rPr>
          <w:i/>
          <w:iCs/>
        </w:rPr>
        <w:t>Ein Haushalts-Notfallset gehört in jeden neuseeländischen Haushalt: Wasser und haltbare Lebensmittel für mindestens drei Tage, Erste-Hilfe-Material, eine Taschenlampe mit Ersatzbatterien, ein batteriebetriebenes Radio, wichtige Dokumente in Kopie sowie etwas Bargeld, da Kartenzahlung bei einem Stromausfall ausfallen kann. Installiere auch die GeoNet-App für Erdbeben- und Vulkanwarnungen sowie das landesweite Notfall-Warnsystem Emergency Mobile Alert, das Warnungen direkt aufs Handy sendet.</w:t>
      </w:r>
    </w:p>
    <w:p w14:paraId="1571721C" w14:textId="77777777" w:rsidR="001F7233" w:rsidRDefault="00000000">
      <w:r>
        <w:rPr>
          <w:b/>
        </w:rPr>
        <w:t xml:space="preserve">SPARTIPP: </w:t>
      </w:r>
    </w:p>
    <w:p w14:paraId="3C336095" w14:textId="77777777" w:rsidR="001F7233" w:rsidRDefault="00000000">
      <w:r>
        <w:lastRenderedPageBreak/>
        <w:t xml:space="preserve">• Die Get-Ready-Website und die GeoNet-App sind kostenlos und auf Englisch leicht verständlich. Ein Notfallset lässt sich über Monate günstig selbst zusammenstellen, statt teure Fertig-Sets zu kaufen – die offizielle Checkliste von </w:t>
      </w:r>
      <w:hyperlink r:id="rId1110">
        <w:r w:rsidR="001F7233">
          <w:rPr>
            <w:color w:val="0563C1"/>
            <w:u w:val="single"/>
          </w:rPr>
          <w:t>getready.govt.nz</w:t>
        </w:r>
      </w:hyperlink>
      <w:r>
        <w:t xml:space="preserve"> zeigt genau, was hineingehört.</w:t>
      </w:r>
    </w:p>
    <w:p w14:paraId="1A0D07C0" w14:textId="77777777" w:rsidR="001F7233" w:rsidRDefault="001F7233">
      <w:pPr>
        <w:spacing w:line="220" w:lineRule="exact"/>
      </w:pPr>
    </w:p>
    <w:p w14:paraId="00EF1F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w:t>
      </w:r>
    </w:p>
    <w:p w14:paraId="709847AA" w14:textId="77777777" w:rsidR="001F7233" w:rsidRDefault="00000000">
      <w:pPr>
        <w:spacing w:after="140"/>
      </w:pPr>
      <w:r>
        <w:t xml:space="preserve">Neuseelands Großstädte gehören im internationalen Vergleich zu den sichereren, wobei sich die Lage innerhalb einer Stadt oft stärker unterscheidet als zwischen ganzen Städten. Pauschalurteile über „gefährliche Viertel“ helfen wenig, ein Blick auf öffentlich zugängliche Kriminalitätsstatistiken der Polizei und ein Besuch der Zielgegend zu verschiedenen Tageszeiten mehr (mehr dazu im </w:t>
      </w:r>
      <w:hyperlink w:anchor="tnz09">
        <w:r w:rsidR="001F7233">
          <w:rPr>
            <w:color w:val="0563C1"/>
            <w:u w:val="single"/>
          </w:rPr>
          <w:t>Kapitel zum Wohnen in diesem Teil</w:t>
        </w:r>
      </w:hyperlink>
      <w:r>
        <w:t>). Häufiger als Gewaltkriminalität sind Eigentumsdelikte wie Fahrzeugaufbrüche; lass Wertsachen nicht sichtbar im Auto liegen. Bei einem akuten Notfall wählst du 111, für weniger dringende Anliegen die Nicht-Notfall-Nummer 105.</w:t>
      </w:r>
    </w:p>
    <w:p w14:paraId="1D0240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7A75B627" w14:textId="77777777" w:rsidR="001F7233" w:rsidRDefault="00000000">
      <w:pPr>
        <w:spacing w:after="140"/>
      </w:pPr>
      <w:r>
        <w:rPr>
          <w:i/>
          <w:iCs/>
        </w:rPr>
        <w:t>Deutschland unterhält die Botschaft in Wellington sowie ehrenamtliche Honorarkonsulate in Auckland und Christchurch. Sie helfen bei Festnahme, schwerer Erkrankung oder Verlust der Papiere, etwa mit Kontakten zu Anwälten und Angehörigen und einem Reiseausweis als Passersatz. Anwaltskosten, Kautionen oder ein Eingreifen in ein laufendes Verfahren übernehmen sie nicht. Trage dich außerdem in die Krisenvorsorgeliste Elefand des Auswärtigen Amts ein. Damit dich die Botschaft im Krisenfall erreichen kann.</w:t>
      </w:r>
    </w:p>
    <w:p w14:paraId="10D9DE52" w14:textId="77777777" w:rsidR="001F7233" w:rsidRDefault="00000000">
      <w:r>
        <w:t xml:space="preserve">• Dieses Kapitel gibt eine Orientierung zu Recht und Sicherheit in Neuseeland, keine Rechtsberatung. Polizei-, Waffen- und Cannabis-Recht befinden sich 2026 mit dem neuen Arms Act und dem </w:t>
      </w:r>
      <w:r>
        <w:lastRenderedPageBreak/>
        <w:t>landesweiten Drogentest-Rollout in spürbarer Bewegung. Lass dich im Einzelfall von einer neuseeländischen Anwältin beraten.</w:t>
      </w:r>
    </w:p>
    <w:p w14:paraId="1132B5DA" w14:textId="77777777" w:rsidR="001F7233" w:rsidRDefault="001F7233">
      <w:pPr>
        <w:spacing w:line="220" w:lineRule="exact"/>
      </w:pPr>
    </w:p>
    <w:p w14:paraId="6177194D" w14:textId="77777777" w:rsidR="001F7233" w:rsidRDefault="00000000">
      <w:r>
        <w:t>Neuseeland hat die Todesstrafe abgeschafft; sie ist keine inländische Strafe. Für ein konkretes Strafverfahren oder Auslieferungsersuchen brauchst du lokale anwaltliche Beratung. Aktuelle Rechtsinformationen: https://www.justice.govt.nz/.</w:t>
      </w:r>
    </w:p>
    <w:p w14:paraId="31128626" w14:textId="77777777" w:rsidR="001F7233" w:rsidRDefault="00000000">
      <w:pPr>
        <w:pStyle w:val="Heading3"/>
      </w:pPr>
      <w:r>
        <w:t>Todesstrafe: wichtiger Rechtsunterschied</w:t>
      </w:r>
    </w:p>
    <w:p w14:paraId="2EB13E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Recht, Sicherheit und Polizeikontakt</w:t>
      </w:r>
    </w:p>
    <w:p w14:paraId="60AC98B9" w14:textId="77777777" w:rsidR="001F7233" w:rsidRDefault="00000000">
      <w:r>
        <w:rPr>
          <w:b/>
        </w:rPr>
        <w:t>Plus: Unbewaffnete Polizei im Alltag, bewusst und öffentlich verteidigt</w:t>
      </w:r>
    </w:p>
    <w:p w14:paraId="586BDBC1" w14:textId="77777777" w:rsidR="001F7233" w:rsidRDefault="00000000">
      <w:r>
        <w:rPr>
          <w:b/>
        </w:rPr>
        <w:t xml:space="preserve">Minus: </w:t>
      </w:r>
      <w:r>
        <w:t>Verdachtsunabhängige Alkohol- und seit 2026 Drogenkontrollen wirken auf Neuankömmlinge zunächst befremdlich</w:t>
      </w:r>
    </w:p>
    <w:p w14:paraId="3CDA6031" w14:textId="77777777" w:rsidR="001F7233" w:rsidRDefault="00000000">
      <w:r>
        <w:rPr>
          <w:b/>
        </w:rPr>
        <w:t>Plus: Einheitliches Recht im ganzen Land, kein föderaler Flickenteppich</w:t>
      </w:r>
    </w:p>
    <w:p w14:paraId="20A912EA" w14:textId="77777777" w:rsidR="001F7233" w:rsidRDefault="00000000">
      <w:r>
        <w:rPr>
          <w:b/>
        </w:rPr>
        <w:t xml:space="preserve">Minus: </w:t>
      </w:r>
      <w:r>
        <w:t>Waffen- und Cannabis-Recht ändern sich 2026 gleich mehrfach spürbar</w:t>
      </w:r>
    </w:p>
    <w:p w14:paraId="1147700E" w14:textId="77777777" w:rsidR="001F7233" w:rsidRDefault="00000000">
      <w:r>
        <w:rPr>
          <w:b/>
        </w:rPr>
        <w:t>Plus: Striktes Waffenrecht bedeutet vergleichsweise wenig Waffengewalt im Alltag</w:t>
      </w:r>
    </w:p>
    <w:p w14:paraId="7CA282C7" w14:textId="77777777" w:rsidR="001F7233" w:rsidRDefault="00000000">
      <w:r>
        <w:rPr>
          <w:b/>
        </w:rPr>
        <w:t xml:space="preserve">Minus: </w:t>
      </w:r>
      <w:r>
        <w:t>Cannabis bleibt trotz knappem Referendum ausnahmslos illegal</w:t>
      </w:r>
    </w:p>
    <w:p w14:paraId="01800741" w14:textId="77777777" w:rsidR="001F7233" w:rsidRDefault="00000000">
      <w:r>
        <w:rPr>
          <w:b/>
        </w:rPr>
        <w:t>Plus: Grundrechte bei Polizeikontakt (Schweigen, Anwalt) gelten für alle im Land</w:t>
      </w:r>
    </w:p>
    <w:p w14:paraId="27A2FEF0" w14:textId="77777777" w:rsidR="001F7233" w:rsidRDefault="00000000">
      <w:r>
        <w:rPr>
          <w:b/>
        </w:rPr>
        <w:t xml:space="preserve">Minus: </w:t>
      </w:r>
      <w:r>
        <w:t>Erdbeben- und Vulkanrisiko sind für weite Teile des Landes real, nicht nur theoretisch</w:t>
      </w:r>
    </w:p>
    <w:p w14:paraId="331B0B1D" w14:textId="77777777" w:rsidR="001F7233" w:rsidRDefault="00000000">
      <w:r>
        <w:rPr>
          <w:b/>
        </w:rPr>
        <w:t>Plus: Gut ausgebautes, kostenloses Warn- und Vorsorgesystem (GeoNet, NEMA)</w:t>
      </w:r>
    </w:p>
    <w:p w14:paraId="2F863948" w14:textId="77777777" w:rsidR="001F7233" w:rsidRDefault="00000000">
      <w:r>
        <w:rPr>
          <w:b/>
        </w:rPr>
        <w:t xml:space="preserve">Minus: </w:t>
      </w:r>
      <w:r>
        <w:t>Toka-Tū-Ake-Deckung ist eine Ergänzung, kein Ersatz für private Versicherung</w:t>
      </w:r>
    </w:p>
    <w:p w14:paraId="4B5043E7" w14:textId="77777777" w:rsidR="001F7233" w:rsidRDefault="001F7233">
      <w:pPr>
        <w:spacing w:line="180" w:lineRule="exact"/>
      </w:pPr>
    </w:p>
    <w:p w14:paraId="6149D4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8723FE7" w14:textId="77777777" w:rsidR="001F7233" w:rsidRDefault="00000000">
      <w:pPr>
        <w:spacing w:after="140"/>
      </w:pPr>
      <w:r>
        <w:t>Gewöhne dich früh an das Prinzip der verdachtsunabhängigen Verkehrskontrolle. Damit dich weder der erste Alkohol- noch der erste Drogentest aus der Fassung bringt. Kläre für deinen Wohnort das konkrete Erdbeben- und, falls relevant, Vulkanrisiko, installiere GeoNet-App und Emergency Mobile Alert und leg ein Notfallset an, bevor du es brauchst. Cannabis meidest du am besten meist, solange du dir über die Rechtslage nicht absolut sicher bist. Das gilt besonders fürs Autofahren.</w:t>
      </w:r>
    </w:p>
    <w:p w14:paraId="020A6F71" w14:textId="77777777" w:rsidR="001F7233" w:rsidRDefault="00000000">
      <w:r>
        <w:t>• Verhalten bei Alkohol- und Drogenkontrolle mit der Familie einmal durchgesprochen.</w:t>
      </w:r>
    </w:p>
    <w:p w14:paraId="6561F274" w14:textId="77777777" w:rsidR="001F7233" w:rsidRDefault="00000000">
      <w:r>
        <w:t>• Grundrechte bei Polizeikontakt gekannt: Name und Pflichtangaben nennen, sonst schweigen dürfen, Durchsuchung ohne Verdacht ablehnen dürfen.</w:t>
      </w:r>
    </w:p>
    <w:p w14:paraId="799F3304" w14:textId="77777777" w:rsidR="001F7233" w:rsidRDefault="00000000">
      <w:r>
        <w:t>• Geprüft, ob am Wohnort Waffenbesitz überhaupt relevant wird – meist nicht.</w:t>
      </w:r>
    </w:p>
    <w:p w14:paraId="6B75205A" w14:textId="77777777" w:rsidR="001F7233" w:rsidRDefault="00000000">
      <w:r>
        <w:t>• Cannabis-Rechtslage zur Kenntnis genommen: im ganzen Land illegal, kein regionaler Sonderfall.</w:t>
      </w:r>
    </w:p>
    <w:p w14:paraId="07671F4D" w14:textId="77777777" w:rsidR="001F7233" w:rsidRDefault="00000000">
      <w:r>
        <w:t>• Private Wohngebäudeversicherung mit Feuerschutz abgeschlossen, damit die Toka-Tū-Ake-Basisdeckung greift.</w:t>
      </w:r>
    </w:p>
    <w:p w14:paraId="1A28712A" w14:textId="77777777" w:rsidR="001F7233" w:rsidRDefault="00000000">
      <w:r>
        <w:t>• GeoNet-App und Emergency Mobile Alert installiert.</w:t>
      </w:r>
    </w:p>
    <w:p w14:paraId="1C8A27D6" w14:textId="77777777" w:rsidR="001F7233" w:rsidRDefault="00000000">
      <w:r>
        <w:t>• Haushalts-Notfallset für mindestens drei Tage zusammengestellt (Wasser, Lebensmittel, Erste Hilfe, Bargeld, Dokumente).</w:t>
      </w:r>
    </w:p>
    <w:p w14:paraId="7B26EC78" w14:textId="77777777" w:rsidR="001F7233" w:rsidRDefault="00000000">
      <w:r>
        <w:t>• Tsunami-Regel „Long or Strong, Get Gone“ mit der Familie besprochen, falls der Wohnort küstennah liegt.</w:t>
      </w:r>
    </w:p>
    <w:p w14:paraId="1F4AAC7C" w14:textId="77777777" w:rsidR="001F7233" w:rsidRDefault="00000000">
      <w:r>
        <w:t>• Nummer der deutschen Auslandsvertretung gespeichert und in die Krisenvorsorgeliste Elefand eingetragen.</w:t>
      </w:r>
    </w:p>
    <w:p w14:paraId="0EC7D250" w14:textId="77777777" w:rsidR="001F7233" w:rsidRDefault="001F7233">
      <w:pPr>
        <w:spacing w:line="220" w:lineRule="exact"/>
      </w:pPr>
    </w:p>
    <w:p w14:paraId="22DC02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6D5AE3F7" w14:textId="77777777" w:rsidR="001F7233" w:rsidRDefault="00000000">
      <w:pPr>
        <w:pStyle w:val="ListParagraph"/>
        <w:numPr>
          <w:ilvl w:val="0"/>
          <w:numId w:val="1"/>
        </w:numPr>
        <w:spacing w:after="60"/>
      </w:pPr>
      <w:r>
        <w:t xml:space="preserve">New Zealand Police – Verhalten bei Kontrollen, Notrufnummern: </w:t>
      </w:r>
      <w:hyperlink r:id="rId1111">
        <w:r w:rsidR="001F7233">
          <w:rPr>
            <w:color w:val="0563C1"/>
            <w:u w:val="single"/>
          </w:rPr>
          <w:t>police.govt.nz</w:t>
        </w:r>
      </w:hyperlink>
    </w:p>
    <w:p w14:paraId="52E86787" w14:textId="77777777" w:rsidR="001F7233" w:rsidRDefault="00000000">
      <w:pPr>
        <w:pStyle w:val="ListParagraph"/>
        <w:numPr>
          <w:ilvl w:val="0"/>
          <w:numId w:val="1"/>
        </w:numPr>
        <w:spacing w:after="60"/>
      </w:pPr>
      <w:r>
        <w:t xml:space="preserve">Firearms Safety and Education New Zealand (Te Tari Pūreke) – Waffenrecht, Arms Act 2026: </w:t>
      </w:r>
      <w:hyperlink r:id="rId1112">
        <w:r w:rsidR="001F7233">
          <w:rPr>
            <w:color w:val="0563C1"/>
            <w:u w:val="single"/>
          </w:rPr>
          <w:t>firearmssafety.govt.nz</w:t>
        </w:r>
      </w:hyperlink>
    </w:p>
    <w:p w14:paraId="38D875FE" w14:textId="77777777" w:rsidR="001F7233" w:rsidRDefault="00000000">
      <w:pPr>
        <w:pStyle w:val="ListParagraph"/>
        <w:numPr>
          <w:ilvl w:val="0"/>
          <w:numId w:val="1"/>
        </w:numPr>
        <w:spacing w:after="60"/>
      </w:pPr>
      <w:r>
        <w:t xml:space="preserve">New Zealand Ministry of Justice – Firearms Reform, Arms Act 2026: </w:t>
      </w:r>
      <w:hyperlink r:id="rId1113">
        <w:r w:rsidR="001F7233">
          <w:rPr>
            <w:color w:val="0563C1"/>
            <w:u w:val="single"/>
          </w:rPr>
          <w:t>justice.govt.nz</w:t>
        </w:r>
      </w:hyperlink>
    </w:p>
    <w:p w14:paraId="633363D8" w14:textId="77777777" w:rsidR="001F7233" w:rsidRDefault="00000000">
      <w:pPr>
        <w:pStyle w:val="ListParagraph"/>
        <w:numPr>
          <w:ilvl w:val="0"/>
          <w:numId w:val="1"/>
        </w:numPr>
        <w:spacing w:after="60"/>
      </w:pPr>
      <w:r>
        <w:t xml:space="preserve">NZ Drug Foundation / New Zealand Police – Roadside Drug Testing: </w:t>
      </w:r>
      <w:hyperlink r:id="rId1114">
        <w:r w:rsidR="001F7233">
          <w:rPr>
            <w:color w:val="0563C1"/>
            <w:u w:val="single"/>
          </w:rPr>
          <w:t>drugfoundation.org.nz</w:t>
        </w:r>
      </w:hyperlink>
      <w:r>
        <w:t xml:space="preserve">, </w:t>
      </w:r>
      <w:hyperlink r:id="rId1115">
        <w:r w:rsidR="001F7233">
          <w:rPr>
            <w:color w:val="0563C1"/>
            <w:u w:val="single"/>
          </w:rPr>
          <w:t>police.govt.nz</w:t>
        </w:r>
      </w:hyperlink>
    </w:p>
    <w:p w14:paraId="458A35C0" w14:textId="77777777" w:rsidR="001F7233" w:rsidRDefault="00000000">
      <w:pPr>
        <w:pStyle w:val="ListParagraph"/>
        <w:numPr>
          <w:ilvl w:val="0"/>
          <w:numId w:val="1"/>
        </w:numPr>
        <w:spacing w:after="60"/>
      </w:pPr>
      <w:r>
        <w:t xml:space="preserve">GeoNet (GNS Science, Toka Tū Ake u. a.) – Erdbeben-, Vulkan- und Tsunamiüberwachung: </w:t>
      </w:r>
      <w:hyperlink r:id="rId1116">
        <w:r w:rsidR="001F7233">
          <w:rPr>
            <w:color w:val="0563C1"/>
            <w:u w:val="single"/>
          </w:rPr>
          <w:t>geonet.org.nz</w:t>
        </w:r>
      </w:hyperlink>
    </w:p>
    <w:p w14:paraId="623CF03F" w14:textId="77777777" w:rsidR="001F7233" w:rsidRDefault="00000000">
      <w:pPr>
        <w:pStyle w:val="ListParagraph"/>
        <w:numPr>
          <w:ilvl w:val="0"/>
          <w:numId w:val="1"/>
        </w:numPr>
        <w:spacing w:after="60"/>
      </w:pPr>
      <w:r>
        <w:t xml:space="preserve">National Emergency Management Agency – Get Ready, Notfallvorsorge: </w:t>
      </w:r>
      <w:hyperlink r:id="rId1117">
        <w:r w:rsidR="001F7233">
          <w:rPr>
            <w:color w:val="0563C1"/>
            <w:u w:val="single"/>
          </w:rPr>
          <w:t>getready.govt.nz</w:t>
        </w:r>
      </w:hyperlink>
      <w:r>
        <w:t xml:space="preserve">, </w:t>
      </w:r>
      <w:hyperlink r:id="rId1118">
        <w:r w:rsidR="001F7233">
          <w:rPr>
            <w:color w:val="0563C1"/>
            <w:u w:val="single"/>
          </w:rPr>
          <w:t>civildefence.govt.nz</w:t>
        </w:r>
      </w:hyperlink>
    </w:p>
    <w:p w14:paraId="56D9977F" w14:textId="77777777" w:rsidR="001F7233" w:rsidRDefault="00000000">
      <w:pPr>
        <w:pStyle w:val="ListParagraph"/>
        <w:numPr>
          <w:ilvl w:val="0"/>
          <w:numId w:val="1"/>
        </w:numPr>
        <w:spacing w:after="60"/>
      </w:pPr>
      <w:r>
        <w:t xml:space="preserve">Toka Tū Ake Natural Hazards Commission – Erdbebenversicherung: </w:t>
      </w:r>
      <w:hyperlink r:id="rId1119">
        <w:r w:rsidR="001F7233">
          <w:rPr>
            <w:color w:val="0563C1"/>
            <w:u w:val="single"/>
          </w:rPr>
          <w:t>naturalhazards.govt.nz</w:t>
        </w:r>
      </w:hyperlink>
    </w:p>
    <w:p w14:paraId="7495D194" w14:textId="77777777" w:rsidR="001F7233" w:rsidRDefault="00000000">
      <w:pPr>
        <w:pStyle w:val="ListParagraph"/>
        <w:numPr>
          <w:ilvl w:val="0"/>
          <w:numId w:val="1"/>
        </w:numPr>
        <w:spacing w:after="60"/>
      </w:pPr>
      <w:r>
        <w:t xml:space="preserve">Auswärtiges Amt – Hilfe für Deutsche im Ausland, Krisenvorsorgeliste Elefand: </w:t>
      </w:r>
      <w:hyperlink r:id="rId1120">
        <w:r w:rsidR="001F7233">
          <w:rPr>
            <w:color w:val="0563C1"/>
            <w:u w:val="single"/>
          </w:rPr>
          <w:t>auswaertiges-amt.de</w:t>
        </w:r>
      </w:hyperlink>
    </w:p>
    <w:p w14:paraId="329610EE" w14:textId="77777777" w:rsidR="001F7233" w:rsidRDefault="001F7233">
      <w:pPr>
        <w:spacing w:line="120" w:lineRule="exact"/>
      </w:pPr>
    </w:p>
    <w:p w14:paraId="42143F2C" w14:textId="77777777" w:rsidR="001F7233" w:rsidRDefault="00000000">
      <w:r>
        <w:t>• 23.09.2026. Die meisten Bestimmungen des Arms Act 2026 traten am 23. September 2026 in Kraft; die verbleibenden Bestimmungen sollen bis zum 23. Februar 2028 folgen. Auch die Arms Regulations 2026 enthalten einzelne spätere Starttermine. Das landesweite Drogentest-Programm läuft seit dem 1. Juli 2026 vollständig, und Erdbeben- und Vulkanwarnstufen ändern sich laufend. Prüfe vor jeder Entscheidung die aktuellen Seiten von firearmssafety.govt.nz, geonet.org.nz und civildefence.govt.nz.</w:t>
      </w:r>
    </w:p>
    <w:p w14:paraId="1DC8441E" w14:textId="77777777" w:rsidR="001F7233" w:rsidRDefault="001F7233">
      <w:pPr>
        <w:spacing w:line="220" w:lineRule="exact"/>
      </w:pPr>
    </w:p>
    <w:p w14:paraId="26E9F12A" w14:textId="77777777" w:rsidR="001F7233" w:rsidRDefault="00000000">
      <w:pPr>
        <w:pStyle w:val="Heading3"/>
      </w:pPr>
      <w:r>
        <w:t>Waffen und Selbstschutz</w:t>
      </w:r>
    </w:p>
    <w:p w14:paraId="77D5AFEC" w14:textId="77777777" w:rsidR="001F7233" w:rsidRDefault="00000000">
      <w:r>
        <w:t xml:space="preserve">Eine Waffe ist für den normalen Alltag nicht erforderlich. Für Besitz und Nutzung gilt das neuseeländische Lizenzrecht; Einfuhr und Nutzung von Waffen sind zusätzliche Fragen. Ein Umzug ist kein </w:t>
      </w:r>
      <w:r>
        <w:lastRenderedPageBreak/>
        <w:t xml:space="preserve">Grund, eine ausländische Waffe einfach mitzubringen: prüfe vor Reise oder Kauf die aktuelle Anleitung der Firearms Safety and Education New Zealand und die geltenden Regeln. Für den Alltag sind Schlösser, Beleuchtung, Rauch- und CO-Melder und der örtliche Notruf die naheliegenden Maßnahmen. </w:t>
      </w:r>
      <w:hyperlink r:id="rId1121">
        <w:r w:rsidR="001F7233">
          <w:rPr>
            <w:color w:val="0563C1"/>
            <w:u w:val="single"/>
          </w:rPr>
          <w:t>Firearms Safety NZ: Besuch oder Umzug</w:t>
        </w:r>
      </w:hyperlink>
    </w:p>
    <w:p w14:paraId="5BCADE81" w14:textId="77777777" w:rsidR="001F7233" w:rsidRDefault="00000000">
      <w:pPr>
        <w:pStyle w:val="Heading3"/>
      </w:pPr>
      <w:r>
        <w:t>Wildtiere, Haustiere und Alltagssicherheit</w:t>
      </w:r>
    </w:p>
    <w:p w14:paraId="10C6D8C0" w14:textId="77777777" w:rsidR="001F7233" w:rsidRDefault="00000000">
      <w:r>
        <w:t xml:space="preserve">Wildtiere sind im Alltag meist ein regionales Thema rund um Straßen, Haustiere, Gärten und Küsten. Halte Abstand zu Robben und Seevögeln, füttere keine Wildtiere und sichere Haustiere und Abfall. Informiere dich bei Department of Conservation und örtlicher Gemeinde, welche Arten und Hinweise für die konkrete Region gelten. Greife Tiere nicht an und versuche nicht, verletzte Wildtiere selbst zu behandeln. </w:t>
      </w:r>
      <w:hyperlink r:id="rId1122">
        <w:r w:rsidR="001F7233">
          <w:rPr>
            <w:color w:val="0563C1"/>
            <w:u w:val="single"/>
          </w:rPr>
          <w:t>Department of Conservation: Wildtiere</w:t>
        </w:r>
      </w:hyperlink>
    </w:p>
    <w:p w14:paraId="37760814" w14:textId="77777777" w:rsidR="001F7233" w:rsidRDefault="00000000">
      <w:pPr>
        <w:pStyle w:val="Heading3"/>
      </w:pPr>
      <w:r>
        <w:t>Coast Guard, Seenotrettung und Strandwachen</w:t>
      </w:r>
    </w:p>
    <w:p w14:paraId="4620C84C" w14:textId="77777777" w:rsidR="001F7233" w:rsidRDefault="00000000">
      <w:r>
        <w:t xml:space="preserve">Coastguard New Zealand ist eine freiwillige Seenotrettungsorganisation für Boote; im Notfall rufe 111 und bitte um die Polizei oder nutze UKW/VHF-Kanal 16. Surf Lifeguards beaufsichtigen nur ausgewiesene Strände und nur während der angezeigten Patrouillenzeit. Schwimme zwischen den rot-gelben Flaggen, prüfe vorab Safeswim und lasse Kinder im und am Wasser nie unbeaufsichtigt. </w:t>
      </w:r>
      <w:hyperlink r:id="rId1123">
        <w:r w:rsidR="001F7233">
          <w:rPr>
            <w:color w:val="0563C1"/>
            <w:u w:val="single"/>
          </w:rPr>
          <w:t>Coastguard NZ: Seenotfall</w:t>
        </w:r>
      </w:hyperlink>
      <w:r>
        <w:t xml:space="preserve"> </w:t>
      </w:r>
      <w:hyperlink r:id="rId1124">
        <w:r w:rsidR="001F7233">
          <w:rPr>
            <w:color w:val="0563C1"/>
            <w:u w:val="single"/>
          </w:rPr>
          <w:t>Surf Life Saving NZ: bewachte Strände finden</w:t>
        </w:r>
      </w:hyperlink>
      <w:r>
        <w:br w:type="page"/>
      </w:r>
    </w:p>
    <w:p w14:paraId="72B0EE10" w14:textId="77777777" w:rsidR="001F7233" w:rsidRDefault="00000000">
      <w:pPr>
        <w:pStyle w:val="Heading2"/>
        <w:keepNext/>
        <w:spacing w:line="341" w:lineRule="auto"/>
        <w:jc w:val="center"/>
      </w:pPr>
      <w:bookmarkStart w:id="147" w:name="tnz16"/>
      <w:r>
        <w:rPr>
          <w:rFonts w:ascii="Amazon Ember" w:eastAsia="Amazon Ember" w:hAnsi="Amazon Ember" w:cs="Amazon Ember"/>
          <w:color w:val="0000FF"/>
          <w:sz w:val="36"/>
          <w:szCs w:val="36"/>
        </w:rPr>
        <w:lastRenderedPageBreak/>
        <w:t>Neuseeland: Staatsbürgerschaft und Steuerresidenz</w:t>
      </w:r>
      <w:bookmarkEnd w:id="147"/>
    </w:p>
    <w:p w14:paraId="08A9CF95" w14:textId="77777777" w:rsidR="001F7233" w:rsidRDefault="00000000">
      <w:r>
        <w:rPr>
          <w:b/>
        </w:rPr>
        <w:t xml:space="preserve">KURZ GESAGT: </w:t>
      </w:r>
    </w:p>
    <w:p w14:paraId="758D2CAA" w14:textId="77777777" w:rsidR="001F7233" w:rsidRDefault="00000000">
      <w:r>
        <w:t>• Einbürgerung setzt fünf Jahre durchgehenden Besitz eines Resident-Class-Visums voraus, mit mindestens 1.350 von 1.825 Tagen physischer Anwesenheit UND mindestens 240 Tagen in jedem einzelnen dieser fünf Jahre. Gezählt ab dem Jahrestag des Visums, nicht ab dem Kalenderjahr.</w:t>
      </w:r>
    </w:p>
    <w:p w14:paraId="43F77609" w14:textId="77777777" w:rsidR="001F7233" w:rsidRDefault="00000000">
      <w:r>
        <w:t>• Ab wohl Ende 2027 kommt ein neuer Staatskundetest (20 Fragen, 15 richtig zum Bestehen). Wer vorher schon einen Antrag gestellt hat, muss ihn nicht ablegen.</w:t>
      </w:r>
    </w:p>
    <w:p w14:paraId="07780FEA" w14:textId="77777777" w:rsidR="001F7233" w:rsidRDefault="00000000">
      <w:r>
        <w:t>• Gebühr 560 NZD pro Erwachsenem (seit 28. August 2026); rund 91 % der Anträge werden innerhalb von acht Monaten entschieden, auch ein bis drei Monate bis zur Zeremonie.</w:t>
      </w:r>
    </w:p>
    <w:p w14:paraId="240732EA" w14:textId="77777777" w:rsidR="001F7233" w:rsidRDefault="00000000">
      <w:r>
        <w:t>• Doppelte Staatsbürgerschaft ist beidseitig unproblematisch: Neuseeland verlangt keinen Verzicht, und seit der deutschen Reform vom 27. Juni 2024 bleibt auch die deutsche Staatsangehörigkeit automatisch erhalten.</w:t>
      </w:r>
    </w:p>
    <w:p w14:paraId="4339099C" w14:textId="77777777" w:rsidR="001F7233" w:rsidRDefault="00000000">
      <w:r>
        <w:t>• Verbreiteter Irrtum: Neuseeland besteuert nach Steuerwohnsitz, nicht nach Pass. Anders als die USA gibt es keine an die Staatsbürgerschaft gekoppelte, lebenslange Steuerpflicht und keine Exit Tax beim Verzicht auf den neuseeländischen Pass.</w:t>
      </w:r>
    </w:p>
    <w:p w14:paraId="7E326DE6" w14:textId="77777777" w:rsidR="001F7233" w:rsidRDefault="001F7233">
      <w:pPr>
        <w:spacing w:line="220" w:lineRule="exact"/>
      </w:pPr>
    </w:p>
    <w:p w14:paraId="6FAF14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2AB82D80" w14:textId="77777777" w:rsidR="001F7233" w:rsidRDefault="00000000">
      <w:r>
        <w:rPr>
          <w:b/>
        </w:rPr>
        <w:t xml:space="preserve">Realistische Gesamtdauer Einreise → Einbürgerungsantrag: </w:t>
      </w:r>
      <w:r>
        <w:t>ca. 5,5–7 Jahre</w:t>
      </w:r>
    </w:p>
    <w:p w14:paraId="76B65174" w14:textId="77777777" w:rsidR="001F7233" w:rsidRDefault="00000000">
      <w:r>
        <w:rPr>
          <w:b/>
        </w:rPr>
        <w:t xml:space="preserve">Realistische Gesamtdauer Einreise → Einbürgerungsantrag: </w:t>
      </w:r>
      <w:r>
        <w:t>ca. 6,5–8 Jahre</w:t>
      </w:r>
    </w:p>
    <w:p w14:paraId="4B5FB3B2" w14:textId="77777777" w:rsidR="001F7233" w:rsidRDefault="001F7233">
      <w:pPr>
        <w:spacing w:line="180" w:lineRule="exact"/>
      </w:pPr>
    </w:p>
    <w:p w14:paraId="317D8483" w14:textId="77777777" w:rsidR="001F7233" w:rsidRDefault="00000000">
      <w:r>
        <w:rPr>
          <w:b/>
        </w:rPr>
        <w:t xml:space="preserve">ACHTUNG: </w:t>
      </w:r>
    </w:p>
    <w:p w14:paraId="37516F0E" w14:textId="77777777" w:rsidR="001F7233" w:rsidRDefault="00000000">
      <w:r>
        <w:lastRenderedPageBreak/>
        <w:t>• Das AEWV ist für Inhaber ohne erkennbaren Weg zur Residenz auf eine Gesamtdauer von maximal fünf Jahren begrenzt. Wer bis dahin nicht zu einem Resident Visa gewechselt ist, etwa über die Green List oder die SMC, muss zwölf Monate außerhalb Neuseelands verbringen, bevor ein neues AEWV überhaupt wieder möglich ist. Wer den Übergang zur Residenz plant, sollte ihn deshalb rechtzeitig angehen und nicht bis zum Ende der fünf Jahre warten.</w:t>
      </w:r>
    </w:p>
    <w:p w14:paraId="4A1E4147" w14:textId="77777777" w:rsidR="001F7233" w:rsidRDefault="001F7233">
      <w:pPr>
        <w:spacing w:line="220" w:lineRule="exact"/>
      </w:pPr>
    </w:p>
    <w:p w14:paraId="05BB2E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1.350 Tage, aber nicht wie gedacht</w:t>
      </w:r>
    </w:p>
    <w:p w14:paraId="78FEC7BB" w14:textId="77777777" w:rsidR="001F7233" w:rsidRDefault="00000000">
      <w:pPr>
        <w:spacing w:after="140"/>
      </w:pPr>
      <w:r>
        <w:rPr>
          <w:b/>
          <w:bCs/>
        </w:rPr>
        <w:t>Die Grundregel klingt zunächst einfach: mindestens 1.350 Tage physische Anwesenheit in der fünf Jahre unmittelbar vor der Antragstellung. Der eigentliche Stolperstein liegt in einer zweiten, unabhängigen Bedingung: mindestens 240 Tage Anwesenheit in jedem einzelnen dieser fünf 12-Monats-Zeiträume. Nicht im Kalenderjahr, sondern gezählt ab dem individuellen Jahrestag deines Resident Visa. Ein einzelnes „schwaches“ Jahr mit etwa nur 210 Tagen Anwesenheit lässt die gesamte Fünf-Jahres-Periode scheitern, selbst wenn die Gesamtsumme von 1.350 Tagen über die anderen Jahre klar erreicht wird.</w:t>
      </w:r>
    </w:p>
    <w:p w14:paraId="614154A8" w14:textId="77777777" w:rsidR="001F7233" w:rsidRDefault="00000000">
      <w:r>
        <w:rPr>
          <w:b/>
        </w:rPr>
        <w:t xml:space="preserve">ACHTUNG: </w:t>
      </w:r>
    </w:p>
    <w:p w14:paraId="22599776" w14:textId="77777777" w:rsidR="001F7233" w:rsidRDefault="00000000">
      <w:r>
        <w:t>• Die verbreitetste Fehlkalkulation ist die Annahme, nur die 1.350-Tage-Gesamtsumme zähle. Eine längere Deutschlandreise – etwa wegen der Pflege eines erkrankten Elternteils. Kann ausgerechnet in einem einzelnen Jahr die 240-Tage-Schwelle reißen, auch wenn du in den übrigen vier Jahren kaum verreist bist. Führe von Anfang an ein Anwesenheitslogbuch und rechne beide Bedingungen getrennt durch, nicht nur die große Zahl.</w:t>
      </w:r>
    </w:p>
    <w:p w14:paraId="621448F4" w14:textId="77777777" w:rsidR="001F7233" w:rsidRDefault="001F7233">
      <w:pPr>
        <w:spacing w:line="220" w:lineRule="exact"/>
      </w:pPr>
    </w:p>
    <w:p w14:paraId="3F3FB698" w14:textId="77777777" w:rsidR="001F7233" w:rsidRDefault="00000000">
      <w:pPr>
        <w:spacing w:after="140"/>
      </w:pPr>
      <w:r>
        <w:t xml:space="preserve">Ein zweiter, oft übersehener Punkt: Weil die Jahresgrenzen ab dem Jahrestag deines Visums laufen und nicht ab dem 1. Januar, berührt </w:t>
      </w:r>
      <w:r>
        <w:lastRenderedPageBreak/>
        <w:t>eine Reise über den Jahreswechsel häufig zwei verschiedene „Visa-Jahre“ gleichzeitig. Wer nur mit dem Kalenderjahr rechnet, verzählt sich leicht.</w:t>
      </w:r>
    </w:p>
    <w:p w14:paraId="0A4CCC06" w14:textId="77777777" w:rsidR="001F7233" w:rsidRDefault="001F7233">
      <w:pPr>
        <w:spacing w:line="220" w:lineRule="exact"/>
      </w:pPr>
    </w:p>
    <w:p w14:paraId="3F3BBD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der angekündigte Staatskundetest</w:t>
      </w:r>
    </w:p>
    <w:p w14:paraId="71EB31BC" w14:textId="77777777" w:rsidR="001F7233" w:rsidRDefault="00000000">
      <w:pPr>
        <w:spacing w:after="140"/>
      </w:pPr>
      <w:r>
        <w:rPr>
          <w:i/>
          <w:iCs/>
        </w:rPr>
        <w:t>Bis heute verlangt Neuseeland für die Einbürgerung keinen formalisierten Sprachtest. „ausreichende Kenntnisse der englischen Sprache“ werden einzelfallbezogen geprüft, oft im persönlichen Interview, ohne festgelegtes Prüfungsformat oder Sprachniveau. Das ändert sich, sobald der neue Staatskundetest kommt: Die Regierung hat ihn für wohl Ende 2027 angekündigt, mit 20 Multiple-Choice-Fragen und einer Bestehensgrenze von 15 richtigen Antworten (75 %), wohl als Präsenzprüfung. Themen sollen unter anderem der Bill of Rights Act, ausgewählte Straftatbestände, Wahlrecht, demokratische Prinzipien, die Regierungsstruktur sowie Ein- und Ausreiseregeln sein. Ausgenommen sind Antragsteller unter 16 und über 65 Jahren sowie alle, die die Staatsbürgerschaft über Geburt, Abstammung oder den Western-Samoa-Sonderpfad erwerben und wer seinen Antrag schon vor Inkrafttreten der neuen Regel eingereicht hat, muss den Test ebenfalls nicht ablegen.</w:t>
      </w:r>
    </w:p>
    <w:p w14:paraId="66DFE1F8" w14:textId="77777777" w:rsidR="001F7233" w:rsidRDefault="00000000">
      <w:r>
        <w:rPr>
          <w:b/>
        </w:rPr>
        <w:t xml:space="preserve">SPARTIPP: </w:t>
      </w:r>
    </w:p>
    <w:p w14:paraId="35ECDDDB" w14:textId="77777777" w:rsidR="001F7233" w:rsidRDefault="00000000">
      <w:r>
        <w:t>• Wer die 1.350/240-Tage-Frist ohnehin bald erfüllt, sollte den Einbürgerungsantrag bewusst so timen, dass er vor Inkrafttreten des neuen Staatskundetests Ende 2027 eingereicht wird. Auch wenn Format und genauer Starttermin noch nicht endgültig feststehen, spart eine frühere Antragstellung vielleicht die zusätzliche Prüfungshürde.</w:t>
      </w:r>
    </w:p>
    <w:p w14:paraId="5B07F093" w14:textId="77777777" w:rsidR="001F7233" w:rsidRDefault="001F7233">
      <w:pPr>
        <w:spacing w:line="220" w:lineRule="exact"/>
      </w:pPr>
    </w:p>
    <w:p w14:paraId="5AA525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und Gebühren</w:t>
      </w:r>
    </w:p>
    <w:p w14:paraId="0C95A68A" w14:textId="77777777" w:rsidR="001F7233" w:rsidRDefault="00000000">
      <w:pPr>
        <w:spacing w:after="140"/>
      </w:pPr>
      <w:r>
        <w:rPr>
          <w:i/>
          <w:iCs/>
        </w:rPr>
        <w:t>Neben der Anwesenheitspflicht prüft das Department of Internal Affairs (DIA) bei jedem Antragsteller den „guten Leumund“ (Good Character) über Selbstauskünfte im Antragsformular, die mit externen Stellen wie der neuseeländischen Polizei abgeglichen werden. Offene Anklagen oder schwerere Vorstrafen können den Antrag verzögern oder zu Fall bringen. Ältere, geringfügige Vorfälle werden im Einzelfall gewürdigt. Gib bei jedem Schritt – auch schon bei früheren Visumanträgen – wirklich jede relevante Vorstrafe an. Das DIA gleicht die Angaben in jedem Fall mit anderen Behörden ab.</w:t>
      </w:r>
    </w:p>
    <w:p w14:paraId="6422B740" w14:textId="77777777" w:rsidR="001F7233" w:rsidRDefault="00000000">
      <w:pPr>
        <w:spacing w:after="140"/>
      </w:pPr>
      <w:r>
        <w:rPr>
          <w:i/>
          <w:iCs/>
        </w:rPr>
        <w:t>Die Antragsgebühr liegt seit dem 28. August 2026 bei 560 NZD pro Erwachsenem (eine Anhebung um 14,4 % gegen der vorherigen Stufe von November 2025), für Kinder bei 280 NZD. Die Bearbeitung selbst ist vergleichsweise zügig: Nach einer Angabe des DIA von Mai 2026 werden rund 91 % der Anträge innerhalb von acht Monaten entschieden, danach folgen noch ein bis drei weitere Monate bis zur Einbürgerungszeremonie. Erst mit ihr bist du formal Staatsbürger und kannst den Reisepass beantragen. Die Zeremonie selbst (Oath or Affirmation of Allegiance, wählbar auf Englisch oder Te Reo Māori) wird meist vom Bürgermeister der Gemeinde geleitet, dauert inklusive Reden und kulturellem Programm oft mehrere Stunden und schließt mit der Nationalhymne. Das Zertifikat erhältst du direkt vor Ort. Die Teilnahme ist in eines Jahres nach der Genehmigung Pflicht.</w:t>
      </w:r>
    </w:p>
    <w:p w14:paraId="22DCF828" w14:textId="77777777" w:rsidR="001F7233" w:rsidRDefault="00000000">
      <w:r>
        <w:rPr>
          <w:b/>
        </w:rPr>
        <w:t xml:space="preserve">ACHTUNG: </w:t>
      </w:r>
    </w:p>
    <w:p w14:paraId="1228CB35" w14:textId="77777777" w:rsidR="001F7233" w:rsidRDefault="00000000">
      <w:r>
        <w:t>• Ab Ende 2026 werden viele Inhaber der 2021 Resident Visa (ein Sonderprogramm aus der Pandemiezeit) einbürgerungsberechtigt. Das DIA selbst weist darauf hin, dass sich die Bearbeitungszeiten dadurch wieder verlängern könnten. Plane bei einem Antrag in diesem Zeitraum einen zeitlichen Puffer ein.</w:t>
      </w:r>
    </w:p>
    <w:p w14:paraId="42087E54" w14:textId="77777777" w:rsidR="001F7233" w:rsidRDefault="001F7233">
      <w:pPr>
        <w:spacing w:line="220" w:lineRule="exact"/>
      </w:pPr>
    </w:p>
    <w:p w14:paraId="5AE340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Doppelte Staatsbürgerschaft: Neuseeland und Deutschland</w:t>
      </w:r>
    </w:p>
    <w:p w14:paraId="5B35C0E2" w14:textId="77777777" w:rsidR="001F7233" w:rsidRDefault="00000000">
      <w:pPr>
        <w:spacing w:after="140"/>
      </w:pPr>
      <w:r>
        <w:t>Neuseeland erkennt Mehrstaatigkeit uneingeschränkt an; verlangt wird lediglich, im Antrag alle bestehenden Staatsangehörigkeiten anzugeben, kein Verzicht auf die deutsche Staatsangehörigkeit.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Neuseeländer wird, behält die deutsche Staatsangehörigkeit automatisch, ganz ohne die früher nötige Beibehaltungsgenehmigung.</w:t>
      </w:r>
    </w:p>
    <w:p w14:paraId="38357E3C" w14:textId="77777777" w:rsidR="001F7233" w:rsidRDefault="00000000">
      <w:r>
        <w:rPr>
          <w:b/>
        </w:rPr>
        <w:t xml:space="preserve">ACHTUNG: </w:t>
      </w:r>
    </w:p>
    <w:p w14:paraId="77389F5B" w14:textId="77777777" w:rsidR="001F7233" w:rsidRDefault="00000000">
      <w:r>
        <w:t>• Die Reform wirkt nicht rückwirkend. Wer sich vor dem 27. Juni 2024 in Neuseeland einbürgern ließ, ohne vorher eine Beibehaltungsgenehmigung beim Bundesverwaltungsamt eingeholt zu haben, hat die deutsche Staatsangehörigkeit nach damaliger Rechtslage verloren – dieser Verlust bleibt bestehen. Wer schon länger in Neuseeland lebt und unsicher ist, ob eine frühere Einbürgerung Folgen hatte, sollte den eigenen Fall bei der deutschen Botschaft Wellington oder dem passenden Honorarkonsulat individuell prüfen lassen.</w:t>
      </w:r>
    </w:p>
    <w:p w14:paraId="524664E9" w14:textId="77777777" w:rsidR="001F7233" w:rsidRDefault="001F7233">
      <w:pPr>
        <w:spacing w:line="220" w:lineRule="exact"/>
      </w:pPr>
    </w:p>
    <w:p w14:paraId="719A2C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kein unbedingtes Geburtsortsprinzip</w:t>
      </w:r>
    </w:p>
    <w:p w14:paraId="42A6BC51" w14:textId="77777777" w:rsidR="001F7233" w:rsidRDefault="00000000">
      <w:pPr>
        <w:spacing w:after="140"/>
      </w:pPr>
      <w:r>
        <w:rPr>
          <w:i/>
          <w:iCs/>
        </w:rPr>
        <w:t xml:space="preserve">Anders als in Kanada gilt in Neuseeland seit dem 1. Januar 2006 kein unbedingtes Geburtsortsprinzip (Jus Soli) mehr. Ein in Neuseeland geborenes Kind wird nur dann automatisch Staatsbürger, wenn mindestens ein Elternteil zum Geburtszeitpunkt neuseeländischer </w:t>
      </w:r>
      <w:r>
        <w:rPr>
          <w:i/>
          <w:iCs/>
        </w:rPr>
        <w:lastRenderedPageBreak/>
        <w:t>Staatsbürger oder Permanent Resident ist oder australischer Staatsbürger oder Bürger oder Permanent Resident der Cookinseln, Tokelaus oder Niues, eine Besonderheit aus der historischen Verbindung Neuseelands zu diesen pazifischen Inselgruppen. Vor 2006 Geborene erhielten die Staatsangehörigkeit noch unabhängig vom Status der Eltern.</w:t>
      </w:r>
    </w:p>
    <w:p w14:paraId="11935927" w14:textId="77777777" w:rsidR="001F7233" w:rsidRDefault="00000000">
      <w:pPr>
        <w:spacing w:after="140"/>
      </w:pPr>
      <w:r>
        <w:rPr>
          <w:i/>
          <w:iCs/>
        </w:rPr>
        <w:t>Für im Ausland geborene Kinder neuseeländischer Eltern gilt auch ein Generationenlimit: Ein Elternteil, der selbst nur „by descent“ (durch Abstammung im Ausland) neuseeländischer Staatsbürger wurde, kann diese Staatsbürgerschaft nicht an ein eigenes, im Ausland geborenes Kind weitergeben. Das Kind braucht dann den regulären Weg über Citizenship by Grant. Für die erste Generation im Ausland ist die Registrierung als Citizenship by Descent beim DIA Pflicht und konstitutiv. Die Staatsbürgerschaft entsteht erst mit der Registrierung, nicht automatisch mit der Geburt (Gebühr 243 NZD). Die deutsche Seite bleibt davon unberührt: Ein Kind mit einem deutschen Elternteil ist unabhängig vom Geburtsort von Geburt an deutsch (§ 4 Abs. 1 StAG).</w:t>
      </w:r>
    </w:p>
    <w:p w14:paraId="5CCFEB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2F9BF816" w14:textId="77777777" w:rsidR="001F7233" w:rsidRDefault="00000000">
      <w:pPr>
        <w:spacing w:after="140"/>
      </w:pPr>
      <w:r>
        <w:t xml:space="preserve">Hier liegt der wichtigste Unterschied zur US-Regelung, der viele Auswanderer verunsichert, sobald sie zum ersten Mal davon hören: Die neuseeländische Finanzbehörde </w:t>
      </w:r>
      <w:r>
        <w:rPr>
          <w:i/>
          <w:iCs/>
        </w:rPr>
        <w:t>Inland Revenue</w:t>
      </w:r>
      <w:r>
        <w:t xml:space="preserve"> (IRD) besteuert nach Steuerwohnsitz, nicht nach Staatsangehörigkeit. Steuerresidenz entsteht entweder durch einen „</w:t>
      </w:r>
      <w:r>
        <w:rPr>
          <w:i/>
          <w:iCs/>
        </w:rPr>
        <w:t>permanent place of abode</w:t>
      </w:r>
      <w:r>
        <w:t xml:space="preserve">“ (einen dauerhaften Wohnsitz) in Neuseeland oder durch mehr als 183 Tage Anwesenheit innerhalb eines 12-Monats-Zeitraums. Wer als Steuerresident gilt, versteuert sein weltweites Einkommen in Neuseeland – unabhängig davon, welchen Pass er trägt. Wer diese Kriterien nicht mehr erfüllt, etwa weil Wohnsitz und Lebensmittelpunkt zurück nach Deutschland verlagert wurden, zahlt </w:t>
      </w:r>
      <w:r>
        <w:lastRenderedPageBreak/>
        <w:t xml:space="preserve">nur noch auf neuseeländische Quelleneinkünfte Steuern, selbst mit neuseeländischem Pass in der Tasche. Ein Doppelbesteuerungsabkommen zwischen Deutschland und Neuseeland verhindert in aller Regel, dass dasselbe Einkommen zweimal wirklich besteuert wird – die grundsätzliche Meldepflicht gegenüber beiden Finanzbehörden bleibt davon aber unberührt. Die genauen Details der neuseeländischen Steuerresidenz erklärt das </w:t>
      </w:r>
      <w:hyperlink w:anchor="tnz07">
        <w:r w:rsidR="001F7233">
          <w:rPr>
            <w:color w:val="0563C1"/>
            <w:u w:val="single"/>
          </w:rPr>
          <w:t>Kapitel zu Steuer-ID, Bank und Kredit in diesem Teil</w:t>
        </w:r>
      </w:hyperlink>
      <w:r>
        <w:t xml:space="preserve"> ausführlicher.</w:t>
      </w:r>
    </w:p>
    <w:p w14:paraId="0D8934EB" w14: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Nachzulesen im Teil zu den USA in diesem Buch. In Neuseeland gibt es dieses Konstrukt nicht: Der Verzicht auf die neuseeländische Staatsbürgerschaft (Renunciation) kostet lediglich eine Verwaltungsgebühr von 474 NZD, keine gesonderte Steuer. Ein steuerlicher Wegzug – die Aufgabe der neuseeländischen Steuerresidenz. Ist eine Frage des Wohnsitzes, keine Frage der Staatsangehörigkeit und betrifft jeden, der seinen Lebensmittelpunkt verlagert, ganz unabhängig vom Pass.</w:t>
      </w:r>
    </w:p>
    <w:p w14:paraId="63BFD570" w14:textId="77777777" w:rsidR="001F7233" w:rsidRDefault="00000000">
      <w:r>
        <w:rPr>
          <w:b/>
        </w:rPr>
        <w:t xml:space="preserve">MERKE: </w:t>
      </w:r>
    </w:p>
    <w:p w14:paraId="516C211F" w14:textId="77777777" w:rsidR="001F7233" w:rsidRDefault="00000000">
      <w:r>
        <w:t>• Der neuseeländische Pass hat keine steuerlichen Nebenwirkungen. Was zählt, ist immer, wo du tatsächlich lebst. Nicht, welchen Ausweis du dabei in der Tasche trägst.</w:t>
      </w:r>
    </w:p>
    <w:p w14:paraId="3C3F90A2" w14:textId="77777777" w:rsidR="001F7233" w:rsidRDefault="001F7233">
      <w:pPr>
        <w:spacing w:line="220" w:lineRule="exact"/>
      </w:pPr>
    </w:p>
    <w:p w14:paraId="6D9C5FAE" w14:textId="77777777" w:rsidR="001F7233" w:rsidRDefault="001F7233">
      <w:pPr>
        <w:spacing w:line="220" w:lineRule="exact"/>
      </w:pPr>
    </w:p>
    <w:p w14:paraId="230F8555" w14:textId="77777777" w:rsidR="001F7233" w:rsidRDefault="00000000">
      <w:r>
        <w:t>• Dieses Kapitel erklärt den Weg zur Staatsbürgerschaft und das Grundprinzip der neuseeländischen Steuerresidenz. Es ersetzt keine Rechts- oder Steuerberatung. Ob du im Einzelfall als Steuerresident giltst, wie sich ein Wegzug aus Neuseeland konkret auswirkt und wie das Doppelbesteuerungsabkommen zwischen Deutschland und Neuseeland mit Einkommen, Vermögen oder der gesetzlichen Rente umgeht, hängt von den Details deines Falls ab. Lass das von einer neuseeländischen Steuerfachperson prüfen, die sich mit einer deutschen abstimmt.</w:t>
      </w:r>
    </w:p>
    <w:p w14:paraId="257ACFBE" w14:textId="77777777" w:rsidR="001F7233" w:rsidRDefault="001F7233">
      <w:pPr>
        <w:spacing w:line="220" w:lineRule="exact"/>
      </w:pPr>
    </w:p>
    <w:p w14:paraId="738078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Staatsbürgerschaft und Steuerresidenz</w:t>
      </w:r>
    </w:p>
    <w:p w14:paraId="22AAF755" w14:textId="77777777" w:rsidR="001F7233" w:rsidRDefault="00000000">
      <w:r>
        <w:rPr>
          <w:b/>
        </w:rPr>
        <w:t>Plus: Kein Zwang zur Aufgabe der deutschen Staatsangehörigkeit</w:t>
      </w:r>
    </w:p>
    <w:p w14:paraId="13DF4163" w14:textId="77777777" w:rsidR="001F7233" w:rsidRDefault="00000000">
      <w:r>
        <w:rPr>
          <w:b/>
        </w:rPr>
        <w:t xml:space="preserve">Minus: </w:t>
      </w:r>
      <w:r>
        <w:t>240-Tage-Regel pro Einzeljahr wird leicht übersehen</w:t>
      </w:r>
    </w:p>
    <w:p w14:paraId="76DC2DB5" w14:textId="77777777" w:rsidR="001F7233" w:rsidRDefault="00000000">
      <w:r>
        <w:rPr>
          <w:b/>
        </w:rPr>
        <w:t>Plus: Kein formaler Sprachtest bis mindestens Ende 2027</w:t>
      </w:r>
    </w:p>
    <w:p w14:paraId="77D2622D" w14:textId="77777777" w:rsidR="001F7233" w:rsidRDefault="00000000">
      <w:r>
        <w:rPr>
          <w:b/>
        </w:rPr>
        <w:t xml:space="preserve">Minus: </w:t>
      </w:r>
      <w:r>
        <w:t>Neuer Staatskundetest ab Ende 2027 angekündigt, Details noch nicht final</w:t>
      </w:r>
    </w:p>
    <w:p w14:paraId="5D0D4810" w14:textId="77777777" w:rsidR="001F7233" w:rsidRDefault="00000000">
      <w:r>
        <w:rPr>
          <w:b/>
        </w:rPr>
        <w:t>Plus: Steuerpflicht endet mit dem Steuerwohnsitz, nicht mit dem Pass</w:t>
      </w:r>
    </w:p>
    <w:p w14:paraId="6192876B" w14:textId="77777777" w:rsidR="001F7233" w:rsidRDefault="00000000">
      <w:r>
        <w:rPr>
          <w:b/>
        </w:rPr>
        <w:t xml:space="preserve">Minus: </w:t>
      </w:r>
      <w:r>
        <w:t>Gesamtdauer bis zum Pass real oft 6 bis 8 Jahre, nicht die schnellstmöglichen 5</w:t>
      </w:r>
    </w:p>
    <w:p w14:paraId="4D620C81" w14:textId="77777777" w:rsidR="001F7233" w:rsidRDefault="00000000">
      <w:r>
        <w:rPr>
          <w:b/>
        </w:rPr>
        <w:t>Plus: Keine Exit Tax beim Verzicht auf die Staatsbürgerschaft</w:t>
      </w:r>
    </w:p>
    <w:p w14:paraId="45869BA3" w14:textId="77777777" w:rsidR="001F7233" w:rsidRDefault="00000000">
      <w:r>
        <w:rPr>
          <w:b/>
        </w:rPr>
        <w:t xml:space="preserve">Minus: </w:t>
      </w:r>
      <w:r>
        <w:t>Steuerfolgen eines Wegzugs bleiben trotzdem individuell zu prüfen</w:t>
      </w:r>
    </w:p>
    <w:p w14:paraId="580D8FD5" w14:textId="77777777" w:rsidR="001F7233" w:rsidRDefault="00000000">
      <w:r>
        <w:rPr>
          <w:b/>
        </w:rPr>
        <w:t>Plus: Altersbefreiung vom künftigen Test für unter 16- und über 65-Jährige</w:t>
      </w:r>
    </w:p>
    <w:p w14:paraId="1B53D37F" w14:textId="77777777" w:rsidR="001F7233" w:rsidRDefault="00000000">
      <w:r>
        <w:rPr>
          <w:b/>
        </w:rPr>
        <w:t xml:space="preserve">Minus: </w:t>
      </w:r>
      <w:r>
        <w:t>Reform von 2024 wirkt nicht rückwirkend für ältere Einbürgerungsfälle</w:t>
      </w:r>
    </w:p>
    <w:p w14:paraId="79E55EF0" w14:textId="77777777" w:rsidR="001F7233" w:rsidRDefault="001F7233">
      <w:pPr>
        <w:spacing w:line="180" w:lineRule="exact"/>
      </w:pPr>
    </w:p>
    <w:p w14:paraId="6F7819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D659E93" w14:textId="77777777" w:rsidR="001F7233" w:rsidRDefault="00000000">
      <w:pPr>
        <w:spacing w:after="140"/>
      </w:pPr>
      <w:r>
        <w:t xml:space="preserve">Rechne früh aus, über welchen Weg du realistisch ein Resident Visa erreichst, denn davon hängt die gesamte weitere Zeitachse ab. Wer noch auf dem AEWV sitzt, sollte den Übergang zur Residenz bewusst vor der Fünf-Jahres-Grenze angehen, nicht erst kurz davor. Führe von Beginn an ein Anwesenheitslogbuch und prüfe beide Bedingungen getrennt. Die 1.350-Tage-Gesamtsumme und die 240-Tage-Schwelle in jedem einzelnen Visa-Jahr. Wenn du die Einbürgerung ohnehin planst, ziehe in Betracht, den Antrag vor </w:t>
      </w:r>
      <w:r>
        <w:lastRenderedPageBreak/>
        <w:t>Inkrafttreten des neuen Staatskundetests Ende 2027 zu stellen. Bei der Steuerresidenz gilt: Sprich frühzeitig mit einer Steuerfachperson, sobald ein längerer Auslandsaufenthalt – auch nur vorübergehend. Im Raum steht, denn das betrifft dich unabhängig davon, ob du je einbürgern willst oder den Pass schon hast.</w:t>
      </w:r>
    </w:p>
    <w:p w14:paraId="6E8156AD" w14:textId="77777777" w:rsidR="001F7233" w:rsidRDefault="00000000">
      <w:r>
        <w:t>• Eigenen Einstiegsweg (direktes Resident Visa oder Übergang vom AEWV) und realistische Gesamtdauer bis zum Antrag eingeschätzt.</w:t>
      </w:r>
    </w:p>
    <w:p w14:paraId="72E70CA0" w14:textId="77777777" w:rsidR="001F7233" w:rsidRDefault="00000000">
      <w:r>
        <w:t>• Anwesenheitslogbuch geführt: Gesamtsumme (1.350/1.825 Tage) und Einzeljahr-Schwelle (240 Tage) getrennt berechnet</w:t>
      </w:r>
    </w:p>
    <w:p w14:paraId="24DC57FA" w14:textId="77777777" w:rsidR="001F7233" w:rsidRDefault="00000000">
      <w:r>
        <w:t>• Jahresgrenzen korrekt ab dem individuellen Visa-Jahrestag berechnet, nicht ab dem Kalenderjahr</w:t>
      </w:r>
    </w:p>
    <w:p w14:paraId="3427E36B" w14:textId="77777777" w:rsidR="001F7233" w:rsidRDefault="00000000">
      <w:r>
        <w:t>• Guten Leumund und vollständige Offenlegung aller relevanten Vorstrafen sichergestellt</w:t>
      </w:r>
    </w:p>
    <w:p w14:paraId="794C524A" w14:textId="77777777" w:rsidR="001F7233" w:rsidRDefault="00000000">
      <w:r>
        <w:t>• Ankündigung des neuen Staatskundetests (Ende 2027) im eigenen Zeitplan berücksichtigt</w:t>
      </w:r>
    </w:p>
    <w:p w14:paraId="7FFDD997" w14:textId="77777777" w:rsidR="001F7233" w:rsidRDefault="00000000">
      <w:r>
        <w:t>• Bei im Ausland geborenen Kindern: Citizenship-by-Descent-Registrierung rechtzeitig geprüft</w:t>
      </w:r>
    </w:p>
    <w:p w14:paraId="489167AC" w14:textId="77777777" w:rsidR="001F7233" w:rsidRDefault="00000000">
      <w:r>
        <w:t>• Eigenen steuerlichen Status (Steuerresident oder nicht) mit einer Steuerfachperson geklärt</w:t>
      </w:r>
    </w:p>
    <w:p w14:paraId="0D430808" w14:textId="77777777" w:rsidR="001F7233" w:rsidRDefault="00000000">
      <w:r>
        <w:t>• Bei geplantem Wegzug aus Neuseeland: steuerliche Folgen vorab mit Steuerberatung geprüft</w:t>
      </w:r>
    </w:p>
    <w:p w14:paraId="5F97C683" w14:textId="77777777" w:rsidR="001F7233" w:rsidRDefault="001F7233">
      <w:pPr>
        <w:spacing w:line="220" w:lineRule="exact"/>
      </w:pPr>
    </w:p>
    <w:p w14:paraId="5CA784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1A0834D" w14:textId="77777777" w:rsidR="001F7233" w:rsidRDefault="00000000">
      <w:pPr>
        <w:pStyle w:val="ListParagraph"/>
        <w:numPr>
          <w:ilvl w:val="0"/>
          <w:numId w:val="1"/>
        </w:numPr>
        <w:spacing w:after="60"/>
      </w:pPr>
      <w:r>
        <w:t>Department of Internal Affairs (DIA) — Citizenship by Grant: Voraussetzungen, Gebühren, angekündigter Staatskundetest (</w:t>
      </w:r>
      <w:hyperlink r:id="rId1125">
        <w:r w:rsidR="001F7233">
          <w:rPr>
            <w:color w:val="0563C1"/>
            <w:u w:val="single"/>
          </w:rPr>
          <w:t>dia.govt.nz</w:t>
        </w:r>
      </w:hyperlink>
      <w:r>
        <w:t>)</w:t>
      </w:r>
    </w:p>
    <w:p w14:paraId="25D9EE3A" w14:textId="77777777" w:rsidR="001F7233" w:rsidRDefault="00000000">
      <w:pPr>
        <w:pStyle w:val="ListParagraph"/>
        <w:numPr>
          <w:ilvl w:val="0"/>
          <w:numId w:val="1"/>
        </w:numPr>
        <w:spacing w:after="60"/>
      </w:pPr>
      <w:r>
        <w:t>Immigration New Zealand — Resident Visa, Permanent Resident Visa, Green List (</w:t>
      </w:r>
      <w:hyperlink r:id="rId1126">
        <w:r w:rsidR="001F7233">
          <w:rPr>
            <w:color w:val="0563C1"/>
            <w:u w:val="single"/>
          </w:rPr>
          <w:t>immigration.govt.nz</w:t>
        </w:r>
      </w:hyperlink>
      <w:r>
        <w:t>)</w:t>
      </w:r>
    </w:p>
    <w:p w14:paraId="3494E4F6" w14:textId="77777777" w:rsidR="001F7233" w:rsidRDefault="00000000">
      <w:pPr>
        <w:pStyle w:val="ListParagraph"/>
        <w:numPr>
          <w:ilvl w:val="0"/>
          <w:numId w:val="1"/>
        </w:numPr>
        <w:spacing w:after="60"/>
      </w:pPr>
      <w:r>
        <w:t>Inland Revenue (IRD) — Steuerresidenz für Neuseeland (</w:t>
      </w:r>
      <w:hyperlink r:id="rId1127">
        <w:r w:rsidR="001F7233">
          <w:rPr>
            <w:color w:val="0563C1"/>
            <w:u w:val="single"/>
          </w:rPr>
          <w:t>ird.govt.nz</w:t>
        </w:r>
      </w:hyperlink>
      <w:r>
        <w:t>)</w:t>
      </w:r>
    </w:p>
    <w:p w14:paraId="4F208C8E" w14:textId="77777777" w:rsidR="001F7233" w:rsidRDefault="00000000">
      <w:pPr>
        <w:pStyle w:val="ListParagraph"/>
        <w:numPr>
          <w:ilvl w:val="0"/>
          <w:numId w:val="1"/>
        </w:numPr>
        <w:spacing w:after="60"/>
      </w:pPr>
      <w:r>
        <w:t>Bundesministerium des Innern — Staatsangehörigkeitsrecht, Reform 2024 (</w:t>
      </w:r>
      <w:hyperlink r:id="rId1128">
        <w:r w:rsidR="001F7233">
          <w:rPr>
            <w:color w:val="0563C1"/>
            <w:u w:val="single"/>
          </w:rPr>
          <w:t>bmi.bund.de</w:t>
        </w:r>
      </w:hyperlink>
      <w:r>
        <w:t>)</w:t>
      </w:r>
    </w:p>
    <w:p w14:paraId="2EBCFF99" w14:textId="77777777" w:rsidR="001F7233" w:rsidRDefault="00000000">
      <w:pPr>
        <w:pStyle w:val="ListParagraph"/>
        <w:numPr>
          <w:ilvl w:val="0"/>
          <w:numId w:val="1"/>
        </w:numPr>
        <w:spacing w:after="60"/>
      </w:pPr>
      <w:r>
        <w:lastRenderedPageBreak/>
        <w:t>Deutsche Botschaft Wellington — doppelte Staatsangehörigkeit, Beratung (</w:t>
      </w:r>
      <w:hyperlink r:id="rId1129">
        <w:r w:rsidR="001F7233">
          <w:rPr>
            <w:color w:val="0563C1"/>
            <w:u w:val="single"/>
          </w:rPr>
          <w:t>wellington.diplo.de</w:t>
        </w:r>
      </w:hyperlink>
      <w:r>
        <w:t>)</w:t>
      </w:r>
    </w:p>
    <w:p w14:paraId="23A66C85" w14:textId="77777777" w:rsidR="001F7233" w:rsidRDefault="001F7233">
      <w:pPr>
        <w:spacing w:line="120" w:lineRule="exact"/>
      </w:pPr>
    </w:p>
    <w:p w14:paraId="429DFF49" w14:textId="77777777" w:rsidR="001F7233" w:rsidRDefault="00000000">
      <w:r>
        <w:t>• Quellen- und Datenstand: September 2026; Redaktionsschluss: Oktober 2026. Schnell ändern sich: die Einbürgerungsgebühr, Bearbeitungs- und Wartezeiten bis zur Zeremonie sowie Format und Starttermin des angekündigten Staatskundetests (Stand der Ankündigung: Mai 2026, geplant für Ende 2027). Prüfe vor jeder Entscheidung die aktuellen Seiten des DIA und der IRD.</w:t>
      </w:r>
    </w:p>
    <w:p w14:paraId="42576C9C" w14:textId="77777777" w:rsidR="001F7233" w:rsidRDefault="001F7233">
      <w:pPr>
        <w:spacing w:line="220" w:lineRule="exact"/>
      </w:pPr>
    </w:p>
    <w:p w14:paraId="2EEE7563" w14:textId="77777777" w:rsidR="001F7233" w:rsidRDefault="00000000">
      <w:r>
        <w:t>Redundanz mit Funktion</w:t>
      </w:r>
    </w:p>
    <w:p w14:paraId="0D1A3334" w14:textId="77777777" w:rsidR="001F7233" w:rsidRDefault="00000000">
      <w:r>
        <w:t>Dieses Buch wiederholt wichtige Informationen bewusst, wenn sich ihre Funktion ändert: Überblick = orientieren. Fachkapitel = erklären; Achtung = warnen; Masterplan = Zeitpunkt festlegen; Checkliste = abhaken. Nur echte Wortwiederholungen ohne zusätzliche Funktion gehören zusammengeführt.</w:t>
      </w:r>
      <w:r>
        <w:br w:type="page"/>
      </w:r>
    </w:p>
    <w:p w14:paraId="412B1C5F" w14:textId="77777777" w:rsidR="001F7233" w:rsidRDefault="00000000">
      <w:pPr>
        <w:pStyle w:val="Heading2"/>
        <w:keepNext/>
        <w:spacing w:line="341" w:lineRule="auto"/>
        <w:jc w:val="center"/>
      </w:pPr>
      <w:bookmarkStart w:id="148" w:name="anhangA_masterplan"/>
      <w:r>
        <w:lastRenderedPageBreak/>
        <w:t>Anhang A: Der Masterplan</w:t>
      </w:r>
      <w:bookmarkEnd w:id="148"/>
    </w:p>
    <w:p w14:paraId="2DEC311E" w14:textId="77777777" w:rsidR="001F7233" w:rsidRDefault="00000000">
      <w:r>
        <w:t>Zeitlogik der Master-Checkliste: JETZT = recherchieren und Optionen sortieren. VOR DEM ANTRAG = Voraussetzungen und Dokumente sichern. VOR DER KÜNDIGUNG = Aufenthaltsweg, Berufszugang und Finanzierung belastbar klären. VOR DEM FLUG = operative Abreise und Ankunft erledigen. Wiederholungen aus Fachkapiteln werden hier bewusst zu Handlungen, nicht erneut zu langen Erklärungen.</w:t>
      </w:r>
    </w:p>
    <w:p w14:paraId="5925261C" w14:textId="77777777" w:rsidR="001F7233" w:rsidRDefault="00000000">
      <w:pPr>
        <w:spacing w:after="140"/>
      </w:pPr>
      <w:r>
        <w:t>Diese Checkliste bündelt Aufgaben aus den USA-Kapiteln und aus den Teilen für Kanada, Australien und Neuseeland. Sie zeigt, wann welcher Schritt ansteht. Sie ersetzt nicht das Kapitel. Hake ab, was erledigt ist. Nutze die Klammerverweise zum Nachlesen.</w:t>
      </w:r>
    </w:p>
    <w:p w14:paraId="0133F4B1" w14:textId="77777777" w:rsidR="001F7233" w:rsidRDefault="00000000">
      <w:pPr>
        <w:spacing w:after="140"/>
      </w:pPr>
      <w:r>
        <w:t>Die Schritte, die in Deutschland für alle vier Zielländer gleich sind, stehen im Kapitel Deutschland vor dem Abflug. Die Checkliste darunter trennt danach, was sich je Land unterscheidet.</w:t>
      </w:r>
    </w:p>
    <w:p w14:paraId="413EC8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dem Zielland: Deutschland</w:t>
      </w:r>
    </w:p>
    <w:p w14:paraId="20A731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Sobald der Entschluss steht</w:t>
      </w:r>
    </w:p>
    <w:p w14:paraId="491B694F" w14:textId="77777777" w:rsidR="001F7233" w:rsidRDefault="00000000">
      <w:pPr>
        <w:tabs>
          <w:tab w:val="left" w:pos="400"/>
        </w:tabs>
        <w:spacing w:after="60"/>
        <w:ind w:left="400" w:hanging="330"/>
      </w:pPr>
      <w:r>
        <w:t>• Fünf Fragen zu Beruf, Sprache, Familie, Zeit und Klima beantwortet (Welches Land passt zu dir?)</w:t>
      </w:r>
    </w:p>
    <w:p w14:paraId="3BA3CBB9" w14:textId="77777777" w:rsidR="001F7233" w:rsidRDefault="00000000">
      <w:pPr>
        <w:tabs>
          <w:tab w:val="left" w:pos="400"/>
        </w:tabs>
        <w:spacing w:after="60"/>
        <w:ind w:left="400" w:hanging="330"/>
      </w:pPr>
      <w:r>
        <w:t>• Abmeldung beim Bürgeramt: innerhalb von zwei Wochen nach dem Auszug, nicht früher als eine Woche vorher (Bundesmeldegesetz; Deutschland vor dem Abflug)</w:t>
      </w:r>
    </w:p>
    <w:p w14:paraId="15CB51C0" w14:textId="77777777" w:rsidR="001F7233" w:rsidRDefault="00000000">
      <w:pPr>
        <w:tabs>
          <w:tab w:val="left" w:pos="400"/>
        </w:tabs>
        <w:spacing w:after="60"/>
        <w:ind w:left="400" w:hanging="330"/>
      </w:pPr>
      <w:r>
        <w:t>• Mietkündigung: Zugang bis zum dritten Werktag, Frist drei Monate, sofern der Vertrag nichts anderes zulässt (Deutschland vor dem Abflug)</w:t>
      </w:r>
    </w:p>
    <w:p w14:paraId="340BE88D" w14:textId="77777777" w:rsidR="001F7233" w:rsidRDefault="00000000">
      <w:pPr>
        <w:tabs>
          <w:tab w:val="left" w:pos="400"/>
        </w:tabs>
        <w:spacing w:after="60"/>
        <w:ind w:left="400" w:hanging="330"/>
      </w:pPr>
      <w:r>
        <w:t>• Arbeitsvertrag: gesetzlich vier Wochen zum 15. oder Monatsende, nur schriftlich; früher nur mit Aufhebungsvertrag (Deutschland vor dem Abflug)</w:t>
      </w:r>
    </w:p>
    <w:p w14:paraId="47E52CBC" w14:textId="77777777" w:rsidR="001F7233" w:rsidRDefault="00000000">
      <w:pPr>
        <w:tabs>
          <w:tab w:val="left" w:pos="400"/>
        </w:tabs>
        <w:spacing w:after="60"/>
        <w:ind w:left="400" w:hanging="330"/>
      </w:pPr>
      <w:r>
        <w:lastRenderedPageBreak/>
        <w:t>• Freiwillige Krankenkasse endet nicht von selbst (§ 191 SGB V). Ende oder Anwartschaft schriftlich von der eigenen Kasse (Deutschland vor dem Abflug)</w:t>
      </w:r>
    </w:p>
    <w:p w14:paraId="3DF1F506" w14:textId="77777777" w:rsidR="001F7233" w:rsidRDefault="00000000">
      <w:pPr>
        <w:tabs>
          <w:tab w:val="left" w:pos="400"/>
        </w:tabs>
        <w:spacing w:after="60"/>
        <w:ind w:left="400" w:hanging="330"/>
      </w:pPr>
      <w:r>
        <w:t xml:space="preserve">• Rundfunkbeitrag über die Abmeldung der Wohnung auf </w:t>
      </w:r>
      <w:hyperlink r:id="rId1130">
        <w:r w:rsidR="001F7233">
          <w:rPr>
            <w:color w:val="0563C1"/>
            <w:u w:val="single"/>
          </w:rPr>
          <w:t>rundfunkbeitrag.de</w:t>
        </w:r>
      </w:hyperlink>
      <w:r>
        <w:t>, nicht durch eine Vertragskündigung (Deutschland vor dem Abflug)</w:t>
      </w:r>
    </w:p>
    <w:p w14:paraId="0651C106" w14:textId="77777777" w:rsidR="001F7233" w:rsidRDefault="00000000">
      <w:pPr>
        <w:tabs>
          <w:tab w:val="left" w:pos="400"/>
        </w:tabs>
        <w:spacing w:after="60"/>
        <w:ind w:left="400" w:hanging="330"/>
      </w:pPr>
      <w:r>
        <w:t>• Kindergeld und Elterngeld: Wegzug der Familienkasse und der Elterngeldstelle melden (Deutschland vor dem Abflug)</w:t>
      </w:r>
    </w:p>
    <w:p w14:paraId="0966AE7E" w14:textId="77777777" w:rsidR="001F7233" w:rsidRDefault="00000000">
      <w:pPr>
        <w:tabs>
          <w:tab w:val="left" w:pos="400"/>
        </w:tabs>
        <w:spacing w:after="60"/>
        <w:ind w:left="400" w:hanging="330"/>
      </w:pPr>
      <w:r>
        <w:t>• Apostille nur bestellen, wenn das Zielland sie verlangt. Die Tabelle steht in Deutschland vor dem Abflug</w:t>
      </w:r>
    </w:p>
    <w:p w14:paraId="4340CACD" w14:textId="77777777" w:rsidR="001F7233" w:rsidRDefault="00000000">
      <w:pPr>
        <w:tabs>
          <w:tab w:val="left" w:pos="400"/>
        </w:tabs>
        <w:spacing w:after="60"/>
        <w:ind w:left="400" w:hanging="330"/>
      </w:pPr>
      <w:r>
        <w:t>• Vertragsliste, Abmeldung, Rundfunkbeitrag, Krankenkasse und Frage an die Deutsche Rentenversicherung nach dem Abkommen genau dieses Landes (Deutschland vor dem Abflug)</w:t>
      </w:r>
    </w:p>
    <w:p w14:paraId="27B0E8B3" w14:textId="77777777" w:rsidR="001F7233" w:rsidRDefault="00000000">
      <w:pPr>
        <w:tabs>
          <w:tab w:val="left" w:pos="400"/>
        </w:tabs>
        <w:spacing w:after="60"/>
        <w:ind w:left="400" w:hanging="330"/>
      </w:pPr>
      <w:r>
        <w:t>• Bei Arzt, Pflege, Lehramt, Ingenieurwesen oder lizenziertem Handwerk das Anerkennungskapitel des Ziellandes gelesen, nicht nur das Visakapitel</w:t>
      </w:r>
    </w:p>
    <w:p w14:paraId="48DBE6C8" w14:textId="77777777" w:rsidR="001F7233" w:rsidRDefault="001F7233">
      <w:pPr>
        <w:spacing w:line="120" w:lineRule="exact"/>
      </w:pPr>
    </w:p>
    <w:p w14:paraId="373152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7A3BF1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68B58DD0" w14:textId="77777777" w:rsidR="001F7233" w:rsidRDefault="00000000">
      <w:pPr>
        <w:tabs>
          <w:tab w:val="left" w:pos="400"/>
        </w:tabs>
        <w:spacing w:after="60"/>
        <w:ind w:left="400" w:hanging="330"/>
      </w:pPr>
      <w:r>
        <w:t>• Eigene Netto-Rechnung für Gehalt, Steuern, Krankenversicherung und Wohnkosten mit dem Rechenmodell erstellt (</w:t>
      </w:r>
      <w:hyperlink w:anchor="k3">
        <w:r w:rsidR="001F7233">
          <w:rPr>
            <w:color w:val="0563C1"/>
            <w:u w:val="single"/>
          </w:rPr>
          <w:t>Kapitel 3</w:t>
        </w:r>
      </w:hyperlink>
      <w:r>
        <w:t>)</w:t>
      </w:r>
    </w:p>
    <w:p w14:paraId="180E6092" w14:textId="77777777" w:rsidR="001F7233" w:rsidRDefault="00000000">
      <w:pPr>
        <w:tabs>
          <w:tab w:val="left" w:pos="400"/>
        </w:tabs>
        <w:spacing w:after="60"/>
        <w:ind w:left="400" w:hanging="330"/>
      </w:pPr>
      <w:r>
        <w:t>• Die drei wichtigsten Plus- und Minuspunkte mit Partner oder Familie besprochen und gewichtet (</w:t>
      </w:r>
      <w:hyperlink w:anchor="k1">
        <w:r w:rsidR="001F7233">
          <w:rPr>
            <w:color w:val="0563C1"/>
            <w:u w:val="single"/>
          </w:rPr>
          <w:t>Kapitel 1</w:t>
        </w:r>
      </w:hyperlink>
      <w:r>
        <w:t>)</w:t>
      </w:r>
    </w:p>
    <w:p w14:paraId="7A9B8C1D" w14:textId="77777777" w:rsidR="001F7233" w:rsidRDefault="00000000">
      <w:pPr>
        <w:tabs>
          <w:tab w:val="left" w:pos="400"/>
        </w:tabs>
        <w:spacing w:after="60"/>
        <w:ind w:left="400" w:hanging="330"/>
      </w:pPr>
      <w:r>
        <w:t>• Zeithorizont für den USA-Aufenthalt festgelegt: einige Jahre, unbefristet oder offen (</w:t>
      </w:r>
      <w:hyperlink w:anchor="k1">
        <w:r w:rsidR="001F7233">
          <w:rPr>
            <w:color w:val="0563C1"/>
            <w:u w:val="single"/>
          </w:rPr>
          <w:t>Kapitel 1</w:t>
        </w:r>
      </w:hyperlink>
      <w:r>
        <w:t xml:space="preserve">, </w:t>
      </w:r>
      <w:hyperlink w:anchor="k3">
        <w:r w:rsidR="001F7233">
          <w:rPr>
            <w:color w:val="0563C1"/>
            <w:u w:val="single"/>
          </w:rPr>
          <w:t>Kapitel 3</w:t>
        </w:r>
      </w:hyperlink>
      <w:r>
        <w:t>)</w:t>
      </w:r>
    </w:p>
    <w:p w14:paraId="3C5B34E3" w14:textId="77777777" w:rsidR="001F7233" w:rsidRDefault="00000000">
      <w:pPr>
        <w:tabs>
          <w:tab w:val="left" w:pos="400"/>
        </w:tabs>
        <w:spacing w:after="60"/>
        <w:ind w:left="400" w:hanging="330"/>
      </w:pPr>
      <w:r>
        <w:t>• Eigene Situation im Entscheidungsbaum der Visumswege eingeordnet und das passende Detailkapitel gelesen (</w:t>
      </w:r>
      <w:hyperlink w:anchor="k4">
        <w:r w:rsidR="001F7233">
          <w:rPr>
            <w:color w:val="0563C1"/>
            <w:u w:val="single"/>
          </w:rPr>
          <w:t>Kapitel 4</w:t>
        </w:r>
      </w:hyperlink>
      <w:r>
        <w:t>)</w:t>
      </w:r>
    </w:p>
    <w:p w14:paraId="1208C827" w14:textId="77777777" w:rsidR="001F7233" w:rsidRDefault="00000000">
      <w:pPr>
        <w:tabs>
          <w:tab w:val="left" w:pos="400"/>
        </w:tabs>
        <w:spacing w:after="60"/>
        <w:ind w:left="400" w:hanging="330"/>
      </w:pPr>
      <w:r>
        <w:lastRenderedPageBreak/>
        <w:t>• Geprüft, ob und über welchen Weg der Arbeitgeber ein Visum sponsert (</w:t>
      </w:r>
      <w:hyperlink w:anchor="k4">
        <w:r w:rsidR="001F7233">
          <w:rPr>
            <w:color w:val="0563C1"/>
            <w:u w:val="single"/>
          </w:rPr>
          <w:t>Kapitel 4</w:t>
        </w:r>
      </w:hyperlink>
      <w:r>
        <w:t xml:space="preserve">, </w:t>
      </w:r>
      <w:hyperlink w:anchor="k5">
        <w:r w:rsidR="001F7233">
          <w:rPr>
            <w:color w:val="0563C1"/>
            <w:u w:val="single"/>
          </w:rPr>
          <w:t>Kapitel 5</w:t>
        </w:r>
      </w:hyperlink>
      <w:r>
        <w:t>)</w:t>
      </w:r>
    </w:p>
    <w:p w14:paraId="75F331EB" w14:textId="77777777" w:rsidR="001F7233" w:rsidRDefault="00000000">
      <w:pPr>
        <w:tabs>
          <w:tab w:val="left" w:pos="400"/>
        </w:tabs>
        <w:spacing w:after="60"/>
        <w:ind w:left="400" w:hanging="330"/>
      </w:pPr>
      <w:r>
        <w:t>• Geklärt, ob der Partner mitarbeiten darf und welche Arbeitserlaubnis-Perspektive besteht (</w:t>
      </w:r>
      <w:hyperlink w:anchor="k10">
        <w:r w:rsidR="001F7233">
          <w:rPr>
            <w:color w:val="0563C1"/>
            <w:u w:val="single"/>
          </w:rPr>
          <w:t>Kapitel 10</w:t>
        </w:r>
      </w:hyperlink>
      <w:r>
        <w:t>)</w:t>
      </w:r>
    </w:p>
    <w:p w14:paraId="0DCEF597" w14:textId="77777777" w:rsidR="001F7233" w:rsidRDefault="00000000">
      <w:pPr>
        <w:tabs>
          <w:tab w:val="left" w:pos="400"/>
        </w:tabs>
        <w:spacing w:after="60"/>
        <w:ind w:left="400" w:hanging="330"/>
      </w:pPr>
      <w:r>
        <w:t>• Muss-, Kann- und Ausschlusskriterien schriftlich mit Partner oder Familie festgelegt (</w:t>
      </w:r>
      <w:hyperlink w:anchor="k3">
        <w:r w:rsidR="001F7233">
          <w:rPr>
            <w:color w:val="0563C1"/>
            <w:u w:val="single"/>
          </w:rPr>
          <w:t>Kapitel 3</w:t>
        </w:r>
      </w:hyperlink>
      <w:r>
        <w:t>)</w:t>
      </w:r>
    </w:p>
    <w:p w14:paraId="57B06703" w14:textId="77777777" w:rsidR="001F7233" w:rsidRDefault="00000000">
      <w:pPr>
        <w:tabs>
          <w:tab w:val="left" w:pos="400"/>
        </w:tabs>
        <w:spacing w:after="60"/>
        <w:ind w:left="400" w:hanging="330"/>
      </w:pPr>
      <w:r>
        <w:t>• Rücklage von mindestens sechs Monatsfixkosten aufgebaut, bevor gekündigt wird (</w:t>
      </w:r>
      <w:hyperlink w:anchor="k2">
        <w:r w:rsidR="001F7233">
          <w:rPr>
            <w:color w:val="0563C1"/>
            <w:u w:val="single"/>
          </w:rPr>
          <w:t>Kapitel 2</w:t>
        </w:r>
      </w:hyperlink>
      <w:r>
        <w:t xml:space="preserve">, </w:t>
      </w:r>
      <w:hyperlink w:anchor="k30">
        <w:r w:rsidR="001F7233">
          <w:rPr>
            <w:color w:val="0563C1"/>
            <w:u w:val="single"/>
          </w:rPr>
          <w:t>Kapitel 30</w:t>
        </w:r>
      </w:hyperlink>
      <w:r>
        <w:t>)</w:t>
      </w:r>
    </w:p>
    <w:p w14:paraId="256CD108" w14:textId="77777777" w:rsidR="001F7233" w:rsidRDefault="00000000">
      <w:pPr>
        <w:tabs>
          <w:tab w:val="left" w:pos="400"/>
        </w:tabs>
        <w:spacing w:after="60"/>
        <w:ind w:left="400" w:hanging="330"/>
      </w:pPr>
      <w:r>
        <w:t>• Resume auf US-Format gebracht und LinkedIn-Profil auf Englisch angelegt (</w:t>
      </w:r>
      <w:hyperlink w:anchor="k29">
        <w:r w:rsidR="001F7233">
          <w:rPr>
            <w:color w:val="0563C1"/>
            <w:u w:val="single"/>
          </w:rPr>
          <w:t>Kapitel 29</w:t>
        </w:r>
      </w:hyperlink>
      <w:r>
        <w:t>)</w:t>
      </w:r>
    </w:p>
    <w:p w14:paraId="5A9BEBCF" w14:textId="77777777" w:rsidR="001F7233" w:rsidRDefault="00000000">
      <w:pPr>
        <w:tabs>
          <w:tab w:val="left" w:pos="400"/>
        </w:tabs>
        <w:spacing w:after="60"/>
        <w:ind w:left="400" w:hanging="330"/>
      </w:pPr>
      <w:r>
        <w:t>• Antwort auf die Sponsoring-Frage und drei STAR-Geschichten für Vorstellungsgespräche vorbereitet (</w:t>
      </w:r>
      <w:hyperlink w:anchor="k29">
        <w:r w:rsidR="001F7233">
          <w:rPr>
            <w:color w:val="0563C1"/>
            <w:u w:val="single"/>
          </w:rPr>
          <w:t>Kapitel 29</w:t>
        </w:r>
      </w:hyperlink>
      <w:r>
        <w:t>)</w:t>
      </w:r>
    </w:p>
    <w:p w14:paraId="2AB23E1D" w14:textId="77777777" w:rsidR="001F7233" w:rsidRDefault="00000000">
      <w:pPr>
        <w:tabs>
          <w:tab w:val="left" w:pos="400"/>
        </w:tabs>
        <w:spacing w:after="60"/>
        <w:ind w:left="400" w:hanging="330"/>
      </w:pPr>
      <w:r>
        <w:t>• Wohnort und Schulbezirk vorläufig recherchiert, bevor Jobangebote verglichen werden (</w:t>
      </w:r>
      <w:hyperlink w:anchor="k1">
        <w:r w:rsidR="001F7233">
          <w:rPr>
            <w:color w:val="0563C1"/>
            <w:u w:val="single"/>
          </w:rPr>
          <w:t>Kapitel 1</w:t>
        </w:r>
      </w:hyperlink>
      <w:r>
        <w:t xml:space="preserve">, </w:t>
      </w:r>
      <w:hyperlink w:anchor="k12">
        <w:r w:rsidR="001F7233">
          <w:rPr>
            <w:color w:val="0563C1"/>
            <w:u w:val="single"/>
          </w:rPr>
          <w:t>Kapitel 12</w:t>
        </w:r>
      </w:hyperlink>
      <w:r>
        <w:t>)</w:t>
      </w:r>
    </w:p>
    <w:p w14:paraId="1305B72E" w14:textId="77777777" w:rsidR="001F7233" w:rsidRDefault="00000000">
      <w:pPr>
        <w:tabs>
          <w:tab w:val="left" w:pos="400"/>
        </w:tabs>
        <w:spacing w:after="60"/>
        <w:ind w:left="400" w:hanging="330"/>
      </w:pPr>
      <w:r>
        <w:t>• 21. Geburtstag aller mitreisenden Kinder im Kalender notiert (Age-out-Risiko) (</w:t>
      </w:r>
      <w:hyperlink w:anchor="k2">
        <w:r w:rsidR="001F7233">
          <w:rPr>
            <w:color w:val="0563C1"/>
            <w:u w:val="single"/>
          </w:rPr>
          <w:t>Kapitel 2</w:t>
        </w:r>
      </w:hyperlink>
      <w:r>
        <w:t xml:space="preserve">, </w:t>
      </w:r>
      <w:hyperlink w:anchor="k10">
        <w:r w:rsidR="001F7233">
          <w:rPr>
            <w:color w:val="0563C1"/>
            <w:u w:val="single"/>
          </w:rPr>
          <w:t>Kapitel 10</w:t>
        </w:r>
      </w:hyperlink>
      <w:r>
        <w:t>)</w:t>
      </w:r>
    </w:p>
    <w:p w14:paraId="5D510E9D" w14:textId="77777777" w:rsidR="001F7233" w:rsidRDefault="00000000">
      <w:pPr>
        <w:tabs>
          <w:tab w:val="left" w:pos="400"/>
        </w:tabs>
        <w:spacing w:after="60"/>
        <w:ind w:left="400" w:hanging="330"/>
      </w:pPr>
      <w:r>
        <w:t>• Bei anderen Wegen als H-1B (L-1, O-1, E-2, J-1, Lotterie, Selbständigkeit) die jeweilige Eintrittsvoraussetzung geklärt: Konzernjahr, Leistungsbelege, Kapital oder Programmplatz (</w:t>
      </w:r>
      <w:hyperlink w:anchor="k9">
        <w:r w:rsidR="001F7233">
          <w:rPr>
            <w:color w:val="0563C1"/>
            <w:u w:val="single"/>
          </w:rPr>
          <w:t>Kapitel 9</w:t>
        </w:r>
      </w:hyperlink>
      <w:r>
        <w:t>)</w:t>
      </w:r>
    </w:p>
    <w:p w14:paraId="09AA9200" w14:textId="77777777" w:rsidR="001F7233" w:rsidRDefault="00000000">
      <w:pPr>
        <w:tabs>
          <w:tab w:val="left" w:pos="400"/>
        </w:tabs>
        <w:spacing w:after="60"/>
        <w:ind w:left="400" w:hanging="330"/>
      </w:pPr>
      <w:r>
        <w:t>• Plan B für den Visumsweg parallel festgelegt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9">
        <w:r w:rsidR="001F7233">
          <w:rPr>
            <w:color w:val="0563C1"/>
            <w:u w:val="single"/>
          </w:rPr>
          <w:t>Kapitel 9</w:t>
        </w:r>
      </w:hyperlink>
      <w:r>
        <w:t>)</w:t>
      </w:r>
    </w:p>
    <w:p w14:paraId="6FAFD23A" w14:textId="77777777" w:rsidR="001F7233" w:rsidRDefault="00000000">
      <w:pPr>
        <w:tabs>
          <w:tab w:val="left" w:pos="400"/>
        </w:tabs>
        <w:spacing w:after="60"/>
        <w:ind w:left="400" w:hanging="330"/>
      </w:pPr>
      <w:r>
        <w:t>• Verhandlungsliste vor der Zusage durchgegangen: Relocation, Anwalt, Green-Card-Sponsoring, Steuerberatung, Rückkehrklausel (</w:t>
      </w:r>
      <w:hyperlink w:anchor="k3">
        <w:r w:rsidR="001F7233">
          <w:rPr>
            <w:color w:val="0563C1"/>
            <w:u w:val="single"/>
          </w:rPr>
          <w:t>Kapitel 3</w:t>
        </w:r>
      </w:hyperlink>
      <w:r>
        <w:t>)</w:t>
      </w:r>
    </w:p>
    <w:p w14:paraId="4720FF2B" w14:textId="77777777" w:rsidR="001F7233" w:rsidRDefault="00000000">
      <w:pPr>
        <w:tabs>
          <w:tab w:val="left" w:pos="400"/>
        </w:tabs>
        <w:spacing w:after="60"/>
        <w:ind w:left="400" w:hanging="330"/>
      </w:pPr>
      <w:r>
        <w:t>• Alle finanziell relevanten Zusagen schriftlich im Angebot oder einer Zusatzvereinbarung bestätigt (</w:t>
      </w:r>
      <w:hyperlink w:anchor="k3">
        <w:r w:rsidR="001F7233">
          <w:rPr>
            <w:color w:val="0563C1"/>
            <w:u w:val="single"/>
          </w:rPr>
          <w:t>Kapitel 3</w:t>
        </w:r>
      </w:hyperlink>
      <w:r>
        <w:t xml:space="preserve">, </w:t>
      </w:r>
      <w:hyperlink w:anchor="k11">
        <w:r w:rsidR="001F7233">
          <w:rPr>
            <w:color w:val="0563C1"/>
            <w:u w:val="single"/>
          </w:rPr>
          <w:t>Kapitel 11</w:t>
        </w:r>
      </w:hyperlink>
      <w:r>
        <w:t>)</w:t>
      </w:r>
    </w:p>
    <w:p w14:paraId="57E9F773" w14:textId="77777777" w:rsidR="001F7233" w:rsidRDefault="00000000">
      <w:pPr>
        <w:tabs>
          <w:tab w:val="left" w:pos="400"/>
        </w:tabs>
        <w:spacing w:after="60"/>
        <w:ind w:left="400" w:hanging="330"/>
      </w:pPr>
      <w:r>
        <w:t>• Offer Letter geprüft: Titel und Level, Bonusziel, Aktien, 401(k)-Match, Beginn der Krankenversicherung (</w:t>
      </w:r>
      <w:hyperlink w:anchor="k29">
        <w:r w:rsidR="001F7233">
          <w:rPr>
            <w:color w:val="0563C1"/>
            <w:u w:val="single"/>
          </w:rPr>
          <w:t>Kapitel 29</w:t>
        </w:r>
      </w:hyperlink>
      <w:r>
        <w:t>)</w:t>
      </w:r>
    </w:p>
    <w:p w14:paraId="45C6E705" w14:textId="77777777" w:rsidR="001F7233" w:rsidRDefault="00000000">
      <w:pPr>
        <w:tabs>
          <w:tab w:val="left" w:pos="400"/>
        </w:tabs>
        <w:spacing w:after="60"/>
        <w:ind w:left="400" w:hanging="330"/>
      </w:pPr>
      <w:r>
        <w:t>• Level, Sign-on, Aktien und Startdatum verhandelt, nicht nur das Grundgehalt (</w:t>
      </w:r>
      <w:hyperlink w:anchor="k29">
        <w:r w:rsidR="001F7233">
          <w:rPr>
            <w:color w:val="0563C1"/>
            <w:u w:val="single"/>
          </w:rPr>
          <w:t>Kapitel 29</w:t>
        </w:r>
      </w:hyperlink>
      <w:r>
        <w:t>)</w:t>
      </w:r>
    </w:p>
    <w:p w14:paraId="7A998866" w14:textId="77777777" w:rsidR="001F7233" w:rsidRDefault="00000000">
      <w:pPr>
        <w:tabs>
          <w:tab w:val="left" w:pos="400"/>
        </w:tabs>
        <w:spacing w:after="60"/>
        <w:ind w:left="400" w:hanging="330"/>
      </w:pPr>
      <w:r>
        <w:lastRenderedPageBreak/>
        <w:t>• Wettbewerbsverbot, Schiedsvereinbarung und Erfindungszuweisung geprüft, eigene Vorerfindungen als Ausnahme eingetragen (</w:t>
      </w:r>
      <w:hyperlink w:anchor="k29">
        <w:r w:rsidR="001F7233">
          <w:rPr>
            <w:color w:val="0563C1"/>
            <w:u w:val="single"/>
          </w:rPr>
          <w:t>Kapitel 29</w:t>
        </w:r>
      </w:hyperlink>
      <w:r>
        <w:t>)</w:t>
      </w:r>
    </w:p>
    <w:p w14:paraId="6F12AC3C" w14:textId="77777777" w:rsidR="001F7233" w:rsidRDefault="00000000">
      <w:pPr>
        <w:tabs>
          <w:tab w:val="left" w:pos="400"/>
        </w:tabs>
        <w:spacing w:after="60"/>
        <w:ind w:left="400" w:hanging="330"/>
      </w:pPr>
      <w:r>
        <w:t>• Geklärt, wer die Visa- und Green-Card-Kosten trägt und wann das Verfahren startet (</w:t>
      </w:r>
      <w:hyperlink w:anchor="k5">
        <w:r w:rsidR="001F7233">
          <w:rPr>
            <w:color w:val="0563C1"/>
            <w:u w:val="single"/>
          </w:rPr>
          <w:t>Kapitel 5</w:t>
        </w:r>
      </w:hyperlink>
      <w:r>
        <w:t xml:space="preserve">, </w:t>
      </w:r>
      <w:hyperlink w:anchor="k6">
        <w:r w:rsidR="001F7233">
          <w:rPr>
            <w:color w:val="0563C1"/>
            <w:u w:val="single"/>
          </w:rPr>
          <w:t>Kapitel 6</w:t>
        </w:r>
      </w:hyperlink>
      <w:r>
        <w:t xml:space="preserve">, </w:t>
      </w:r>
      <w:hyperlink w:anchor="k7">
        <w:r w:rsidR="001F7233">
          <w:rPr>
            <w:color w:val="0563C1"/>
            <w:u w:val="single"/>
          </w:rPr>
          <w:t>Kapitel 7</w:t>
        </w:r>
      </w:hyperlink>
      <w:r>
        <w:t xml:space="preserve">, </w:t>
      </w:r>
      <w:hyperlink w:anchor="k29">
        <w:r w:rsidR="001F7233">
          <w:rPr>
            <w:color w:val="0563C1"/>
            <w:u w:val="single"/>
          </w:rPr>
          <w:t>Kapitel 29</w:t>
        </w:r>
      </w:hyperlink>
      <w:r>
        <w:t>)</w:t>
      </w:r>
    </w:p>
    <w:p w14:paraId="3A666B50" w14:textId="77777777" w:rsidR="001F7233" w:rsidRDefault="001F7233">
      <w:pPr>
        <w:spacing w:line="120" w:lineRule="exact"/>
      </w:pPr>
    </w:p>
    <w:p w14:paraId="062FBD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7076242C" w14:textId="77777777" w:rsidR="001F7233" w:rsidRDefault="00000000">
      <w:pPr>
        <w:tabs>
          <w:tab w:val="left" w:pos="400"/>
        </w:tabs>
        <w:spacing w:after="60"/>
        <w:ind w:left="400" w:hanging="330"/>
      </w:pPr>
      <w:r>
        <w:t>• Studienfach und Stelle abgeglichen, Bewertungsgutachten bei Bedarf mit der Kanzlei besprochen (</w:t>
      </w:r>
      <w:hyperlink w:anchor="k5">
        <w:r w:rsidR="001F7233">
          <w:rPr>
            <w:color w:val="0563C1"/>
            <w:u w:val="single"/>
          </w:rPr>
          <w:t>Kapitel 5</w:t>
        </w:r>
      </w:hyperlink>
      <w:r>
        <w:t>)</w:t>
      </w:r>
    </w:p>
    <w:p w14:paraId="7F569FBF" w14:textId="77777777" w:rsidR="001F7233" w:rsidRDefault="00000000">
      <w:pPr>
        <w:tabs>
          <w:tab w:val="left" w:pos="400"/>
        </w:tabs>
        <w:spacing w:after="60"/>
        <w:ind w:left="400" w:hanging="330"/>
      </w:pPr>
      <w:r>
        <w:t>• Arbeitgeber schriftlich gefragt, ob und wie er das Visum sponsert, welche Lohnstufe gemeldet wird und wer die Gebühren trägt (</w:t>
      </w:r>
      <w:hyperlink w:anchor="k5">
        <w:r w:rsidR="001F7233">
          <w:rPr>
            <w:color w:val="0563C1"/>
            <w:u w:val="single"/>
          </w:rPr>
          <w:t>Kapitel 5</w:t>
        </w:r>
      </w:hyperlink>
      <w:r>
        <w:t xml:space="preserve">, </w:t>
      </w:r>
      <w:hyperlink w:anchor="k11">
        <w:r w:rsidR="001F7233">
          <w:rPr>
            <w:color w:val="0563C1"/>
            <w:u w:val="single"/>
          </w:rPr>
          <w:t>Kapitel 11</w:t>
        </w:r>
      </w:hyperlink>
      <w:r>
        <w:t>)</w:t>
      </w:r>
    </w:p>
    <w:p w14:paraId="393B54A7" w14:textId="77777777" w:rsidR="001F7233" w:rsidRDefault="00000000">
      <w:pPr>
        <w:tabs>
          <w:tab w:val="left" w:pos="400"/>
        </w:tabs>
        <w:spacing w:after="60"/>
        <w:ind w:left="400" w:hanging="330"/>
      </w:pPr>
      <w:r>
        <w:t>• Nach Stellenabbau in den letzten zwölf Monaten beim Arbeitgeber gefragt (</w:t>
      </w:r>
      <w:hyperlink w:anchor="k5">
        <w:r w:rsidR="001F7233">
          <w:rPr>
            <w:color w:val="0563C1"/>
            <w:u w:val="single"/>
          </w:rPr>
          <w:t>Kapitel 5</w:t>
        </w:r>
      </w:hyperlink>
      <w:r>
        <w:t xml:space="preserve">, </w:t>
      </w:r>
      <w:hyperlink w:anchor="k9">
        <w:r w:rsidR="001F7233">
          <w:rPr>
            <w:color w:val="0563C1"/>
            <w:u w:val="single"/>
          </w:rPr>
          <w:t>Kapitel 9</w:t>
        </w:r>
      </w:hyperlink>
      <w:r>
        <w:t xml:space="preserve">, </w:t>
      </w:r>
      <w:hyperlink w:anchor="k30">
        <w:r w:rsidR="001F7233">
          <w:rPr>
            <w:color w:val="0563C1"/>
            <w:u w:val="single"/>
          </w:rPr>
          <w:t>Kapitel 30</w:t>
        </w:r>
      </w:hyperlink>
      <w:r>
        <w:t>)</w:t>
      </w:r>
    </w:p>
    <w:p w14:paraId="342B64A8" w14:textId="77777777" w:rsidR="001F7233" w:rsidRDefault="00000000">
      <w:pPr>
        <w:tabs>
          <w:tab w:val="left" w:pos="400"/>
        </w:tabs>
        <w:spacing w:after="60"/>
        <w:ind w:left="400" w:hanging="330"/>
      </w:pPr>
      <w:r>
        <w:t xml:space="preserve">• Zeitplan rückwärts vom Starttermin aufgestellt, Registrierungsfenster bei Lotterie-Verfahren auf </w:t>
      </w:r>
      <w:hyperlink r:id="rId1131">
        <w:r w:rsidR="001F7233">
          <w:rPr>
            <w:color w:val="0563C1"/>
            <w:u w:val="single"/>
          </w:rPr>
          <w:t>uscis.gov</w:t>
        </w:r>
      </w:hyperlink>
      <w:r>
        <w:t xml:space="preserve"> beobachtet (</w:t>
      </w:r>
      <w:hyperlink w:anchor="k5">
        <w:r w:rsidR="001F7233">
          <w:rPr>
            <w:color w:val="0563C1"/>
            <w:u w:val="single"/>
          </w:rPr>
          <w:t>Kapitel 5</w:t>
        </w:r>
      </w:hyperlink>
      <w:r>
        <w:t xml:space="preserve">, </w:t>
      </w:r>
      <w:hyperlink w:anchor="k15">
        <w:r w:rsidR="001F7233">
          <w:rPr>
            <w:color w:val="0563C1"/>
            <w:u w:val="single"/>
          </w:rPr>
          <w:t>Kapitel 15</w:t>
        </w:r>
      </w:hyperlink>
      <w:r>
        <w:t>)</w:t>
      </w:r>
    </w:p>
    <w:p w14:paraId="7FC160A3" w14:textId="77777777" w:rsidR="001F7233" w:rsidRDefault="00000000">
      <w:pPr>
        <w:tabs>
          <w:tab w:val="left" w:pos="400"/>
        </w:tabs>
        <w:spacing w:after="60"/>
        <w:ind w:left="400" w:hanging="330"/>
      </w:pPr>
      <w:r>
        <w:t>• Bei Green Card: Geburtsland und passende Spalte des Visa Bulletin geprüft, Kategorie (EB-2, EB-3, EB-1C, NIW, EB-1A) mit der Kanzlei festgelegt (</w:t>
      </w:r>
      <w:hyperlink w:anchor="k6">
        <w:r w:rsidR="001F7233">
          <w:rPr>
            <w:color w:val="0563C1"/>
            <w:u w:val="single"/>
          </w:rPr>
          <w:t>Kapitel 6</w:t>
        </w:r>
      </w:hyperlink>
      <w:r>
        <w:t xml:space="preserve">, </w:t>
      </w:r>
      <w:hyperlink w:anchor="k7">
        <w:r w:rsidR="001F7233">
          <w:rPr>
            <w:color w:val="0563C1"/>
            <w:u w:val="single"/>
          </w:rPr>
          <w:t>Kapitel 7</w:t>
        </w:r>
      </w:hyperlink>
      <w:r>
        <w:t>)</w:t>
      </w:r>
    </w:p>
    <w:p w14:paraId="38A544BA" w14:textId="77777777" w:rsidR="001F7233" w:rsidRDefault="00000000">
      <w:pPr>
        <w:tabs>
          <w:tab w:val="left" w:pos="400"/>
        </w:tabs>
        <w:spacing w:after="60"/>
        <w:ind w:left="400" w:hanging="330"/>
      </w:pPr>
      <w:r>
        <w:t>• Vor der Vertragsunterschrift schriftlich geklärt: Start der PERM, Kostenübernahme, Rückzahlungsklauseln (</w:t>
      </w:r>
      <w:hyperlink w:anchor="k6">
        <w:r w:rsidR="001F7233">
          <w:rPr>
            <w:color w:val="0563C1"/>
            <w:u w:val="single"/>
          </w:rPr>
          <w:t>Kapitel 6</w:t>
        </w:r>
      </w:hyperlink>
      <w:r>
        <w:t xml:space="preserve">, </w:t>
      </w:r>
      <w:hyperlink w:anchor="k7">
        <w:r w:rsidR="001F7233">
          <w:rPr>
            <w:color w:val="0563C1"/>
            <w:u w:val="single"/>
          </w:rPr>
          <w:t>Kapitel 7</w:t>
        </w:r>
      </w:hyperlink>
      <w:r>
        <w:t>)</w:t>
      </w:r>
    </w:p>
    <w:p w14:paraId="374A629F" w14:textId="77777777" w:rsidR="001F7233" w:rsidRDefault="00000000">
      <w:pPr>
        <w:tabs>
          <w:tab w:val="left" w:pos="400"/>
        </w:tabs>
        <w:spacing w:after="60"/>
        <w:ind w:left="400" w:hanging="330"/>
      </w:pPr>
      <w:r>
        <w:t>• Kanzlei, Ansprechperson und Kopien von Petition und LCA erfragt; entschieden, ob ein eigener Anwalt nötig ist (</w:t>
      </w:r>
      <w:hyperlink w:anchor="k11">
        <w:r w:rsidR="001F7233">
          <w:rPr>
            <w:color w:val="0563C1"/>
            <w:u w:val="single"/>
          </w:rPr>
          <w:t>Kapitel 11</w:t>
        </w:r>
      </w:hyperlink>
      <w:r>
        <w:t xml:space="preserve">, </w:t>
      </w:r>
      <w:hyperlink w:anchor="k30">
        <w:r w:rsidR="001F7233">
          <w:rPr>
            <w:color w:val="0563C1"/>
            <w:u w:val="single"/>
          </w:rPr>
          <w:t>Kapitel 30</w:t>
        </w:r>
      </w:hyperlink>
      <w:r>
        <w:t>)</w:t>
      </w:r>
    </w:p>
    <w:p w14:paraId="3BB63971" w14:textId="77777777" w:rsidR="001F7233" w:rsidRDefault="00000000">
      <w:pPr>
        <w:tabs>
          <w:tab w:val="left" w:pos="400"/>
        </w:tabs>
        <w:spacing w:after="60"/>
        <w:ind w:left="400" w:hanging="330"/>
      </w:pPr>
      <w:r>
        <w:t>• Für Ehepartner und Kinder geklärt: eigenes DS-160, Termin und Gebühr je Person, Anträge auf Arbeitserlaubnis; Familienstand vor dem Konsulatstermin geregelt (Heirat, Lebenspartnerschaft) (</w:t>
      </w:r>
      <w:hyperlink w:anchor="k10">
        <w:r w:rsidR="001F7233">
          <w:rPr>
            <w:color w:val="0563C1"/>
            <w:u w:val="single"/>
          </w:rPr>
          <w:t>Kapitel 10</w:t>
        </w:r>
      </w:hyperlink>
      <w:r>
        <w:t xml:space="preserve">, </w:t>
      </w:r>
      <w:hyperlink w:anchor="k11">
        <w:r w:rsidR="001F7233">
          <w:rPr>
            <w:color w:val="0563C1"/>
            <w:u w:val="single"/>
          </w:rPr>
          <w:t>Kapitel 11</w:t>
        </w:r>
      </w:hyperlink>
      <w:r>
        <w:t>)</w:t>
      </w:r>
    </w:p>
    <w:p w14:paraId="58C6690F" w14:textId="77777777" w:rsidR="001F7233" w:rsidRDefault="00000000">
      <w:pPr>
        <w:tabs>
          <w:tab w:val="left" w:pos="400"/>
        </w:tabs>
        <w:spacing w:after="60"/>
        <w:ind w:left="400" w:hanging="330"/>
      </w:pPr>
      <w:r>
        <w:lastRenderedPageBreak/>
        <w:t>• Im Angebotsschreiben festgehalten, wer die Kosten für Ehepartner und Kinder trägt (</w:t>
      </w:r>
      <w:hyperlink w:anchor="k10">
        <w:r w:rsidR="001F7233">
          <w:rPr>
            <w:color w:val="0563C1"/>
            <w:u w:val="single"/>
          </w:rPr>
          <w:t>Kapitel 10</w:t>
        </w:r>
      </w:hyperlink>
      <w:r>
        <w:t>)</w:t>
      </w:r>
    </w:p>
    <w:p w14:paraId="4EB94974" w14:textId="77777777" w:rsidR="001F7233" w:rsidRDefault="00000000">
      <w:pPr>
        <w:tabs>
          <w:tab w:val="left" w:pos="400"/>
        </w:tabs>
        <w:spacing w:after="60"/>
        <w:ind w:left="400" w:hanging="330"/>
      </w:pPr>
      <w:r>
        <w:t>• Lizenzpflichtigen Beruf des Partners erkannt und Behörde des Zielstaats sowie Bewertungsdienst kontaktiert (</w:t>
      </w:r>
      <w:hyperlink w:anchor="k10">
        <w:r w:rsidR="001F7233">
          <w:rPr>
            <w:color w:val="0563C1"/>
            <w:u w:val="single"/>
          </w:rPr>
          <w:t>Kapitel 10</w:t>
        </w:r>
      </w:hyperlink>
      <w:r>
        <w:t>)</w:t>
      </w:r>
    </w:p>
    <w:p w14:paraId="3543BB49" w14:textId="77777777" w:rsidR="001F7233" w:rsidRDefault="00000000">
      <w:pPr>
        <w:tabs>
          <w:tab w:val="left" w:pos="400"/>
        </w:tabs>
        <w:spacing w:after="60"/>
        <w:ind w:left="400" w:hanging="330"/>
      </w:pPr>
      <w:r>
        <w:t>• Ablaufdaten aller Reisepässe notiert, bei kurzer Restgültigkeit erneuert; für jedes Kind einen eigenen ePass beantragt (</w:t>
      </w:r>
      <w:hyperlink w:anchor="k19">
        <w:r w:rsidR="001F7233">
          <w:rPr>
            <w:color w:val="0563C1"/>
            <w:u w:val="single"/>
          </w:rPr>
          <w:t>Kapitel 19</w:t>
        </w:r>
      </w:hyperlink>
      <w:r>
        <w:t>)</w:t>
      </w:r>
    </w:p>
    <w:p w14:paraId="0274B8B0" w14:textId="77777777" w:rsidR="001F7233" w:rsidRDefault="00000000">
      <w:pPr>
        <w:tabs>
          <w:tab w:val="left" w:pos="400"/>
        </w:tabs>
        <w:spacing w:after="60"/>
        <w:ind w:left="400" w:hanging="330"/>
      </w:pPr>
      <w:r>
        <w:t>• Zeugnisbewertung rechtzeitig vor der Registrierungsfrist beauftragt (</w:t>
      </w:r>
      <w:hyperlink w:anchor="k15">
        <w:r w:rsidR="001F7233">
          <w:rPr>
            <w:color w:val="0563C1"/>
            <w:u w:val="single"/>
          </w:rPr>
          <w:t>Kapitel 15</w:t>
        </w:r>
      </w:hyperlink>
      <w:r>
        <w:t xml:space="preserve">, </w:t>
      </w:r>
      <w:hyperlink w:anchor="k19">
        <w:r w:rsidR="001F7233">
          <w:rPr>
            <w:color w:val="0563C1"/>
            <w:u w:val="single"/>
          </w:rPr>
          <w:t>Kapitel 19</w:t>
        </w:r>
      </w:hyperlink>
      <w:r>
        <w:t>)</w:t>
      </w:r>
    </w:p>
    <w:p w14:paraId="52DDF142" w14:textId="77777777" w:rsidR="001F7233" w:rsidRDefault="00000000">
      <w:pPr>
        <w:tabs>
          <w:tab w:val="left" w:pos="400"/>
        </w:tabs>
        <w:spacing w:after="60"/>
        <w:ind w:left="400" w:hanging="330"/>
      </w:pPr>
      <w:r>
        <w:t>• Diplome, Zeugnisse und Arbeitszeugnisse beschafft; Geburts- und Heiratsurkunden als internationale Ausfertigung zwei- bis dreimal bestellt (</w:t>
      </w:r>
      <w:hyperlink w:anchor="k19">
        <w:r w:rsidR="001F7233">
          <w:rPr>
            <w:color w:val="0563C1"/>
            <w:u w:val="single"/>
          </w:rPr>
          <w:t>Kapitel 19</w:t>
        </w:r>
      </w:hyperlink>
      <w:r>
        <w:t>)</w:t>
      </w:r>
    </w:p>
    <w:p w14:paraId="277D4919" w14:textId="77777777" w:rsidR="001F7233" w:rsidRDefault="00000000">
      <w:pPr>
        <w:tabs>
          <w:tab w:val="left" w:pos="400"/>
        </w:tabs>
        <w:spacing w:after="60"/>
        <w:ind w:left="400" w:hanging="330"/>
      </w:pPr>
      <w:r>
        <w:t>• Übersetzer mit Bescheinigung beauftragt, Namen exakt wie im Pass geschrieben; Apostille mit der Kanzlei geklärt (</w:t>
      </w:r>
      <w:hyperlink w:anchor="k19">
        <w:r w:rsidR="001F7233">
          <w:rPr>
            <w:color w:val="0563C1"/>
            <w:u w:val="single"/>
          </w:rPr>
          <w:t>Kapitel 19</w:t>
        </w:r>
      </w:hyperlink>
      <w:r>
        <w:t>)</w:t>
      </w:r>
    </w:p>
    <w:p w14:paraId="0C69FF94" w14:textId="77777777" w:rsidR="001F7233" w:rsidRDefault="00000000">
      <w:pPr>
        <w:tabs>
          <w:tab w:val="left" w:pos="400"/>
        </w:tabs>
        <w:spacing w:after="60"/>
        <w:ind w:left="400" w:hanging="330"/>
      </w:pPr>
      <w:r>
        <w:t>• Bei Bedarf Führungszeugnis beantragt und Vorlauf für die Apostille eingeplant (</w:t>
      </w:r>
      <w:hyperlink w:anchor="k19">
        <w:r w:rsidR="001F7233">
          <w:rPr>
            <w:color w:val="0563C1"/>
            <w:u w:val="single"/>
          </w:rPr>
          <w:t>Kapitel 19</w:t>
        </w:r>
      </w:hyperlink>
      <w:r>
        <w:t>)</w:t>
      </w:r>
    </w:p>
    <w:p w14:paraId="597E8CC8" w14:textId="77777777" w:rsidR="001F7233" w:rsidRDefault="00000000">
      <w:pPr>
        <w:tabs>
          <w:tab w:val="left" w:pos="400"/>
        </w:tabs>
        <w:spacing w:after="60"/>
        <w:ind w:left="400" w:hanging="330"/>
      </w:pPr>
      <w:r>
        <w:t>• Bei lizenzpflichtigem Beruf einen Fahrplan mit der Behörde des Ziel-Bundesstaats erstellt (</w:t>
      </w:r>
      <w:hyperlink w:anchor="k19">
        <w:r w:rsidR="001F7233">
          <w:rPr>
            <w:color w:val="0563C1"/>
            <w:u w:val="single"/>
          </w:rPr>
          <w:t>Kapitel 19</w:t>
        </w:r>
      </w:hyperlink>
      <w:r>
        <w:t>)</w:t>
      </w:r>
    </w:p>
    <w:p w14:paraId="66EBC173" w14:textId="77777777" w:rsidR="001F7233" w:rsidRDefault="00000000">
      <w:pPr>
        <w:tabs>
          <w:tab w:val="left" w:pos="400"/>
        </w:tabs>
        <w:spacing w:after="60"/>
        <w:ind w:left="400" w:hanging="330"/>
      </w:pPr>
      <w:r>
        <w:t xml:space="preserve">• Vor jeder Entscheidung </w:t>
      </w:r>
      <w:hyperlink r:id="rId1132">
        <w:r w:rsidR="001F7233">
          <w:rPr>
            <w:color w:val="0563C1"/>
            <w:u w:val="single"/>
          </w:rPr>
          <w:t>uscis.gov</w:t>
        </w:r>
      </w:hyperlink>
      <w:r>
        <w:t xml:space="preserve">, </w:t>
      </w:r>
      <w:hyperlink r:id="rId1133">
        <w:r w:rsidR="001F7233">
          <w:rPr>
            <w:color w:val="0563C1"/>
            <w:u w:val="single"/>
          </w:rPr>
          <w:t>federalregister.gov</w:t>
        </w:r>
      </w:hyperlink>
      <w:r>
        <w:t xml:space="preserve"> und die Kanzlei zum aktuellen Stand befragt (</w:t>
      </w:r>
      <w:hyperlink w:anchor="k5">
        <w:r w:rsidR="001F7233">
          <w:rPr>
            <w:color w:val="0563C1"/>
            <w:u w:val="single"/>
          </w:rPr>
          <w:t>Kapitel 5</w:t>
        </w:r>
      </w:hyperlink>
      <w:r>
        <w:t xml:space="preserve">, </w:t>
      </w:r>
      <w:hyperlink w:anchor="k7">
        <w:r w:rsidR="001F7233">
          <w:rPr>
            <w:color w:val="0563C1"/>
            <w:u w:val="single"/>
          </w:rPr>
          <w:t>Kapitel 7</w:t>
        </w:r>
      </w:hyperlink>
      <w:r>
        <w:t>)</w:t>
      </w:r>
    </w:p>
    <w:p w14:paraId="7D694F16" w14:textId="77777777" w:rsidR="001F7233" w:rsidRDefault="001F7233">
      <w:pPr>
        <w:spacing w:line="120" w:lineRule="exact"/>
      </w:pPr>
    </w:p>
    <w:p w14:paraId="4C0BF7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Kündigungen und Umzug organisieren</w:t>
      </w:r>
    </w:p>
    <w:p w14:paraId="02331F89" w14:textId="77777777" w:rsidR="001F7233" w:rsidRDefault="00000000">
      <w:pPr>
        <w:tabs>
          <w:tab w:val="left" w:pos="400"/>
        </w:tabs>
        <w:spacing w:after="60"/>
        <w:ind w:left="400" w:hanging="330"/>
      </w:pPr>
      <w:r>
        <w:t>• Nettogehalt für den Zielort berechnet, Kauf- und Mietpreise mit dem eigenen Budget verglichen (</w:t>
      </w:r>
      <w:hyperlink w:anchor="k12">
        <w:r w:rsidR="001F7233">
          <w:rPr>
            <w:color w:val="0563C1"/>
            <w:u w:val="single"/>
          </w:rPr>
          <w:t>Kapitel 12</w:t>
        </w:r>
      </w:hyperlink>
      <w:r>
        <w:t xml:space="preserve">,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7E4D757A" w14:textId="77777777" w:rsidR="001F7233" w:rsidRDefault="00000000">
      <w:pPr>
        <w:tabs>
          <w:tab w:val="left" w:pos="400"/>
        </w:tabs>
        <w:spacing w:after="60"/>
        <w:ind w:left="400" w:hanging="330"/>
      </w:pPr>
      <w:r>
        <w:t>• Naturgefahren der Region recherchiert, Versicherbarkeit eingeschätzt; entschieden, das erste Jahr zu mieten statt zu kaufen (</w:t>
      </w:r>
      <w:hyperlink w:anchor="k12">
        <w:r w:rsidR="001F7233">
          <w:rPr>
            <w:color w:val="0563C1"/>
            <w:u w:val="single"/>
          </w:rPr>
          <w:t>Kapitel 12</w:t>
        </w:r>
      </w:hyperlink>
      <w:r>
        <w:t>)</w:t>
      </w:r>
    </w:p>
    <w:p w14:paraId="7CA0B7B0" w14:textId="77777777" w:rsidR="001F7233" w:rsidRDefault="00000000">
      <w:pPr>
        <w:tabs>
          <w:tab w:val="left" w:pos="400"/>
        </w:tabs>
        <w:spacing w:after="60"/>
        <w:ind w:left="400" w:hanging="330"/>
      </w:pPr>
      <w:r>
        <w:lastRenderedPageBreak/>
        <w:t>• Schuldistrikt vor der Wohnungssuche geprüft und schriftlich bestätigen lassen (</w:t>
      </w:r>
      <w:hyperlink w:anchor="k2">
        <w:r w:rsidR="001F7233">
          <w:rPr>
            <w:color w:val="0563C1"/>
            <w:u w:val="single"/>
          </w:rPr>
          <w:t>Kapitel 2</w:t>
        </w:r>
      </w:hyperlink>
      <w:r>
        <w:t xml:space="preserve">, </w:t>
      </w:r>
      <w:hyperlink w:anchor="k12">
        <w:r w:rsidR="001F7233">
          <w:rPr>
            <w:color w:val="0563C1"/>
            <w:u w:val="single"/>
          </w:rPr>
          <w:t>Kapitel 12</w:t>
        </w:r>
      </w:hyperlink>
      <w:r>
        <w:t xml:space="preserve">, </w:t>
      </w:r>
      <w:hyperlink w:anchor="k36">
        <w:r w:rsidR="001F7233">
          <w:rPr>
            <w:color w:val="0563C1"/>
            <w:u w:val="single"/>
          </w:rPr>
          <w:t>Kapitel 36</w:t>
        </w:r>
      </w:hyperlink>
      <w:r>
        <w:t>)</w:t>
      </w:r>
    </w:p>
    <w:p w14:paraId="3CB3E122" w14:textId="77777777" w:rsidR="001F7233" w:rsidRDefault="00000000">
      <w:pPr>
        <w:tabs>
          <w:tab w:val="left" w:pos="400"/>
        </w:tabs>
        <w:spacing w:after="60"/>
        <w:ind w:left="400" w:hanging="330"/>
      </w:pPr>
      <w:r>
        <w:t>• Geklärt, ob am Wohnort ein Auto nötig ist und Budget dafür eingeplant; Nahverkehrsanbindung geprüft (</w:t>
      </w:r>
      <w:hyperlink w:anchor="k12">
        <w:r w:rsidR="001F7233">
          <w:rPr>
            <w:color w:val="0563C1"/>
            <w:u w:val="single"/>
          </w:rPr>
          <w:t>Kapitel 12</w:t>
        </w:r>
      </w:hyperlink>
      <w:r>
        <w:t xml:space="preserve">, </w:t>
      </w:r>
      <w:hyperlink w:anchor="k27">
        <w:r w:rsidR="001F7233">
          <w:rPr>
            <w:color w:val="0563C1"/>
            <w:u w:val="single"/>
          </w:rPr>
          <w:t>Kapitel 27</w:t>
        </w:r>
      </w:hyperlink>
      <w:r>
        <w:t>)</w:t>
      </w:r>
    </w:p>
    <w:p w14:paraId="5BD0BB7A" w14:textId="77777777" w:rsidR="001F7233" w:rsidRDefault="00000000">
      <w:pPr>
        <w:tabs>
          <w:tab w:val="left" w:pos="400"/>
        </w:tabs>
        <w:spacing w:after="60"/>
        <w:ind w:left="400" w:hanging="330"/>
      </w:pPr>
      <w:r>
        <w:t>• Vertragsliste aus zwölf Monaten Kontoauszügen erstellt, Kündigungstermine vom Abflug rückwärts berechnet (</w:t>
      </w:r>
      <w:hyperlink w:anchor="k2">
        <w:r w:rsidR="001F7233">
          <w:rPr>
            <w:color w:val="0563C1"/>
            <w:u w:val="single"/>
          </w:rPr>
          <w:t>Kapitel 2</w:t>
        </w:r>
      </w:hyperlink>
      <w:r>
        <w:t xml:space="preserve">, </w:t>
      </w:r>
      <w:hyperlink w:anchor="k16">
        <w:r w:rsidR="001F7233">
          <w:rPr>
            <w:color w:val="0563C1"/>
            <w:u w:val="single"/>
          </w:rPr>
          <w:t>Kapitel 16</w:t>
        </w:r>
      </w:hyperlink>
      <w:r>
        <w:t>)</w:t>
      </w:r>
    </w:p>
    <w:p w14:paraId="71B52743" w14:textId="77777777" w:rsidR="001F7233" w:rsidRDefault="00000000">
      <w:pPr>
        <w:tabs>
          <w:tab w:val="left" w:pos="400"/>
        </w:tabs>
        <w:spacing w:after="60"/>
        <w:ind w:left="400" w:hanging="330"/>
      </w:pPr>
      <w:r>
        <w:t>• Relocation-Bedingungen schriftlich geklärt: brutto oder netto, Gross-up, Direktabrechnung, Rückzahlungsklausel (</w:t>
      </w:r>
      <w:hyperlink w:anchor="k20">
        <w:r w:rsidR="001F7233">
          <w:rPr>
            <w:color w:val="0563C1"/>
            <w:u w:val="single"/>
          </w:rPr>
          <w:t>Kapitel 20</w:t>
        </w:r>
      </w:hyperlink>
      <w:r>
        <w:t xml:space="preserve">, </w:t>
      </w:r>
      <w:hyperlink w:anchor="k28">
        <w:r w:rsidR="001F7233">
          <w:rPr>
            <w:color w:val="0563C1"/>
            <w:u w:val="single"/>
          </w:rPr>
          <w:t>Kapitel 28</w:t>
        </w:r>
      </w:hyperlink>
      <w:r>
        <w:t>)</w:t>
      </w:r>
    </w:p>
    <w:p w14:paraId="4DB01D6A" w14:textId="77777777" w:rsidR="001F7233" w:rsidRDefault="00000000">
      <w:pPr>
        <w:tabs>
          <w:tab w:val="left" w:pos="400"/>
        </w:tabs>
        <w:spacing w:after="60"/>
        <w:ind w:left="400" w:hanging="330"/>
      </w:pPr>
      <w:r>
        <w:t>• Drei Tür-zu-Tür-Festpreise für die Spedition nach Besichtigung oder Video-Survey eingeholt, FIDI-FAIM und AMSA ProMover geprüft (</w:t>
      </w:r>
      <w:hyperlink w:anchor="k20">
        <w:r w:rsidR="001F7233">
          <w:rPr>
            <w:color w:val="0563C1"/>
            <w:u w:val="single"/>
          </w:rPr>
          <w:t>Kapitel 20</w:t>
        </w:r>
      </w:hyperlink>
      <w:r>
        <w:t>)</w:t>
      </w:r>
    </w:p>
    <w:p w14:paraId="786550E2" w14:textId="77777777" w:rsidR="001F7233" w:rsidRDefault="00000000">
      <w:pPr>
        <w:tabs>
          <w:tab w:val="left" w:pos="400"/>
        </w:tabs>
        <w:spacing w:after="60"/>
        <w:ind w:left="400" w:hanging="330"/>
      </w:pPr>
      <w:r>
        <w:t>• Volumen geschätzt, ausgemistet und Raum-für-Raum-Inventar mit der Entscheidung Mitnehmen, Verkaufen oder Neukaufen angelegt (</w:t>
      </w:r>
      <w:hyperlink w:anchor="k20">
        <w:r w:rsidR="001F7233">
          <w:rPr>
            <w:color w:val="0563C1"/>
            <w:u w:val="single"/>
          </w:rPr>
          <w:t>Kapitel 20</w:t>
        </w:r>
      </w:hyperlink>
      <w:r>
        <w:t xml:space="preserve">, </w:t>
      </w:r>
      <w:hyperlink w:anchor="k21">
        <w:r w:rsidR="001F7233">
          <w:rPr>
            <w:color w:val="0563C1"/>
            <w:u w:val="single"/>
          </w:rPr>
          <w:t>Kapitel 21</w:t>
        </w:r>
      </w:hyperlink>
      <w:r>
        <w:t>)</w:t>
      </w:r>
    </w:p>
    <w:p w14:paraId="61DCE516" w14:textId="77777777" w:rsidR="001F7233" w:rsidRDefault="00000000">
      <w:pPr>
        <w:tabs>
          <w:tab w:val="left" w:pos="400"/>
        </w:tabs>
        <w:spacing w:after="60"/>
        <w:ind w:left="400" w:hanging="330"/>
      </w:pPr>
      <w:r>
        <w:t>• Betten, Matratzen und Elektrogeräte auf US-Normen (Spannung, Maße) geprüft; was nicht passt, bleibt zurück (</w:t>
      </w:r>
      <w:hyperlink w:anchor="k2">
        <w:r w:rsidR="001F7233">
          <w:rPr>
            <w:color w:val="0563C1"/>
            <w:u w:val="single"/>
          </w:rPr>
          <w:t>Kapitel 2</w:t>
        </w:r>
      </w:hyperlink>
      <w:r>
        <w:t xml:space="preserve">, </w:t>
      </w:r>
      <w:hyperlink w:anchor="k21">
        <w:r w:rsidR="001F7233">
          <w:rPr>
            <w:color w:val="0563C1"/>
            <w:u w:val="single"/>
          </w:rPr>
          <w:t>Kapitel 21</w:t>
        </w:r>
      </w:hyperlink>
      <w:r>
        <w:t>)</w:t>
      </w:r>
    </w:p>
    <w:p w14:paraId="724D67EA" w14:textId="77777777" w:rsidR="001F7233" w:rsidRDefault="00000000">
      <w:pPr>
        <w:tabs>
          <w:tab w:val="left" w:pos="400"/>
        </w:tabs>
        <w:spacing w:after="60"/>
        <w:ind w:left="400" w:hanging="330"/>
      </w:pPr>
      <w:r>
        <w:t>• Verkaufen, Verschenken und Spenden acht bis zwölf Wochen vor dem Abflug begonnen (</w:t>
      </w:r>
      <w:hyperlink w:anchor="k21">
        <w:r w:rsidR="001F7233">
          <w:rPr>
            <w:color w:val="0563C1"/>
            <w:u w:val="single"/>
          </w:rPr>
          <w:t>Kapitel 21</w:t>
        </w:r>
      </w:hyperlink>
      <w:r>
        <w:t>)</w:t>
      </w:r>
    </w:p>
    <w:p w14:paraId="1E985D91" w14:textId="77777777" w:rsidR="001F7233" w:rsidRDefault="00000000">
      <w:pPr>
        <w:tabs>
          <w:tab w:val="left" w:pos="400"/>
        </w:tabs>
        <w:spacing w:after="60"/>
        <w:ind w:left="400" w:hanging="330"/>
      </w:pPr>
      <w:r>
        <w:t>• Deutsche Fondssparpläne und Depots vor dem steuerlichen Zuzug mit einem Steuerberater auf PFIC-Risiko geprüft: verkaufen oder behalten (</w:t>
      </w:r>
      <w:hyperlink w:anchor="k2">
        <w:r w:rsidR="001F7233">
          <w:rPr>
            <w:color w:val="0563C1"/>
            <w:u w:val="single"/>
          </w:rPr>
          <w:t>Kapitel 2</w:t>
        </w:r>
      </w:hyperlink>
      <w:r>
        <w:t xml:space="preserve">, </w:t>
      </w:r>
      <w:hyperlink w:anchor="k17">
        <w:r w:rsidR="001F7233">
          <w:rPr>
            <w:color w:val="0563C1"/>
            <w:u w:val="single"/>
          </w:rPr>
          <w:t>Kapitel 17</w:t>
        </w:r>
      </w:hyperlink>
      <w:r>
        <w:t xml:space="preserve">, </w:t>
      </w:r>
      <w:hyperlink w:anchor="k28">
        <w:r w:rsidR="001F7233">
          <w:rPr>
            <w:color w:val="0563C1"/>
            <w:u w:val="single"/>
          </w:rPr>
          <w:t>Kapitel 28</w:t>
        </w:r>
      </w:hyperlink>
      <w:r>
        <w:t xml:space="preserve">, </w:t>
      </w:r>
      <w:hyperlink w:anchor="k39">
        <w:r w:rsidR="001F7233">
          <w:rPr>
            <w:color w:val="0563C1"/>
            <w:u w:val="single"/>
          </w:rPr>
          <w:t>Kapitel 39</w:t>
        </w:r>
      </w:hyperlink>
      <w:r>
        <w:t>)</w:t>
      </w:r>
    </w:p>
    <w:p w14:paraId="564A4A55" w14:textId="77777777" w:rsidR="001F7233" w:rsidRDefault="00000000">
      <w:pPr>
        <w:tabs>
          <w:tab w:val="left" w:pos="400"/>
        </w:tabs>
        <w:spacing w:after="60"/>
        <w:ind w:left="400" w:hanging="330"/>
      </w:pPr>
      <w:r>
        <w:t>• Bei Unternehmensanteilen ab 1 %: Wegzugsteuer nach § 6 AStG mit dem Steuerberater durchgerechnet (</w:t>
      </w:r>
      <w:hyperlink w:anchor="k17">
        <w:r w:rsidR="001F7233">
          <w:rPr>
            <w:color w:val="0563C1"/>
            <w:u w:val="single"/>
          </w:rPr>
          <w:t>Kapitel 17</w:t>
        </w:r>
      </w:hyperlink>
      <w:r>
        <w:t>)</w:t>
      </w:r>
    </w:p>
    <w:p w14:paraId="7B1283BB" w14:textId="77777777" w:rsidR="001F7233" w:rsidRDefault="00000000">
      <w:pPr>
        <w:tabs>
          <w:tab w:val="left" w:pos="400"/>
        </w:tabs>
        <w:spacing w:after="60"/>
        <w:ind w:left="400" w:hanging="330"/>
      </w:pPr>
      <w:r>
        <w:t>• Rentenversicherungsverlauf klären lassen, neue Anschrift der Deutschen Rentenversicherung gemeldet, freiwillige Beiträge geprüft (</w:t>
      </w:r>
      <w:hyperlink w:anchor="k17">
        <w:r w:rsidR="001F7233">
          <w:rPr>
            <w:color w:val="0563C1"/>
            <w:u w:val="single"/>
          </w:rPr>
          <w:t>Kapitel 17</w:t>
        </w:r>
      </w:hyperlink>
      <w:r>
        <w:t xml:space="preserve">, </w:t>
      </w:r>
      <w:hyperlink w:anchor="k39">
        <w:r w:rsidR="001F7233">
          <w:rPr>
            <w:color w:val="0563C1"/>
            <w:u w:val="single"/>
          </w:rPr>
          <w:t>Kapitel 39</w:t>
        </w:r>
      </w:hyperlink>
      <w:r>
        <w:t>)</w:t>
      </w:r>
    </w:p>
    <w:p w14:paraId="10548982" w14:textId="77777777" w:rsidR="001F7233" w:rsidRDefault="00000000">
      <w:pPr>
        <w:tabs>
          <w:tab w:val="left" w:pos="400"/>
        </w:tabs>
        <w:spacing w:after="60"/>
        <w:ind w:left="400" w:hanging="330"/>
      </w:pPr>
      <w:r>
        <w:lastRenderedPageBreak/>
        <w:t>• Bei vermieteter oder noch keine zehn Jahre gehaltener Immobilie die steuerlichen Folgen von Vermietung oder Verkauf geklärt (</w:t>
      </w:r>
      <w:hyperlink w:anchor="k14">
        <w:r w:rsidR="001F7233">
          <w:rPr>
            <w:color w:val="0563C1"/>
            <w:u w:val="single"/>
          </w:rPr>
          <w:t>Kapitel 14</w:t>
        </w:r>
      </w:hyperlink>
      <w:r>
        <w:t xml:space="preserve">, </w:t>
      </w:r>
      <w:hyperlink w:anchor="k17">
        <w:r w:rsidR="001F7233">
          <w:rPr>
            <w:color w:val="0563C1"/>
            <w:u w:val="single"/>
          </w:rPr>
          <w:t>Kapitel 17</w:t>
        </w:r>
      </w:hyperlink>
      <w:r>
        <w:t>)</w:t>
      </w:r>
    </w:p>
    <w:p w14:paraId="162BFB59" w14:textId="77777777" w:rsidR="001F7233" w:rsidRDefault="00000000">
      <w:pPr>
        <w:tabs>
          <w:tab w:val="left" w:pos="400"/>
        </w:tabs>
        <w:spacing w:after="60"/>
        <w:ind w:left="400" w:hanging="330"/>
      </w:pPr>
      <w:r>
        <w:t>• Zustellungsbevollmächtigten in Deutschland benannt, Steuerberater mit deutsch-amerikanischer Erfahrung gefunden (</w:t>
      </w:r>
      <w:hyperlink w:anchor="k17">
        <w:r w:rsidR="001F7233">
          <w:rPr>
            <w:color w:val="0563C1"/>
            <w:u w:val="single"/>
          </w:rPr>
          <w:t>Kapitel 17</w:t>
        </w:r>
      </w:hyperlink>
      <w:r>
        <w:t>)</w:t>
      </w:r>
    </w:p>
    <w:p w14:paraId="305644DF" w14:textId="77777777" w:rsidR="001F7233" w:rsidRDefault="00000000">
      <w:pPr>
        <w:tabs>
          <w:tab w:val="left" w:pos="400"/>
        </w:tabs>
        <w:spacing w:after="60"/>
        <w:ind w:left="400" w:hanging="330"/>
      </w:pPr>
      <w:r>
        <w:t>• Bei Bedarf GKV- oder PKV-Anwartschaft beantragt, solange noch gesund (</w:t>
      </w:r>
      <w:hyperlink w:anchor="k2">
        <w:r w:rsidR="001F7233">
          <w:rPr>
            <w:color w:val="0563C1"/>
            <w:u w:val="single"/>
          </w:rPr>
          <w:t>Kapitel 2</w:t>
        </w:r>
      </w:hyperlink>
      <w:r>
        <w:t xml:space="preserve">, </w:t>
      </w:r>
      <w:hyperlink w:anchor="k18">
        <w:r w:rsidR="001F7233">
          <w:rPr>
            <w:color w:val="0563C1"/>
            <w:u w:val="single"/>
          </w:rPr>
          <w:t>Kapitel 18</w:t>
        </w:r>
      </w:hyperlink>
      <w:r>
        <w:t xml:space="preserve">, </w:t>
      </w:r>
      <w:hyperlink w:anchor="k39">
        <w:r w:rsidR="001F7233">
          <w:rPr>
            <w:color w:val="0563C1"/>
            <w:u w:val="single"/>
          </w:rPr>
          <w:t>Kapitel 39</w:t>
        </w:r>
      </w:hyperlink>
      <w:r>
        <w:t>)</w:t>
      </w:r>
    </w:p>
    <w:p w14:paraId="789CFA0C" w14:textId="77777777" w:rsidR="001F7233" w:rsidRDefault="00000000">
      <w:pPr>
        <w:tabs>
          <w:tab w:val="left" w:pos="400"/>
        </w:tabs>
        <w:spacing w:after="60"/>
        <w:ind w:left="400" w:hanging="330"/>
      </w:pPr>
      <w:r>
        <w:t>• Termine bei Zahnarzt, Augenarzt und Kinderarzt für die ganze Familie vereinbart, fehlende Impfungen nachgeholt (</w:t>
      </w:r>
      <w:hyperlink w:anchor="k18">
        <w:r w:rsidR="001F7233">
          <w:rPr>
            <w:color w:val="0563C1"/>
            <w:u w:val="single"/>
          </w:rPr>
          <w:t>Kapitel 18</w:t>
        </w:r>
      </w:hyperlink>
      <w:r>
        <w:t>)</w:t>
      </w:r>
    </w:p>
    <w:p w14:paraId="393192CC" w14:textId="77777777" w:rsidR="001F7233" w:rsidRDefault="00000000">
      <w:pPr>
        <w:tabs>
          <w:tab w:val="left" w:pos="400"/>
        </w:tabs>
        <w:spacing w:after="60"/>
        <w:ind w:left="400" w:hanging="330"/>
      </w:pPr>
      <w:r>
        <w:t>• Betreuungsplatz für Kinder frühzeitig angefragt (</w:t>
      </w:r>
      <w:hyperlink w:anchor="k2">
        <w:r w:rsidR="001F7233">
          <w:rPr>
            <w:color w:val="0563C1"/>
            <w:u w:val="single"/>
          </w:rPr>
          <w:t>Kapitel 2</w:t>
        </w:r>
      </w:hyperlink>
      <w:r>
        <w:t xml:space="preserve">, </w:t>
      </w:r>
      <w:hyperlink w:anchor="k38">
        <w:r w:rsidR="001F7233">
          <w:rPr>
            <w:color w:val="0563C1"/>
            <w:u w:val="single"/>
          </w:rPr>
          <w:t>Kapitel 38</w:t>
        </w:r>
      </w:hyperlink>
      <w:r>
        <w:t>)</w:t>
      </w:r>
    </w:p>
    <w:p w14:paraId="3DD98070" w14:textId="77777777" w:rsidR="001F7233" w:rsidRDefault="00000000">
      <w:pPr>
        <w:tabs>
          <w:tab w:val="left" w:pos="400"/>
        </w:tabs>
        <w:spacing w:after="60"/>
        <w:ind w:left="400" w:hanging="330"/>
      </w:pPr>
      <w:r>
        <w:t>• Bei Haustieren: Tierarzttermin drei bis vier Monate vor Abflug, Tollwutimpfung, Airline-Regeln und Transportbox geklärt (</w:t>
      </w:r>
      <w:hyperlink w:anchor="k22">
        <w:r w:rsidR="001F7233">
          <w:rPr>
            <w:color w:val="0563C1"/>
            <w:u w:val="single"/>
          </w:rPr>
          <w:t>Kapitel 22</w:t>
        </w:r>
      </w:hyperlink>
      <w:r>
        <w:t>)</w:t>
      </w:r>
    </w:p>
    <w:p w14:paraId="5C212AD8" w14:textId="77777777" w:rsidR="001F7233" w:rsidRDefault="001F7233">
      <w:pPr>
        <w:spacing w:line="120" w:lineRule="exact"/>
      </w:pPr>
    </w:p>
    <w:p w14:paraId="7F75785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8973DBB" w14:textId="77777777" w:rsidR="001F7233" w:rsidRDefault="00000000">
      <w:pPr>
        <w:tabs>
          <w:tab w:val="left" w:pos="400"/>
        </w:tabs>
        <w:spacing w:after="60"/>
        <w:ind w:left="400" w:hanging="330"/>
      </w:pPr>
      <w:r>
        <w:t>• DS-160 für jede Person ausgefüllt, mit Petition und Lebenslauf abgeglichen, alle Social-Media-Konten angegeben und Profile auf öffentlich gestellt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11">
        <w:r w:rsidR="001F7233">
          <w:rPr>
            <w:color w:val="0563C1"/>
            <w:u w:val="single"/>
          </w:rPr>
          <w:t>Kapitel 11</w:t>
        </w:r>
      </w:hyperlink>
      <w:r>
        <w:t>)</w:t>
      </w:r>
    </w:p>
    <w:p w14:paraId="3D2826BF" w14:textId="77777777" w:rsidR="001F7233" w:rsidRDefault="00000000">
      <w:pPr>
        <w:tabs>
          <w:tab w:val="left" w:pos="400"/>
        </w:tabs>
        <w:spacing w:after="60"/>
        <w:ind w:left="400" w:hanging="330"/>
      </w:pPr>
      <w:r>
        <w:t>• Konsulargebühr gezahlt, Termin für die Familie gemeinsam gebucht, Interview-Mappe gepackt: Pass, DS-160-Bestätigung, Gebührenbeleg, I-797, Kopien (</w:t>
      </w:r>
      <w:hyperlink w:anchor="k11">
        <w:r w:rsidR="001F7233">
          <w:rPr>
            <w:color w:val="0563C1"/>
            <w:u w:val="single"/>
          </w:rPr>
          <w:t>Kapitel 11</w:t>
        </w:r>
      </w:hyperlink>
      <w:r>
        <w:t>)</w:t>
      </w:r>
    </w:p>
    <w:p w14:paraId="486331DF" w14:textId="77777777" w:rsidR="001F7233" w:rsidRDefault="00000000">
      <w:pPr>
        <w:tabs>
          <w:tab w:val="left" w:pos="400"/>
        </w:tabs>
        <w:spacing w:after="60"/>
        <w:ind w:left="400" w:hanging="330"/>
      </w:pPr>
      <w:r>
        <w:t>• Visum nach dem Interview geprüft (Name, Kategorie, Datum); erst danach Kündigungen und Buchungen verbindlich gemacht (</w:t>
      </w:r>
      <w:hyperlink w:anchor="k5">
        <w:r w:rsidR="001F7233">
          <w:rPr>
            <w:color w:val="0563C1"/>
            <w:u w:val="single"/>
          </w:rPr>
          <w:t>Kapitel 5</w:t>
        </w:r>
      </w:hyperlink>
      <w:r>
        <w:t xml:space="preserve">, </w:t>
      </w:r>
      <w:hyperlink w:anchor="k11">
        <w:r w:rsidR="001F7233">
          <w:rPr>
            <w:color w:val="0563C1"/>
            <w:u w:val="single"/>
          </w:rPr>
          <w:t>Kapitel 11</w:t>
        </w:r>
      </w:hyperlink>
      <w:r>
        <w:t>)</w:t>
      </w:r>
    </w:p>
    <w:p w14:paraId="207D129A" w14:textId="77777777" w:rsidR="001F7233" w:rsidRDefault="00000000">
      <w:pPr>
        <w:tabs>
          <w:tab w:val="left" w:pos="400"/>
        </w:tabs>
        <w:spacing w:after="60"/>
        <w:ind w:left="400" w:hanging="330"/>
      </w:pPr>
      <w:r>
        <w:t>• Wohnung schriftlich gekündigt, sobald Genehmigung und Interviewtermin feststehen; Übergabetermin und Kautionskonto mitgeteilt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793F6892" w14:textId="77777777" w:rsidR="001F7233" w:rsidRDefault="00000000">
      <w:pPr>
        <w:tabs>
          <w:tab w:val="left" w:pos="400"/>
        </w:tabs>
        <w:spacing w:after="60"/>
        <w:ind w:left="400" w:hanging="330"/>
      </w:pPr>
      <w:r>
        <w:lastRenderedPageBreak/>
        <w:t>• Arbeitsvertrag erst nach gesichertem Visum gekündigt oder Aufhebungsvertrag geschlossen, Arbeitszeugnis angefordert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109BA5F3" w14:textId="77777777" w:rsidR="001F7233" w:rsidRDefault="00000000">
      <w:pPr>
        <w:tabs>
          <w:tab w:val="left" w:pos="400"/>
        </w:tabs>
        <w:spacing w:after="60"/>
        <w:ind w:left="400" w:hanging="330"/>
      </w:pPr>
      <w:r>
        <w:t>• Spedition mit Visum im Pass verbindlich gebucht, sechs bis acht Wochen vor der Verladung, Transportversicherung „all risk“ abgeschlossen (</w:t>
      </w:r>
      <w:hyperlink w:anchor="k15">
        <w:r w:rsidR="001F7233">
          <w:rPr>
            <w:color w:val="0563C1"/>
            <w:u w:val="single"/>
          </w:rPr>
          <w:t>Kapitel 15</w:t>
        </w:r>
      </w:hyperlink>
      <w:r>
        <w:t xml:space="preserve">, </w:t>
      </w:r>
      <w:hyperlink w:anchor="k20">
        <w:r w:rsidR="001F7233">
          <w:rPr>
            <w:color w:val="0563C1"/>
            <w:u w:val="single"/>
          </w:rPr>
          <w:t>Kapitel 20</w:t>
        </w:r>
      </w:hyperlink>
      <w:r>
        <w:t>)</w:t>
      </w:r>
    </w:p>
    <w:p w14:paraId="3E3A06F6" w14:textId="77777777" w:rsidR="001F7233" w:rsidRDefault="00000000">
      <w:pPr>
        <w:tabs>
          <w:tab w:val="left" w:pos="400"/>
        </w:tabs>
        <w:spacing w:after="60"/>
        <w:ind w:left="400" w:hanging="330"/>
      </w:pPr>
      <w:r>
        <w:t>• Englische Inventarliste mit Werten erstellt, Zollagent und Vollmacht mit der Spedition abgestimmt (CBP Form 3299) (</w:t>
      </w:r>
      <w:hyperlink w:anchor="k20">
        <w:r w:rsidR="001F7233">
          <w:rPr>
            <w:color w:val="0563C1"/>
            <w:u w:val="single"/>
          </w:rPr>
          <w:t>Kapitel 20</w:t>
        </w:r>
      </w:hyperlink>
      <w:r>
        <w:t>)</w:t>
      </w:r>
    </w:p>
    <w:p w14:paraId="5329E13C" w14:textId="77777777" w:rsidR="001F7233" w:rsidRDefault="00000000">
      <w:pPr>
        <w:tabs>
          <w:tab w:val="left" w:pos="400"/>
        </w:tabs>
        <w:spacing w:after="60"/>
        <w:ind w:left="400" w:hanging="330"/>
      </w:pPr>
      <w:r>
        <w:t>• Lebensmittel, Pflanzen, Holz ohne ISPM-15-Stempel, Alkohol und Waffen aus der Ladung aussortiert (</w:t>
      </w:r>
      <w:hyperlink w:anchor="k20">
        <w:r w:rsidR="001F7233">
          <w:rPr>
            <w:color w:val="0563C1"/>
            <w:u w:val="single"/>
          </w:rPr>
          <w:t>Kapitel 20</w:t>
        </w:r>
      </w:hyperlink>
      <w:r>
        <w:t>)</w:t>
      </w:r>
    </w:p>
    <w:p w14:paraId="08B29AC9" w14:textId="77777777" w:rsidR="001F7233" w:rsidRDefault="00000000">
      <w:pPr>
        <w:tabs>
          <w:tab w:val="left" w:pos="400"/>
        </w:tabs>
        <w:spacing w:after="60"/>
        <w:ind w:left="400" w:hanging="330"/>
      </w:pPr>
      <w:r>
        <w:t>• Auslandsreise- oder Langzeit-Auslandskrankenversicherung abgeschlossen, die an den Start der US-Versicherung anschließt (</w:t>
      </w:r>
      <w:hyperlink w:anchor="k1">
        <w:r w:rsidR="001F7233">
          <w:rPr>
            <w:color w:val="0563C1"/>
            <w:u w:val="single"/>
          </w:rPr>
          <w:t>Kapitel 1</w:t>
        </w:r>
      </w:hyperlink>
      <w:r>
        <w:t xml:space="preserve">, </w:t>
      </w:r>
      <w:hyperlink w:anchor="k2">
        <w:r w:rsidR="001F7233">
          <w:rPr>
            <w:color w:val="0563C1"/>
            <w:u w:val="single"/>
          </w:rPr>
          <w:t>Kapitel 2</w:t>
        </w:r>
      </w:hyperlink>
      <w:r>
        <w:t xml:space="preserve">, </w:t>
      </w:r>
      <w:hyperlink w:anchor="k18">
        <w:r w:rsidR="001F7233">
          <w:rPr>
            <w:color w:val="0563C1"/>
            <w:u w:val="single"/>
          </w:rPr>
          <w:t>Kapitel 18</w:t>
        </w:r>
      </w:hyperlink>
      <w:r>
        <w:t>)</w:t>
      </w:r>
    </w:p>
    <w:p w14:paraId="46E8B848" w14:textId="77777777" w:rsidR="001F7233" w:rsidRDefault="00000000">
      <w:pPr>
        <w:tabs>
          <w:tab w:val="left" w:pos="400"/>
        </w:tabs>
        <w:spacing w:after="60"/>
        <w:ind w:left="400" w:hanging="330"/>
      </w:pPr>
      <w:r>
        <w:t>• Englischen Arztbrief, Bildgebung und übersetzten Impfpass besorgt; ausreichenden Medikamentenvorrat mit englischem Rezept geklärt (</w:t>
      </w:r>
      <w:hyperlink w:anchor="k18">
        <w:r w:rsidR="001F7233">
          <w:rPr>
            <w:color w:val="0563C1"/>
            <w:u w:val="single"/>
          </w:rPr>
          <w:t>Kapitel 18</w:t>
        </w:r>
      </w:hyperlink>
      <w:r>
        <w:t>)</w:t>
      </w:r>
    </w:p>
    <w:p w14:paraId="68F282E3" w14:textId="77777777" w:rsidR="001F7233" w:rsidRDefault="00000000">
      <w:pPr>
        <w:tabs>
          <w:tab w:val="left" w:pos="400"/>
        </w:tabs>
        <w:spacing w:after="60"/>
        <w:ind w:left="400" w:hanging="330"/>
      </w:pPr>
      <w:r>
        <w:t>• Einfuhrregeln für Medikamente vor der Einreise bei CBP oder der US-Botschaft geprüft (</w:t>
      </w:r>
      <w:hyperlink w:anchor="k18">
        <w:r w:rsidR="001F7233">
          <w:rPr>
            <w:color w:val="0563C1"/>
            <w:u w:val="single"/>
          </w:rPr>
          <w:t>Kapitel 18</w:t>
        </w:r>
      </w:hyperlink>
      <w:r>
        <w:t>)</w:t>
      </w:r>
    </w:p>
    <w:p w14:paraId="3A942B69" w14:textId="77777777" w:rsidR="001F7233" w:rsidRDefault="00000000">
      <w:pPr>
        <w:tabs>
          <w:tab w:val="left" w:pos="400"/>
        </w:tabs>
        <w:spacing w:after="60"/>
        <w:ind w:left="400" w:hanging="330"/>
      </w:pPr>
      <w:r>
        <w:t>• Haftpflicht, Hausrat und Rechtsschutz zum Übergabetag gekündigt, Schadenfreiheitsbescheinigung auf Englisch angefordert, Auto verkauft (</w:t>
      </w:r>
      <w:hyperlink w:anchor="k16">
        <w:r w:rsidR="001F7233">
          <w:rPr>
            <w:color w:val="0563C1"/>
            <w:u w:val="single"/>
          </w:rPr>
          <w:t>Kapitel 16</w:t>
        </w:r>
      </w:hyperlink>
      <w:r>
        <w:t xml:space="preserve">, </w:t>
      </w:r>
      <w:hyperlink w:anchor="k27">
        <w:r w:rsidR="001F7233">
          <w:rPr>
            <w:color w:val="0563C1"/>
            <w:u w:val="single"/>
          </w:rPr>
          <w:t>Kapitel 27</w:t>
        </w:r>
      </w:hyperlink>
      <w:r>
        <w:t>)</w:t>
      </w:r>
    </w:p>
    <w:p w14:paraId="61523907" w14:textId="77777777" w:rsidR="001F7233" w:rsidRDefault="00000000">
      <w:pPr>
        <w:tabs>
          <w:tab w:val="left" w:pos="400"/>
        </w:tabs>
        <w:spacing w:after="60"/>
        <w:ind w:left="400" w:hanging="330"/>
      </w:pPr>
      <w:r>
        <w:t>• Internationalen Führerschein beantragt, KBA-Auskünfte und Konsulatsbescheinigung geklärt, falls der Zielstaat sie verlangt (</w:t>
      </w:r>
      <w:hyperlink w:anchor="k27">
        <w:r w:rsidR="001F7233">
          <w:rPr>
            <w:color w:val="0563C1"/>
            <w:u w:val="single"/>
          </w:rPr>
          <w:t>Kapitel 27</w:t>
        </w:r>
      </w:hyperlink>
      <w:r>
        <w:t>)</w:t>
      </w:r>
    </w:p>
    <w:p w14:paraId="2A62B23D" w14:textId="77777777" w:rsidR="001F7233" w:rsidRDefault="00000000">
      <w:pPr>
        <w:tabs>
          <w:tab w:val="left" w:pos="400"/>
        </w:tabs>
        <w:spacing w:after="60"/>
        <w:ind w:left="400" w:hanging="330"/>
      </w:pPr>
      <w:r>
        <w:t>• Bank über den Wegzug informiert, App-Verfahren für Überweisungen eingerichtet, Konto und Kreditkarte behalten (</w:t>
      </w:r>
      <w:hyperlink w:anchor="k16">
        <w:r w:rsidR="001F7233">
          <w:rPr>
            <w:color w:val="0563C1"/>
            <w:u w:val="single"/>
          </w:rPr>
          <w:t>Kapitel 16</w:t>
        </w:r>
      </w:hyperlink>
      <w:r>
        <w:t>)</w:t>
      </w:r>
    </w:p>
    <w:p w14:paraId="275C88D5" w14:textId="77777777" w:rsidR="001F7233" w:rsidRDefault="00000000">
      <w:pPr>
        <w:tabs>
          <w:tab w:val="left" w:pos="400"/>
        </w:tabs>
        <w:spacing w:after="60"/>
        <w:ind w:left="400" w:hanging="330"/>
      </w:pPr>
      <w:r>
        <w:t>• Bei Haustieren: CDC Dog Import Form ausgefüllt, Gesundheitszeugnis nach Airline-Vorgabe besorgt, Tierregeln der künftigen Wohnung geklärt (</w:t>
      </w:r>
      <w:hyperlink w:anchor="k22">
        <w:r w:rsidR="001F7233">
          <w:rPr>
            <w:color w:val="0563C1"/>
            <w:u w:val="single"/>
          </w:rPr>
          <w:t>Kapitel 22</w:t>
        </w:r>
      </w:hyperlink>
      <w:r>
        <w:t>)</w:t>
      </w:r>
    </w:p>
    <w:p w14:paraId="23FA0F79" w14:textId="77777777" w:rsidR="001F7233" w:rsidRDefault="00000000">
      <w:pPr>
        <w:tabs>
          <w:tab w:val="left" w:pos="400"/>
        </w:tabs>
        <w:spacing w:after="60"/>
        <w:ind w:left="400" w:hanging="330"/>
      </w:pPr>
      <w:r>
        <w:lastRenderedPageBreak/>
        <w:t>• Schuldistrikt am Zielort informiert, Einstufungstests erfragt, Unterlagen fürs Handgepäck vorbereitet (</w:t>
      </w:r>
      <w:hyperlink w:anchor="k15">
        <w:r w:rsidR="001F7233">
          <w:rPr>
            <w:color w:val="0563C1"/>
            <w:u w:val="single"/>
          </w:rPr>
          <w:t>Kapitel 15</w:t>
        </w:r>
      </w:hyperlink>
      <w:r>
        <w:t xml:space="preserve">, </w:t>
      </w:r>
      <w:hyperlink w:anchor="k36">
        <w:r w:rsidR="001F7233">
          <w:rPr>
            <w:color w:val="0563C1"/>
            <w:u w:val="single"/>
          </w:rPr>
          <w:t>Kapitel 36</w:t>
        </w:r>
      </w:hyperlink>
      <w:r>
        <w:t>)</w:t>
      </w:r>
    </w:p>
    <w:p w14:paraId="4B30625C" w14:textId="77777777" w:rsidR="001F7233" w:rsidRDefault="00000000">
      <w:pPr>
        <w:tabs>
          <w:tab w:val="left" w:pos="400"/>
        </w:tabs>
        <w:spacing w:after="60"/>
        <w:ind w:left="400" w:hanging="330"/>
      </w:pPr>
      <w:r>
        <w:t>• Erste Unterkunft in den USA für mindestens fünf Nächte mit Stornierungsoption gebucht, Transfer geplant (</w:t>
      </w:r>
      <w:hyperlink w:anchor="k23">
        <w:r w:rsidR="001F7233">
          <w:rPr>
            <w:color w:val="0563C1"/>
            <w:u w:val="single"/>
          </w:rPr>
          <w:t>Kapitel 23</w:t>
        </w:r>
      </w:hyperlink>
      <w:r>
        <w:t>)</w:t>
      </w:r>
    </w:p>
    <w:p w14:paraId="1A3A2F40" w14:textId="77777777" w:rsidR="001F7233" w:rsidRDefault="00000000">
      <w:pPr>
        <w:tabs>
          <w:tab w:val="left" w:pos="400"/>
        </w:tabs>
        <w:spacing w:after="60"/>
        <w:ind w:left="400" w:hanging="330"/>
      </w:pPr>
      <w:r>
        <w:t>• Alle Dokumente gescannt, verschlüsselt gespeichert, eine Kopie bei einer Vertrauensperson hinterlegt (</w:t>
      </w:r>
      <w:hyperlink w:anchor="k19">
        <w:r w:rsidR="001F7233">
          <w:rPr>
            <w:color w:val="0563C1"/>
            <w:u w:val="single"/>
          </w:rPr>
          <w:t>Kapitel 19</w:t>
        </w:r>
      </w:hyperlink>
      <w:r>
        <w:t>)</w:t>
      </w:r>
    </w:p>
    <w:p w14:paraId="45337D32" w14:textId="77777777" w:rsidR="001F7233" w:rsidRDefault="001F7233">
      <w:pPr>
        <w:spacing w:line="120" w:lineRule="exact"/>
      </w:pPr>
    </w:p>
    <w:p w14:paraId="6356C3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letzten Wochen</w:t>
      </w:r>
    </w:p>
    <w:p w14:paraId="12A72FFF" w14:textId="77777777" w:rsidR="001F7233" w:rsidRDefault="00000000">
      <w:pPr>
        <w:tabs>
          <w:tab w:val="left" w:pos="400"/>
        </w:tabs>
        <w:spacing w:after="60"/>
        <w:ind w:left="400" w:hanging="330"/>
      </w:pPr>
      <w:r>
        <w:t>• Abmeldung frühestens eine Woche vor dem Auszug erledigt, Abmeldebescheinigung mehrfach kopiert (Deutschland vor dem Abflug)</w:t>
      </w:r>
    </w:p>
    <w:p w14:paraId="32E8F565" w14:textId="77777777" w:rsidR="001F7233" w:rsidRDefault="00000000">
      <w:pPr>
        <w:tabs>
          <w:tab w:val="left" w:pos="400"/>
        </w:tabs>
        <w:spacing w:after="60"/>
        <w:ind w:left="400" w:hanging="330"/>
      </w:pPr>
      <w:r>
        <w:t>• Rundfunkbeitrag, Handy, Internet, Strom und Gas beendet oder abgemeldet, Bestätigungen abgelegt (</w:t>
      </w:r>
      <w:hyperlink w:anchor="k16">
        <w:r w:rsidR="001F7233">
          <w:rPr>
            <w:color w:val="0563C1"/>
            <w:u w:val="single"/>
          </w:rPr>
          <w:t>Kapitel 16</w:t>
        </w:r>
      </w:hyperlink>
      <w:r>
        <w:t>)</w:t>
      </w:r>
    </w:p>
    <w:p w14:paraId="2E1B0087" w14:textId="77777777" w:rsidR="001F7233" w:rsidRDefault="00000000">
      <w:pPr>
        <w:tabs>
          <w:tab w:val="left" w:pos="400"/>
        </w:tabs>
        <w:spacing w:after="60"/>
        <w:ind w:left="400" w:hanging="330"/>
      </w:pPr>
      <w:r>
        <w:t>• Vorsorgevollmacht, Patientenverfügung und Betreuungsverfügung beim Notar beurkundet und registriert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5CF016E7" w14:textId="77777777" w:rsidR="001F7233" w:rsidRDefault="00000000">
      <w:pPr>
        <w:tabs>
          <w:tab w:val="left" w:pos="400"/>
        </w:tabs>
        <w:spacing w:after="60"/>
        <w:ind w:left="400" w:hanging="330"/>
      </w:pPr>
      <w:r>
        <w:t>• Familienkasse, Elterngeldstelle, Kita und Schule informiert, Zeugniskopien besorgt; Nachsendeauftrag eingerichtet (</w:t>
      </w:r>
      <w:hyperlink w:anchor="k16">
        <w:r w:rsidR="001F7233">
          <w:rPr>
            <w:color w:val="0563C1"/>
            <w:u w:val="single"/>
          </w:rPr>
          <w:t>Kapitel 16</w:t>
        </w:r>
      </w:hyperlink>
      <w:r>
        <w:t>)</w:t>
      </w:r>
    </w:p>
    <w:p w14:paraId="01AB9049" w14:textId="77777777" w:rsidR="001F7233" w:rsidRDefault="00000000">
      <w:pPr>
        <w:tabs>
          <w:tab w:val="left" w:pos="400"/>
        </w:tabs>
        <w:spacing w:after="60"/>
        <w:ind w:left="400" w:hanging="330"/>
      </w:pPr>
      <w:r>
        <w:t>• Originale wie Pässe, Urkunden, Zeugnisse und Bescheide in die Handgepäck-Mappe gelegt, nicht in den Container (</w:t>
      </w:r>
      <w:hyperlink w:anchor="k19">
        <w:r w:rsidR="001F7233">
          <w:rPr>
            <w:color w:val="0563C1"/>
            <w:u w:val="single"/>
          </w:rPr>
          <w:t>Kapitel 19</w:t>
        </w:r>
      </w:hyperlink>
      <w:r>
        <w:t xml:space="preserve">, </w:t>
      </w:r>
      <w:hyperlink w:anchor="k23">
        <w:r w:rsidR="001F7233">
          <w:rPr>
            <w:color w:val="0563C1"/>
            <w:u w:val="single"/>
          </w:rPr>
          <w:t>Kapitel 23</w:t>
        </w:r>
      </w:hyperlink>
      <w:r>
        <w:t>)</w:t>
      </w:r>
    </w:p>
    <w:p w14:paraId="2DCAF75E" w14:textId="77777777" w:rsidR="001F7233" w:rsidRDefault="00000000">
      <w:pPr>
        <w:tabs>
          <w:tab w:val="left" w:pos="400"/>
        </w:tabs>
        <w:spacing w:after="60"/>
        <w:ind w:left="400" w:hanging="330"/>
      </w:pPr>
      <w:r>
        <w:t>• Koffer für die ersten zwei Wochen gepackt, Wertsachen ins Handgepäck gelegt, Erstausstattungsbudget festgelegt (</w:t>
      </w:r>
      <w:hyperlink w:anchor="k21">
        <w:r w:rsidR="001F7233">
          <w:rPr>
            <w:color w:val="0563C1"/>
            <w:u w:val="single"/>
          </w:rPr>
          <w:t>Kapitel 21</w:t>
        </w:r>
      </w:hyperlink>
      <w:r>
        <w:t>)</w:t>
      </w:r>
    </w:p>
    <w:p w14:paraId="5E80A97D" w14:textId="77777777" w:rsidR="001F7233" w:rsidRDefault="00000000">
      <w:pPr>
        <w:tabs>
          <w:tab w:val="left" w:pos="400"/>
        </w:tabs>
        <w:spacing w:after="60"/>
        <w:ind w:left="400" w:hanging="330"/>
      </w:pPr>
      <w:r>
        <w:t>• Kindersitze und weitere US-pflichtige Ausstattung erst vor Ort eingeplant, nicht mitgenommen (</w:t>
      </w:r>
      <w:hyperlink w:anchor="k21">
        <w:r w:rsidR="001F7233">
          <w:rPr>
            <w:color w:val="0563C1"/>
            <w:u w:val="single"/>
          </w:rPr>
          <w:t>Kapitel 21</w:t>
        </w:r>
      </w:hyperlink>
      <w:r>
        <w:t>)</w:t>
      </w:r>
    </w:p>
    <w:p w14:paraId="08F3172D" w14:textId="77777777" w:rsidR="001F7233" w:rsidRDefault="00000000">
      <w:pPr>
        <w:tabs>
          <w:tab w:val="left" w:pos="400"/>
        </w:tabs>
        <w:spacing w:after="60"/>
        <w:ind w:left="400" w:hanging="330"/>
      </w:pPr>
      <w:r>
        <w:t>• Bargeld ab 10.000 € beim deutschen Zoll angemeldet, Übergangswohnen gebucht und Puffer auf dem US-Konto bereitgestellt (</w:t>
      </w:r>
      <w:hyperlink w:anchor="k20">
        <w:r w:rsidR="001F7233">
          <w:rPr>
            <w:color w:val="0563C1"/>
            <w:u w:val="single"/>
          </w:rPr>
          <w:t>Kapitel 20</w:t>
        </w:r>
      </w:hyperlink>
      <w:r>
        <w:t xml:space="preserve">, </w:t>
      </w:r>
      <w:hyperlink w:anchor="k23">
        <w:r w:rsidR="001F7233">
          <w:rPr>
            <w:color w:val="0563C1"/>
            <w:u w:val="single"/>
          </w:rPr>
          <w:t>Kapitel 23</w:t>
        </w:r>
      </w:hyperlink>
      <w:r>
        <w:t>)</w:t>
      </w:r>
    </w:p>
    <w:p w14:paraId="70CCC900" w14:textId="77777777" w:rsidR="001F7233" w:rsidRDefault="00000000">
      <w:pPr>
        <w:tabs>
          <w:tab w:val="left" w:pos="400"/>
        </w:tabs>
        <w:spacing w:after="60"/>
        <w:ind w:left="400" w:hanging="330"/>
      </w:pPr>
      <w:r>
        <w:t>• eSIM oder Prepaid-SIM eingerichtet, deutsche Nummer als Zweit-SIM behalten (</w:t>
      </w:r>
      <w:hyperlink w:anchor="k23">
        <w:r w:rsidR="001F7233">
          <w:rPr>
            <w:color w:val="0563C1"/>
            <w:u w:val="single"/>
          </w:rPr>
          <w:t>Kapitel 23</w:t>
        </w:r>
      </w:hyperlink>
      <w:r>
        <w:t>)</w:t>
      </w:r>
    </w:p>
    <w:p w14:paraId="7B47F2EB" w14:textId="77777777" w:rsidR="001F7233" w:rsidRDefault="00000000">
      <w:pPr>
        <w:tabs>
          <w:tab w:val="left" w:pos="400"/>
        </w:tabs>
        <w:spacing w:after="60"/>
        <w:ind w:left="400" w:hanging="330"/>
      </w:pPr>
      <w:r>
        <w:lastRenderedPageBreak/>
        <w:t>• Kreditkarte und 200–300 $ Bargeld dabei, insgesamt unter 10.000 $ (</w:t>
      </w:r>
      <w:hyperlink w:anchor="k23">
        <w:r w:rsidR="001F7233">
          <w:rPr>
            <w:color w:val="0563C1"/>
            <w:u w:val="single"/>
          </w:rPr>
          <w:t>Kapitel 23</w:t>
        </w:r>
      </w:hyperlink>
      <w:r>
        <w:t>)</w:t>
      </w:r>
    </w:p>
    <w:p w14:paraId="123F0D32" w14:textId="77777777" w:rsidR="001F7233" w:rsidRDefault="00000000">
      <w:pPr>
        <w:tabs>
          <w:tab w:val="left" w:pos="400"/>
        </w:tabs>
        <w:spacing w:after="60"/>
        <w:ind w:left="400" w:hanging="330"/>
      </w:pPr>
      <w:r>
        <w:t>• Puffer von zwei bis vier Wochen für Verzögerungen wie 221(g) oder Nachforderungen im Zeitplan eingeplant (</w:t>
      </w:r>
      <w:hyperlink w:anchor="k15">
        <w:r w:rsidR="001F7233">
          <w:rPr>
            <w:color w:val="0563C1"/>
            <w:u w:val="single"/>
          </w:rPr>
          <w:t>Kapitel 15</w:t>
        </w:r>
      </w:hyperlink>
      <w:r>
        <w:t>)</w:t>
      </w:r>
    </w:p>
    <w:p w14:paraId="17E9F954" w14:textId="77777777" w:rsidR="001F7233" w:rsidRDefault="00000000">
      <w:pPr>
        <w:tabs>
          <w:tab w:val="left" w:pos="400"/>
        </w:tabs>
        <w:spacing w:after="60"/>
        <w:ind w:left="400" w:hanging="330"/>
      </w:pPr>
      <w:r>
        <w:t>• Bewusst Zeit für Abschiedsbesuche bei Familie, Freunden und wichtigen Arztterminen eingeplant (</w:t>
      </w:r>
      <w:hyperlink w:anchor="k15">
        <w:r w:rsidR="001F7233">
          <w:rPr>
            <w:color w:val="0563C1"/>
            <w:u w:val="single"/>
          </w:rPr>
          <w:t>Kapitel 15</w:t>
        </w:r>
      </w:hyperlink>
      <w:r>
        <w:t xml:space="preserve">, </w:t>
      </w:r>
      <w:hyperlink w:anchor="k33">
        <w:r w:rsidR="001F7233">
          <w:rPr>
            <w:color w:val="0563C1"/>
            <w:u w:val="single"/>
          </w:rPr>
          <w:t>Kapitel 33</w:t>
        </w:r>
      </w:hyperlink>
      <w:r>
        <w:t>)</w:t>
      </w:r>
    </w:p>
    <w:p w14:paraId="060ECDE8" w14:textId="77777777" w:rsidR="001F7233" w:rsidRDefault="00000000">
      <w:pPr>
        <w:tabs>
          <w:tab w:val="left" w:pos="400"/>
        </w:tabs>
        <w:spacing w:after="60"/>
        <w:ind w:left="400" w:hanging="330"/>
      </w:pPr>
      <w:r>
        <w:t>• Möbel und Hausrat, die nicht mitreisen, verkauft, verschenkt oder gespendet (</w:t>
      </w:r>
      <w:hyperlink w:anchor="k15">
        <w:r w:rsidR="001F7233">
          <w:rPr>
            <w:color w:val="0563C1"/>
            <w:u w:val="single"/>
          </w:rPr>
          <w:t>Kapitel 15</w:t>
        </w:r>
      </w:hyperlink>
      <w:r>
        <w:t xml:space="preserve">, </w:t>
      </w:r>
      <w:hyperlink w:anchor="k21">
        <w:r w:rsidR="001F7233">
          <w:rPr>
            <w:color w:val="0563C1"/>
            <w:u w:val="single"/>
          </w:rPr>
          <w:t>Kapitel 21</w:t>
        </w:r>
      </w:hyperlink>
      <w:r>
        <w:t>)</w:t>
      </w:r>
    </w:p>
    <w:p w14:paraId="00FDEE37" w14:textId="77777777" w:rsidR="001F7233" w:rsidRDefault="00000000">
      <w:pPr>
        <w:tabs>
          <w:tab w:val="left" w:pos="400"/>
        </w:tabs>
        <w:spacing w:after="60"/>
        <w:ind w:left="400" w:hanging="330"/>
      </w:pPr>
      <w:r>
        <w:t>• Bei Haustieren: Transportbox über mehrere Wochen gewöhnt, Papiermappe fürs Handgepäck gepackt, Abholort am Zielflughafen erfragt (</w:t>
      </w:r>
      <w:hyperlink w:anchor="k22">
        <w:r w:rsidR="001F7233">
          <w:rPr>
            <w:color w:val="0563C1"/>
            <w:u w:val="single"/>
          </w:rPr>
          <w:t>Kapitel 22</w:t>
        </w:r>
      </w:hyperlink>
      <w:r>
        <w:t>)</w:t>
      </w:r>
    </w:p>
    <w:p w14:paraId="28A8588C" w14:textId="77777777" w:rsidR="001F7233" w:rsidRDefault="00000000">
      <w:pPr>
        <w:tabs>
          <w:tab w:val="left" w:pos="400"/>
        </w:tabs>
        <w:spacing w:after="60"/>
        <w:ind w:left="400" w:hanging="330"/>
      </w:pPr>
      <w:r>
        <w:t>• Landetag festgelegt: frühestens zehn Tage vor dem Von-Datum im Bescheid (</w:t>
      </w:r>
      <w:hyperlink w:anchor="k23">
        <w:r w:rsidR="001F7233">
          <w:rPr>
            <w:color w:val="0563C1"/>
            <w:u w:val="single"/>
          </w:rPr>
          <w:t>Kapitel 23</w:t>
        </w:r>
      </w:hyperlink>
      <w:r>
        <w:t>)</w:t>
      </w:r>
    </w:p>
    <w:p w14:paraId="5D59BEE9" w14:textId="77777777" w:rsidR="001F7233" w:rsidRDefault="001F7233">
      <w:pPr>
        <w:spacing w:line="120" w:lineRule="exact"/>
      </w:pPr>
    </w:p>
    <w:p w14:paraId="56FDE3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den USA</w:t>
      </w:r>
    </w:p>
    <w:p w14:paraId="65208CA5" w14:textId="77777777" w:rsidR="001F7233" w:rsidRDefault="00000000">
      <w:pPr>
        <w:tabs>
          <w:tab w:val="left" w:pos="400"/>
        </w:tabs>
        <w:spacing w:after="60"/>
        <w:ind w:left="400" w:hanging="330"/>
      </w:pPr>
      <w:r>
        <w:t xml:space="preserve">• Am Ankunftstag den I-94 jedes Familienmitglieds über </w:t>
      </w:r>
      <w:hyperlink r:id="rId1134">
        <w:r w:rsidR="001F7233">
          <w:rPr>
            <w:color w:val="0563C1"/>
            <w:u w:val="single"/>
          </w:rPr>
          <w:t>i94.cbp.dhs.gov</w:t>
        </w:r>
      </w:hyperlink>
      <w:r>
        <w:t xml:space="preserve"> abgerufen, geprüft und gesichert (</w:t>
      </w:r>
      <w:hyperlink w:anchor="k23">
        <w:r w:rsidR="001F7233">
          <w:rPr>
            <w:color w:val="0563C1"/>
            <w:u w:val="single"/>
          </w:rPr>
          <w:t>Kapitel 23</w:t>
        </w:r>
      </w:hyperlink>
      <w:r>
        <w:t xml:space="preserve">, </w:t>
      </w:r>
      <w:hyperlink w:anchor="k40">
        <w:r w:rsidR="001F7233">
          <w:rPr>
            <w:color w:val="0563C1"/>
            <w:u w:val="single"/>
          </w:rPr>
          <w:t>Kapitel 40</w:t>
        </w:r>
      </w:hyperlink>
      <w:r>
        <w:t>)</w:t>
      </w:r>
    </w:p>
    <w:p w14:paraId="2CC07C12" w14:textId="77777777" w:rsidR="001F7233" w:rsidRDefault="00000000">
      <w:pPr>
        <w:tabs>
          <w:tab w:val="left" w:pos="400"/>
        </w:tabs>
        <w:spacing w:after="60"/>
        <w:ind w:left="400" w:hanging="330"/>
      </w:pPr>
      <w:r>
        <w:t>• 911 und Adresse der Unterkunft im Handy gespeichert; Auslandskrankenversicherung gilt ab Landung (</w:t>
      </w:r>
      <w:hyperlink w:anchor="k23">
        <w:r w:rsidR="001F7233">
          <w:rPr>
            <w:color w:val="0563C1"/>
            <w:u w:val="single"/>
          </w:rPr>
          <w:t>Kapitel 23</w:t>
        </w:r>
      </w:hyperlink>
      <w:r>
        <w:t>)</w:t>
      </w:r>
    </w:p>
    <w:p w14:paraId="6F64881E" w14:textId="77777777" w:rsidR="001F7233" w:rsidRDefault="00000000">
      <w:pPr>
        <w:tabs>
          <w:tab w:val="left" w:pos="400"/>
        </w:tabs>
        <w:spacing w:after="60"/>
        <w:ind w:left="400" w:hanging="330"/>
      </w:pPr>
      <w:r>
        <w:t>• Originale für die Form I-9 und Bankdaten für das Gehalt bereitgelegt (</w:t>
      </w:r>
      <w:hyperlink w:anchor="k23">
        <w:r w:rsidR="001F7233">
          <w:rPr>
            <w:color w:val="0563C1"/>
            <w:u w:val="single"/>
          </w:rPr>
          <w:t>Kapitel 23</w:t>
        </w:r>
      </w:hyperlink>
      <w:r>
        <w:t>)</w:t>
      </w:r>
    </w:p>
    <w:p w14:paraId="7EC6CEF8" w14:textId="77777777" w:rsidR="001F7233" w:rsidRDefault="00000000">
      <w:pPr>
        <w:tabs>
          <w:tab w:val="left" w:pos="400"/>
        </w:tabs>
        <w:spacing w:after="60"/>
        <w:ind w:left="400" w:hanging="330"/>
      </w:pPr>
      <w:r>
        <w:t>• Erste Termine gebucht: Bank, SSN-Antrag, Wohnungsbesichtigungen (</w:t>
      </w:r>
      <w:hyperlink w:anchor="k23">
        <w:r w:rsidR="001F7233">
          <w:rPr>
            <w:color w:val="0563C1"/>
            <w:u w:val="single"/>
          </w:rPr>
          <w:t>Kapitel 23</w:t>
        </w:r>
      </w:hyperlink>
      <w:r>
        <w:t>)</w:t>
      </w:r>
    </w:p>
    <w:p w14:paraId="2BFF0BD6" w14:textId="77777777" w:rsidR="001F7233" w:rsidRDefault="00000000">
      <w:pPr>
        <w:tabs>
          <w:tab w:val="left" w:pos="400"/>
        </w:tabs>
        <w:spacing w:after="60"/>
        <w:ind w:left="400" w:hanging="330"/>
      </w:pPr>
      <w:r>
        <w:t>• Sobald der I-94 zehn Tage alt ist, zur SSA gegangen: SS-5 ausgefüllt, Pass, Visum, I-94-Ausdruck und I-797 im Original mitgebracht (</w:t>
      </w:r>
      <w:hyperlink w:anchor="k24">
        <w:r w:rsidR="001F7233">
          <w:rPr>
            <w:color w:val="0563C1"/>
            <w:u w:val="single"/>
          </w:rPr>
          <w:t>Kapitel 24</w:t>
        </w:r>
      </w:hyperlink>
      <w:r>
        <w:t>)</w:t>
      </w:r>
    </w:p>
    <w:p w14:paraId="7275E170" w14:textId="77777777" w:rsidR="001F7233" w:rsidRDefault="00000000">
      <w:pPr>
        <w:tabs>
          <w:tab w:val="left" w:pos="400"/>
        </w:tabs>
        <w:spacing w:after="60"/>
        <w:ind w:left="400" w:hanging="330"/>
      </w:pPr>
      <w:r>
        <w:t>• Arbeitgeber über „Applied For“ informiert, falls der Job vor der SSN beginnt; für Familienmitglieder ohne Arbeitserlaubnis SSN oder ITIN geklärt (</w:t>
      </w:r>
      <w:hyperlink w:anchor="k24">
        <w:r w:rsidR="001F7233">
          <w:rPr>
            <w:color w:val="0563C1"/>
            <w:u w:val="single"/>
          </w:rPr>
          <w:t>Kapitel 24</w:t>
        </w:r>
      </w:hyperlink>
      <w:r>
        <w:t>)</w:t>
      </w:r>
    </w:p>
    <w:p w14:paraId="2F567794" w14:textId="77777777" w:rsidR="001F7233" w:rsidRDefault="00000000">
      <w:pPr>
        <w:tabs>
          <w:tab w:val="left" w:pos="400"/>
        </w:tabs>
        <w:spacing w:after="60"/>
        <w:ind w:left="400" w:hanging="330"/>
      </w:pPr>
      <w:r>
        <w:lastRenderedPageBreak/>
        <w:t>• Bankkonto eröffnet (Pass, Visum, I-94, Adressnachweis mitgebracht), Zelle und Venmo eingerichtet (</w:t>
      </w:r>
      <w:hyperlink w:anchor="k25">
        <w:r w:rsidR="001F7233">
          <w:rPr>
            <w:color w:val="0563C1"/>
            <w:u w:val="single"/>
          </w:rPr>
          <w:t>Kapitel 25</w:t>
        </w:r>
      </w:hyperlink>
      <w:r>
        <w:t>)</w:t>
      </w:r>
    </w:p>
    <w:p w14:paraId="23364634" w14:textId="77777777" w:rsidR="001F7233" w:rsidRDefault="00000000">
      <w:pPr>
        <w:tabs>
          <w:tab w:val="left" w:pos="400"/>
        </w:tabs>
        <w:spacing w:after="60"/>
        <w:ind w:left="400" w:hanging="330"/>
      </w:pPr>
      <w:r>
        <w:t>• Sobald die SSN da ist: Credit Freeze bei Equifax, Experian und TransUnion eingerichtet, erste besicherte Kreditkarte beantragt (</w:t>
      </w:r>
      <w:hyperlink w:anchor="k2">
        <w:r w:rsidR="001F7233">
          <w:rPr>
            <w:color w:val="0563C1"/>
            <w:u w:val="single"/>
          </w:rPr>
          <w:t>Kapitel 2</w:t>
        </w:r>
      </w:hyperlink>
      <w:r>
        <w:t xml:space="preserve">, </w:t>
      </w:r>
      <w:hyperlink w:anchor="k24">
        <w:r w:rsidR="001F7233">
          <w:rPr>
            <w:color w:val="0563C1"/>
            <w:u w:val="single"/>
          </w:rPr>
          <w:t>Kapitel 24</w:t>
        </w:r>
      </w:hyperlink>
      <w:r>
        <w:t xml:space="preserve">, </w:t>
      </w:r>
      <w:hyperlink w:anchor="k25">
        <w:r w:rsidR="001F7233">
          <w:rPr>
            <w:color w:val="0563C1"/>
            <w:u w:val="single"/>
          </w:rPr>
          <w:t>Kapitel 25</w:t>
        </w:r>
      </w:hyperlink>
      <w:r>
        <w:t xml:space="preserve">, </w:t>
      </w:r>
      <w:hyperlink w:anchor="k40">
        <w:r w:rsidR="001F7233">
          <w:rPr>
            <w:color w:val="0563C1"/>
            <w:u w:val="single"/>
          </w:rPr>
          <w:t>Kapitel 40</w:t>
        </w:r>
      </w:hyperlink>
      <w:r>
        <w:t>)</w:t>
      </w:r>
    </w:p>
    <w:p w14:paraId="742FFFC5" w14:textId="77777777" w:rsidR="001F7233" w:rsidRDefault="00000000">
      <w:pPr>
        <w:tabs>
          <w:tab w:val="left" w:pos="400"/>
        </w:tabs>
        <w:spacing w:after="60"/>
        <w:ind w:left="400" w:hanging="330"/>
      </w:pPr>
      <w:r>
        <w:t>• Wohnung besichtigt und beworben: Offer Letter, Kontoauszüge und englische Vermieter-Referenz bereitgehalten; nie vor Vertragsabschluss gezahlt (</w:t>
      </w:r>
      <w:hyperlink w:anchor="k13">
        <w:r w:rsidR="001F7233">
          <w:rPr>
            <w:color w:val="0563C1"/>
            <w:u w:val="single"/>
          </w:rPr>
          <w:t>Kapitel 13</w:t>
        </w:r>
      </w:hyperlink>
      <w:r>
        <w:t>)</w:t>
      </w:r>
    </w:p>
    <w:p w14:paraId="70742252" w14:textId="77777777" w:rsidR="001F7233" w:rsidRDefault="00000000">
      <w:pPr>
        <w:tabs>
          <w:tab w:val="left" w:pos="400"/>
        </w:tabs>
        <w:spacing w:after="60"/>
        <w:ind w:left="400" w:hanging="330"/>
      </w:pPr>
      <w:r>
        <w:t>• Mietvertrag komplett gelesen, Renters Insurance abgeschlossen, beim Einzug jeder Raum fotografiert (</w:t>
      </w:r>
      <w:hyperlink w:anchor="k13">
        <w:r w:rsidR="001F7233">
          <w:rPr>
            <w:color w:val="0563C1"/>
            <w:u w:val="single"/>
          </w:rPr>
          <w:t>Kapitel 13</w:t>
        </w:r>
      </w:hyperlink>
      <w:r>
        <w:t>)</w:t>
      </w:r>
    </w:p>
    <w:p w14:paraId="3255AA70" w14:textId="77777777" w:rsidR="001F7233" w:rsidRDefault="00000000">
      <w:pPr>
        <w:tabs>
          <w:tab w:val="left" w:pos="400"/>
        </w:tabs>
        <w:spacing w:after="60"/>
        <w:ind w:left="400" w:hanging="330"/>
      </w:pPr>
      <w:r>
        <w:t>• Krankenversicherung fristgerecht zur Einschreibefrist des Arbeitgebers für die ganze Familie angemeldet, Hausarzt und Kinderarzt „in-network“ bestätigt (</w:t>
      </w:r>
      <w:hyperlink w:anchor="k26">
        <w:r w:rsidR="001F7233">
          <w:rPr>
            <w:color w:val="0563C1"/>
            <w:u w:val="single"/>
          </w:rPr>
          <w:t>Kapitel 26</w:t>
        </w:r>
      </w:hyperlink>
      <w:r>
        <w:t>)</w:t>
      </w:r>
    </w:p>
    <w:p w14:paraId="1B784DE7" w14:textId="77777777" w:rsidR="001F7233" w:rsidRDefault="00000000">
      <w:pPr>
        <w:tabs>
          <w:tab w:val="left" w:pos="400"/>
        </w:tabs>
        <w:spacing w:after="60"/>
        <w:ind w:left="400" w:hanging="330"/>
      </w:pPr>
      <w:r>
        <w:t>• DMV-Termin für den Führerschein gebucht, Frist des Bundesstaats geprüft, REAL-ID-konforme Karte beantragt (</w:t>
      </w:r>
      <w:hyperlink w:anchor="k27">
        <w:r w:rsidR="001F7233">
          <w:rPr>
            <w:color w:val="0563C1"/>
            <w:u w:val="single"/>
          </w:rPr>
          <w:t>Kapitel 27</w:t>
        </w:r>
      </w:hyperlink>
      <w:r>
        <w:t>)</w:t>
      </w:r>
    </w:p>
    <w:p w14:paraId="715147C5" w14:textId="77777777" w:rsidR="001F7233" w:rsidRDefault="00000000">
      <w:pPr>
        <w:tabs>
          <w:tab w:val="left" w:pos="400"/>
        </w:tabs>
        <w:spacing w:after="60"/>
        <w:ind w:left="400" w:hanging="330"/>
      </w:pPr>
      <w:r>
        <w:t>• Form W-4 am ersten Arbeitstag ausgefüllt (</w:t>
      </w:r>
      <w:hyperlink w:anchor="k28">
        <w:r w:rsidR="001F7233">
          <w:rPr>
            <w:color w:val="0563C1"/>
            <w:u w:val="single"/>
          </w:rPr>
          <w:t>Kapitel 28</w:t>
        </w:r>
      </w:hyperlink>
      <w:r>
        <w:t>)</w:t>
      </w:r>
    </w:p>
    <w:p w14:paraId="563B3AE3" w14:textId="77777777" w:rsidR="001F7233" w:rsidRDefault="00000000">
      <w:pPr>
        <w:tabs>
          <w:tab w:val="left" w:pos="400"/>
        </w:tabs>
        <w:spacing w:after="60"/>
        <w:ind w:left="400" w:hanging="330"/>
      </w:pPr>
      <w:r>
        <w:t>• Schuldistrikt der neuen Adresse bestätigt, Kind eingestuft, Wohnsitznachweis vorgelegt (</w:t>
      </w:r>
      <w:hyperlink w:anchor="k36">
        <w:r w:rsidR="001F7233">
          <w:rPr>
            <w:color w:val="0563C1"/>
            <w:u w:val="single"/>
          </w:rPr>
          <w:t>Kapitel 36</w:t>
        </w:r>
      </w:hyperlink>
      <w:r>
        <w:t>)</w:t>
      </w:r>
    </w:p>
    <w:p w14:paraId="394F0D14" w14:textId="77777777" w:rsidR="001F7233" w:rsidRDefault="00000000">
      <w:pPr>
        <w:tabs>
          <w:tab w:val="left" w:pos="400"/>
        </w:tabs>
        <w:spacing w:after="60"/>
        <w:ind w:left="400" w:hanging="330"/>
      </w:pPr>
      <w:r>
        <w:t>• Home Language Survey ausgefüllt, EL-Koordinator bei Bedarf kontaktiert (</w:t>
      </w:r>
      <w:hyperlink w:anchor="k37">
        <w:r w:rsidR="001F7233">
          <w:rPr>
            <w:color w:val="0563C1"/>
            <w:u w:val="single"/>
          </w:rPr>
          <w:t>Kapitel 37</w:t>
        </w:r>
      </w:hyperlink>
      <w:r>
        <w:t>)</w:t>
      </w:r>
    </w:p>
    <w:p w14:paraId="28B58059" w14:textId="77777777" w:rsidR="001F7233" w:rsidRDefault="00000000">
      <w:pPr>
        <w:tabs>
          <w:tab w:val="left" w:pos="400"/>
        </w:tabs>
        <w:spacing w:after="60"/>
        <w:ind w:left="400" w:hanging="330"/>
      </w:pPr>
      <w:r>
        <w:t>• Zwei Basisläden für Lebensmittel festgelegt, Wasserqualitätsbericht gelesen (</w:t>
      </w:r>
      <w:hyperlink w:anchor="k35">
        <w:r w:rsidR="001F7233">
          <w:rPr>
            <w:color w:val="0563C1"/>
            <w:u w:val="single"/>
          </w:rPr>
          <w:t>Kapitel 35</w:t>
        </w:r>
      </w:hyperlink>
      <w:r>
        <w:t>)</w:t>
      </w:r>
    </w:p>
    <w:p w14:paraId="5609A621" w14:textId="77777777" w:rsidR="001F7233" w:rsidRDefault="00000000">
      <w:pPr>
        <w:tabs>
          <w:tab w:val="left" w:pos="400"/>
        </w:tabs>
        <w:spacing w:after="60"/>
        <w:ind w:left="400" w:hanging="330"/>
      </w:pPr>
      <w:r>
        <w:t>• Bei Haustieren: Tierarzt gesucht, Lizenz beantragt, Chipregister aktualisiert (</w:t>
      </w:r>
      <w:hyperlink w:anchor="k22">
        <w:r w:rsidR="001F7233">
          <w:rPr>
            <w:color w:val="0563C1"/>
            <w:u w:val="single"/>
          </w:rPr>
          <w:t>Kapitel 22</w:t>
        </w:r>
      </w:hyperlink>
      <w:r>
        <w:t>)</w:t>
      </w:r>
    </w:p>
    <w:p w14:paraId="4B372AFC" w14:textId="77777777" w:rsidR="001F7233" w:rsidRDefault="00000000">
      <w:pPr>
        <w:tabs>
          <w:tab w:val="left" w:pos="400"/>
        </w:tabs>
        <w:spacing w:after="60"/>
        <w:ind w:left="400" w:hanging="330"/>
      </w:pPr>
      <w:r>
        <w:t>• Nummer eines Einwanderungsanwalts und der Botschaft gespeichert; beim Führerscheinantrag nicht als Wähler registrieren lassen (</w:t>
      </w:r>
      <w:hyperlink w:anchor="k40">
        <w:r w:rsidR="001F7233">
          <w:rPr>
            <w:color w:val="0563C1"/>
            <w:u w:val="single"/>
          </w:rPr>
          <w:t>Kapitel 40</w:t>
        </w:r>
      </w:hyperlink>
      <w:r>
        <w:t>)</w:t>
      </w:r>
    </w:p>
    <w:p w14:paraId="1E78EE13" w14:textId="77777777" w:rsidR="001F7233" w:rsidRDefault="001F7233">
      <w:pPr>
        <w:spacing w:line="120" w:lineRule="exact"/>
      </w:pPr>
    </w:p>
    <w:p w14:paraId="205211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6 Monate</w:t>
      </w:r>
    </w:p>
    <w:p w14:paraId="076E1B2E" w14:textId="77777777" w:rsidR="001F7233" w:rsidRDefault="00000000">
      <w:pPr>
        <w:tabs>
          <w:tab w:val="left" w:pos="400"/>
        </w:tabs>
        <w:spacing w:after="60"/>
        <w:ind w:left="400" w:hanging="330"/>
      </w:pPr>
      <w:r>
        <w:t>• Zwei feste Wochentermine (Sport, Kurs, Gemeinde, Ehrenamt) gewählt und mindestens sechs Wochen durchgehalten (</w:t>
      </w:r>
      <w:hyperlink w:anchor="k32">
        <w:r w:rsidR="001F7233">
          <w:rPr>
            <w:color w:val="0563C1"/>
            <w:u w:val="single"/>
          </w:rPr>
          <w:t>Kapitel 32</w:t>
        </w:r>
      </w:hyperlink>
      <w:r>
        <w:t xml:space="preserve">, </w:t>
      </w:r>
      <w:hyperlink w:anchor="k33">
        <w:r w:rsidR="001F7233">
          <w:rPr>
            <w:color w:val="0563C1"/>
            <w:u w:val="single"/>
          </w:rPr>
          <w:t>Kapitel 33</w:t>
        </w:r>
      </w:hyperlink>
      <w:r>
        <w:t>)</w:t>
      </w:r>
    </w:p>
    <w:p w14:paraId="26155847" w14:textId="77777777" w:rsidR="001F7233" w:rsidRDefault="00000000">
      <w:pPr>
        <w:tabs>
          <w:tab w:val="left" w:pos="400"/>
        </w:tabs>
        <w:spacing w:after="60"/>
        <w:ind w:left="400" w:hanging="330"/>
      </w:pPr>
      <w:r>
        <w:t>• Nach jedem netten Gespräch binnen drei Tagen zwei konkrete Terminvorschläge gesendet; Einladungen binnen zwei Tagen beantwortet (</w:t>
      </w:r>
      <w:hyperlink w:anchor="k31">
        <w:r w:rsidR="001F7233">
          <w:rPr>
            <w:color w:val="0563C1"/>
            <w:u w:val="single"/>
          </w:rPr>
          <w:t>Kapitel 31</w:t>
        </w:r>
      </w:hyperlink>
      <w:r>
        <w:t xml:space="preserve">, </w:t>
      </w:r>
      <w:hyperlink w:anchor="k32">
        <w:r w:rsidR="001F7233">
          <w:rPr>
            <w:color w:val="0563C1"/>
            <w:u w:val="single"/>
          </w:rPr>
          <w:t>Kapitel 32</w:t>
        </w:r>
      </w:hyperlink>
      <w:r>
        <w:t>)</w:t>
      </w:r>
    </w:p>
    <w:p w14:paraId="1BE867D9" w14:textId="77777777" w:rsidR="001F7233" w:rsidRDefault="00000000">
      <w:pPr>
        <w:tabs>
          <w:tab w:val="left" w:pos="400"/>
        </w:tabs>
        <w:spacing w:after="60"/>
        <w:ind w:left="400" w:hanging="330"/>
      </w:pPr>
      <w:r>
        <w:t>• Beim Arbeitgeber nach Employee Resource Groups gefragt; im Job wöchentliche 1:1-Gespräche genutzt und Erfolge für das Review festgehalten (</w:t>
      </w:r>
      <w:hyperlink w:anchor="k29">
        <w:r w:rsidR="001F7233">
          <w:rPr>
            <w:color w:val="0563C1"/>
            <w:u w:val="single"/>
          </w:rPr>
          <w:t>Kapitel 29</w:t>
        </w:r>
      </w:hyperlink>
      <w:r>
        <w:t xml:space="preserve">, </w:t>
      </w:r>
      <w:hyperlink w:anchor="k32">
        <w:r w:rsidR="001F7233">
          <w:rPr>
            <w:color w:val="0563C1"/>
            <w:u w:val="single"/>
          </w:rPr>
          <w:t>Kapitel 32</w:t>
        </w:r>
      </w:hyperlink>
      <w:r>
        <w:t>)</w:t>
      </w:r>
    </w:p>
    <w:p w14:paraId="3DE4B152" w14:textId="77777777" w:rsidR="001F7233" w:rsidRDefault="00000000">
      <w:pPr>
        <w:tabs>
          <w:tab w:val="left" w:pos="400"/>
        </w:tabs>
        <w:spacing w:after="60"/>
        <w:ind w:left="400" w:hanging="330"/>
      </w:pPr>
      <w:r>
        <w:t>• EAP-Leistungen des Arbeitgebers erfragt, deutschsprachige Therapeutin oder Therapeut vorgemerkt, 988 in den Kontakten gespeichert (</w:t>
      </w:r>
      <w:hyperlink w:anchor="k33">
        <w:r w:rsidR="001F7233">
          <w:rPr>
            <w:color w:val="0563C1"/>
            <w:u w:val="single"/>
          </w:rPr>
          <w:t>Kapitel 33</w:t>
        </w:r>
      </w:hyperlink>
      <w:r>
        <w:t>)</w:t>
      </w:r>
    </w:p>
    <w:p w14:paraId="09736731" w14:textId="77777777" w:rsidR="001F7233" w:rsidRDefault="00000000">
      <w:pPr>
        <w:tabs>
          <w:tab w:val="left" w:pos="400"/>
        </w:tabs>
        <w:spacing w:after="60"/>
        <w:ind w:left="400" w:hanging="330"/>
      </w:pPr>
      <w:r>
        <w:t>• Nach drei Monaten mit der Familie Bilanz gezogen: Welche Gruppen und Routinen funktionieren, welche nicht? (</w:t>
      </w:r>
      <w:hyperlink w:anchor="k32">
        <w:r w:rsidR="001F7233">
          <w:rPr>
            <w:color w:val="0563C1"/>
            <w:u w:val="single"/>
          </w:rPr>
          <w:t>Kapitel 32</w:t>
        </w:r>
      </w:hyperlink>
      <w:r>
        <w:t>)</w:t>
      </w:r>
    </w:p>
    <w:p w14:paraId="2B4A7275" w14:textId="77777777" w:rsidR="001F7233" w:rsidRDefault="00000000">
      <w:pPr>
        <w:tabs>
          <w:tab w:val="left" w:pos="400"/>
        </w:tabs>
        <w:spacing w:after="60"/>
        <w:ind w:left="400" w:hanging="330"/>
      </w:pPr>
      <w:r>
        <w:t>• Rituale mit Freunden und Familie in Deutschland vereinbart, Heimatbesuche zu Feiertagen früh gebucht (</w:t>
      </w:r>
      <w:hyperlink w:anchor="k32">
        <w:r w:rsidR="001F7233">
          <w:rPr>
            <w:color w:val="0563C1"/>
            <w:u w:val="single"/>
          </w:rPr>
          <w:t>Kapitel 32</w:t>
        </w:r>
      </w:hyperlink>
      <w:r>
        <w:t xml:space="preserve">, </w:t>
      </w:r>
      <w:hyperlink w:anchor="k33">
        <w:r w:rsidR="001F7233">
          <w:rPr>
            <w:color w:val="0563C1"/>
            <w:u w:val="single"/>
          </w:rPr>
          <w:t>Kapitel 33</w:t>
        </w:r>
      </w:hyperlink>
      <w:r>
        <w:t>)</w:t>
      </w:r>
    </w:p>
    <w:p w14:paraId="6215BA0F" w14:textId="77777777" w:rsidR="001F7233" w:rsidRDefault="00000000">
      <w:pPr>
        <w:tabs>
          <w:tab w:val="left" w:pos="400"/>
        </w:tabs>
        <w:spacing w:after="60"/>
        <w:ind w:left="400" w:hanging="330"/>
      </w:pPr>
      <w:r>
        <w:t>• Mindestens den vollen 401(k)-Match eingezahlt, HSA bei Hochselbstbehalt-Tarif eröffnet (</w:t>
      </w:r>
      <w:hyperlink w:anchor="k29">
        <w:r w:rsidR="001F7233">
          <w:rPr>
            <w:color w:val="0563C1"/>
            <w:u w:val="single"/>
          </w:rPr>
          <w:t>Kapitel 29</w:t>
        </w:r>
      </w:hyperlink>
      <w:r>
        <w:t xml:space="preserve">, </w:t>
      </w:r>
      <w:hyperlink w:anchor="k39">
        <w:r w:rsidR="001F7233">
          <w:rPr>
            <w:color w:val="0563C1"/>
            <w:u w:val="single"/>
          </w:rPr>
          <w:t>Kapitel 39</w:t>
        </w:r>
      </w:hyperlink>
      <w:r>
        <w:t>)</w:t>
      </w:r>
    </w:p>
    <w:p w14:paraId="768FBD31" w14:textId="77777777" w:rsidR="001F7233" w:rsidRDefault="00000000">
      <w:pPr>
        <w:tabs>
          <w:tab w:val="left" w:pos="400"/>
        </w:tabs>
        <w:spacing w:after="60"/>
        <w:ind w:left="400" w:hanging="330"/>
      </w:pPr>
      <w:r>
        <w:t>• US-Testament mit Vormundschaftsklausel, finanzielle Vollmacht und Patientenverfügung nach dem Recht des Bundesstaats aufgesetzt; Begünstigte bei den Konten eingetragen (</w:t>
      </w:r>
      <w:hyperlink w:anchor="k39">
        <w:r w:rsidR="001F7233">
          <w:rPr>
            <w:color w:val="0563C1"/>
            <w:u w:val="single"/>
          </w:rPr>
          <w:t>Kapitel 39</w:t>
        </w:r>
      </w:hyperlink>
      <w:r>
        <w:t>)</w:t>
      </w:r>
    </w:p>
    <w:p w14:paraId="035A08A6" w14:textId="77777777" w:rsidR="001F7233" w:rsidRDefault="00000000">
      <w:pPr>
        <w:tabs>
          <w:tab w:val="left" w:pos="400"/>
        </w:tabs>
        <w:spacing w:after="60"/>
        <w:ind w:left="400" w:hanging="330"/>
      </w:pPr>
      <w:r>
        <w:t>• Jede Arztrechnung erst nach Abgleich mit der EOB gezahlt, Belege abgeheftet (</w:t>
      </w:r>
      <w:hyperlink w:anchor="k26">
        <w:r w:rsidR="001F7233">
          <w:rPr>
            <w:color w:val="0563C1"/>
            <w:u w:val="single"/>
          </w:rPr>
          <w:t>Kapitel 26</w:t>
        </w:r>
      </w:hyperlink>
      <w:r>
        <w:t>)</w:t>
      </w:r>
    </w:p>
    <w:p w14:paraId="300A87EC" w14:textId="77777777" w:rsidR="001F7233" w:rsidRDefault="00000000">
      <w:pPr>
        <w:tabs>
          <w:tab w:val="left" w:pos="400"/>
        </w:tabs>
        <w:spacing w:after="60"/>
        <w:ind w:left="400" w:hanging="330"/>
      </w:pPr>
      <w:r>
        <w:t>• Ab dem ersten Tag einen Kalender mit Ein- und Ausreisen geführt; Rücklage für eine mögliche Steuernachzahlung im ersten April gebildet (</w:t>
      </w:r>
      <w:hyperlink w:anchor="k6">
        <w:r w:rsidR="001F7233">
          <w:rPr>
            <w:color w:val="0563C1"/>
            <w:u w:val="single"/>
          </w:rPr>
          <w:t>Kapitel 6</w:t>
        </w:r>
      </w:hyperlink>
      <w:r>
        <w:t xml:space="preserve">, </w:t>
      </w:r>
      <w:hyperlink w:anchor="k28">
        <w:r w:rsidR="001F7233">
          <w:rPr>
            <w:color w:val="0563C1"/>
            <w:u w:val="single"/>
          </w:rPr>
          <w:t>Kapitel 28</w:t>
        </w:r>
      </w:hyperlink>
      <w:r>
        <w:t xml:space="preserve">, </w:t>
      </w:r>
      <w:hyperlink w:anchor="k41">
        <w:r w:rsidR="001F7233">
          <w:rPr>
            <w:color w:val="0563C1"/>
            <w:u w:val="single"/>
          </w:rPr>
          <w:t>Kapitel 41</w:t>
        </w:r>
      </w:hyperlink>
      <w:r>
        <w:t>)</w:t>
      </w:r>
    </w:p>
    <w:p w14:paraId="1F0D2461" w14:textId="77777777" w:rsidR="001F7233" w:rsidRDefault="00000000">
      <w:pPr>
        <w:tabs>
          <w:tab w:val="left" w:pos="400"/>
        </w:tabs>
        <w:spacing w:after="60"/>
        <w:ind w:left="400" w:hanging="330"/>
      </w:pPr>
      <w:r>
        <w:t>• Steuerexperten (CPA oder EA) mit Auslandserfahrung gebucht; FBAR-Frist (15. April, automatisch 15. Oktober) im Kalender notiert (</w:t>
      </w:r>
      <w:hyperlink w:anchor="k17">
        <w:r w:rsidR="001F7233">
          <w:rPr>
            <w:color w:val="0563C1"/>
            <w:u w:val="single"/>
          </w:rPr>
          <w:t>Kapitel 17</w:t>
        </w:r>
      </w:hyperlink>
      <w:r>
        <w:t xml:space="preserve">, </w:t>
      </w:r>
      <w:hyperlink w:anchor="k28">
        <w:r w:rsidR="001F7233">
          <w:rPr>
            <w:color w:val="0563C1"/>
            <w:u w:val="single"/>
          </w:rPr>
          <w:t>Kapitel 28</w:t>
        </w:r>
      </w:hyperlink>
      <w:r>
        <w:t>)</w:t>
      </w:r>
    </w:p>
    <w:p w14:paraId="56396731" w14:textId="77777777" w:rsidR="001F7233" w:rsidRDefault="00000000">
      <w:pPr>
        <w:tabs>
          <w:tab w:val="left" w:pos="400"/>
        </w:tabs>
        <w:spacing w:after="60"/>
        <w:ind w:left="400" w:hanging="330"/>
      </w:pPr>
      <w:r>
        <w:lastRenderedPageBreak/>
        <w:t>• Nach jedem Umzug innerhalb der USA binnen zehn Tagen die Adressänderung AR-11 online eingereicht (</w:t>
      </w:r>
      <w:hyperlink w:anchor="k6">
        <w:r w:rsidR="001F7233">
          <w:rPr>
            <w:color w:val="0563C1"/>
            <w:u w:val="single"/>
          </w:rPr>
          <w:t>Kapitel 6</w:t>
        </w:r>
      </w:hyperlink>
      <w:r>
        <w:t xml:space="preserve">, </w:t>
      </w:r>
      <w:hyperlink w:anchor="k10">
        <w:r w:rsidR="001F7233">
          <w:rPr>
            <w:color w:val="0563C1"/>
            <w:u w:val="single"/>
          </w:rPr>
          <w:t>Kapitel 10</w:t>
        </w:r>
      </w:hyperlink>
      <w:r>
        <w:t xml:space="preserve">, </w:t>
      </w:r>
      <w:hyperlink w:anchor="k30">
        <w:r w:rsidR="001F7233">
          <w:rPr>
            <w:color w:val="0563C1"/>
            <w:u w:val="single"/>
          </w:rPr>
          <w:t>Kapitel 30</w:t>
        </w:r>
      </w:hyperlink>
      <w:r>
        <w:t xml:space="preserve">, </w:t>
      </w:r>
      <w:hyperlink w:anchor="k40">
        <w:r w:rsidR="001F7233">
          <w:rPr>
            <w:color w:val="0563C1"/>
            <w:u w:val="single"/>
          </w:rPr>
          <w:t>Kapitel 40</w:t>
        </w:r>
      </w:hyperlink>
      <w:r>
        <w:t>)</w:t>
      </w:r>
    </w:p>
    <w:p w14:paraId="7338A75A" w14:textId="77777777" w:rsidR="001F7233" w:rsidRDefault="00000000">
      <w:pPr>
        <w:tabs>
          <w:tab w:val="left" w:pos="400"/>
        </w:tabs>
        <w:spacing w:after="60"/>
        <w:ind w:left="400" w:hanging="330"/>
      </w:pPr>
      <w:r>
        <w:t>• Bei Jobverlust: 60 Tage ab letztem Arbeitstag und die COBRA-Fristen notiert, eigenen Einwanderungsanwalt griffbereit (</w:t>
      </w:r>
      <w:hyperlink w:anchor="k26">
        <w:r w:rsidR="001F7233">
          <w:rPr>
            <w:color w:val="0563C1"/>
            <w:u w:val="single"/>
          </w:rPr>
          <w:t>Kapitel 26</w:t>
        </w:r>
      </w:hyperlink>
      <w:r>
        <w:t xml:space="preserve">, </w:t>
      </w:r>
      <w:hyperlink w:anchor="k30">
        <w:r w:rsidR="001F7233">
          <w:rPr>
            <w:color w:val="0563C1"/>
            <w:u w:val="single"/>
          </w:rPr>
          <w:t>Kapitel 30</w:t>
        </w:r>
      </w:hyperlink>
      <w:r>
        <w:t>)</w:t>
      </w:r>
    </w:p>
    <w:p w14:paraId="5F791EC1" w14:textId="77777777" w:rsidR="001F7233" w:rsidRDefault="00000000">
      <w:pPr>
        <w:tabs>
          <w:tab w:val="left" w:pos="400"/>
        </w:tabs>
        <w:spacing w:after="60"/>
        <w:ind w:left="400" w:hanging="330"/>
      </w:pPr>
      <w:r>
        <w:t>• Wetterwarnungen aktiviert, Notvorrat angelegt, Codewort mit den Eltern in Deutschland gegen Schockanrufe vereinbart (</w:t>
      </w:r>
      <w:hyperlink w:anchor="k40">
        <w:r w:rsidR="001F7233">
          <w:rPr>
            <w:color w:val="0563C1"/>
            <w:u w:val="single"/>
          </w:rPr>
          <w:t>Kapitel 40</w:t>
        </w:r>
      </w:hyperlink>
      <w:r>
        <w:t>)</w:t>
      </w:r>
    </w:p>
    <w:p w14:paraId="449DC414" w14:textId="77777777" w:rsidR="001F7233" w:rsidRDefault="00000000">
      <w:pPr>
        <w:tabs>
          <w:tab w:val="left" w:pos="400"/>
        </w:tabs>
        <w:spacing w:after="60"/>
        <w:ind w:left="400" w:hanging="330"/>
      </w:pPr>
      <w:r>
        <w:t>• Bibliotheksausweis geholt, Familienregel für Deutsch und ein tägliches Vorleseritual festgelegt; Samstags- oder Immersionsschule recherchiert (</w:t>
      </w:r>
      <w:hyperlink w:anchor="k37">
        <w:r w:rsidR="001F7233">
          <w:rPr>
            <w:color w:val="0563C1"/>
            <w:u w:val="single"/>
          </w:rPr>
          <w:t>Kapitel 37</w:t>
        </w:r>
      </w:hyperlink>
      <w:r>
        <w:t>)</w:t>
      </w:r>
    </w:p>
    <w:p w14:paraId="737817AB" w14:textId="77777777" w:rsidR="001F7233" w:rsidRDefault="00000000">
      <w:pPr>
        <w:tabs>
          <w:tab w:val="left" w:pos="400"/>
        </w:tabs>
        <w:spacing w:after="60"/>
        <w:ind w:left="400" w:hanging="330"/>
      </w:pPr>
      <w:r>
        <w:t>• Costco-Mitgliedschaft geprüft, Ersatz für Brot, Wurst und Käse gefunden (</w:t>
      </w:r>
      <w:hyperlink w:anchor="k35">
        <w:r w:rsidR="001F7233">
          <w:rPr>
            <w:color w:val="0563C1"/>
            <w:u w:val="single"/>
          </w:rPr>
          <w:t>Kapitel 35</w:t>
        </w:r>
      </w:hyperlink>
      <w:r>
        <w:t>)</w:t>
      </w:r>
    </w:p>
    <w:p w14:paraId="6130E43E" w14:textId="77777777" w:rsidR="001F7233" w:rsidRDefault="00000000">
      <w:pPr>
        <w:tabs>
          <w:tab w:val="left" w:pos="400"/>
        </w:tabs>
        <w:spacing w:after="60"/>
        <w:ind w:left="400" w:hanging="330"/>
      </w:pPr>
      <w:r>
        <w:t>• Winterjacke, gute Schuhe und Business-Kleidung nach Bedarf besorgt statt in Mengen mitgenommen (</w:t>
      </w:r>
      <w:hyperlink w:anchor="k34">
        <w:r w:rsidR="001F7233">
          <w:rPr>
            <w:color w:val="0563C1"/>
            <w:u w:val="single"/>
          </w:rPr>
          <w:t>Kapitel 34</w:t>
        </w:r>
      </w:hyperlink>
      <w:r>
        <w:t>)</w:t>
      </w:r>
    </w:p>
    <w:p w14:paraId="2BB118BC" w14:textId="77777777" w:rsidR="001F7233" w:rsidRDefault="00000000">
      <w:pPr>
        <w:tabs>
          <w:tab w:val="left" w:pos="400"/>
        </w:tabs>
        <w:spacing w:after="60"/>
        <w:ind w:left="400" w:hanging="330"/>
      </w:pPr>
      <w:r>
        <w:t>• Bei Kindern: Betreuungsplatz, Sommerbetreuung oder Credits mit dem Counselor geklärt; bei Teenagern Führerscheinregeln und ein Versicherungsangebot vor dem 16. Geburtstag eingeholt (</w:t>
      </w:r>
      <w:hyperlink w:anchor="k38">
        <w:r w:rsidR="001F7233">
          <w:rPr>
            <w:color w:val="0563C1"/>
            <w:u w:val="single"/>
          </w:rPr>
          <w:t>Kapitel 38</w:t>
        </w:r>
      </w:hyperlink>
      <w:r>
        <w:t>)</w:t>
      </w:r>
    </w:p>
    <w:p w14:paraId="440EA197" w14:textId="77777777" w:rsidR="001F7233" w:rsidRDefault="00000000">
      <w:pPr>
        <w:tabs>
          <w:tab w:val="left" w:pos="400"/>
        </w:tabs>
        <w:spacing w:after="60"/>
        <w:ind w:left="400" w:hanging="330"/>
      </w:pPr>
      <w:r>
        <w:t>• GKV- oder PKV-Anwartschaft sowie die Rentenanwartschaft in Deutschland im Blick behalten, falls eine Rückkehr später infrage kommt (</w:t>
      </w:r>
      <w:hyperlink w:anchor="k17">
        <w:r w:rsidR="001F7233">
          <w:rPr>
            <w:color w:val="0563C1"/>
            <w:u w:val="single"/>
          </w:rPr>
          <w:t>Kapitel 17</w:t>
        </w:r>
      </w:hyperlink>
      <w:r>
        <w:t xml:space="preserve">, </w:t>
      </w:r>
      <w:hyperlink w:anchor="k42">
        <w:r w:rsidR="001F7233">
          <w:rPr>
            <w:color w:val="0563C1"/>
            <w:u w:val="single"/>
          </w:rPr>
          <w:t>Kapitel 42</w:t>
        </w:r>
      </w:hyperlink>
      <w:r>
        <w:t>)</w:t>
      </w:r>
    </w:p>
    <w:p w14:paraId="0059E7AA" w14:textId="77777777" w:rsidR="001F7233" w:rsidRDefault="00000000">
      <w:pPr>
        <w:tabs>
          <w:tab w:val="left" w:pos="400"/>
        </w:tabs>
        <w:spacing w:after="60"/>
        <w:ind w:left="400" w:hanging="330"/>
      </w:pPr>
      <w:r>
        <w:t>• Datum „Resident Since“ auf der Green Card notiert, um den frühesten Termin für Einbürgerung oder Reentry Permit später zu kennen (</w:t>
      </w:r>
      <w:hyperlink w:anchor="k41">
        <w:r w:rsidR="001F7233">
          <w:rPr>
            <w:color w:val="0563C1"/>
            <w:u w:val="single"/>
          </w:rPr>
          <w:t>Kapitel 41</w:t>
        </w:r>
      </w:hyperlink>
      <w:r>
        <w:t>)</w:t>
      </w:r>
    </w:p>
    <w:p w14:paraId="14191504" w14:textId="77777777" w:rsidR="001F7233" w:rsidRDefault="001F7233">
      <w:pPr>
        <w:spacing w:line="120" w:lineRule="exact"/>
      </w:pPr>
    </w:p>
    <w:p w14:paraId="2147ED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w:t>
      </w:r>
    </w:p>
    <w:p w14:paraId="5F5D2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13634B47" w14:textId="77777777" w:rsidR="001F7233" w:rsidRDefault="00000000">
      <w:pPr>
        <w:tabs>
          <w:tab w:val="left" w:pos="400"/>
        </w:tabs>
        <w:spacing w:after="60"/>
        <w:ind w:left="400" w:hanging="330"/>
      </w:pPr>
      <w:r>
        <w:t>• Eigenen Express-Entry-CRS-Score überschlägig berechnet und mit den aktuellen Einladungsgrenzen verglichen (Kanada: Einwanderungswege)</w:t>
      </w:r>
    </w:p>
    <w:p w14:paraId="634B9751" w14:textId="77777777" w:rsidR="001F7233" w:rsidRDefault="00000000">
      <w:pPr>
        <w:tabs>
          <w:tab w:val="left" w:pos="400"/>
        </w:tabs>
        <w:spacing w:after="60"/>
        <w:ind w:left="400" w:hanging="330"/>
      </w:pPr>
      <w:r>
        <w:t>• Bei geschütztem Beruf das Kapitel Anerkennung deutscher Berufsabschlüsse gelesen und die Provinzkammer geöffnet, nicht nur die ECA (Kanada: Anerkennung).</w:t>
      </w:r>
    </w:p>
    <w:p w14:paraId="65F8E4ED" w14:textId="77777777" w:rsidR="001F7233" w:rsidRDefault="00000000">
      <w:pPr>
        <w:tabs>
          <w:tab w:val="left" w:pos="400"/>
        </w:tabs>
        <w:spacing w:after="60"/>
        <w:ind w:left="400" w:hanging="330"/>
      </w:pPr>
      <w:r>
        <w:t>• Provincial Nominee Program (PNP) der bevorzugten Provinz oder Provinzen auf die aktuellen Kriterien geprüft (Kanada: Einwanderungswege).</w:t>
      </w:r>
    </w:p>
    <w:p w14:paraId="18734486" w14:textId="77777777" w:rsidR="001F7233" w:rsidRDefault="00000000">
      <w:pPr>
        <w:tabs>
          <w:tab w:val="left" w:pos="400"/>
        </w:tabs>
        <w:spacing w:after="60"/>
        <w:ind w:left="400" w:hanging="330"/>
      </w:pPr>
      <w:r>
        <w:t>• Geprüft, ob ein arbeitgebergesponsertes, LMIA-pflichtiges oder LMIA-freies Arbeitsvisum als schnellerer Weg infrage kommt (Kanada: Arbeitsweg)</w:t>
      </w:r>
    </w:p>
    <w:p w14:paraId="191875CA" w14:textId="77777777" w:rsidR="001F7233" w:rsidRDefault="001F7233">
      <w:pPr>
        <w:spacing w:line="120" w:lineRule="exact"/>
      </w:pPr>
    </w:p>
    <w:p w14:paraId="5A6B87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6A2E6792" w14:textId="77777777" w:rsidR="001F7233" w:rsidRDefault="00000000">
      <w:pPr>
        <w:tabs>
          <w:tab w:val="left" w:pos="400"/>
        </w:tabs>
        <w:spacing w:after="60"/>
        <w:ind w:left="400" w:hanging="330"/>
      </w:pPr>
      <w:r>
        <w:t>• Sprachtest (CELPIP oder IELTS) gebucht und die eigene CLB-Stufe realistisch eingeschätzt (Kanada: Arbeitsweg)</w:t>
      </w:r>
    </w:p>
    <w:p w14:paraId="11484726" w14:textId="77777777" w:rsidR="001F7233" w:rsidRDefault="00000000">
      <w:pPr>
        <w:tabs>
          <w:tab w:val="left" w:pos="400"/>
        </w:tabs>
        <w:spacing w:after="60"/>
        <w:ind w:left="400" w:hanging="330"/>
      </w:pPr>
      <w:r>
        <w:t>• Bildungsbewertung (Educational Credential Assessment, ECA) für den eigenen Abschluss bei einer anerkannten Stelle beauftragt (Kanada: Einwanderungswege)</w:t>
      </w:r>
    </w:p>
    <w:p w14:paraId="1CDE40FE" w14:textId="77777777" w:rsidR="001F7233" w:rsidRDefault="00000000">
      <w:pPr>
        <w:tabs>
          <w:tab w:val="left" w:pos="400"/>
        </w:tabs>
        <w:spacing w:after="60"/>
        <w:ind w:left="400" w:hanging="330"/>
      </w:pPr>
      <w:r>
        <w:t>• IRCC-Kundenkonto angelegt, Gesamtkosten inklusive der separaten Right-of-PR-Gebühr (600 CAD pro Erwachsenem) realistisch kalkuliert (Kanada: Antrag/Konsulat)</w:t>
      </w:r>
    </w:p>
    <w:p w14:paraId="15700EFE" w14:textId="77777777" w:rsidR="001F7233" w:rsidRDefault="00000000">
      <w:pPr>
        <w:tabs>
          <w:tab w:val="left" w:pos="400"/>
        </w:tabs>
        <w:spacing w:after="60"/>
        <w:ind w:left="400" w:hanging="330"/>
      </w:pPr>
      <w:r>
        <w:lastRenderedPageBreak/>
        <w:t>• Führungszeugnis beim Bundesamt für Justiz beantragt. Für Kanada meist ohne Apostille, bei Ausstellung vor Februar 2019 aber beglaubigte Übersetzung eingeplant (Kanada: Antrag/Konsulat).</w:t>
      </w:r>
    </w:p>
    <w:p w14:paraId="06FBDB07" w14:textId="77777777" w:rsidR="001F7233" w:rsidRDefault="00000000">
      <w:pPr>
        <w:tabs>
          <w:tab w:val="left" w:pos="400"/>
        </w:tabs>
        <w:spacing w:after="60"/>
        <w:ind w:left="400" w:hanging="330"/>
      </w:pPr>
      <w:r>
        <w:t>• Termin bei einem IRCC-zugelassenen Panel Physician für die Gesundheitsuntersuchung gebucht (Kanada: Antrag/Konsulat)</w:t>
      </w:r>
    </w:p>
    <w:p w14:paraId="070E4A3A" w14:textId="77777777" w:rsidR="001F7233" w:rsidRDefault="00000000">
      <w:pPr>
        <w:tabs>
          <w:tab w:val="left" w:pos="400"/>
        </w:tabs>
        <w:spacing w:after="60"/>
        <w:ind w:left="400" w:hanging="330"/>
      </w:pPr>
      <w:r>
        <w:t>• Termin bei VFS Global Berlin für Biometrie (Fingerabdrücke, Foto) gebucht, sobald IRCC dazu auffordert (Kanada: Antrag/Konsulat)</w:t>
      </w:r>
    </w:p>
    <w:p w14:paraId="4A424CC4" w14:textId="77777777" w:rsidR="001F7233" w:rsidRDefault="00000000">
      <w:pPr>
        <w:tabs>
          <w:tab w:val="left" w:pos="400"/>
        </w:tabs>
        <w:spacing w:after="60"/>
        <w:ind w:left="400" w:hanging="330"/>
      </w:pPr>
      <w:r>
        <w:t>• Bei Hund oder Katze: CFIA-Wegweiser für Alter, Begleitung und Herkunftsland durchgeklickt. Tollwutzeugnis auf Englisch oder Französisch eingeplant, keine Quarantäne mit Australien oder Neuseeland verwechselt (Kanada: Ankunft).</w:t>
      </w:r>
    </w:p>
    <w:p w14:paraId="6C87CFCB" w14:textId="77777777" w:rsidR="001F7233" w:rsidRDefault="001F7233">
      <w:pPr>
        <w:spacing w:line="120" w:lineRule="exact"/>
      </w:pPr>
    </w:p>
    <w:p w14:paraId="313BA1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57B7FD2A" w14:textId="77777777" w:rsidR="001F7233" w:rsidRDefault="00000000">
      <w:pPr>
        <w:tabs>
          <w:tab w:val="left" w:pos="400"/>
        </w:tabs>
        <w:spacing w:after="60"/>
        <w:ind w:left="400" w:hanging="330"/>
      </w:pPr>
      <w:r>
        <w:t>• Newcomer-Bankpaket einer der fünf großen Banken (RBC, TD, Scotiabank, BMO, CIBC) verglichen und die Kontoeröffnung, wo möglich, schon von Deutschland aus online vorbereitet (Kanada: Ankunft).</w:t>
      </w:r>
    </w:p>
    <w:p w14:paraId="48780E9F" w14:textId="77777777" w:rsidR="001F7233" w:rsidRDefault="00000000">
      <w:pPr>
        <w:tabs>
          <w:tab w:val="left" w:pos="400"/>
        </w:tabs>
        <w:spacing w:after="60"/>
        <w:ind w:left="400" w:hanging="330"/>
      </w:pPr>
      <w:r>
        <w:t>• Wartefrist der Provinz-Krankenversicherung am Zielort geprüft: Ontario ohne Wartefrist, British Columbia und Québec mit rund drei Monaten. Bei Wartefrist eine private Übergangsversicherung (grob 100–200 CAD pro Person und Monat) mit Beginn zum Ankunftstag abgeschlossen (Kanada: Gesundheitssystem).</w:t>
      </w:r>
    </w:p>
    <w:p w14:paraId="40D5C5D9" w14:textId="77777777" w:rsidR="001F7233" w:rsidRDefault="00000000">
      <w:pPr>
        <w:tabs>
          <w:tab w:val="left" w:pos="400"/>
        </w:tabs>
        <w:spacing w:after="60"/>
        <w:ind w:left="400" w:hanging="330"/>
      </w:pPr>
      <w:r>
        <w:t>• Führerschein-Umtauschfrist der Zielprovinz bestätigt (Ontario 60 Tage, British Columbia 90 Tage, Québec 6 Monate) (Kanada: Führerschein/Auto)</w:t>
      </w:r>
    </w:p>
    <w:p w14:paraId="6413F8BC" w14:textId="77777777" w:rsidR="001F7233" w:rsidRDefault="00000000">
      <w:pPr>
        <w:tabs>
          <w:tab w:val="left" w:pos="400"/>
        </w:tabs>
        <w:spacing w:after="60"/>
        <w:ind w:left="400" w:hanging="330"/>
      </w:pPr>
      <w:r>
        <w:t xml:space="preserve">• Mindestens drei Kfz-Versicherungsangebote mit gleicher Deckung für die Zielprovinz eingeholt und nach Anrechnung der </w:t>
      </w:r>
      <w:r>
        <w:lastRenderedPageBreak/>
        <w:t>deutschen Schadenfreiheitsbescheinigung gefragt (Kanada: Führerschein/Auto).</w:t>
      </w:r>
    </w:p>
    <w:p w14:paraId="6D3A3B81" w14:textId="77777777" w:rsidR="001F7233" w:rsidRDefault="00000000">
      <w:pPr>
        <w:tabs>
          <w:tab w:val="left" w:pos="400"/>
        </w:tabs>
        <w:spacing w:after="60"/>
        <w:ind w:left="400" w:hanging="330"/>
      </w:pPr>
      <w:r>
        <w:t>• Bei Kindern: Betreuungsplatz und Schulzuordnung beim passenden School Board Monate vor dem Umzug angefragt (Kanada: Kinder/Schule)</w:t>
      </w:r>
    </w:p>
    <w:p w14:paraId="6E09C3B0" w14:textId="77777777" w:rsidR="001F7233" w:rsidRDefault="00000000">
      <w:pPr>
        <w:tabs>
          <w:tab w:val="left" w:pos="400"/>
        </w:tabs>
        <w:spacing w:after="60"/>
        <w:ind w:left="400" w:hanging="330"/>
      </w:pPr>
      <w:r>
        <w:t>• Bei Kaufabsicht: eigener Aufenthaltsstatus gegen das bundesweite Kaufverbot für Nicht-Kanadier und provinzielle Foreign-Buyer-Steuern (in Toronto bis zu 35 %) abgeglichen (Kanada: Wohnen).</w:t>
      </w:r>
    </w:p>
    <w:p w14:paraId="07A532A6" w14:textId="77777777" w:rsidR="001F7233" w:rsidRDefault="00000000">
      <w:pPr>
        <w:tabs>
          <w:tab w:val="left" w:pos="400"/>
        </w:tabs>
        <w:spacing w:after="60"/>
        <w:ind w:left="400" w:hanging="330"/>
      </w:pPr>
      <w:r>
        <w:t>• Umzugsgut für die CBSA gelistet: persönliches, schon genutztes Gut nach den Regeln für settlers’ effects. Lebensmittel, Pflanzen und Holz extra geprüft; Pässe und COPR nicht in den Container (Kanada: Ankunft).</w:t>
      </w:r>
    </w:p>
    <w:p w14:paraId="6794B995" w14:textId="77777777" w:rsidR="001F7233" w:rsidRDefault="001F7233">
      <w:pPr>
        <w:spacing w:line="120" w:lineRule="exact"/>
      </w:pPr>
    </w:p>
    <w:p w14:paraId="4FA07A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A8B0D07" w14:textId="77777777" w:rsidR="001F7233" w:rsidRDefault="00000000">
      <w:pPr>
        <w:tabs>
          <w:tab w:val="left" w:pos="400"/>
        </w:tabs>
        <w:spacing w:after="60"/>
        <w:ind w:left="400" w:hanging="330"/>
      </w:pPr>
      <w:r>
        <w:t>• eSIM mit Kanada-Datenpaket eingerichtet oder Prepaid-SIM-Kauf am Zielort vorbereitet, deutsche Nummer als Zweit-SIM behalten (Kanada: Ankunft)</w:t>
      </w:r>
    </w:p>
    <w:p w14:paraId="237FA527" w14:textId="77777777" w:rsidR="001F7233" w:rsidRDefault="00000000">
      <w:pPr>
        <w:tabs>
          <w:tab w:val="left" w:pos="400"/>
        </w:tabs>
        <w:spacing w:after="60"/>
        <w:ind w:left="400" w:hanging="330"/>
      </w:pPr>
      <w:r>
        <w:t>• Übergangsunterkunft mit kostenloser Stornierung für die ersten ein bis zwei Wochen gebucht (Kanada: Ankunft)</w:t>
      </w:r>
    </w:p>
    <w:p w14:paraId="72EF9A50" w14:textId="77777777" w:rsidR="001F7233" w:rsidRDefault="00000000">
      <w:pPr>
        <w:tabs>
          <w:tab w:val="left" w:pos="400"/>
        </w:tabs>
        <w:spacing w:after="60"/>
        <w:ind w:left="400" w:hanging="330"/>
      </w:pPr>
      <w:r>
        <w:t>• Confirmation of Permanent Residence (COPR) oder Visumsbestätigung, Genehmigungsschreiben des Arbeitgebers und Ergebnis der Gesundheitsuntersuchung im Handgepäck verstaut, nicht im Container (Kanada: Ankunft).</w:t>
      </w:r>
    </w:p>
    <w:p w14:paraId="6CFFE466" w14:textId="77777777" w:rsidR="001F7233" w:rsidRDefault="00000000">
      <w:pPr>
        <w:tabs>
          <w:tab w:val="left" w:pos="400"/>
        </w:tabs>
        <w:spacing w:after="60"/>
        <w:ind w:left="400" w:hanging="330"/>
      </w:pPr>
      <w:r>
        <w:t>• Bei Zielort Québec: Französischkurs begonnen, da Bill 96 Neuankömmlingen nur sechs Monate Übergangsfrist für Behördenkontakt auf Englisch lässt (Kanada: Alltagskultur)</w:t>
      </w:r>
    </w:p>
    <w:p w14:paraId="2FEA0847" w14:textId="77777777" w:rsidR="001F7233" w:rsidRDefault="001F7233">
      <w:pPr>
        <w:spacing w:line="120" w:lineRule="exact"/>
      </w:pPr>
    </w:p>
    <w:p w14:paraId="404C62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30 Tage in Kanada</w:t>
      </w:r>
    </w:p>
    <w:p w14:paraId="4D7C4E2E" w14:textId="77777777" w:rsidR="001F7233" w:rsidRDefault="00000000">
      <w:pPr>
        <w:tabs>
          <w:tab w:val="left" w:pos="400"/>
        </w:tabs>
        <w:spacing w:after="60"/>
        <w:ind w:left="400" w:hanging="330"/>
      </w:pPr>
      <w:r>
        <w:t>• SIN in der ersten Woche online, postalisch oder persönlich bei Service Canada beantragt, Bestätigung meist binnen fünf Werktagen im My Service Canada Account geprüft (Kanada: Steuer-ID/Bank).</w:t>
      </w:r>
    </w:p>
    <w:p w14:paraId="34D00F02" w14:textId="77777777" w:rsidR="001F7233" w:rsidRDefault="00000000">
      <w:pPr>
        <w:tabs>
          <w:tab w:val="left" w:pos="400"/>
        </w:tabs>
        <w:spacing w:after="60"/>
        <w:ind w:left="400" w:hanging="330"/>
      </w:pPr>
      <w:r>
        <w:t>• Antrag auf Provinz-Krankenversicherung gestellt, unabhängig davon, ob eine Wartefrist gilt (Kanada: Gesundheitssystem)</w:t>
      </w:r>
    </w:p>
    <w:p w14:paraId="2CDC8077" w14:textId="77777777" w:rsidR="001F7233" w:rsidRDefault="00000000">
      <w:pPr>
        <w:tabs>
          <w:tab w:val="left" w:pos="400"/>
        </w:tabs>
        <w:spacing w:after="60"/>
        <w:ind w:left="400" w:hanging="330"/>
      </w:pPr>
      <w:r>
        <w:t>• Formular RC151 (GST/HST-Credit) und bei Kindern RC66 (Canada Child Benefit) eingereicht (Kanada: Steuer-ID/Bank)</w:t>
      </w:r>
    </w:p>
    <w:p w14:paraId="22392CAD" w14:textId="77777777" w:rsidR="001F7233" w:rsidRDefault="00000000">
      <w:pPr>
        <w:tabs>
          <w:tab w:val="left" w:pos="400"/>
        </w:tabs>
        <w:spacing w:after="60"/>
        <w:ind w:left="400" w:hanging="330"/>
      </w:pPr>
      <w:r>
        <w:t>• Bankkonto eröffnet oder vor Ort mit Pass und Aufenthaltsnachweis verifiziert. Secured Credit Card oder Newcomer-Kreditkarte beantragt, um den bei null startenden kanadischen Credit Score aufzubauen (Kanada: Ankunft).</w:t>
      </w:r>
    </w:p>
    <w:p w14:paraId="06739B5A" w14:textId="77777777" w:rsidR="001F7233" w:rsidRDefault="00000000">
      <w:pPr>
        <w:tabs>
          <w:tab w:val="left" w:pos="400"/>
        </w:tabs>
        <w:spacing w:after="60"/>
        <w:ind w:left="400" w:hanging="330"/>
      </w:pPr>
      <w:r>
        <w:t>• Führerschein innerhalb der Umtauschfrist der Provinz umgetauscht (Kanada: Führerschein/Auto)</w:t>
      </w:r>
    </w:p>
    <w:p w14:paraId="1C1B8F82" w14:textId="77777777" w:rsidR="001F7233" w:rsidRDefault="00000000">
      <w:pPr>
        <w:tabs>
          <w:tab w:val="left" w:pos="400"/>
        </w:tabs>
        <w:spacing w:after="60"/>
        <w:ind w:left="400" w:hanging="330"/>
      </w:pPr>
      <w:r>
        <w:t>• Wohnungssuche mit Bewerbungsmappe (Gehaltsnachweis, Arbeitsvertrag, ausländische Bonitätsnachweise) begonnen, Kautionsregeln der Provinz beachtet (Kanada: Wohnen)</w:t>
      </w:r>
    </w:p>
    <w:p w14:paraId="685D3076" w14:textId="77777777" w:rsidR="001F7233" w:rsidRDefault="00000000">
      <w:pPr>
        <w:tabs>
          <w:tab w:val="left" w:pos="400"/>
        </w:tabs>
        <w:spacing w:after="60"/>
        <w:ind w:left="400" w:hanging="330"/>
      </w:pPr>
      <w:r>
        <w:t>• Kinder beim zuständigen School Board angemeldet, Einstufung und gegebenenfalls French-Immersion-Warteliste geklärt (Kanada: Kinder/Schule)</w:t>
      </w:r>
    </w:p>
    <w:p w14:paraId="5A190E96" w14:textId="77777777" w:rsidR="001F7233" w:rsidRDefault="00000000">
      <w:pPr>
        <w:tabs>
          <w:tab w:val="left" w:pos="400"/>
        </w:tabs>
        <w:spacing w:after="60"/>
        <w:ind w:left="400" w:hanging="330"/>
      </w:pPr>
      <w:r>
        <w:t>• Community Centre, Sportverein oder Wandergruppe der Zielstadt für den Einstieg ins soziale Leben kontaktiert (Kanada: Freunde/Kulturschock)</w:t>
      </w:r>
    </w:p>
    <w:p w14:paraId="0E5163AA" w14:textId="77777777" w:rsidR="001F7233" w:rsidRDefault="001F7233">
      <w:pPr>
        <w:spacing w:line="120" w:lineRule="exact"/>
      </w:pPr>
    </w:p>
    <w:p w14:paraId="63693C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5731FA58" w14:textId="77777777" w:rsidR="001F7233" w:rsidRDefault="00000000">
      <w:pPr>
        <w:tabs>
          <w:tab w:val="left" w:pos="400"/>
        </w:tabs>
        <w:spacing w:after="60"/>
        <w:ind w:left="400" w:hanging="330"/>
      </w:pPr>
      <w:r>
        <w:t>• Erste kanadische Steuererklärung als Newcomer vorbereitet (anteiliger Grundfreibetrag), Frist 30. April notiert (Kanada: Steuer-ID/Bank)</w:t>
      </w:r>
    </w:p>
    <w:p w14:paraId="335DD537" w14:textId="77777777" w:rsidR="001F7233" w:rsidRDefault="00000000">
      <w:pPr>
        <w:tabs>
          <w:tab w:val="left" w:pos="400"/>
        </w:tabs>
        <w:spacing w:after="60"/>
        <w:ind w:left="400" w:hanging="330"/>
      </w:pPr>
      <w:r>
        <w:lastRenderedPageBreak/>
        <w:t>• Extended Health Benefits beim Arbeitgeber erfragt, bevor eine eigene Zusatzversicherung für Zahn, Medikamente oder Sehhilfen abgeschlossen wird (Kanada: Gesundheitssystem).</w:t>
      </w:r>
    </w:p>
    <w:p w14:paraId="31C97141" w14:textId="77777777" w:rsidR="001F7233" w:rsidRDefault="00000000">
      <w:pPr>
        <w:tabs>
          <w:tab w:val="left" w:pos="400"/>
        </w:tabs>
        <w:spacing w:after="60"/>
        <w:ind w:left="400" w:hanging="330"/>
      </w:pPr>
      <w:r>
        <w:t>• Auf Wartelisten mehrerer Hausarztpraxen eingetragen, nächstgelegene Walk-in-Klinik notiert (Kanada: Gesundheitssystem)</w:t>
      </w:r>
    </w:p>
    <w:p w14:paraId="180A8F07" w14:textId="77777777" w:rsidR="001F7233" w:rsidRDefault="00000000">
      <w:pPr>
        <w:tabs>
          <w:tab w:val="left" w:pos="400"/>
        </w:tabs>
        <w:spacing w:after="60"/>
        <w:ind w:left="400" w:hanging="330"/>
      </w:pPr>
      <w:r>
        <w:t>• Arbeitsvertrag mit dem gesetzlichen Minimum der Provinz verglichen (Urlaub ab zwei Wochen, Kündigungsfrist, Krankheitstage) (Kanada: Arbeitswelt)</w:t>
      </w:r>
    </w:p>
    <w:p w14:paraId="681DACCC" w14:textId="77777777" w:rsidR="001F7233" w:rsidRDefault="00000000">
      <w:pPr>
        <w:tabs>
          <w:tab w:val="left" w:pos="400"/>
        </w:tabs>
        <w:spacing w:after="60"/>
        <w:ind w:left="400" w:hanging="330"/>
      </w:pPr>
      <w:r>
        <w:t>• Verhalten bei einer Verkehrskontrolle und die eigenen Rechte gegen der Polizei mit der Familie durchgesprochen (Kanada: Recht/Sicherheit)</w:t>
      </w:r>
    </w:p>
    <w:p w14:paraId="557B0339" w14:textId="77777777" w:rsidR="001F7233" w:rsidRDefault="00000000">
      <w:pPr>
        <w:tabs>
          <w:tab w:val="left" w:pos="400"/>
        </w:tabs>
        <w:spacing w:after="60"/>
        <w:ind w:left="400" w:hanging="330"/>
      </w:pPr>
      <w:r>
        <w:t>• Reiseprotokoll für die spätere Einbürgerung geführt: 1.095 Tage Anwesenheit, davon mindestens 730 Tage als Permanent Resident (Kanada: Staatsbürgerschaft/Steuerresidenz)</w:t>
      </w:r>
    </w:p>
    <w:p w14:paraId="6B3777DF" w14:textId="77777777" w:rsidR="001F7233" w:rsidRDefault="001F7233">
      <w:pPr>
        <w:spacing w:line="120" w:lineRule="exact"/>
      </w:pPr>
    </w:p>
    <w:p w14:paraId="49FEA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w:t>
      </w:r>
    </w:p>
    <w:p w14:paraId="4894A5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09938B46" w14:textId="77777777" w:rsidR="001F7233" w:rsidRDefault="00000000">
      <w:pPr>
        <w:tabs>
          <w:tab w:val="left" w:pos="400"/>
        </w:tabs>
        <w:spacing w:after="60"/>
        <w:ind w:left="400" w:hanging="330"/>
      </w:pPr>
      <w:r>
        <w:t>• Eigenen Punktestand für den Punktetest (Subclass 189/190/491) anhand Alter, Englischniveau, Bildung und Berufserfahrung überschlägig berechnet und mit den aktuellen Cut-off-Werten verglichen, nicht nur mit der gesetzlichen Mindestpunktzahl von 65 (Australien: Arbeitsweg).</w:t>
      </w:r>
    </w:p>
    <w:p w14:paraId="7C52B0CD" w14:textId="77777777" w:rsidR="001F7233" w:rsidRDefault="00000000">
      <w:pPr>
        <w:tabs>
          <w:tab w:val="left" w:pos="400"/>
        </w:tabs>
        <w:spacing w:after="60"/>
        <w:ind w:left="400" w:hanging="330"/>
      </w:pPr>
      <w:r>
        <w:t>• Skills Assessment und Registrierung als zwei Stellen unterschieden (Australien: Anerkennung deutscher Berufsabschlüsse)</w:t>
      </w:r>
    </w:p>
    <w:p w14:paraId="0B55A768" w14:textId="77777777" w:rsidR="001F7233" w:rsidRDefault="00000000">
      <w:pPr>
        <w:tabs>
          <w:tab w:val="left" w:pos="400"/>
        </w:tabs>
        <w:spacing w:after="60"/>
        <w:ind w:left="400" w:hanging="330"/>
      </w:pPr>
      <w:r>
        <w:lastRenderedPageBreak/>
        <w:t>• Geprüft, ob der eigene Beruf auf der für das jeweilige Visum einschlägigen Berufsliste steht (Australien: Einwanderungswege)</w:t>
      </w:r>
    </w:p>
    <w:p w14:paraId="7003E8DE" w14:textId="77777777" w:rsidR="001F7233" w:rsidRDefault="00000000">
      <w:pPr>
        <w:tabs>
          <w:tab w:val="left" w:pos="400"/>
        </w:tabs>
        <w:spacing w:after="60"/>
        <w:ind w:left="400" w:hanging="330"/>
      </w:pPr>
      <w:r>
        <w:t xml:space="preserve">• Working Holiday nur als Subclass 417 prüfen, und nur im Altersrahmen, den das Kapitel Wege der Einwanderung nennt (18 bis 35 Jahre seit 1. Juli 2026). Die aktuelle Grenze auf </w:t>
      </w:r>
      <w:hyperlink r:id="rId1135">
        <w:r w:rsidR="001F7233">
          <w:rPr>
            <w:color w:val="0563C1"/>
            <w:u w:val="single"/>
          </w:rPr>
          <w:t>immi.homeaffairs.gov.au</w:t>
        </w:r>
      </w:hyperlink>
      <w:r>
        <w:t xml:space="preserve"> lesen. Nicht mit dem neuseeländischen Germany Working Holiday Visa verwechseln (Australien: Einwanderungswege)</w:t>
      </w:r>
    </w:p>
    <w:p w14:paraId="61096D4E" w14:textId="77777777" w:rsidR="001F7233" w:rsidRDefault="00000000">
      <w:pPr>
        <w:tabs>
          <w:tab w:val="left" w:pos="400"/>
        </w:tabs>
        <w:spacing w:after="60"/>
        <w:ind w:left="400" w:hanging="330"/>
      </w:pPr>
      <w:r>
        <w:t>• Bei Hund oder Katze: DAFF-Ablauf für Gruppe 3 begonnen. Deutschland ist zugelassen, der Vorlauf beträgt mindestens sechs Monate, die 180 Tage im zugelassenen Land sind keine Quarantäne, die Station ist Mickleham (Australien: Ankunft)</w:t>
      </w:r>
    </w:p>
    <w:p w14:paraId="41B32F77" w14:textId="77777777" w:rsidR="001F7233" w:rsidRDefault="001F7233">
      <w:pPr>
        <w:spacing w:line="120" w:lineRule="exact"/>
      </w:pPr>
    </w:p>
    <w:p w14:paraId="1230B1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71223A46" w14:textId="77777777" w:rsidR="001F7233" w:rsidRDefault="00000000">
      <w:pPr>
        <w:tabs>
          <w:tab w:val="left" w:pos="400"/>
        </w:tabs>
        <w:spacing w:after="60"/>
        <w:ind w:left="400" w:hanging="330"/>
      </w:pPr>
      <w:r>
        <w:t>• Skills Assessment bei der passenden Bewertungsstelle (etwa Engineers Australia, ACS, VETASSESS, ANMAC oder TRA) beantragt, parallel zum Englischtest, weil es oft der eigentliche Flaschenhals im Verfahren ist (Australien: Arbeitsweg).</w:t>
      </w:r>
    </w:p>
    <w:p w14:paraId="492274BC" w14:textId="77777777" w:rsidR="001F7233" w:rsidRDefault="00000000">
      <w:pPr>
        <w:tabs>
          <w:tab w:val="left" w:pos="400"/>
        </w:tabs>
        <w:spacing w:after="60"/>
        <w:ind w:left="400" w:hanging="330"/>
      </w:pPr>
      <w:r>
        <w:t>• Englischtest (IELTS, PTE oder gleichwertig) gebucht. Bei knapper Punktzahl gezielt auf das Sprachniveau Superior statt nur Proficient hingearbeitet (Australien: Arbeitsweg).</w:t>
      </w:r>
    </w:p>
    <w:p w14:paraId="49E519F3" w14:textId="77777777" w:rsidR="001F7233" w:rsidRDefault="00000000">
      <w:pPr>
        <w:tabs>
          <w:tab w:val="left" w:pos="400"/>
        </w:tabs>
        <w:spacing w:after="60"/>
        <w:ind w:left="400" w:hanging="330"/>
      </w:pPr>
      <w:r>
        <w:t>• Expression of Interest (EOI) über SkillSelect eingereicht, sobald Skills Assessment und Sprachtest vorliegen. Nach Einladung den Antrag in der 60-Tage-Frist über ImmiAccount gestellt (Australien: Antrag/Konsulat).</w:t>
      </w:r>
    </w:p>
    <w:p w14:paraId="75216E51" w14:textId="77777777" w:rsidR="001F7233" w:rsidRDefault="00000000">
      <w:pPr>
        <w:tabs>
          <w:tab w:val="left" w:pos="400"/>
        </w:tabs>
        <w:spacing w:after="60"/>
        <w:ind w:left="400" w:hanging="330"/>
      </w:pPr>
      <w:r>
        <w:t>• Gesundheitsuntersuchung bei einem zugelassenen Panel Physician terminiert, sobald die HAP-ID vorliegt (Australien: Antrag/Konsulat)</w:t>
      </w:r>
    </w:p>
    <w:p w14:paraId="1E9220F9" w14:textId="77777777" w:rsidR="001F7233" w:rsidRDefault="00000000">
      <w:pPr>
        <w:tabs>
          <w:tab w:val="left" w:pos="400"/>
        </w:tabs>
        <w:spacing w:after="60"/>
        <w:ind w:left="400" w:hanging="330"/>
      </w:pPr>
      <w:r>
        <w:lastRenderedPageBreak/>
        <w:t>• Führungszeugnis für jedes Land mit mehr als 12 Monaten Aufenthalt seit dem 16. Geburtstag beantragt und die Apostille direkt über das Online-Datenformular des Bundesamts für Auswärtige Angelegenheiten eingeholt. Eine nachträgliche Apostille ist auf diesem Weg nicht vorgesehen (Australien: Antrag/Konsulat).</w:t>
      </w:r>
    </w:p>
    <w:p w14:paraId="6707BA8F" w14:textId="77777777" w:rsidR="001F7233" w:rsidRDefault="00000000">
      <w:pPr>
        <w:tabs>
          <w:tab w:val="left" w:pos="400"/>
        </w:tabs>
        <w:spacing w:after="60"/>
        <w:ind w:left="400" w:hanging="330"/>
      </w:pPr>
      <w:r>
        <w:t>• Bei Arbeitgeber-Sponsoring (Subclass 482): Gehalt mit der maßgeblichen Lohnschwelle verglichen und schriftlich festgehalten, dass die Skilling-Australians-Fund-Levy beim Arbeitgeber bleibt (Australien: Arbeitsweg).</w:t>
      </w:r>
    </w:p>
    <w:p w14:paraId="2E8CF271" w14:textId="77777777" w:rsidR="001F7233" w:rsidRDefault="00000000">
      <w:pPr>
        <w:tabs>
          <w:tab w:val="left" w:pos="400"/>
        </w:tabs>
        <w:spacing w:after="60"/>
        <w:ind w:left="400" w:hanging="330"/>
      </w:pPr>
      <w:r>
        <w:t>• Registrierten Migration Agent im OMARA-Self-Service-Portal auf aktuelle Zulassung geprüft, falls Beratung gewünscht ist (Australien: Antrag/Konsulat)</w:t>
      </w:r>
    </w:p>
    <w:p w14:paraId="703DA181" w14:textId="77777777" w:rsidR="001F7233" w:rsidRDefault="001F7233">
      <w:pPr>
        <w:spacing w:line="120" w:lineRule="exact"/>
      </w:pPr>
    </w:p>
    <w:p w14:paraId="0769C4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7FA45F67" w14:textId="77777777" w:rsidR="001F7233" w:rsidRDefault="00000000">
      <w:pPr>
        <w:tabs>
          <w:tab w:val="left" w:pos="400"/>
        </w:tabs>
        <w:spacing w:after="60"/>
        <w:ind w:left="400" w:hanging="330"/>
      </w:pPr>
      <w:r>
        <w:t>• Biosecurity-Regeln der Australian Border Force vor der Containerbeladung geprüft: Lebensmittel, frisches Obst, Pflanzen, Samen, Holzgegenstände und ungereinigtes Outdoor-Equipment gehören nicht in die Kiste oder müssen bei der Einreise deklariert werden (Australien: Ankunft).</w:t>
      </w:r>
    </w:p>
    <w:p w14:paraId="5FECEAC0" w14:textId="77777777" w:rsidR="001F7233" w:rsidRDefault="00000000">
      <w:pPr>
        <w:tabs>
          <w:tab w:val="left" w:pos="400"/>
        </w:tabs>
        <w:spacing w:after="60"/>
        <w:ind w:left="400" w:hanging="330"/>
      </w:pPr>
      <w:r>
        <w:t>• Bank-Voreröffnung bei einer australischen Großbank online vorbereitet (Westpac bis zu 12 Monate, CommBank bis zu 14 Tage vor Einreise möglich) (Australien: Steuer-ID/Bank)</w:t>
      </w:r>
    </w:p>
    <w:p w14:paraId="1EF6BD2A" w14:textId="77777777" w:rsidR="001F7233" w:rsidRDefault="00000000">
      <w:pPr>
        <w:tabs>
          <w:tab w:val="left" w:pos="400"/>
        </w:tabs>
        <w:spacing w:after="60"/>
        <w:ind w:left="400" w:hanging="330"/>
      </w:pPr>
      <w:r>
        <w:t>• Bei Kaufabsicht: geklärt, ob der eigene Visumstatus als foreign person unter das FIRB-Verbot für Bestandsimmobilien fällt und der Foreign-Buyer-Zuschlag (7–9 % Stamp Duty) einkalkuliert (Australien: Wohnen).</w:t>
      </w:r>
    </w:p>
    <w:p w14:paraId="7AC3BFEF" w14:textId="77777777" w:rsidR="001F7233" w:rsidRDefault="00000000">
      <w:pPr>
        <w:tabs>
          <w:tab w:val="left" w:pos="400"/>
        </w:tabs>
        <w:spacing w:after="60"/>
        <w:ind w:left="400" w:hanging="330"/>
      </w:pPr>
      <w:r>
        <w:t xml:space="preserve">• Internationalen Führerschein oder eine beglaubigte englische Übersetzung des deutschen Führerscheins in Deutschland </w:t>
      </w:r>
      <w:r>
        <w:lastRenderedPageBreak/>
        <w:t>beantragt, Umtauschfrist des Zielbundesstaats notiert (Australien: Führerschein/Auto)</w:t>
      </w:r>
    </w:p>
    <w:p w14:paraId="42A71F32" w14:textId="77777777" w:rsidR="001F7233" w:rsidRDefault="001F7233">
      <w:pPr>
        <w:spacing w:line="120" w:lineRule="exact"/>
      </w:pPr>
    </w:p>
    <w:p w14:paraId="2064A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04A73A3" w14:textId="77777777" w:rsidR="001F7233" w:rsidRDefault="00000000">
      <w:pPr>
        <w:tabs>
          <w:tab w:val="left" w:pos="400"/>
        </w:tabs>
        <w:spacing w:after="60"/>
        <w:ind w:left="400" w:hanging="330"/>
      </w:pPr>
      <w:r>
        <w:t>• OVHC (bei Arbeitsvisum) oder OSHC (bei Studienvisum) mit Versicherungsbeginn zum Ankunftstag abgeschlossen. Deutschland hat kein Reciprocal Health Care Agreement mit Australien, ohne private Absicherung besteht ab dem ersten Tag keine Krankenversicherungsdeckung (Australien: Gesundheitssystem).</w:t>
      </w:r>
    </w:p>
    <w:p w14:paraId="53430942" w14:textId="77777777" w:rsidR="001F7233" w:rsidRDefault="00000000">
      <w:pPr>
        <w:tabs>
          <w:tab w:val="left" w:pos="400"/>
        </w:tabs>
        <w:spacing w:after="60"/>
        <w:ind w:left="400" w:hanging="330"/>
      </w:pPr>
      <w:r>
        <w:t>• eSIM mit Australien-Datenpaket eingerichtet oder Prepaid-SIM-Optionen recherchiert, da deutsche Mobilfunktarife in Australien kein EU-Roaming haben (Australien: Ankunft)</w:t>
      </w:r>
    </w:p>
    <w:p w14:paraId="4DC70909" w14:textId="77777777" w:rsidR="001F7233" w:rsidRDefault="00000000">
      <w:pPr>
        <w:tabs>
          <w:tab w:val="left" w:pos="400"/>
        </w:tabs>
        <w:spacing w:after="60"/>
        <w:ind w:left="400" w:hanging="330"/>
      </w:pPr>
      <w:r>
        <w:t>• Übergangsunterkunft mit Stornierungsoption für mindestens ein bis zwei Wochen gebucht (Australien: Ankunft)</w:t>
      </w:r>
    </w:p>
    <w:p w14:paraId="67B272DD" w14:textId="77777777" w:rsidR="001F7233" w:rsidRDefault="00000000">
      <w:pPr>
        <w:tabs>
          <w:tab w:val="left" w:pos="400"/>
        </w:tabs>
        <w:spacing w:after="60"/>
        <w:ind w:left="400" w:hanging="330"/>
      </w:pPr>
      <w:r>
        <w:t>• Visumsbestätigung ausgedruckt fürs Handgepäck bereitgelegt, da das Visum nicht im Pass klebt, sondern nur elektronisch mit der Passnummer verknüpft ist (Australien: Ankunft)</w:t>
      </w:r>
    </w:p>
    <w:p w14:paraId="43ED64E6" w14:textId="77777777" w:rsidR="001F7233" w:rsidRDefault="001F7233">
      <w:pPr>
        <w:spacing w:line="120" w:lineRule="exact"/>
      </w:pPr>
    </w:p>
    <w:p w14:paraId="054492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Australien</w:t>
      </w:r>
    </w:p>
    <w:p w14:paraId="32B585F4" w14:textId="77777777" w:rsidR="001F7233" w:rsidRDefault="00000000">
      <w:pPr>
        <w:tabs>
          <w:tab w:val="left" w:pos="400"/>
        </w:tabs>
        <w:spacing w:after="60"/>
        <w:ind w:left="400" w:hanging="330"/>
      </w:pPr>
      <w:r>
        <w:t>• Bargeld und Zahlungsmittel über 10.000 AUD bei der Einreise aktiv deklariert (Australien: Ankunft)</w:t>
      </w:r>
    </w:p>
    <w:p w14:paraId="78E0BDB9" w14:textId="77777777" w:rsidR="001F7233" w:rsidRDefault="00000000">
      <w:pPr>
        <w:tabs>
          <w:tab w:val="left" w:pos="400"/>
        </w:tabs>
        <w:spacing w:after="60"/>
        <w:ind w:left="400" w:hanging="330"/>
      </w:pPr>
      <w:r>
        <w:t>• Biosecurity-Deklaration bei der Einreise ehrlich und vollständig ausgefüllt (Australien: Ankunft)</w:t>
      </w:r>
    </w:p>
    <w:p w14:paraId="60DB6B79" w14:textId="77777777" w:rsidR="001F7233" w:rsidRDefault="00000000">
      <w:pPr>
        <w:tabs>
          <w:tab w:val="left" w:pos="400"/>
        </w:tabs>
        <w:spacing w:after="60"/>
        <w:ind w:left="400" w:hanging="330"/>
      </w:pPr>
      <w:r>
        <w:t>• TFN online beim Australian Taxation Office beantragt, sobald ein australischer Wohnsitznachweis vorliegt – kostenlos, aber ohne sie behält der Arbeitgeber ab Tag 28 pauschal 47 % des Lohns ein (Australien: Steuer-ID/Bank).</w:t>
      </w:r>
    </w:p>
    <w:p w14:paraId="5CB6F82B" w14:textId="77777777" w:rsidR="001F7233" w:rsidRDefault="00000000">
      <w:pPr>
        <w:tabs>
          <w:tab w:val="left" w:pos="400"/>
        </w:tabs>
        <w:spacing w:after="60"/>
        <w:ind w:left="400" w:hanging="330"/>
      </w:pPr>
      <w:r>
        <w:t xml:space="preserve">• Bei Permanent-Resident-Status: persönliche Medicare-Anmeldung bei einem Service Center von Services Australia mit Pass, </w:t>
      </w:r>
      <w:r>
        <w:lastRenderedPageBreak/>
        <w:t>Visumsnachweis und Adressnachweis erledigt (Australien: Gesundheitssystem)</w:t>
      </w:r>
    </w:p>
    <w:p w14:paraId="725B6315" w14:textId="77777777" w:rsidR="001F7233" w:rsidRDefault="00000000">
      <w:pPr>
        <w:tabs>
          <w:tab w:val="left" w:pos="400"/>
        </w:tabs>
        <w:spacing w:after="60"/>
        <w:ind w:left="400" w:hanging="330"/>
      </w:pPr>
      <w:r>
        <w:t>• Bankkonto vor Ort über den vorgeschriebenen 100-Punkte-Ausweischeck verifiziert oder online eröffnetes Konto aktiviert (Australien: Steuer-ID/Bank).</w:t>
      </w:r>
    </w:p>
    <w:p w14:paraId="36F51830" w14:textId="77777777" w:rsidR="001F7233" w:rsidRDefault="00000000">
      <w:pPr>
        <w:tabs>
          <w:tab w:val="left" w:pos="400"/>
        </w:tabs>
        <w:spacing w:after="60"/>
        <w:ind w:left="400" w:hanging="330"/>
      </w:pPr>
      <w:r>
        <w:t>• Superannuation-Fonds bei Arbeitsbeginn aktiv gewählt statt den Standardfonds zu übernehmen, Formular innerhalb von 28 Tagen eingereicht (Australien: Steuer-ID/Bank)</w:t>
      </w:r>
    </w:p>
    <w:p w14:paraId="73ADB124" w14:textId="77777777" w:rsidR="001F7233" w:rsidRDefault="00000000">
      <w:pPr>
        <w:tabs>
          <w:tab w:val="left" w:pos="400"/>
        </w:tabs>
        <w:spacing w:after="60"/>
        <w:ind w:left="400" w:hanging="330"/>
      </w:pPr>
      <w:r>
        <w:t>• Erste Fahrten bewusst auf ruhigen Strecken geübt: Linksverkehr, Kreisverkehr im Uhrzeigersinn, vertauschte Blinker- und Scheibenwischerhebel. Keine Autofahrt direkt nach der Ankunft mit Jetlag (Australien: Führerschein/Auto).</w:t>
      </w:r>
    </w:p>
    <w:p w14:paraId="6971ABC2" w14:textId="77777777" w:rsidR="001F7233" w:rsidRDefault="00000000">
      <w:pPr>
        <w:tabs>
          <w:tab w:val="left" w:pos="400"/>
        </w:tabs>
        <w:spacing w:after="60"/>
        <w:ind w:left="400" w:hanging="330"/>
      </w:pPr>
      <w:r>
        <w:t>• Wohnungssuche mit vollständiger Bewerbungsmappe gestartet (Einkommensnachweis, Referenzen, Ausweis), Kaution über die staatliche Kautionsstelle statt direkt an den Vermieter eingeplant (Australien: Wohnen)</w:t>
      </w:r>
    </w:p>
    <w:p w14:paraId="48D73114" w14:textId="77777777" w:rsidR="001F7233" w:rsidRDefault="001F7233">
      <w:pPr>
        <w:spacing w:line="120" w:lineRule="exact"/>
      </w:pPr>
    </w:p>
    <w:p w14:paraId="0282B2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6B16B55D" w14:textId="77777777" w:rsidR="001F7233" w:rsidRDefault="00000000">
      <w:pPr>
        <w:tabs>
          <w:tab w:val="left" w:pos="400"/>
        </w:tabs>
        <w:spacing w:after="60"/>
        <w:ind w:left="400" w:hanging="330"/>
      </w:pPr>
      <w:r>
        <w:t>• Steuerlichen Status (Ansässiger oder Foreign Resident) geklärt und Einkommen mit den Schwellen der Medicare Levy Surcharge abgeglichen (Australien: Steuer-ID/Bank).</w:t>
      </w:r>
    </w:p>
    <w:p w14:paraId="6138A261" w14:textId="77777777" w:rsidR="001F7233" w:rsidRDefault="00000000">
      <w:pPr>
        <w:tabs>
          <w:tab w:val="left" w:pos="400"/>
        </w:tabs>
        <w:spacing w:after="60"/>
        <w:ind w:left="400" w:hanging="330"/>
      </w:pPr>
      <w:r>
        <w:t>• Australische Kreditwürdigkeit gezielt aufgebaut: laufendes Konto, pünktlich bezahlte Rechnungen, erste Kreditkarte mit niedrigem Limit. Die deutsche Schufa-Historie zählt in Australien nicht (Australien: Steuer-ID/Bank).</w:t>
      </w:r>
    </w:p>
    <w:p w14:paraId="54BA3BE1" w14:textId="77777777" w:rsidR="001F7233" w:rsidRDefault="00000000">
      <w:pPr>
        <w:tabs>
          <w:tab w:val="left" w:pos="400"/>
        </w:tabs>
        <w:spacing w:after="60"/>
        <w:ind w:left="400" w:hanging="330"/>
      </w:pPr>
      <w:r>
        <w:t>• Bei befristetem Arbeitsvisum (Subclass 482): vor jedem Arbeitgeberwechsel die neue Nominierung abgewartet, nie vorher beim neuen Arbeitgeber angefangen (Australien: Arbeitswelt)</w:t>
      </w:r>
    </w:p>
    <w:p w14:paraId="0797FC03" w14:textId="77777777" w:rsidR="001F7233" w:rsidRDefault="00000000">
      <w:pPr>
        <w:tabs>
          <w:tab w:val="left" w:pos="400"/>
        </w:tabs>
        <w:spacing w:after="60"/>
        <w:ind w:left="400" w:hanging="330"/>
      </w:pPr>
      <w:r>
        <w:t>• Anschluss über Sportverein, freiwillige Feuerwehr, Nachbarschaft oder Kinder gesucht. Aus vagen „We should catch up“-</w:t>
      </w:r>
      <w:r>
        <w:lastRenderedPageBreak/>
        <w:t>Angeboten konkrete Termine mit Ort und Uhrzeit gemacht (Australien: Freunde/Kulturschock).</w:t>
      </w:r>
    </w:p>
    <w:p w14:paraId="6CABA753" w14:textId="77777777" w:rsidR="001F7233" w:rsidRDefault="00000000">
      <w:pPr>
        <w:tabs>
          <w:tab w:val="left" w:pos="400"/>
        </w:tabs>
        <w:spacing w:after="60"/>
        <w:ind w:left="400" w:hanging="330"/>
      </w:pPr>
      <w:r>
        <w:t>• Notfallplan für Buschfeuer- oder Zyklonsaison angelegt: Warn-App installiert, Sammelpunkt und Notvorrat festgelegt, Haus- oder Hausratversicherung auf Naturgefahren-Deckung geprüft (Australien: Recht/Sicherheit).</w:t>
      </w:r>
    </w:p>
    <w:p w14:paraId="103F09C0" w14:textId="77777777" w:rsidR="001F7233" w:rsidRDefault="00000000">
      <w:pPr>
        <w:tabs>
          <w:tab w:val="left" w:pos="400"/>
        </w:tabs>
        <w:spacing w:after="60"/>
        <w:ind w:left="400" w:hanging="330"/>
      </w:pPr>
      <w:r>
        <w:t>• Regelmäßigen Videoanruf-Termin mit der Familie in Deutschland trotz 8 bis 10 Stunden Zeitverschiebung vereinbart, Heimatbesuch zu Weihnachten oder anderen großen Feiertagen früh gebucht (Australien: Alltagskultur).</w:t>
      </w:r>
    </w:p>
    <w:p w14:paraId="5D65C21F" w14:textId="77777777" w:rsidR="001F7233" w:rsidRDefault="00000000">
      <w:pPr>
        <w:tabs>
          <w:tab w:val="left" w:pos="400"/>
        </w:tabs>
        <w:spacing w:after="60"/>
        <w:ind w:left="400" w:hanging="330"/>
      </w:pPr>
      <w:r>
        <w:t>• Erste Steuererklärung bis zur Frist am 31. Oktober über myGov/myTax vorbereitet oder rechtzeitig ein registrierter Steuerberater für die Fristverlängerung beauftragt (Australien: Steuer-ID/Bank)</w:t>
      </w:r>
    </w:p>
    <w:p w14:paraId="3DBB3CBA" w14:textId="77777777" w:rsidR="001F7233" w:rsidRDefault="001F7233">
      <w:pPr>
        <w:spacing w:line="120" w:lineRule="exact"/>
      </w:pPr>
    </w:p>
    <w:p w14:paraId="53158D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7CD9B1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46713FD6" w14:textId="77777777" w:rsidR="001F7233" w:rsidRDefault="00000000">
      <w:pPr>
        <w:tabs>
          <w:tab w:val="left" w:pos="400"/>
        </w:tabs>
        <w:spacing w:after="60"/>
        <w:ind w:left="400" w:hanging="330"/>
      </w:pPr>
      <w:r>
        <w:t>• Eigenen Beruf mit der aktuellen Green List und dem passenden ANZSCO-Code abgeglichen, inklusive Tier 1 oder Tier 2 (Neuseeland: Einwanderungswege).</w:t>
      </w:r>
    </w:p>
    <w:p w14:paraId="01AAC418" w14:textId="77777777" w:rsidR="001F7233" w:rsidRDefault="00000000">
      <w:pPr>
        <w:tabs>
          <w:tab w:val="left" w:pos="400"/>
        </w:tabs>
        <w:spacing w:after="60"/>
        <w:ind w:left="400" w:hanging="330"/>
      </w:pPr>
      <w:r>
        <w:t>• Council des Berufs geöffnet, nicht nur die Green List (Neuseeland: Anerkennung deutscher Berufsabschlüsse)</w:t>
      </w:r>
    </w:p>
    <w:p w14:paraId="0F318DE9" w14:textId="77777777" w:rsidR="001F7233" w:rsidRDefault="00000000">
      <w:pPr>
        <w:tabs>
          <w:tab w:val="left" w:pos="400"/>
        </w:tabs>
        <w:spacing w:after="60"/>
        <w:ind w:left="400" w:hanging="330"/>
      </w:pPr>
      <w:r>
        <w:lastRenderedPageBreak/>
        <w:t>• Geklärt, ob der künftige Arbeitgeber bereits als Accredited Employer akkreditiert ist oder die Akkreditierung erst noch beantragen muss (Neuseeland: Arbeitsweg).</w:t>
      </w:r>
    </w:p>
    <w:p w14:paraId="7B1DD82B" w14:textId="77777777" w:rsidR="001F7233" w:rsidRDefault="00000000">
      <w:pPr>
        <w:tabs>
          <w:tab w:val="left" w:pos="400"/>
        </w:tabs>
        <w:spacing w:after="60"/>
        <w:ind w:left="400" w:hanging="330"/>
      </w:pPr>
      <w:r>
        <w:t>• Entschieden, ob der Weg über das Accredited Employer Work Visa (AEWV) mit späterem Wechsel zur Residency oder die direkte Bewerbung über die Skilled Migrant Category (Höchstalter 55 Jahre) realistischer ist (Neuseeland: Einwanderungswege).</w:t>
      </w:r>
    </w:p>
    <w:p w14:paraId="42FAE720" w14:textId="77777777" w:rsidR="001F7233" w:rsidRDefault="00000000">
      <w:pPr>
        <w:tabs>
          <w:tab w:val="left" w:pos="400"/>
        </w:tabs>
        <w:spacing w:after="60"/>
        <w:ind w:left="400" w:hanging="330"/>
      </w:pPr>
      <w:r>
        <w:t>• Bei Hund oder Katze: Länderkategorie Deutschlands bei der MPI geprüft, RNATT, Quarantänebuchung und Importgenehmigung als ein Paket eingeplant, nicht erst nach dem Familienflug (Neuseeland: Ankunft).</w:t>
      </w:r>
    </w:p>
    <w:p w14:paraId="2E819A0E" w14:textId="77777777" w:rsidR="001F7233" w:rsidRDefault="001F7233">
      <w:pPr>
        <w:spacing w:line="120" w:lineRule="exact"/>
      </w:pPr>
    </w:p>
    <w:p w14:paraId="3CFFE6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4034C750" w14:textId="77777777" w:rsidR="001F7233" w:rsidRDefault="00000000">
      <w:pPr>
        <w:tabs>
          <w:tab w:val="left" w:pos="400"/>
        </w:tabs>
        <w:spacing w:after="60"/>
        <w:ind w:left="400" w:hanging="330"/>
      </w:pPr>
      <w:r>
        <w:t>• SMC-Punktzahl überschlägig anhand der Sechs-Punkte-Schwelle berechnet: Qualifikation, berufliche Registrierung, Einkommen, NZ-Erfahrung (Neuseeland: Einwanderungswege)</w:t>
      </w:r>
    </w:p>
    <w:p w14:paraId="43CF1FE1" w14:textId="77777777" w:rsidR="001F7233" w:rsidRDefault="00000000">
      <w:pPr>
        <w:tabs>
          <w:tab w:val="left" w:pos="400"/>
        </w:tabs>
        <w:spacing w:after="60"/>
        <w:ind w:left="400" w:hanging="330"/>
      </w:pPr>
      <w:r>
        <w:t>• Bei AEWV: Arbeitgeber gebeten, Employer Accreditation und Job Check für die konkrete Stelle zu durchlaufen, bevor der eigene Antrag gestellt wird (Neuseeland: Arbeitsweg).</w:t>
      </w:r>
    </w:p>
    <w:p w14:paraId="7C06D014" w14:textId="77777777" w:rsidR="001F7233" w:rsidRDefault="00000000">
      <w:pPr>
        <w:tabs>
          <w:tab w:val="left" w:pos="400"/>
        </w:tabs>
        <w:spacing w:after="60"/>
        <w:ind w:left="400" w:hanging="330"/>
      </w:pPr>
      <w:r>
        <w:t>• Führungszeugnis beim Bundesamt für Justiz beantragt (höchstens sechs Monate alt bei Einreichung) und beglaubigte englische Übersetzung organisiert. Keine Apostille nötig (Neuseeland: Antrag/Konsulat).</w:t>
      </w:r>
    </w:p>
    <w:p w14:paraId="2C698B33" w14:textId="77777777" w:rsidR="001F7233" w:rsidRDefault="00000000">
      <w:pPr>
        <w:tabs>
          <w:tab w:val="left" w:pos="400"/>
        </w:tabs>
        <w:spacing w:after="60"/>
        <w:ind w:left="400" w:hanging="330"/>
      </w:pPr>
      <w:r>
        <w:t>• Gesundheitsuntersuchung, falls nötig mit Röntgen-Thorax, bei einem von Immigration New Zealand zugelassenen Panel Physician terminiert (Neuseeland: Antrag/Konsulat)</w:t>
      </w:r>
    </w:p>
    <w:p w14:paraId="680DE7C9" w14:textId="77777777" w:rsidR="001F7233" w:rsidRDefault="00000000">
      <w:pPr>
        <w:tabs>
          <w:tab w:val="left" w:pos="400"/>
        </w:tabs>
        <w:spacing w:after="60"/>
        <w:ind w:left="400" w:hanging="330"/>
      </w:pPr>
      <w:r>
        <w:t>• Konto bei Immigration New Zealand (INZ) angelegt und Gesamtkosten inklusive Immigration Levy und falls nötig IVL realistisch kalkuliert. Deutschland zahlt volle Gebühren ohne Fee-Waiver (Neuseeland: Antrag/Konsulat).</w:t>
      </w:r>
    </w:p>
    <w:p w14:paraId="7881F610" w14:textId="77777777" w:rsidR="001F7233" w:rsidRDefault="00000000">
      <w:pPr>
        <w:tabs>
          <w:tab w:val="left" w:pos="400"/>
        </w:tabs>
        <w:spacing w:after="60"/>
        <w:ind w:left="400" w:hanging="330"/>
      </w:pPr>
      <w:r>
        <w:lastRenderedPageBreak/>
        <w:t>• Bei Familie: eigene Visa für Partner (Partnership Work Visa) und Kinder parallel zum Hauptantrag beantragt (Neuseeland: Antrag/Konsulat).</w:t>
      </w:r>
    </w:p>
    <w:p w14:paraId="2CC9C12B" w14:textId="77777777" w:rsidR="001F7233" w:rsidRDefault="00000000">
      <w:pPr>
        <w:tabs>
          <w:tab w:val="left" w:pos="400"/>
        </w:tabs>
        <w:spacing w:after="60"/>
        <w:ind w:left="400" w:hanging="330"/>
      </w:pPr>
      <w:r>
        <w:t>• Job, Wohnung und Kinderbetreuung in Deutschland erst gekündigt, nachdem die Genehmigung tatsächlich im INZ-Konto steht, nicht schon nach bestandener Employer Accreditation (Neuseeland: Antrag/Konsulat)</w:t>
      </w:r>
    </w:p>
    <w:p w14:paraId="5304641D" w14:textId="77777777" w:rsidR="001F7233" w:rsidRDefault="00000000">
      <w:pPr>
        <w:tabs>
          <w:tab w:val="left" w:pos="400"/>
        </w:tabs>
        <w:spacing w:after="60"/>
        <w:ind w:left="400" w:hanging="330"/>
      </w:pPr>
      <w:r>
        <w:t>• Arbeitsvertrag vor der Unterschrift auf eine 90-Tage-Probezeit-Klausel ohne Kündigungsschutz geprüft (Neuseeland: Arbeitswelt)</w:t>
      </w:r>
    </w:p>
    <w:p w14:paraId="6A81900A" w14:textId="77777777" w:rsidR="001F7233" w:rsidRDefault="001F7233">
      <w:pPr>
        <w:spacing w:line="120" w:lineRule="exact"/>
      </w:pPr>
    </w:p>
    <w:p w14:paraId="077FB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48D74A25" w14:textId="77777777" w:rsidR="001F7233" w:rsidRDefault="00000000">
      <w:pPr>
        <w:tabs>
          <w:tab w:val="left" w:pos="400"/>
        </w:tabs>
        <w:spacing w:after="60"/>
        <w:ind w:left="400" w:hanging="330"/>
      </w:pPr>
      <w:r>
        <w:t>• Umzugsgut biosicherheitsbewusst sortiert: Wanderschuhe und Campingausrüstung von Erdresten gereinigt, unbehandelte Holzprodukte, Lebensmittel und Pflanzen aussortiert, um die Kontrolle des Ministry for Primary Industries (MPI) bei der Ankunft zu bestehen (Neuseeland: Ankunft).</w:t>
      </w:r>
    </w:p>
    <w:p w14:paraId="064445A3" w14:textId="77777777" w:rsidR="001F7233" w:rsidRDefault="00000000">
      <w:pPr>
        <w:tabs>
          <w:tab w:val="left" w:pos="400"/>
        </w:tabs>
        <w:spacing w:after="60"/>
        <w:ind w:left="400" w:hanging="330"/>
      </w:pPr>
      <w:r>
        <w:t>• Bankkonto-Voreröffnung geprüft: ANZ bis zu 90 Tage vor Einreise möglich, ASB per App (Neuseeland: Steuer-ID/Bank)</w:t>
      </w:r>
    </w:p>
    <w:p w14:paraId="043029AD" w14:textId="77777777" w:rsidR="001F7233" w:rsidRDefault="00000000">
      <w:pPr>
        <w:tabs>
          <w:tab w:val="left" w:pos="400"/>
        </w:tabs>
        <w:spacing w:after="60"/>
        <w:ind w:left="400" w:hanging="330"/>
      </w:pPr>
      <w:r>
        <w:t>• Private Übergangskrankenversicherung verglichen, falls das eigene Visum unter der Zwei-Jahres-Schwelle fürs öffentliche Gesundheitssystem bleibt (Neuseeland: Gesundheitssystem)</w:t>
      </w:r>
    </w:p>
    <w:p w14:paraId="46BB92CF" w14:textId="77777777" w:rsidR="001F7233" w:rsidRDefault="00000000">
      <w:pPr>
        <w:tabs>
          <w:tab w:val="left" w:pos="400"/>
        </w:tabs>
        <w:spacing w:after="60"/>
        <w:ind w:left="400" w:hanging="330"/>
      </w:pPr>
      <w:r>
        <w:t>• Zielregion nach Naturgefahren-Profil (Erdbeben in Wellington und Christchurch, Vulkanfeld in Auckland, Lawinenrisiko bei Queenstown) und Kostenniveau verglichen (Neuseeland: Wohnen).</w:t>
      </w:r>
    </w:p>
    <w:p w14:paraId="24FBFB8C" w14:textId="77777777" w:rsidR="001F7233" w:rsidRDefault="00000000">
      <w:pPr>
        <w:tabs>
          <w:tab w:val="left" w:pos="400"/>
        </w:tabs>
        <w:spacing w:after="60"/>
        <w:ind w:left="400" w:hanging="330"/>
      </w:pPr>
      <w:r>
        <w:t>• Schulzone der Zieladresse geprüft und Kinder möglichst zum Beginn eines Terms angemeldet (Neuseeland: Kinder/Schule)</w:t>
      </w:r>
    </w:p>
    <w:p w14:paraId="71EDF65C" w14:textId="77777777" w:rsidR="001F7233" w:rsidRDefault="001F7233">
      <w:pPr>
        <w:spacing w:line="120" w:lineRule="exact"/>
      </w:pPr>
    </w:p>
    <w:p w14:paraId="511112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T–3 bis T–1 Monat: Feinschliff</w:t>
      </w:r>
    </w:p>
    <w:p w14:paraId="1707FAE2" w14:textId="77777777" w:rsidR="001F7233" w:rsidRDefault="00000000">
      <w:pPr>
        <w:tabs>
          <w:tab w:val="left" w:pos="400"/>
        </w:tabs>
        <w:spacing w:after="60"/>
        <w:ind w:left="400" w:hanging="330"/>
      </w:pPr>
      <w:r>
        <w:t>• Englische Übersetzung des deutschen Führerscheins besorgt und das Ausstellungsdatum (älter als zwei Jahre) eindeutig nachweisbar gemacht (Neuseeland: Führerschein/Auto).</w:t>
      </w:r>
    </w:p>
    <w:p w14:paraId="28306201" w14:textId="77777777" w:rsidR="001F7233" w:rsidRDefault="00000000">
      <w:pPr>
        <w:tabs>
          <w:tab w:val="left" w:pos="400"/>
        </w:tabs>
        <w:spacing w:after="60"/>
        <w:ind w:left="400" w:hanging="330"/>
      </w:pPr>
      <w:r>
        <w:t>• eSIM mit Neuseeland-Datenpaket eingerichtet, deutsche Nummer als Zweit-SIM behalten (Neuseeland: Ankunft)</w:t>
      </w:r>
    </w:p>
    <w:p w14:paraId="632C9927" w14:textId="77777777" w:rsidR="001F7233" w:rsidRDefault="00000000">
      <w:pPr>
        <w:tabs>
          <w:tab w:val="left" w:pos="400"/>
        </w:tabs>
        <w:spacing w:after="60"/>
        <w:ind w:left="400" w:hanging="330"/>
      </w:pPr>
      <w:r>
        <w:t>• Übergangsunterkunft mit Stornierungsoption für die ersten ein bis zwei Wochen gebucht (Neuseeland: Ankunft)</w:t>
      </w:r>
    </w:p>
    <w:p w14:paraId="40FC5060" w14:textId="77777777" w:rsidR="001F7233" w:rsidRDefault="00000000">
      <w:pPr>
        <w:tabs>
          <w:tab w:val="left" w:pos="400"/>
        </w:tabs>
        <w:spacing w:after="60"/>
        <w:ind w:left="400" w:hanging="330"/>
      </w:pPr>
      <w:r>
        <w:t>• Bewerbungsunterlagen für die Wohnungssuche zusammengestellt: Einkommensnachweis, Arbeitsvertrag, Referenzen früherer Vermieter (Neuseeland: Wohnen)</w:t>
      </w:r>
    </w:p>
    <w:p w14:paraId="2AA4393C" w14:textId="77777777" w:rsidR="001F7233" w:rsidRDefault="001F7233">
      <w:pPr>
        <w:spacing w:line="120" w:lineRule="exact"/>
      </w:pPr>
    </w:p>
    <w:p w14:paraId="79347B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Neuseeland</w:t>
      </w:r>
    </w:p>
    <w:p w14:paraId="6D7D57FC" w14:textId="77777777" w:rsidR="001F7233" w:rsidRDefault="00000000">
      <w:pPr>
        <w:tabs>
          <w:tab w:val="left" w:pos="400"/>
        </w:tabs>
        <w:spacing w:after="60"/>
        <w:ind w:left="400" w:hanging="330"/>
      </w:pPr>
      <w:r>
        <w:t>• New Zealand Traveller Declaration spätestens vor der Passkontrolle ausgefüllt, Biosecurity-Angaben auch bei Kleinigkeiten ehrlich deklariert (Neuseeland: Ankunft)</w:t>
      </w:r>
    </w:p>
    <w:p w14:paraId="7CA53E87" w14:textId="77777777" w:rsidR="001F7233" w:rsidRDefault="00000000">
      <w:pPr>
        <w:tabs>
          <w:tab w:val="left" w:pos="400"/>
        </w:tabs>
        <w:spacing w:after="60"/>
        <w:ind w:left="400" w:hanging="330"/>
      </w:pPr>
      <w:r>
        <w:t>• IRD-Nummer online beantragt, sobald die neuseeländische Bankverbindung steht (Neuseeland: Steuer-ID/Bank)</w:t>
      </w:r>
    </w:p>
    <w:p w14:paraId="6A5CB51B" w14:textId="77777777" w:rsidR="001F7233" w:rsidRDefault="00000000">
      <w:pPr>
        <w:tabs>
          <w:tab w:val="left" w:pos="400"/>
        </w:tabs>
        <w:spacing w:after="60"/>
        <w:ind w:left="400" w:hanging="330"/>
      </w:pPr>
      <w:r>
        <w:t xml:space="preserve">• Formular IR330 beim Arbeitgeber eingereicht, bevor die erste Gehaltsabrechnung läuft. Den No-notification-Satz ohne IRD-Nummer liest du auf </w:t>
      </w:r>
      <w:hyperlink r:id="rId1136">
        <w:r w:rsidR="001F7233">
          <w:rPr>
            <w:color w:val="0563C1"/>
            <w:u w:val="single"/>
          </w:rPr>
          <w:t>ird.govt.nz</w:t>
        </w:r>
      </w:hyperlink>
      <w:r>
        <w:t xml:space="preserve"> (Neuseeland: Steuer-ID/Bank)</w:t>
      </w:r>
    </w:p>
    <w:p w14:paraId="019CB497" w14:textId="77777777" w:rsidR="001F7233" w:rsidRDefault="00000000">
      <w:pPr>
        <w:tabs>
          <w:tab w:val="left" w:pos="400"/>
        </w:tabs>
        <w:spacing w:after="60"/>
        <w:ind w:left="400" w:hanging="330"/>
      </w:pPr>
      <w:r>
        <w:t>• Bankkonto per Filialtermin mit Pass, Visumsnachweis und Adressnachweis vollständig identitätsgeprüft (Neuseeland: Ankunft)</w:t>
      </w:r>
    </w:p>
    <w:p w14:paraId="73C8A7EB" w14:textId="77777777" w:rsidR="001F7233" w:rsidRDefault="00000000">
      <w:pPr>
        <w:tabs>
          <w:tab w:val="left" w:pos="400"/>
        </w:tabs>
        <w:spacing w:after="60"/>
        <w:ind w:left="400" w:hanging="330"/>
      </w:pPr>
      <w:r>
        <w:t>• Eigene Berechtigung fürs öffentliche Gesundheitssystem anhand der tatsächlichen Visumslaufzeit geprüft (Zwei-Jahres-Schwelle ab dem ersten Tag in Neuseeland) und bei einer Hausarztpraxis angemeldet (Neuseeland: Gesundheitssystem).</w:t>
      </w:r>
    </w:p>
    <w:p w14:paraId="73DEE2DF" w14:textId="77777777" w:rsidR="001F7233" w:rsidRDefault="00000000">
      <w:pPr>
        <w:tabs>
          <w:tab w:val="left" w:pos="400"/>
        </w:tabs>
        <w:spacing w:after="60"/>
        <w:ind w:left="400" w:hanging="330"/>
      </w:pPr>
      <w:r>
        <w:t xml:space="preserve">• Führerschein bei einer autorisierten Stelle umgetauscht – Deutschland zählt als exempt country und kann nach Sehtest </w:t>
      </w:r>
      <w:r>
        <w:lastRenderedPageBreak/>
        <w:t>ohne weitere Prüfung umgeschrieben werden (Neuseeland: Führerschein/Auto).</w:t>
      </w:r>
    </w:p>
    <w:p w14:paraId="48B27E2C" w14:textId="77777777" w:rsidR="001F7233" w:rsidRDefault="00000000">
      <w:pPr>
        <w:tabs>
          <w:tab w:val="left" w:pos="400"/>
        </w:tabs>
        <w:spacing w:after="60"/>
        <w:ind w:left="400" w:hanging="330"/>
      </w:pPr>
      <w:r>
        <w:t>• Linksverkehr bewusst geübt: vor jedem Linksabbiegen zuerst nach rechts geschaut (Neuseeland: Führerschein/Auto)</w:t>
      </w:r>
    </w:p>
    <w:p w14:paraId="029F2CE3" w14:textId="77777777" w:rsidR="001F7233" w:rsidRDefault="00000000">
      <w:pPr>
        <w:tabs>
          <w:tab w:val="left" w:pos="400"/>
        </w:tabs>
        <w:spacing w:after="60"/>
        <w:ind w:left="400" w:hanging="330"/>
      </w:pPr>
      <w:r>
        <w:t>• Kaution (höchstens vier Wochenmieten) über das Online-Formular direkt an Tenancy Services überwiesen, nicht an den Vermieter (Neuseeland: Wohnen)</w:t>
      </w:r>
    </w:p>
    <w:p w14:paraId="2F89BE35" w14:textId="77777777" w:rsidR="001F7233" w:rsidRDefault="001F7233">
      <w:pPr>
        <w:spacing w:line="120" w:lineRule="exact"/>
      </w:pPr>
    </w:p>
    <w:p w14:paraId="5252C4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4C49841F" w14:textId="77777777" w:rsidR="001F7233" w:rsidRDefault="00000000">
      <w:pPr>
        <w:tabs>
          <w:tab w:val="left" w:pos="400"/>
        </w:tabs>
        <w:spacing w:after="60"/>
        <w:ind w:left="400" w:hanging="330"/>
      </w:pPr>
      <w:r>
        <w:t>• Übergangsfrist für das Fahren mit deutschem Führerschein im Blick behalten (aktuell bis zu 18 Monate ab letzter Einreise) und Umtausch nicht aufschieben (Neuseeland: Führerschein/Auto).</w:t>
      </w:r>
    </w:p>
    <w:p w14:paraId="3B5E6B62" w14:textId="77777777" w:rsidR="001F7233" w:rsidRDefault="00000000">
      <w:pPr>
        <w:tabs>
          <w:tab w:val="left" w:pos="400"/>
        </w:tabs>
        <w:spacing w:after="60"/>
        <w:ind w:left="400" w:hanging="330"/>
      </w:pPr>
      <w:r>
        <w:t>• KiwiSaver-Berechtigung anhand des Aufenthaltsstatus geklärt – beim AEWV zunächst ausgeschlossen, erst ab Resident-Visum möglich (Neuseeland: Steuer-ID/Bank)</w:t>
      </w:r>
    </w:p>
    <w:p w14:paraId="304A6B70" w14:textId="77777777" w:rsidR="001F7233" w:rsidRDefault="00000000">
      <w:pPr>
        <w:tabs>
          <w:tab w:val="left" w:pos="400"/>
        </w:tabs>
        <w:spacing w:after="60"/>
        <w:ind w:left="400" w:hanging="330"/>
      </w:pPr>
      <w:r>
        <w:t>Centrix, Equifax NZ oder Experian (früher illion)</w:t>
      </w:r>
    </w:p>
    <w:p w14:paraId="3208838D" w14:textId="77777777" w:rsidR="001F7233" w:rsidRDefault="00000000">
      <w:pPr>
        <w:tabs>
          <w:tab w:val="left" w:pos="400"/>
        </w:tabs>
        <w:spacing w:after="60"/>
        <w:ind w:left="400" w:hanging="330"/>
      </w:pPr>
      <w:r>
        <w:t>• Transitional-Resident-Befreiung (48 Monate auf die meisten ausländischen Kapital- und Mieteinkünfte) mit einer Steuerberatung auf die eigene Situation geprüft (Neuseeland: Steuer-ID/Bank).</w:t>
      </w:r>
    </w:p>
    <w:p w14:paraId="0BAB863A" w14:textId="77777777" w:rsidR="001F7233" w:rsidRDefault="00000000">
      <w:pPr>
        <w:tabs>
          <w:tab w:val="left" w:pos="400"/>
        </w:tabs>
        <w:spacing w:after="60"/>
        <w:ind w:left="400" w:hanging="330"/>
      </w:pPr>
      <w:r>
        <w:t>• Bei geplantem Arbeitgeberwechsel auf dem AEWV: Akkreditierung und Job Check des neuen Arbeitgebers sowie die eigene Variation of Conditions abgewartet, bevor beim alten Arbeitgeber gekündigt wird (Neuseeland: Arbeitswelt).</w:t>
      </w:r>
    </w:p>
    <w:p w14:paraId="4E4915EB" w14:textId="77777777" w:rsidR="001F7233" w:rsidRDefault="00000000">
      <w:pPr>
        <w:tabs>
          <w:tab w:val="left" w:pos="400"/>
        </w:tabs>
        <w:spacing w:after="60"/>
        <w:ind w:left="400" w:hanging="330"/>
      </w:pPr>
      <w:r>
        <w:t>• Notfallset für mindestens drei Tage angelegt, GeoNet-App und Emergency Mobile Alert installiert (Neuseeland: Recht/Sicherheit)</w:t>
      </w:r>
    </w:p>
    <w:p w14:paraId="64DAB0B6" w14:textId="77777777" w:rsidR="001F7233" w:rsidRDefault="00000000">
      <w:pPr>
        <w:tabs>
          <w:tab w:val="left" w:pos="400"/>
        </w:tabs>
        <w:spacing w:after="60"/>
        <w:ind w:left="400" w:hanging="330"/>
      </w:pPr>
      <w:r>
        <w:t>• Festen Videotelefonie-Termin mit der Familie in Deutschland trotz der 10 bis 12 Stunden Zeitverschiebung eingerichtet, Heimatbesuche zu Feiertagen früh gebucht (Neuseeland: Freunde/Kulturschock)</w:t>
      </w:r>
    </w:p>
    <w:p w14:paraId="34BA15E0" w14:textId="77777777" w:rsidR="001F7233" w:rsidRDefault="001F7233">
      <w:pPr>
        <w:spacing w:line="120" w:lineRule="exact"/>
      </w:pPr>
    </w:p>
    <w:p w14:paraId="61E61175" w14:textId="77777777" w:rsidR="001F7233" w:rsidRDefault="00000000">
      <w:r>
        <w:lastRenderedPageBreak/>
        <w:t>• Quellen- und Datenstand: September 2026; Redaktionsschluss: Oktober 2026. Fristen, Gebühren und Bearbeitungszeiten in dieser Checkliste ändern sich häufig. Prüfe vor jeder Kündigung, Buchung oder Behördenfahrt die aktuellen Angaben im jeweiligen Kapitel und auf den offiziellen Seiten.</w:t>
      </w:r>
    </w:p>
    <w:p w14:paraId="5238A299" w14:textId="77777777" w:rsidR="001F7233" w:rsidRDefault="00000000">
      <w:pPr>
        <w:spacing w:line="220" w:lineRule="exact"/>
      </w:pPr>
      <w:r>
        <w:br w:type="page"/>
      </w:r>
    </w:p>
    <w:p w14:paraId="61C2B367" w14:textId="77777777" w:rsidR="001F7233" w:rsidRDefault="00000000">
      <w:pPr>
        <w:pStyle w:val="Heading2"/>
        <w:keepNext/>
        <w:spacing w:line="341" w:lineRule="auto"/>
        <w:jc w:val="center"/>
      </w:pPr>
      <w:bookmarkStart w:id="149" w:name="anhang_b"/>
      <w:r>
        <w:rPr>
          <w:rFonts w:ascii="Amazon Ember" w:eastAsia="Amazon Ember" w:hAnsi="Amazon Ember" w:cs="Amazon Ember"/>
          <w:color w:val="0000FF"/>
          <w:sz w:val="36"/>
          <w:szCs w:val="36"/>
        </w:rPr>
        <w:lastRenderedPageBreak/>
        <w:t>Anhang B: Glossar Deutsch–Englisch</w:t>
      </w:r>
      <w:bookmarkEnd w:id="149"/>
    </w:p>
    <w:p w14:paraId="05695EDF" w14:textId="77777777" w:rsidR="001F7233" w:rsidRDefault="00000000">
      <w:pPr>
        <w:spacing w:after="140"/>
      </w:pPr>
      <w:r>
        <w:t>Jeder Eintrag steht in einer Zeile: englischer Begriff — deutsche Bedeutung — Kapitel oder Referenz. Die Länderabschnitte sind alphabetisch sortiert; Abkürzungen und umgangssprachliche Wendungen stehen zuerst. Nutze die Suche des E-Readers oder springe über das Inhaltsverzeichnis direkt zum genannten Kapitel.</w:t>
      </w:r>
    </w:p>
    <w:p w14:paraId="36694C6E" w14:textId="77777777" w:rsidR="001F7233" w:rsidRDefault="00000000">
      <w:pPr>
        <w:pStyle w:val="Heading3"/>
      </w:pPr>
      <w:r>
        <w:t>Schnellhilfe: Abkürzungen und Umgangssprache</w:t>
      </w:r>
    </w:p>
    <w:p w14:paraId="00A5F361" w14:textId="77777777" w:rsidR="001F7233" w:rsidRDefault="00000000">
      <w:pPr>
        <w:pStyle w:val="ListParagraph"/>
      </w:pPr>
      <w:r>
        <w:rPr>
          <w:b/>
        </w:rPr>
        <w:t>BYOB — Bring Your Own Bottle/Beverage: eigene Getränke mitbringen. Im Restaurant häufig eigene Weinflasche, eventuell mit Korkgeld.</w:t>
      </w:r>
    </w:p>
    <w:p w14:paraId="7976746D" w14:textId="77777777" w:rsidR="001F7233" w:rsidRDefault="00000000">
      <w:pPr>
        <w:pStyle w:val="ListParagraph"/>
      </w:pPr>
      <w:r>
        <w:rPr>
          <w:b/>
        </w:rPr>
        <w:t>CRS</w:t>
      </w:r>
      <w:r>
        <w:t xml:space="preserve"> — Comprehensive Ranking System: Express-Entry-Rangpunktzahl in Kanada.</w:t>
      </w:r>
    </w:p>
    <w:p w14:paraId="505D6F89" w14:textId="77777777" w:rsidR="001F7233" w:rsidRDefault="00000000">
      <w:pPr>
        <w:pStyle w:val="ListParagraph"/>
      </w:pPr>
      <w:r>
        <w:rPr>
          <w:b/>
        </w:rPr>
        <w:t>IRD</w:t>
      </w:r>
      <w:r>
        <w:t xml:space="preserve"> — Inland Revenue Department: Neuseelands Steuerbehörde; tritt öffentlich meist unter dem Namen Inland Revenue auf. Zuständig unter anderem für Einkommensteuer, GST und bestimmte Familienleistungen.</w:t>
      </w:r>
    </w:p>
    <w:p w14:paraId="2B8CBC67" w14:textId="77777777" w:rsidR="001F7233" w:rsidRDefault="00000000">
      <w:pPr>
        <w:pStyle w:val="ListParagraph"/>
      </w:pPr>
      <w:r>
        <w:rPr>
          <w:b/>
        </w:rPr>
        <w:t>IRCC</w:t>
      </w:r>
      <w:r>
        <w:t xml:space="preserve"> — Immigration, Refugees and Citizenship Canada: kanadisches Bundesministerium für Einwanderung, Flüchtlinge und Staatsbürgerschaft.</w:t>
      </w:r>
    </w:p>
    <w:p w14:paraId="512488E5" w14:textId="77777777" w:rsidR="001F7233" w:rsidRDefault="00000000">
      <w:pPr>
        <w:pStyle w:val="ListParagraph"/>
      </w:pPr>
      <w:r>
        <w:rPr>
          <w:b/>
        </w:rPr>
        <w:t>T–18 / T–12</w:t>
      </w:r>
      <w:r>
        <w:t xml:space="preserve"> — Zeitpunkt 18 beziehungsweise 12 Monate vor dem geplanten Umzug (T); kein Behördencode.</w:t>
      </w:r>
    </w:p>
    <w:p w14:paraId="01A48BFE" w14:textId="77777777" w:rsidR="001F7233" w:rsidRDefault="00000000">
      <w:pPr>
        <w:pStyle w:val="ListParagraph"/>
      </w:pPr>
      <w:r>
        <w:rPr>
          <w:b/>
        </w:rPr>
        <w:t>the dole — Umgangssprachlich Arbeitslosenunterstützung, besonders in Australien und Neuseeland; Behörden verwenden JobSeeker Payment oder Jobseeker Support.</w:t>
      </w:r>
    </w:p>
    <w:p w14:paraId="209B37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Gemeinsam</w:t>
      </w:r>
    </w:p>
    <w:p w14:paraId="7DB6046E" w14:textId="77777777" w:rsidR="001F7233" w:rsidRDefault="00000000">
      <w:pPr>
        <w:pStyle w:val="ListParagraph"/>
      </w:pPr>
      <w:r>
        <w:rPr>
          <w:b/>
        </w:rPr>
        <w:t xml:space="preserve">Apostille — Beglaubigung nach dem Haager Übereinkommen. Ob das deutsche Führungszeugnis sie braucht, steht im Kapitel Deutschland vor dem Abflug: oft für Australien, meist nicht für </w:t>
      </w:r>
      <w:r>
        <w:rPr>
          <w:b/>
        </w:rPr>
        <w:lastRenderedPageBreak/>
        <w:t>Kanada und Neuseeland, für die USA nur wenn die Stelle sie verlangt | Deutschland vor dem Abflug.</w:t>
      </w:r>
    </w:p>
    <w:p w14:paraId="4AD4F3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6682B7BA" w14:textId="77777777" w:rsidR="001F7233" w:rsidRDefault="00000000">
      <w:pPr>
        <w:pStyle w:val="ListParagraph"/>
      </w:pPr>
      <w:r>
        <w:rPr>
          <w:b/>
        </w:rPr>
        <w:t>Windfall Elimination Provision (WEP) / Government Pension Offset (GPO). Frühere Kürzungsregeln der US-Rente bei ausländischer Zusatzrente, beide 2025 durch den Social Security Fairness Act abgeschafft | Kap. 39</w:t>
      </w:r>
    </w:p>
    <w:p w14:paraId="3FCF505C" w14:textId="77777777" w:rsidR="001F7233" w:rsidRDefault="00000000">
      <w:pPr>
        <w:pStyle w:val="ListParagraph"/>
      </w:pPr>
      <w:r>
        <w:rPr>
          <w:b/>
        </w:rPr>
        <w:t>Warning / Watch — Wetter-Warnstufen: Warning bedeutet akute Gefahr, sofort handeln. Watch bedeutet, Bedingungen sind möglich, sei vorbereitet | Kap. 40</w:t>
      </w:r>
    </w:p>
    <w:p w14:paraId="0F4AA195" w14:textId="77777777" w:rsidR="001F7233" w:rsidRDefault="00000000">
      <w:pPr>
        <w:pStyle w:val="ListParagraph"/>
      </w:pPr>
      <w:r>
        <w:rPr>
          <w:b/>
        </w:rPr>
        <w:t>WARN Act</w:t>
      </w:r>
      <w:r>
        <w:t xml:space="preserve"> — Bundesgesetz, das bei größeren Massenentlassungen eine Vorankündigungsfrist von 60 Tagen vorschreibt | Kap. 30</w:t>
      </w:r>
    </w:p>
    <w:p w14:paraId="3D258188" w14:textId="77777777" w:rsidR="001F7233" w:rsidRDefault="00000000">
      <w:pPr>
        <w:pStyle w:val="ListParagraph"/>
      </w:pPr>
      <w:r>
        <w:rPr>
          <w:b/>
        </w:rPr>
        <w:t>Visa Bulletin</w:t>
      </w:r>
      <w:r>
        <w:t xml:space="preserve"> — monatliche Liste des State Department mit den aktuellen Stichtagen (Priority Dates) je Green-Card-Kategorie | Kap. 6, 7, 9, 10, 30</w:t>
      </w:r>
    </w:p>
    <w:p w14:paraId="62E72548" w14:textId="77777777" w:rsidR="001F7233" w:rsidRDefault="00000000">
      <w:pPr>
        <w:pStyle w:val="ListParagraph"/>
      </w:pPr>
      <w:r>
        <w:rPr>
          <w:b/>
        </w:rPr>
        <w:t>Visa</w:t>
      </w:r>
      <w:r>
        <w:t xml:space="preserve"> — Einreisedokument im Pass, ausgestellt vom Konsulat – zu unterscheiden vom Status nach der Einreise | Kap. 11</w:t>
      </w:r>
    </w:p>
    <w:p w14:paraId="588E240E" w14:textId="77777777" w:rsidR="001F7233" w:rsidRDefault="00000000">
      <w:pPr>
        <w:pStyle w:val="ListParagraph"/>
      </w:pPr>
      <w:r>
        <w:rPr>
          <w:b/>
        </w:rPr>
        <w:t>Venmo</w:t>
      </w:r>
      <w:r>
        <w:t xml:space="preserve"> — populäre App für Geldüberweisungen zwischen Privatpersonen, gehört zu PayPal | Kap. 25</w:t>
      </w:r>
    </w:p>
    <w:p w14:paraId="600A1250" w14:textId="77777777" w:rsidR="001F7233" w:rsidRDefault="00000000">
      <w:pPr>
        <w:pStyle w:val="ListParagraph"/>
      </w:pPr>
      <w:r>
        <w:rPr>
          <w:b/>
        </w:rPr>
        <w:t>Urgent Care</w:t>
      </w:r>
      <w:r>
        <w:t xml:space="preserve"> — Walk-in-Klinik für dringende, aber nicht lebensbedrohliche Fälle, günstiger als die Notaufnahme | Kap. 26</w:t>
      </w:r>
    </w:p>
    <w:p w14:paraId="7D6D701C" w14:textId="77777777" w:rsidR="001F7233" w:rsidRDefault="00000000">
      <w:pPr>
        <w:pStyle w:val="ListParagraph"/>
      </w:pPr>
      <w:r>
        <w:rPr>
          <w:b/>
        </w:rPr>
        <w:t>Treaty Trader (E-1) / Treaty Investor (E-2) — Visa für Handels- oder Investitionsvertragsstaaten wie Deutschland, ohne Green-Card-Absicht | Kap. 9</w:t>
      </w:r>
    </w:p>
    <w:p w14:paraId="6A72D556" w14:textId="77777777" w:rsidR="001F7233" w:rsidRDefault="00000000">
      <w:pPr>
        <w:pStyle w:val="ListParagraph"/>
      </w:pPr>
      <w:r>
        <w:rPr>
          <w:b/>
        </w:rPr>
        <w:t>Totalization Agreement</w:t>
      </w:r>
      <w:r>
        <w:t xml:space="preserve"> — Sozialversicherungsabkommen Deutschland–USA, verhindert doppelte Rentenbeiträge und rechnet Versicherungszeiten zusammen | Kap. 39</w:t>
      </w:r>
    </w:p>
    <w:p w14:paraId="526F2520" w14:textId="77777777" w:rsidR="001F7233" w:rsidRDefault="00000000">
      <w:pPr>
        <w:pStyle w:val="ListParagraph"/>
      </w:pPr>
      <w:r>
        <w:rPr>
          <w:b/>
        </w:rPr>
        <w:t>Tax Return</w:t>
      </w:r>
      <w:r>
        <w:t xml:space="preserve"> — jährliche Steuererklärung, Bundesformular 1040, plus gegebenenfalls ein Formular des Bundesstaats | Kap. 28</w:t>
      </w:r>
    </w:p>
    <w:p w14:paraId="0CF01126" w14:textId="77777777" w:rsidR="001F7233" w:rsidRDefault="00000000">
      <w:pPr>
        <w:pStyle w:val="ListParagraph"/>
      </w:pPr>
      <w:r>
        <w:rPr>
          <w:b/>
        </w:rPr>
        <w:t>Substantial Presence Test</w:t>
      </w:r>
      <w:r>
        <w:t xml:space="preserve"> — IRS-Formel zur Feststellung der US-Steueransässigkeit anhand der Aufenthaltstage | Kap. 8, 28</w:t>
      </w:r>
    </w:p>
    <w:p w14:paraId="70CE8E15" w14:textId="77777777" w:rsidR="001F7233" w:rsidRDefault="00000000">
      <w:pPr>
        <w:pStyle w:val="ListParagraph"/>
      </w:pPr>
      <w:r>
        <w:rPr>
          <w:b/>
        </w:rPr>
        <w:lastRenderedPageBreak/>
        <w:t>Status — Aufenthalts- und Tätigkeitsberechtigung im Land nach der Einreise, dokumentiert im I-94. Zu unterscheiden vom Visum im Pass | Kap. 6, 11</w:t>
      </w:r>
    </w:p>
    <w:p w14:paraId="3F2DAD12" w14:textId="77777777" w:rsidR="001F7233" w:rsidRDefault="00000000">
      <w:pPr>
        <w:pStyle w:val="ListParagraph"/>
      </w:pPr>
      <w:r>
        <w:rPr>
          <w:b/>
        </w:rPr>
        <w:t>Specialty Occupation</w:t>
      </w:r>
      <w:r>
        <w:t xml:space="preserve"> — Tätigkeit, die mindestens einen Bachelorabschluss im relevanten Fach voraussetzt, H-1B-Grundvoraussetzung | Kap. 5</w:t>
      </w:r>
    </w:p>
    <w:p w14:paraId="565565AD" w14:textId="77777777" w:rsidR="001F7233" w:rsidRDefault="00000000">
      <w:pPr>
        <w:pStyle w:val="ListParagraph"/>
      </w:pPr>
      <w:r>
        <w:rPr>
          <w:b/>
        </w:rPr>
        <w:t>Social Security</w:t>
      </w:r>
      <w:r>
        <w:t xml:space="preserve"> — staatliches US-Rentenversicherungssystem, finanziert über Abgaben vom Gehalt | Kap. 39</w:t>
      </w:r>
    </w:p>
    <w:p w14:paraId="252A8B65" w14:textId="77777777" w:rsidR="001F7233" w:rsidRDefault="00000000">
      <w:pPr>
        <w:pStyle w:val="ListParagraph"/>
      </w:pPr>
      <w:r>
        <w:rPr>
          <w:b/>
        </w:rPr>
        <w:t>Small Claims Court</w:t>
      </w:r>
      <w:r>
        <w:t xml:space="preserve"> — vereinfachtes Gericht für kleinere Streitwerte, meist ohne Anwalt | Kap. 13, 40</w:t>
      </w:r>
    </w:p>
    <w:p w14:paraId="6C326A98" w14:textId="77777777" w:rsidR="001F7233" w:rsidRDefault="00000000">
      <w:pPr>
        <w:pStyle w:val="ListParagraph"/>
      </w:pPr>
      <w:r>
        <w:rPr>
          <w:b/>
        </w:rPr>
        <w:t>Secondary Inspection</w:t>
      </w:r>
      <w:r>
        <w:t xml:space="preserve"> — vertiefte Zweitkontrolle bei der Einreise in einem separaten Bereich, kein Grund zur Sorge an sich | Kap. 23</w:t>
      </w:r>
    </w:p>
    <w:p w14:paraId="65303F4E" w14:textId="77777777" w:rsidR="001F7233" w:rsidRDefault="00000000">
      <w:pPr>
        <w:pStyle w:val="ListParagraph"/>
      </w:pPr>
      <w:r>
        <w:rPr>
          <w:b/>
        </w:rPr>
        <w:t>Schedule A</w:t>
      </w:r>
      <w:r>
        <w:t xml:space="preserve"> — Liste von Mangelberufen mit vereinfachter Arbeitsmarktprüfung für die Green Card | Kap. 6</w:t>
      </w:r>
    </w:p>
    <w:p w14:paraId="06F9775E" w14:textId="77777777" w:rsidR="001F7233" w:rsidRDefault="00000000">
      <w:pPr>
        <w:pStyle w:val="ListParagraph"/>
      </w:pPr>
      <w:r>
        <w:rPr>
          <w:b/>
        </w:rPr>
        <w:t>SAT / ACT</w:t>
      </w:r>
      <w:r>
        <w:t xml:space="preserve"> — die beiden gängigen standardisierten Studierfähigkeitstests für die College-Bewerbung, meist in Grade 11 | Kap. 36, 38</w:t>
      </w:r>
    </w:p>
    <w:p w14:paraId="2B65176F" w14:textId="77777777" w:rsidR="001F7233" w:rsidRDefault="00000000">
      <w:pPr>
        <w:pStyle w:val="ListParagraph"/>
      </w:pPr>
      <w:r>
        <w:rPr>
          <w:b/>
        </w:rPr>
        <w:t>SALT (State and Local Tax Deduction) — Möglichkeit, gezahlte Landes- und Kommunalsteuern von der Bundessteuer abzuziehen, gedeckelt | Kap. 14</w:t>
      </w:r>
    </w:p>
    <w:p w14:paraId="6040BF56" w14:textId="77777777" w:rsidR="001F7233" w:rsidRDefault="00000000">
      <w:pPr>
        <w:pStyle w:val="ListParagraph"/>
      </w:pPr>
      <w:r>
        <w:rPr>
          <w:b/>
        </w:rPr>
        <w:t>Sales Tax</w:t>
      </w:r>
      <w:r>
        <w:t xml:space="preserve"> — Verkaufssteuer auf Waren und Dienstleistungen, an der Kasse aufgeschlagen, Satz variiert je Bundesstaat und Kommune | Kap. 12, 28</w:t>
      </w:r>
    </w:p>
    <w:p w14:paraId="2EF9210F" w14:textId="77777777" w:rsidR="001F7233" w:rsidRDefault="00000000">
      <w:pPr>
        <w:pStyle w:val="ListParagraph"/>
      </w:pPr>
      <w:r>
        <w:rPr>
          <w:b/>
        </w:rPr>
        <w:t>Restricted Stock Units (RSU)</w:t>
      </w:r>
      <w:r>
        <w:t xml:space="preserve"> — Aktienzuteilung durch den Arbeitgeber, die nach einer Sperrfrist (Vesting) ins Eigentum übergeht | Kap. 29, 39</w:t>
      </w:r>
    </w:p>
    <w:p w14:paraId="2675F59F" w14:textId="77777777" w:rsidR="001F7233" w:rsidRDefault="00000000">
      <w:pPr>
        <w:pStyle w:val="ListParagraph"/>
      </w:pPr>
      <w:r>
        <w:rPr>
          <w:b/>
        </w:rPr>
        <w:t>Request for Evidence (RFE)</w:t>
      </w:r>
      <w:r>
        <w:t xml:space="preserve"> — Aufforderung der USCIS, einen Antrag mit weiteren Nachweisen zu ergänzen | Kap. 5, 11</w:t>
      </w:r>
    </w:p>
    <w:p w14:paraId="165C9EF2" w14:textId="77777777" w:rsidR="001F7233" w:rsidRDefault="00000000">
      <w:pPr>
        <w:pStyle w:val="ListParagraph"/>
      </w:pPr>
      <w:r>
        <w:rPr>
          <w:b/>
        </w:rPr>
        <w:t>Reentry Permit</w:t>
      </w:r>
      <w:r>
        <w:t xml:space="preserve"> — schützt den Green-Card-Status bei einem geplanten Auslandsaufenthalt von bis zu zwei Jahren | Kap. 6, 7, 41</w:t>
      </w:r>
    </w:p>
    <w:p w14:paraId="7A4A56A5" w14:textId="77777777" w:rsidR="001F7233" w:rsidRDefault="00000000">
      <w:pPr>
        <w:pStyle w:val="ListParagraph"/>
      </w:pPr>
      <w:r>
        <w:rPr>
          <w:b/>
        </w:rPr>
        <w:t>Reciprocity</w:t>
      </w:r>
      <w:r>
        <w:t xml:space="preserve"> — Gegenseitigkeitsabkommen, nach dem ein Bundesstaat einen ausländischen Führerschein ohne neue Prüfung anerkennt | Kap. 27</w:t>
      </w:r>
    </w:p>
    <w:p w14:paraId="10EAE2A4" w14:textId="77777777" w:rsidR="001F7233" w:rsidRDefault="00000000">
      <w:pPr>
        <w:pStyle w:val="ListParagraph"/>
      </w:pPr>
      <w:r>
        <w:rPr>
          <w:b/>
        </w:rPr>
        <w:t>PTO</w:t>
      </w:r>
      <w:r>
        <w:t xml:space="preserve"> — Paid Time Off, bezahlte freie Tage, oft Urlaub und Krankheit zusammengefasst | Kap. 29</w:t>
      </w:r>
    </w:p>
    <w:p w14:paraId="1E057A3B" w14:textId="77777777" w:rsidR="001F7233" w:rsidRDefault="00000000">
      <w:pPr>
        <w:pStyle w:val="ListParagraph"/>
      </w:pPr>
      <w:r>
        <w:rPr>
          <w:b/>
        </w:rPr>
        <w:lastRenderedPageBreak/>
        <w:t>PTA</w:t>
      </w:r>
      <w:r>
        <w:t xml:space="preserve"> — Parent-Teacher Association, Eltern-Lehrer-Vereinigung an der Schule | Kap. 32, 36</w:t>
      </w:r>
    </w:p>
    <w:p w14:paraId="532EFC4E" w14:textId="77777777" w:rsidR="001F7233" w:rsidRDefault="00000000">
      <w:pPr>
        <w:pStyle w:val="ListParagraph"/>
      </w:pPr>
      <w:r>
        <w:rPr>
          <w:b/>
        </w:rPr>
        <w:t>Property Tax</w:t>
      </w:r>
      <w:r>
        <w:t xml:space="preserve"> — Grundsteuer, in den USA meist deutlich höher als in Deutschland | Kap. 14</w:t>
      </w:r>
    </w:p>
    <w:p w14:paraId="4C921221" w14:textId="77777777" w:rsidR="001F7233" w:rsidRDefault="00000000">
      <w:pPr>
        <w:pStyle w:val="ListParagraph"/>
      </w:pPr>
      <w:r>
        <w:rPr>
          <w:b/>
        </w:rPr>
        <w:t>Private School</w:t>
      </w:r>
      <w:r>
        <w:t xml:space="preserve"> — Schule in freier Trägerschaft, oft mit Schulgeld, teils religiös gebunden | Kap. 36</w:t>
      </w:r>
    </w:p>
    <w:p w14:paraId="1ACE5501" w14:textId="77777777" w:rsidR="001F7233" w:rsidRDefault="00000000">
      <w:pPr>
        <w:pStyle w:val="ListParagraph"/>
      </w:pPr>
      <w:r>
        <w:rPr>
          <w:b/>
        </w:rPr>
        <w:t>Priority Date</w:t>
      </w:r>
      <w:r>
        <w:t xml:space="preserve"> — Datum, das die Position in der Green-Card-Warteschlange festlegt | Kap. 6, 7</w:t>
      </w:r>
    </w:p>
    <w:p w14:paraId="789FD91B" w14:textId="77777777" w:rsidR="001F7233" w:rsidRDefault="00000000">
      <w:pPr>
        <w:pStyle w:val="ListParagraph"/>
      </w:pPr>
      <w:r>
        <w:rPr>
          <w:b/>
        </w:rPr>
        <w:t>Principal &amp; Interest (P&amp;I)</w:t>
      </w:r>
      <w:r>
        <w:t xml:space="preserve"> — Tilgungs- und Zinsanteil der monatlichen Hypothekenrate, ohne Steuern und Versicherung | Kap. 14</w:t>
      </w:r>
    </w:p>
    <w:p w14:paraId="2758E788" w14:textId="77777777" w:rsidR="001F7233" w:rsidRDefault="00000000">
      <w:pPr>
        <w:pStyle w:val="ListParagraph"/>
      </w:pPr>
      <w:r>
        <w:rPr>
          <w:b/>
        </w:rPr>
        <w:t>Primary Care Physician (PCP)</w:t>
      </w:r>
      <w:r>
        <w:t xml:space="preserve"> — Hausarzt, oft erste Anlaufstelle und Überweisungsinstanz, vor allem bei HMO | Kap. 26</w:t>
      </w:r>
    </w:p>
    <w:p w14:paraId="18B716AA" w14:textId="77777777" w:rsidR="001F7233" w:rsidRDefault="00000000">
      <w:pPr>
        <w:pStyle w:val="ListParagraph"/>
      </w:pPr>
      <w:r>
        <w:rPr>
          <w:b/>
        </w:rPr>
        <w:t>Prevailing Wage</w:t>
      </w:r>
      <w:r>
        <w:t xml:space="preserve"> — vom Arbeitsministerium (DOL) festgelegter ortsüblicher Mindestlohn für eine Position, Grundlage für H-1B und PERM | Kap. 6, 11</w:t>
      </w:r>
    </w:p>
    <w:p w14:paraId="42ED2B75" w14:textId="77777777" w:rsidR="001F7233" w:rsidRDefault="00000000">
      <w:pPr>
        <w:pStyle w:val="ListParagraph"/>
      </w:pPr>
      <w:r>
        <w:rPr>
          <w:b/>
        </w:rPr>
        <w:t>Premium Processing</w:t>
      </w:r>
      <w:r>
        <w:t xml:space="preserve"> — kostenpflichtige beschleunigte Bearbeitung, meist 15 Kalendertage, für bestimmte USCIS-Anträge | Kap. 6, 11, 30</w:t>
      </w:r>
    </w:p>
    <w:p w14:paraId="1FA90E15" w14:textId="77777777" w:rsidR="001F7233" w:rsidRDefault="00000000">
      <w:pPr>
        <w:pStyle w:val="ListParagraph"/>
      </w:pPr>
      <w:r>
        <w:rPr>
          <w:b/>
        </w:rPr>
        <w:t>Premium</w:t>
      </w:r>
      <w:r>
        <w:t xml:space="preserve"> — monatlicher Versicherungsbeitrag | Kap. 26</w:t>
      </w:r>
    </w:p>
    <w:p w14:paraId="338E08A8" w14:textId="77777777" w:rsidR="001F7233" w:rsidRDefault="00000000">
      <w:pPr>
        <w:pStyle w:val="ListParagraph"/>
      </w:pPr>
      <w:r>
        <w:rPr>
          <w:b/>
        </w:rPr>
        <w:t>Pre-K / Preschool</w:t>
      </w:r>
      <w:r>
        <w:t xml:space="preserve"> — Vorschulprogramm für 3- bis 4-Jährige, kein Pflichtprogramm | Kap. 36, 38</w:t>
      </w:r>
    </w:p>
    <w:p w14:paraId="6AEEE461" w14:textId="77777777" w:rsidR="001F7233" w:rsidRDefault="00000000">
      <w:pPr>
        <w:pStyle w:val="ListParagraph"/>
      </w:pPr>
      <w:r>
        <w:rPr>
          <w:b/>
        </w:rPr>
        <w:t>Portability</w:t>
      </w:r>
      <w:r>
        <w:t xml:space="preserve"> — Recht, bei laufendem Green-Card-Verfahren den Arbeitgeber zu wechseln, ohne von vorn zu beginnen | Kap. 30</w:t>
      </w:r>
    </w:p>
    <w:p w14:paraId="69BC44C9" w14:textId="77777777" w:rsidR="001F7233" w:rsidRDefault="00000000">
      <w:pPr>
        <w:pStyle w:val="ListParagraph"/>
      </w:pPr>
      <w:r>
        <w:rPr>
          <w:b/>
        </w:rPr>
        <w:t>Points (Discount Points)</w:t>
      </w:r>
      <w:r>
        <w:t xml:space="preserve"> — Vorabzahlung an den Kreditgeber zur Senkung des Hypothekenzinses | Kap. 14</w:t>
      </w:r>
    </w:p>
    <w:p w14:paraId="76A7D46B" w14:textId="77777777" w:rsidR="001F7233" w:rsidRDefault="00000000">
      <w:pPr>
        <w:pStyle w:val="ListParagraph"/>
      </w:pPr>
      <w:r>
        <w:rPr>
          <w:b/>
        </w:rPr>
        <w:t>Petition</w:t>
      </w:r>
      <w:r>
        <w:t xml:space="preserve"> — Antrag des Arbeitgebers, nicht des Arbeitnehmers, bei arbeitgeberbasierten Visa wie H-1B | Kap. 5, 11</w:t>
      </w:r>
    </w:p>
    <w:p w14:paraId="1F8D0150" w14:textId="77777777" w:rsidR="001F7233" w:rsidRDefault="00000000">
      <w:pPr>
        <w:pStyle w:val="ListParagraph"/>
      </w:pPr>
      <w:r>
        <w:rPr>
          <w:b/>
        </w:rPr>
        <w:t>Permitless Carry (Constitutional Carry)</w:t>
      </w:r>
      <w:r>
        <w:t xml:space="preserve"> — erlaubnisfreies Führen einer Waffe in manchen Bundesstaaten | Kap. 12, 40</w:t>
      </w:r>
    </w:p>
    <w:p w14:paraId="7F781806" w14:textId="77777777" w:rsidR="001F7233" w:rsidRDefault="00000000">
      <w:pPr>
        <w:pStyle w:val="ListParagraph"/>
      </w:pPr>
      <w:r>
        <w:rPr>
          <w:b/>
        </w:rPr>
        <w:t>Parole</w:t>
      </w:r>
      <w:r>
        <w:t xml:space="preserve"> — befristete Einreiseerlaubnis ohne Visum aus humanitären oder wichtigen öffentlichen Gründen | Kap. 9</w:t>
      </w:r>
    </w:p>
    <w:p w14:paraId="3D3EA6B3" w14:textId="77777777" w:rsidR="001F7233" w:rsidRDefault="00000000">
      <w:pPr>
        <w:pStyle w:val="ListParagraph"/>
      </w:pPr>
      <w:r>
        <w:rPr>
          <w:b/>
        </w:rPr>
        <w:t>Over-the-Counter (OTC)</w:t>
      </w:r>
      <w:r>
        <w:t xml:space="preserve"> — rezeptfrei erhältliche Medikamente | Kap. 26</w:t>
      </w:r>
    </w:p>
    <w:p w14:paraId="278DF912" w14:textId="77777777" w:rsidR="001F7233" w:rsidRDefault="00000000">
      <w:pPr>
        <w:pStyle w:val="ListParagraph"/>
      </w:pPr>
      <w:r>
        <w:rPr>
          <w:b/>
        </w:rPr>
        <w:lastRenderedPageBreak/>
        <w:t>Out-the-Door Price</w:t>
      </w:r>
      <w:r>
        <w:t xml:space="preserve"> — Endpreis eines Autokaufs inklusive aller Steuern und Gebühren | Kap. 27</w:t>
      </w:r>
    </w:p>
    <w:p w14:paraId="0C98EB6D" w14:textId="77777777" w:rsidR="001F7233" w:rsidRDefault="00000000">
      <w:pPr>
        <w:pStyle w:val="ListParagraph"/>
      </w:pPr>
      <w:r>
        <w:rPr>
          <w:b/>
        </w:rPr>
        <w:t>Out-of-Pocket Maximum</w:t>
      </w:r>
      <w:r>
        <w:t xml:space="preserve"> — Jahreshöchstgrenze der Eigenkosten in der Krankenversicherung, danach übernimmt sie 100 % | Kap. 1, 26</w:t>
      </w:r>
    </w:p>
    <w:p w14:paraId="618C7DCD" w14:textId="77777777" w:rsidR="001F7233" w:rsidRDefault="00000000">
      <w:pPr>
        <w:pStyle w:val="ListParagraph"/>
      </w:pPr>
      <w:r>
        <w:rPr>
          <w:b/>
        </w:rPr>
        <w:t>OPT — Optional Practical Training, bis zu 12 Monate, bei MINT-Fächern 24 Monate auch, Arbeitserlaubnis nach dem Studium unter F-1 | Kap. 8</w:t>
      </w:r>
    </w:p>
    <w:p w14:paraId="65C30D11" w14:textId="77777777" w:rsidR="001F7233" w:rsidRDefault="00000000">
      <w:pPr>
        <w:pStyle w:val="ListParagraph"/>
      </w:pPr>
      <w:r>
        <w:rPr>
          <w:b/>
        </w:rPr>
        <w:t>Open Enrollment</w:t>
      </w:r>
      <w:r>
        <w:t xml:space="preserve"> — jährliche Wahlphase für die Krankenversicherung über den Arbeitgeber, oft im Herbst | Kap. 26</w:t>
      </w:r>
    </w:p>
    <w:p w14:paraId="06D93F17" w14:textId="77777777" w:rsidR="001F7233" w:rsidRDefault="00000000">
      <w:pPr>
        <w:pStyle w:val="ListParagraph"/>
      </w:pPr>
      <w:r>
        <w:rPr>
          <w:b/>
        </w:rPr>
        <w:t>One Big Beautiful Bill Act (OBBBA)</w:t>
      </w:r>
      <w:r>
        <w:t xml:space="preserve"> — Bundesgesetz von 2025 mit weitreichenden Steuer- und Haushaltsänderungen | Kap. 20</w:t>
      </w:r>
    </w:p>
    <w:p w14:paraId="5755F6C6" w14:textId="77777777" w:rsidR="001F7233" w:rsidRDefault="00000000">
      <w:pPr>
        <w:pStyle w:val="ListParagraph"/>
      </w:pPr>
      <w:r>
        <w:rPr>
          <w:b/>
        </w:rPr>
        <w:t>Offer Letter</w:t>
      </w:r>
      <w:r>
        <w:t xml:space="preserve"> — schriftliches Stellenangebot des Arbeitgebers | Kap. 29, 30</w:t>
      </w:r>
    </w:p>
    <w:p w14:paraId="17E8E439" w14:textId="77777777" w:rsidR="001F7233" w:rsidRDefault="00000000">
      <w:pPr>
        <w:pStyle w:val="ListParagraph"/>
      </w:pPr>
      <w:r>
        <w:rPr>
          <w:b/>
        </w:rPr>
        <w:t>Nor’easter</w:t>
      </w:r>
      <w:r>
        <w:t xml:space="preserve"> — kräftiger Nordoststurm an der US-Ostküste, oft mit Starkregen oder Schnee | Kap. 40</w:t>
      </w:r>
    </w:p>
    <w:p w14:paraId="5C880D76" w14:textId="77777777" w:rsidR="001F7233" w:rsidRDefault="00000000">
      <w:pPr>
        <w:pStyle w:val="ListParagraph"/>
      </w:pPr>
      <w:r>
        <w:rPr>
          <w:b/>
        </w:rPr>
        <w:t>No Surprises Act</w:t>
      </w:r>
      <w:r>
        <w:t xml:space="preserve"> — Bundesgesetz gegen Überraschungsrechnungen bei ungeplanter Behandlung außerhalb des Versicherungsnetzwerks | Kap. 26, 38</w:t>
      </w:r>
    </w:p>
    <w:p w14:paraId="6A794EE4" w14:textId="77777777" w:rsidR="001F7233" w:rsidRDefault="00000000">
      <w:pPr>
        <w:pStyle w:val="ListParagraph"/>
      </w:pPr>
      <w:r>
        <w:rPr>
          <w:b/>
        </w:rPr>
        <w:t>Naturalization</w:t>
      </w:r>
      <w:r>
        <w:t xml:space="preserve"> — Einbürgerung, der formale Erwerb der US-Staatsbürgerschaft | Kap. 41</w:t>
      </w:r>
    </w:p>
    <w:p w14:paraId="4AD477AA" w14:textId="77777777" w:rsidR="001F7233" w:rsidRDefault="00000000">
      <w:pPr>
        <w:pStyle w:val="ListParagraph"/>
      </w:pPr>
      <w:r>
        <w:rPr>
          <w:b/>
        </w:rPr>
        <w:t>National Interest Waiver (NIW)</w:t>
      </w:r>
      <w:r>
        <w:t xml:space="preserve"> — Green-Card-Weg ohne Jobangebot und Arbeitsmarktprüfung, bei nachgewiesenem nationalem Interesse | Kap. 6</w:t>
      </w:r>
    </w:p>
    <w:p w14:paraId="53FF91BE" w14:textId="77777777" w:rsidR="001F7233" w:rsidRDefault="00000000">
      <w:pPr>
        <w:pStyle w:val="ListParagraph"/>
      </w:pPr>
      <w:r>
        <w:rPr>
          <w:b/>
        </w:rPr>
        <w:t>Middle School</w:t>
      </w:r>
      <w:r>
        <w:t xml:space="preserve"> — Mittelstufe, Grade 6 bis 8 | Kap. 36</w:t>
      </w:r>
    </w:p>
    <w:p w14:paraId="0E870FD3" w14:textId="77777777" w:rsidR="001F7233" w:rsidRDefault="00000000">
      <w:pPr>
        <w:pStyle w:val="ListParagraph"/>
      </w:pPr>
      <w:r>
        <w:rPr>
          <w:b/>
        </w:rPr>
        <w:t>Metro Area (Metropolitan Statistical Area)</w:t>
      </w:r>
      <w:r>
        <w:t xml:space="preserve"> — zusammenhängende Wirtschafts- und Pendlerregion um eine Kernstadt | Kap. 12, 30</w:t>
      </w:r>
    </w:p>
    <w:p w14:paraId="6E76D768" w14:textId="77777777" w:rsidR="001F7233" w:rsidRDefault="00000000">
      <w:pPr>
        <w:pStyle w:val="ListParagraph"/>
      </w:pPr>
      <w:r>
        <w:rPr>
          <w:b/>
        </w:rPr>
        <w:t>Medicare</w:t>
      </w:r>
      <w:r>
        <w:t xml:space="preserve"> — staatliches Krankenversicherungsprogramm für Menschen ab 65 Jahren | Kap. 26</w:t>
      </w:r>
    </w:p>
    <w:p w14:paraId="6032B51A" w14:textId="77777777" w:rsidR="001F7233" w:rsidRDefault="00000000">
      <w:pPr>
        <w:pStyle w:val="ListParagraph"/>
      </w:pPr>
      <w:r>
        <w:rPr>
          <w:b/>
        </w:rPr>
        <w:t>Medicaid</w:t>
      </w:r>
      <w:r>
        <w:t xml:space="preserve"> — staatliches Krankenversicherungsprogramm für Geringverdienende | Kap. 26</w:t>
      </w:r>
    </w:p>
    <w:p w14:paraId="145A9E42" w14:textId="77777777" w:rsidR="001F7233" w:rsidRDefault="00000000">
      <w:pPr>
        <w:pStyle w:val="ListParagraph"/>
      </w:pPr>
      <w:r>
        <w:rPr>
          <w:b/>
        </w:rPr>
        <w:t>Married Filing Jointly (MFJ)</w:t>
      </w:r>
      <w:r>
        <w:t xml:space="preserve"> — gemeinsame Steuererklärung für Ehepaare, meist der günstigste Steuertarif | Kap. 28</w:t>
      </w:r>
    </w:p>
    <w:p w14:paraId="73760E75" w14:textId="77777777" w:rsidR="001F7233" w:rsidRDefault="00000000">
      <w:pPr>
        <w:pStyle w:val="ListParagraph"/>
      </w:pPr>
      <w:r>
        <w:lastRenderedPageBreak/>
        <w:t>Marketplace (Health Insurance Marketplace) — Online-Börse für private Krankenversicherungen nach dem ACA (</w:t>
      </w:r>
      <w:hyperlink r:id="rId1137">
        <w:r w:rsidR="001F7233">
          <w:rPr>
            <w:rStyle w:val="Hyperlink"/>
          </w:rPr>
          <w:t>healthcare.gov</w:t>
        </w:r>
      </w:hyperlink>
      <w:r>
        <w:t>) | Kap. 26</w:t>
      </w:r>
    </w:p>
    <w:p w14:paraId="13159F75" w14:textId="77777777" w:rsidR="001F7233" w:rsidRDefault="00000000">
      <w:pPr>
        <w:pStyle w:val="ListParagraph"/>
      </w:pPr>
      <w:r>
        <w:rPr>
          <w:b/>
        </w:rPr>
        <w:t>Long-term Resident</w:t>
      </w:r>
      <w:r>
        <w:t xml:space="preserve"> — Green-Card-Inhaber mit Green Card in mindestens 8 der letzten 15 Steuerjahre, Schwelle für die Wegzugsteuer | Kap. 41, 42</w:t>
      </w:r>
    </w:p>
    <w:p w14:paraId="3F931635" w14:textId="77777777" w:rsidR="001F7233" w:rsidRDefault="00000000">
      <w:pPr>
        <w:pStyle w:val="ListParagraph"/>
      </w:pPr>
      <w:r>
        <w:rPr>
          <w:b/>
        </w:rPr>
        <w:t>Loan Estimate</w:t>
      </w:r>
      <w:r>
        <w:t xml:space="preserve"> — standardisierte, bei allen Hypothekenanbietern vergleichbare Kostenübersicht (Pflichtdokument) | Kap. 14</w:t>
      </w:r>
    </w:p>
    <w:p w14:paraId="08C7CCC5" w14:textId="77777777" w:rsidR="001F7233" w:rsidRDefault="00000000">
      <w:pPr>
        <w:pStyle w:val="ListParagraph"/>
      </w:pPr>
      <w:r>
        <w:rPr>
          <w:b/>
        </w:rPr>
        <w:t>Less than Container Load (LCL)</w:t>
      </w:r>
      <w:r>
        <w:t xml:space="preserve"> — Sammelcontainer, in dem mehrere Umzüge zusammen verschifft werden | Kap. 20</w:t>
      </w:r>
    </w:p>
    <w:p w14:paraId="7407490D" w14:textId="77777777" w:rsidR="001F7233" w:rsidRDefault="00000000">
      <w:pPr>
        <w:pStyle w:val="ListParagraph"/>
      </w:pPr>
      <w:r>
        <w:rPr>
          <w:b/>
        </w:rPr>
        <w:t>Layoff</w:t>
      </w:r>
      <w:r>
        <w:t xml:space="preserve"> — Stellenabbau, betriebsbedingte Kündigung ohne individuelles Fehlverhalten | Kap. 30, 42</w:t>
      </w:r>
    </w:p>
    <w:p w14:paraId="568A6D5C" w14:textId="77777777" w:rsidR="001F7233" w:rsidRDefault="00000000">
      <w:pPr>
        <w:pStyle w:val="ListParagraph"/>
      </w:pPr>
      <w:r>
        <w:rPr>
          <w:b/>
        </w:rPr>
        <w:t>Lawful Permanent Residence (LPR)</w:t>
      </w:r>
      <w:r>
        <w:t xml:space="preserve"> — offizielle Bezeichnung für den Green-Card-Status, unbefristeter Aufenthalt | Kap. 6, 7, 41</w:t>
      </w:r>
    </w:p>
    <w:p w14:paraId="17924328" w14:textId="77777777" w:rsidR="001F7233" w:rsidRDefault="00000000">
      <w:pPr>
        <w:pStyle w:val="ListParagraph"/>
      </w:pPr>
      <w:r>
        <w:rPr>
          <w:b/>
        </w:rPr>
        <w:t>ISO (Incentive Stock Options)</w:t>
      </w:r>
      <w:r>
        <w:t xml:space="preserve"> — steuerlich begünstigte Aktienoptionen, meist für Führungskräfte und Gründer | Kap. 39</w:t>
      </w:r>
    </w:p>
    <w:p w14:paraId="61271C1D" w14:textId="77777777" w:rsidR="001F7233" w:rsidRDefault="00000000">
      <w:pPr>
        <w:pStyle w:val="ListParagraph"/>
      </w:pPr>
      <w:r>
        <w:rPr>
          <w:b/>
        </w:rPr>
        <w:t>Intracompany Transferee</w:t>
      </w:r>
      <w:r>
        <w:t xml:space="preserve"> — konzerninterne Versetzung, Grundlage des L-1-Visums | Kap. 9</w:t>
      </w:r>
    </w:p>
    <w:p w14:paraId="346E626C" w14:textId="77777777" w:rsidR="001F7233" w:rsidRDefault="00000000">
      <w:pPr>
        <w:pStyle w:val="ListParagraph"/>
      </w:pPr>
      <w:r>
        <w:rPr>
          <w:b/>
        </w:rPr>
        <w:t>InterNations</w:t>
      </w:r>
      <w:r>
        <w:t xml:space="preserve"> — internationales Netzwerk für Zugewanderte mit lokalen Stammtischen in vielen US-Städten | Kap. 32</w:t>
      </w:r>
    </w:p>
    <w:p w14:paraId="09C29391" w14:textId="77777777" w:rsidR="001F7233" w:rsidRDefault="00000000">
      <w:pPr>
        <w:pStyle w:val="ListParagraph"/>
      </w:pPr>
      <w:r>
        <w:rPr>
          <w:b/>
        </w:rPr>
        <w:t>International Driving Permit (IDP)</w:t>
      </w:r>
      <w:r>
        <w:t xml:space="preserve"> — Übersetzung des nationalen Führerscheins, ergänzt diesen, ersetzt ihn aber nicht | Kap. 27</w:t>
      </w:r>
    </w:p>
    <w:p w14:paraId="08A3DC59" w14:textId="77777777" w:rsidR="001F7233" w:rsidRDefault="00000000">
      <w:pPr>
        <w:pStyle w:val="ListParagraph"/>
      </w:pPr>
      <w:r>
        <w:rPr>
          <w:b/>
        </w:rPr>
        <w:t>INA</w:t>
      </w:r>
      <w:r>
        <w:t xml:space="preserve"> — Immigration and Nationality Act, zentrales US-Einwanderungsgesetz, Basis aller Visa- und Green-Card-Kategorien | Kap. 11</w:t>
      </w:r>
    </w:p>
    <w:p w14:paraId="1148FE6D" w14:textId="77777777" w:rsidR="001F7233" w:rsidRDefault="00000000">
      <w:pPr>
        <w:pStyle w:val="ListParagraph"/>
      </w:pPr>
      <w:r>
        <w:rPr>
          <w:b/>
        </w:rPr>
        <w:t>Immigrant / Nonimmigrant</w:t>
      </w:r>
      <w:r>
        <w:t xml:space="preserve"> — Einwanderer mit unbefristetem Aufenthalt (Green Card) im Unterschied zum befristeten, zweckgebundenen Nichteinwanderer | Kap. 4, 9</w:t>
      </w:r>
    </w:p>
    <w:p w14:paraId="38556900" w14:textId="77777777" w:rsidR="001F7233" w:rsidRDefault="00000000">
      <w:pPr>
        <w:pStyle w:val="ListParagraph"/>
      </w:pPr>
      <w:r>
        <w:rPr>
          <w:b/>
        </w:rPr>
        <w:t>Immediate Relatives</w:t>
      </w:r>
      <w:r>
        <w:t xml:space="preserve"> — Ehepartner, minderjährige Kinder und Eltern von US-Bürgern, ohne jährliches Quotenlimit | Kap. 6</w:t>
      </w:r>
    </w:p>
    <w:p w14:paraId="3FA9F0D4" w14:textId="77777777" w:rsidR="001F7233" w:rsidRDefault="00000000">
      <w:pPr>
        <w:pStyle w:val="ListParagraph"/>
      </w:pPr>
      <w:r>
        <w:rPr>
          <w:b/>
        </w:rPr>
        <w:t>IEP</w:t>
      </w:r>
      <w:r>
        <w:t xml:space="preserve"> — Individualized Education Program, rechtlich bindender Förderplan für Schüler mit Behinderung oder Lernbedarf | Kap. 37</w:t>
      </w:r>
    </w:p>
    <w:p w14:paraId="7588C7F5" w14:textId="77777777" w:rsidR="001F7233" w:rsidRDefault="00000000">
      <w:pPr>
        <w:pStyle w:val="ListParagraph"/>
      </w:pPr>
      <w:r>
        <w:rPr>
          <w:b/>
        </w:rPr>
        <w:t>HSA</w:t>
      </w:r>
      <w:r>
        <w:t xml:space="preserve"> — Health Savings Account, steuerbegünstigtes Sparkonto für Gesundheitskosten, meist mit HDHP | Kap. 26</w:t>
      </w:r>
    </w:p>
    <w:p w14:paraId="1B6C0522" w14:textId="77777777" w:rsidR="001F7233" w:rsidRDefault="00000000">
      <w:pPr>
        <w:pStyle w:val="ListParagraph"/>
      </w:pPr>
      <w:r>
        <w:rPr>
          <w:b/>
        </w:rPr>
        <w:lastRenderedPageBreak/>
        <w:t>HOA</w:t>
      </w:r>
      <w:r>
        <w:t xml:space="preserve"> — Homeowners Association, Eigentümergemeinschaft mit monatlicher Umlage für Gemeinschaftsflächen und Instandhaltung | Kap. 14, 22</w:t>
      </w:r>
    </w:p>
    <w:p w14:paraId="1A0D9809" w14:textId="77777777" w:rsidR="001F7233" w:rsidRDefault="00000000">
      <w:pPr>
        <w:pStyle w:val="ListParagraph"/>
      </w:pPr>
      <w:r>
        <w:rPr>
          <w:b/>
        </w:rPr>
        <w:t>High School / High School Diploma</w:t>
      </w:r>
      <w:r>
        <w:t xml:space="preserve"> — weiterführende Schule, Grade 9 bis 12, mit Abschlusszeugnis (Diploma) | Kap. 36, 42</w:t>
      </w:r>
    </w:p>
    <w:p w14:paraId="168E4AF8" w14:textId="77777777" w:rsidR="001F7233" w:rsidRDefault="00000000">
      <w:pPr>
        <w:pStyle w:val="ListParagraph"/>
      </w:pPr>
      <w:r>
        <w:rPr>
          <w:b/>
        </w:rPr>
        <w:t>HDHP</w:t>
      </w:r>
      <w:r>
        <w:t xml:space="preserve"> — High Deductible Health Plan, Krankenversicherung mit hohem Selbstbehalt, oft kombiniert mit einem HSA | Kap. 26</w:t>
      </w:r>
    </w:p>
    <w:p w14:paraId="6BDEBA52" w14:textId="77777777" w:rsidR="001F7233" w:rsidRDefault="00000000">
      <w:pPr>
        <w:pStyle w:val="ListParagraph"/>
      </w:pPr>
      <w:r>
        <w:rPr>
          <w:b/>
        </w:rPr>
        <w:t>Health Plan Types (HMO / PPO / EPO / POS)</w:t>
      </w:r>
      <w:r>
        <w:t xml:space="preserve"> — HMO: fester Hausarzt, Überweisungspflicht, günstig. PPO: freie Arztwahl, teurer. EPO: festes Netz, keine Überweisungspflicht. POS: Mischform | Kap. 26</w:t>
      </w:r>
    </w:p>
    <w:p w14:paraId="5A9EDEC3" w14:textId="77777777" w:rsidR="001F7233" w:rsidRDefault="00000000">
      <w:pPr>
        <w:pStyle w:val="ListParagraph"/>
      </w:pPr>
      <w:r>
        <w:rPr>
          <w:b/>
        </w:rPr>
        <w:t>Gross-up</w:t>
      </w:r>
      <w:r>
        <w:t xml:space="preserve"> — arbeitgeberseitige Aufstockung einer Zahlung, damit nach Steuerabzug der volle Nettobetrag ankommt | Kap. 20</w:t>
      </w:r>
    </w:p>
    <w:p w14:paraId="1BD4CC2A" w14:textId="77777777" w:rsidR="001F7233" w:rsidRDefault="00000000">
      <w:pPr>
        <w:pStyle w:val="ListParagraph"/>
      </w:pPr>
      <w:r>
        <w:rPr>
          <w:b/>
        </w:rPr>
        <w:t>Green Card</w:t>
      </w:r>
      <w:r>
        <w:t xml:space="preserve"> — umgangssprachlich für die unbefristete Aufenthaltserlaubnis, offiziell Lawful Permanent Residence (LPR) | Kap. 6</w:t>
      </w:r>
    </w:p>
    <w:p w14:paraId="4DA91B42" w14:textId="77777777" w:rsidR="001F7233" w:rsidRDefault="00000000">
      <w:pPr>
        <w:pStyle w:val="ListParagraph"/>
      </w:pPr>
      <w:r>
        <w:rPr>
          <w:b/>
        </w:rPr>
        <w:t>GPA</w:t>
      </w:r>
      <w:r>
        <w:t xml:space="preserve"> — Grade Point Average, Notendurchschnitt auf einer Skala bis 4,0 | Kap. 36</w:t>
      </w:r>
    </w:p>
    <w:p w14:paraId="6B878F10" w14:textId="77777777" w:rsidR="001F7233" w:rsidRDefault="00000000">
      <w:pPr>
        <w:pStyle w:val="ListParagraph"/>
      </w:pPr>
      <w:r>
        <w:rPr>
          <w:b/>
        </w:rPr>
        <w:t>Full Container Load (FCL)</w:t>
      </w:r>
      <w:r>
        <w:t xml:space="preserve"> — ganzer Container nur für den eigenen Umzug, schneller und teurer als LCL | Kap. 20</w:t>
      </w:r>
    </w:p>
    <w:p w14:paraId="4A883BB8" w14:textId="77777777" w:rsidR="001F7233" w:rsidRDefault="00000000">
      <w:pPr>
        <w:pStyle w:val="ListParagraph"/>
      </w:pPr>
      <w:r>
        <w:rPr>
          <w:b/>
        </w:rPr>
        <w:t>Freshman / Sophomore / Junior / Senior</w:t>
      </w:r>
      <w:r>
        <w:t xml:space="preserve"> — die vier Jahrgangsstufen der High School beziehungsweise des College | Kap. 36</w:t>
      </w:r>
    </w:p>
    <w:p w14:paraId="6767D2B0" w14:textId="77777777" w:rsidR="001F7233" w:rsidRDefault="00000000">
      <w:pPr>
        <w:pStyle w:val="ListParagraph"/>
      </w:pPr>
      <w:r>
        <w:rPr>
          <w:b/>
        </w:rPr>
        <w:t>Freddie Mac / Fannie Mae</w:t>
      </w:r>
      <w:r>
        <w:t xml:space="preserve"> — staatlich unterstützte Unternehmen, die Hypotheken von Banken aufkaufen (Conforming Loans) | Kap. 14</w:t>
      </w:r>
    </w:p>
    <w:p w14:paraId="150AA9C5" w14:textId="77777777" w:rsidR="001F7233" w:rsidRDefault="00000000">
      <w:pPr>
        <w:pStyle w:val="ListParagraph"/>
      </w:pPr>
      <w:r>
        <w:rPr>
          <w:b/>
        </w:rPr>
        <w:t>Fraud Alert</w:t>
      </w:r>
      <w:r>
        <w:t xml:space="preserve"> — Vermerk bei einer US-Kreditauskunft, der zusätzliche Identitätsprüfung bei neuen Krediten verlangt | Kap. 25</w:t>
      </w:r>
    </w:p>
    <w:p w14:paraId="551F9965" w14:textId="77777777" w:rsidR="001F7233" w:rsidRDefault="00000000">
      <w:pPr>
        <w:pStyle w:val="ListParagraph"/>
      </w:pPr>
      <w:r>
        <w:rPr>
          <w:b/>
        </w:rPr>
        <w:t>Foreign Tax Credit</w:t>
      </w:r>
      <w:r>
        <w:t xml:space="preserve"> — Anrechnung im Ausland gezahlter Steuern auf die US-Steuerschuld | Kap. 28</w:t>
      </w:r>
    </w:p>
    <w:p w14:paraId="384CA5B0" w14:textId="77777777" w:rsidR="001F7233" w:rsidRDefault="00000000">
      <w:pPr>
        <w:pStyle w:val="ListParagraph"/>
      </w:pPr>
      <w:r>
        <w:rPr>
          <w:b/>
        </w:rPr>
        <w:t>Fiscal Year (FY)</w:t>
      </w:r>
      <w:r>
        <w:t xml:space="preserve"> — US-Haushaltsjahr, für Einwanderung oft 1. Oktober bis 30. September, etwa beim H-1B-Kontingent | Kap. 5</w:t>
      </w:r>
    </w:p>
    <w:p w14:paraId="6F7D1D49" w14:textId="77777777" w:rsidR="001F7233" w:rsidRDefault="00000000">
      <w:pPr>
        <w:pStyle w:val="ListParagraph"/>
      </w:pPr>
      <w:r>
        <w:rPr>
          <w:b/>
        </w:rPr>
        <w:t>Financial Assistance (Charity Care)</w:t>
      </w:r>
      <w:r>
        <w:t xml:space="preserve"> — einkommensabhängiger Erlass von Krankenhausrechnungen | Kap. 26, 38</w:t>
      </w:r>
    </w:p>
    <w:p w14:paraId="2DD97D3F" w14:textId="77777777" w:rsidR="001F7233" w:rsidRDefault="00000000">
      <w:pPr>
        <w:pStyle w:val="ListParagraph"/>
      </w:pPr>
      <w:r>
        <w:rPr>
          <w:b/>
        </w:rPr>
        <w:lastRenderedPageBreak/>
        <w:t>Felony / Misdemeanor / Infraction</w:t>
      </w:r>
      <w:r>
        <w:t xml:space="preserve"> — aufsteigende Schwere von Verstößen: Verbrechen (über 1 Jahr Haft), Vergehen (bis 1 Jahr Haft), kleinster Verstoß wie ein Strafzettel | Kap. 40</w:t>
      </w:r>
    </w:p>
    <w:p w14:paraId="0BA699F4" w14:textId="77777777" w:rsidR="001F7233" w:rsidRDefault="00000000">
      <w:pPr>
        <w:pStyle w:val="ListParagraph"/>
      </w:pPr>
      <w:r>
        <w:rPr>
          <w:b/>
        </w:rPr>
        <w:t>Federal Poverty Guidelines</w:t>
      </w:r>
      <w:r>
        <w:t xml:space="preserve"> — jährlich festgelegte US-Armutsgrenzen, unter anderem Grundlage für den Affidavit of Support | Kap. 41</w:t>
      </w:r>
    </w:p>
    <w:p w14:paraId="116CE4BC" w14:textId="77777777" w:rsidR="001F7233" w:rsidRDefault="00000000">
      <w:pPr>
        <w:pStyle w:val="ListParagraph"/>
      </w:pPr>
      <w:r>
        <w:rPr>
          <w:b/>
        </w:rPr>
        <w:t>Fair Labor Standards Act (FLSA)</w:t>
      </w:r>
      <w:r>
        <w:t xml:space="preserve"> — Bundesgesetz zu Mindestlohn, Überstunden und Kinderarbeit | Kap. 29</w:t>
      </w:r>
    </w:p>
    <w:p w14:paraId="198FB187" w14:textId="77777777" w:rsidR="001F7233" w:rsidRDefault="00000000">
      <w:pPr>
        <w:pStyle w:val="ListParagraph"/>
      </w:pPr>
      <w:r>
        <w:rPr>
          <w:b/>
        </w:rPr>
        <w:t>Fair Housing Act</w:t>
      </w:r>
      <w:r>
        <w:t xml:space="preserve"> — Bundesgesetz gegen Diskriminierung bei Vermietung und Verkauf von Wohnraum | Kap. 22</w:t>
      </w:r>
    </w:p>
    <w:p w14:paraId="389A487B" w14:textId="77777777" w:rsidR="001F7233" w:rsidRDefault="00000000">
      <w:pPr>
        <w:pStyle w:val="ListParagraph"/>
      </w:pPr>
      <w:r>
        <w:rPr>
          <w:b/>
        </w:rPr>
        <w:t>Exchange Visitor</w:t>
      </w:r>
      <w:r>
        <w:t xml:space="preserve"> — Austauschbesucher, Grundlage des J-1-Visums | Kap. 9</w:t>
      </w:r>
    </w:p>
    <w:p w14:paraId="11DB789E" w14:textId="77777777" w:rsidR="001F7233" w:rsidRDefault="00000000">
      <w:pPr>
        <w:pStyle w:val="ListParagraph"/>
      </w:pPr>
      <w:r>
        <w:rPr>
          <w:b/>
        </w:rPr>
        <w:t>ESPP</w:t>
      </w:r>
      <w:r>
        <w:t xml:space="preserve"> — Employee Stock Purchase Plan, vergünstigter Aktienkauf über den Arbeitgeber, oft mit Rabatt bis 15 % | Kap. 29</w:t>
      </w:r>
    </w:p>
    <w:p w14:paraId="2BAF0863" w14:textId="77777777" w:rsidR="001F7233" w:rsidRDefault="00000000">
      <w:pPr>
        <w:pStyle w:val="ListParagraph"/>
      </w:pPr>
      <w:r>
        <w:rPr>
          <w:b/>
        </w:rPr>
        <w:t>Escrow (Account)</w:t>
      </w:r>
      <w:r>
        <w:t xml:space="preserve"> — Treuhandkonto, etwa beim Hauskauf oder für Grundsteuer und Versicherung in der Hypothekenrate | Kap. 14</w:t>
      </w:r>
    </w:p>
    <w:p w14:paraId="74E18046" w14:textId="77777777" w:rsidR="001F7233" w:rsidRDefault="00000000">
      <w:pPr>
        <w:pStyle w:val="ListParagraph"/>
      </w:pPr>
      <w:r>
        <w:rPr>
          <w:b/>
        </w:rPr>
        <w:t>Equal Educational Opportunities Act (EEOA)</w:t>
      </w:r>
      <w:r>
        <w:t xml:space="preserve"> — Bundesgesetz von 1974, verpflichtet Schulen zur Sprachförderung für Englischlerner | Kap. 37</w:t>
      </w:r>
    </w:p>
    <w:p w14:paraId="0A02F41F" w14:textId="77777777" w:rsidR="001F7233" w:rsidRDefault="00000000">
      <w:pPr>
        <w:pStyle w:val="ListParagraph"/>
      </w:pPr>
      <w:r>
        <w:rPr>
          <w:b/>
        </w:rPr>
        <w:t>EOB</w:t>
      </w:r>
      <w:r>
        <w:t xml:space="preserve"> — Explanation of Benefits, Abrechnungsübersicht der Krankenversicherung, keine Rechnung | Kap. 26</w:t>
      </w:r>
    </w:p>
    <w:p w14:paraId="2E5BF1F3" w14:textId="77777777" w:rsidR="001F7233" w:rsidRDefault="00000000">
      <w:pPr>
        <w:pStyle w:val="ListParagraph"/>
      </w:pPr>
      <w:r>
        <w:rPr>
          <w:b/>
        </w:rPr>
        <w:t>Enrolled Agent (EA)</w:t>
      </w:r>
      <w:r>
        <w:t xml:space="preserve"> — von der US-Steuerbehörde IRS zugelassener Steuerfachmann, darf bundesweit vor dem IRS vertreten | Kap. 17, 28</w:t>
      </w:r>
    </w:p>
    <w:p w14:paraId="185DC2F5" w14:textId="77777777" w:rsidR="001F7233" w:rsidRDefault="00000000">
      <w:pPr>
        <w:pStyle w:val="ListParagraph"/>
      </w:pPr>
      <w:r>
        <w:rPr>
          <w:b/>
        </w:rPr>
        <w:t>Employee Assistance Program (EAP)</w:t>
      </w:r>
      <w:r>
        <w:t xml:space="preserve"> — kostenlose, vertrauliche Beratung, auch psychologisch, über den Arbeitgeber | Kap. 26, 33</w:t>
      </w:r>
    </w:p>
    <w:p w14:paraId="600CF603" w14:textId="77777777" w:rsidR="001F7233" w:rsidRDefault="00000000">
      <w:pPr>
        <w:pStyle w:val="ListParagraph"/>
      </w:pPr>
      <w:r>
        <w:rPr>
          <w:b/>
        </w:rPr>
        <w:t>Emergency Room (ER)</w:t>
      </w:r>
      <w:r>
        <w:t xml:space="preserve"> — Notaufnahme im Krankenhaus, teuerste Anlaufstelle bei Beschwerden | Kap. 26</w:t>
      </w:r>
    </w:p>
    <w:p w14:paraId="6C46B617" w14:textId="77777777" w:rsidR="001F7233" w:rsidRDefault="00000000">
      <w:pPr>
        <w:pStyle w:val="ListParagraph"/>
      </w:pPr>
      <w:r>
        <w:rPr>
          <w:b/>
        </w:rPr>
        <w:t>ELL</w:t>
      </w:r>
      <w:r>
        <w:t xml:space="preserve"> — English Language Learner, offizielle Bezeichnung für Schüler mit Englisch als Zweitsprache (auch ESL) | Kap. 37</w:t>
      </w:r>
    </w:p>
    <w:p w14:paraId="6FC48ADC" w14:textId="77777777" w:rsidR="001F7233" w:rsidRDefault="00000000">
      <w:pPr>
        <w:pStyle w:val="ListParagraph"/>
      </w:pPr>
      <w:r>
        <w:rPr>
          <w:b/>
        </w:rPr>
        <w:t>Elementary School</w:t>
      </w:r>
      <w:r>
        <w:t xml:space="preserve"> — Grundschule, Grade 1 bis 5 | Kap. 36</w:t>
      </w:r>
    </w:p>
    <w:p w14:paraId="62101986" w14:textId="77777777" w:rsidR="001F7233" w:rsidRDefault="00000000">
      <w:pPr>
        <w:pStyle w:val="ListParagraph"/>
      </w:pPr>
      <w:r>
        <w:rPr>
          <w:b/>
        </w:rPr>
        <w:t>Earnest Money</w:t>
      </w:r>
      <w:r>
        <w:t xml:space="preserve"> — Anzahlung als Ernstzeichen beim Hauskauf, meist 1–3 % des Preises, im Escrow verwahrt | Kap. 14</w:t>
      </w:r>
    </w:p>
    <w:p w14:paraId="1EB01069" w14:textId="77777777" w:rsidR="001F7233" w:rsidRDefault="00000000">
      <w:pPr>
        <w:pStyle w:val="ListParagraph"/>
      </w:pPr>
      <w:r>
        <w:rPr>
          <w:b/>
        </w:rPr>
        <w:t>Durable Power of Attorney</w:t>
      </w:r>
      <w:r>
        <w:t xml:space="preserve"> — Vollmacht, die auch bei Geschäftsunfähigkeit gültig bleibt | Kap. 16</w:t>
      </w:r>
    </w:p>
    <w:p w14:paraId="637240BE" w14:textId="77777777" w:rsidR="001F7233" w:rsidRDefault="00000000">
      <w:pPr>
        <w:pStyle w:val="ListParagraph"/>
      </w:pPr>
      <w:r>
        <w:rPr>
          <w:b/>
        </w:rPr>
        <w:lastRenderedPageBreak/>
        <w:t>DUI</w:t>
      </w:r>
      <w:r>
        <w:t xml:space="preserve"> — Driving Under the Influence, Fahren unter Alkohol- oder Drogeneinfluss | Kap. 27, 40</w:t>
      </w:r>
    </w:p>
    <w:p w14:paraId="312AA67F" w14:textId="77777777" w:rsidR="001F7233" w:rsidRDefault="00000000">
      <w:pPr>
        <w:pStyle w:val="ListParagraph"/>
      </w:pPr>
      <w:r>
        <w:rPr>
          <w:b/>
        </w:rPr>
        <w:t>Dual Language</w:t>
      </w:r>
      <w:r>
        <w:t xml:space="preserve"> — zweisprachiges Schulprogramm für Kinder beider Sprachgruppen (auch Two-Way Immersion) | Kap. 37</w:t>
      </w:r>
    </w:p>
    <w:p w14:paraId="4C421813" w14:textId="77777777" w:rsidR="001F7233" w:rsidRDefault="00000000">
      <w:pPr>
        <w:pStyle w:val="ListParagraph"/>
      </w:pPr>
      <w:r>
        <w:rPr>
          <w:b/>
        </w:rPr>
        <w:t>Dual Intent</w:t>
      </w:r>
      <w:r>
        <w:t xml:space="preserve"> — gleichzeitig befristeter Aufenthalt und Absicht zur Green Card, bei bestimmten Visa erlaubt, etwa H-1B | Kap. 4, 5, 6, 8</w:t>
      </w:r>
    </w:p>
    <w:p w14:paraId="1EA264C0" w14:textId="77777777" w:rsidR="001F7233" w:rsidRDefault="00000000">
      <w:pPr>
        <w:pStyle w:val="ListParagraph"/>
      </w:pPr>
      <w:r>
        <w:rPr>
          <w:b/>
        </w:rPr>
        <w:t>Dry Counties</w:t>
      </w:r>
      <w:r>
        <w:t xml:space="preserve"> — Landkreise mit Alkoholverkaufsverbot oder -beschränkung, vor allem im Süden | Kap. 35</w:t>
      </w:r>
    </w:p>
    <w:p w14:paraId="56FFD70A" w14:textId="77777777" w:rsidR="001F7233" w:rsidRDefault="00000000">
      <w:pPr>
        <w:pStyle w:val="ListParagraph"/>
      </w:pPr>
      <w:r>
        <w:rPr>
          <w:b/>
        </w:rPr>
        <w:t>Dress Code</w:t>
      </w:r>
      <w:r>
        <w:t xml:space="preserve"> — Kleiderordnung, für Schulen im Schülerhandbuch festgelegt, für Büros oft nur informell | Kap. 34</w:t>
      </w:r>
    </w:p>
    <w:p w14:paraId="2FE98ACD" w14:textId="77777777" w:rsidR="001F7233" w:rsidRDefault="00000000">
      <w:pPr>
        <w:pStyle w:val="ListParagraph"/>
      </w:pPr>
      <w:r>
        <w:rPr>
          <w:b/>
        </w:rPr>
        <w:t>Dog Import Form</w:t>
      </w:r>
      <w:r>
        <w:t xml:space="preserve"> — seit 2024 von der US-Gesundheitsbehörde CDC verlangtes Online-Formular vor der Einreise mit Hund | Kap. 22</w:t>
      </w:r>
    </w:p>
    <w:p w14:paraId="2D7EB117" w14:textId="77777777" w:rsidR="001F7233" w:rsidRDefault="00000000">
      <w:pPr>
        <w:pStyle w:val="ListParagraph"/>
      </w:pPr>
      <w:r>
        <w:rPr>
          <w:b/>
        </w:rPr>
        <w:t>Designated School Official (DSO)</w:t>
      </w:r>
      <w:r>
        <w:t xml:space="preserve"> — autorisierte Ansprechperson der Hochschule für F-1-Studierende und das SEVIS-System | Kap. 8</w:t>
      </w:r>
    </w:p>
    <w:p w14:paraId="705C984B" w14:textId="77777777" w:rsidR="001F7233" w:rsidRDefault="00000000">
      <w:pPr>
        <w:pStyle w:val="ListParagraph"/>
      </w:pPr>
      <w:r>
        <w:rPr>
          <w:b/>
        </w:rPr>
        <w:t>Deductible</w:t>
      </w:r>
      <w:r>
        <w:t xml:space="preserve"> — Selbstbehalt: der Betrag, den du vor der Erstattung durch die Versicherung selbst zahlst | Kap. 1, 26, 33</w:t>
      </w:r>
    </w:p>
    <w:p w14:paraId="2B4B6664" w14:textId="77777777" w:rsidR="001F7233" w:rsidRDefault="00000000">
      <w:pPr>
        <w:pStyle w:val="ListParagraph"/>
      </w:pPr>
      <w:r>
        <w:rPr>
          <w:b/>
        </w:rPr>
        <w:t>CV — Curriculum Vitae – in den USA meist nur in Wissenschaft und Medizin üblich, sonst Resume | Kap. 29</w:t>
      </w:r>
    </w:p>
    <w:p w14:paraId="06A3C899" w14:textId="77777777" w:rsidR="001F7233" w:rsidRDefault="00000000">
      <w:pPr>
        <w:pStyle w:val="ListParagraph"/>
      </w:pPr>
      <w:r>
        <w:rPr>
          <w:b/>
        </w:rPr>
        <w:t>Curricular Practical Training (CPT)</w:t>
      </w:r>
      <w:r>
        <w:t xml:space="preserve"> — Praktikumserlaubnis für F-1-Studierende während des Studiums | Kap. 8</w:t>
      </w:r>
    </w:p>
    <w:p w14:paraId="545346E2" w14:textId="77777777" w:rsidR="001F7233" w:rsidRDefault="00000000">
      <w:pPr>
        <w:pStyle w:val="ListParagraph"/>
      </w:pPr>
      <w:r>
        <w:rPr>
          <w:b/>
        </w:rPr>
        <w:t>Current (Visa Bulletin)</w:t>
      </w:r>
      <w:r>
        <w:t xml:space="preserve"> — Status im Visa Bulletin: kein Rückstand, Green Card ohne Wartezeit verfügbar | Kap. 6, 7</w:t>
      </w:r>
    </w:p>
    <w:p w14:paraId="19D339E0" w14:textId="77777777" w:rsidR="001F7233" w:rsidRDefault="00000000">
      <w:pPr>
        <w:pStyle w:val="ListParagraph"/>
      </w:pPr>
      <w:r>
        <w:rPr>
          <w:b/>
        </w:rPr>
        <w:t>Credits (Quarters of Coverage)</w:t>
      </w:r>
      <w:r>
        <w:t xml:space="preserve"> — Beitragszeiteinheiten für die US-Rente, mindestens 40 für den Leistungsanspruch nötig | Kap. 24, 39</w:t>
      </w:r>
    </w:p>
    <w:p w14:paraId="575FFDD2" w14:textId="77777777" w:rsidR="001F7233" w:rsidRDefault="00000000">
      <w:pPr>
        <w:pStyle w:val="ListParagraph"/>
      </w:pPr>
      <w:r>
        <w:rPr>
          <w:b/>
        </w:rPr>
        <w:t>Credit Score</w:t>
      </w:r>
      <w:r>
        <w:t xml:space="preserve"> — US-Bonitätskennzahl, meist der FICO-Score, vergleichbar mit, aber nicht identisch zur Schufa | Kap. 2, 13, 14, 25</w:t>
      </w:r>
    </w:p>
    <w:p w14:paraId="18994B04" w14:textId="77777777" w:rsidR="001F7233" w:rsidRDefault="00000000">
      <w:pPr>
        <w:pStyle w:val="ListParagraph"/>
      </w:pPr>
      <w:r>
        <w:rPr>
          <w:b/>
        </w:rPr>
        <w:t>Credit Report</w:t>
      </w:r>
      <w:r>
        <w:t xml:space="preserve"> — die US-Schufa-Auskunft, geführt von drei privaten Auskunfteien | Kap. 24, 25</w:t>
      </w:r>
    </w:p>
    <w:p w14:paraId="4BDF973E" w14:textId="77777777" w:rsidR="001F7233" w:rsidRDefault="00000000">
      <w:pPr>
        <w:pStyle w:val="ListParagraph"/>
      </w:pPr>
      <w:r>
        <w:rPr>
          <w:b/>
        </w:rPr>
        <w:t>Credit Freeze</w:t>
      </w:r>
      <w:r>
        <w:t xml:space="preserve"> — Sperre der Kreditauskunft gegen Identitätsdiebstahl | Kap. 25</w:t>
      </w:r>
    </w:p>
    <w:p w14:paraId="5BBA079A" w14:textId="77777777" w:rsidR="001F7233" w:rsidRDefault="00000000">
      <w:pPr>
        <w:pStyle w:val="ListParagraph"/>
      </w:pPr>
      <w:r>
        <w:rPr>
          <w:b/>
        </w:rPr>
        <w:t>CPA</w:t>
      </w:r>
      <w:r>
        <w:t xml:space="preserve"> — Certified Public Accountant, in den USA zugelassener Steuer- und Finanzexperte | Kap. 14, 17, 28</w:t>
      </w:r>
    </w:p>
    <w:p w14:paraId="0AC2963C" w14:textId="77777777" w:rsidR="001F7233" w:rsidRDefault="00000000">
      <w:pPr>
        <w:pStyle w:val="ListParagraph"/>
      </w:pPr>
      <w:r>
        <w:rPr>
          <w:b/>
        </w:rPr>
        <w:t>Covered Expatriate — Person, die beim Verzicht auf Green Card oder Staatsbürgerschaft besonderen Steuerregeln (Wegzugsteuer) unterliegt | Kap. 41, 42</w:t>
      </w:r>
    </w:p>
    <w:p w14:paraId="660A35DD" w14:textId="77777777" w:rsidR="001F7233" w:rsidRDefault="00000000">
      <w:pPr>
        <w:pStyle w:val="ListParagraph"/>
      </w:pPr>
      <w:r>
        <w:rPr>
          <w:b/>
        </w:rPr>
        <w:lastRenderedPageBreak/>
        <w:t>Corporate Housing</w:t>
      </w:r>
      <w:r>
        <w:t xml:space="preserve"> — möblierte Monatsmiete oder Langzeithotel, oft für den Übergang nach der Ankunft | Kap. 20, 22, 23</w:t>
      </w:r>
    </w:p>
    <w:p w14:paraId="30C156B9" w14:textId="77777777" w:rsidR="001F7233" w:rsidRDefault="00000000">
      <w:pPr>
        <w:pStyle w:val="ListParagraph"/>
      </w:pPr>
      <w:r>
        <w:rPr>
          <w:b/>
        </w:rPr>
        <w:t>Copay</w:t>
      </w:r>
      <w:r>
        <w:t xml:space="preserve"> — feste Zuzahlung pro Arztbesuch oder Rezept | Kap. 26, 33</w:t>
      </w:r>
    </w:p>
    <w:p w14:paraId="0428BF38" w14:textId="77777777" w:rsidR="001F7233" w:rsidRDefault="00000000">
      <w:pPr>
        <w:pStyle w:val="ListParagraph"/>
      </w:pPr>
      <w:r>
        <w:rPr>
          <w:b/>
        </w:rPr>
        <w:t>Contingencies</w:t>
      </w:r>
      <w:r>
        <w:t xml:space="preserve"> — Rücktrittsklauseln im Kaufvertrag, etwa für Inspektion, Finanzierung oder Gutachten | Kap. 14</w:t>
      </w:r>
    </w:p>
    <w:p w14:paraId="2A3C69D0" w14:textId="77777777" w:rsidR="001F7233" w:rsidRDefault="00000000">
      <w:pPr>
        <w:pStyle w:val="ListParagraph"/>
      </w:pPr>
      <w:r>
        <w:rPr>
          <w:b/>
        </w:rPr>
        <w:t>Consular Report of Birth Abroad (CRBA). Nachweis der US-Staatsbürgerschaft für im Ausland geborene Kinder von US-Bürgern | Kap. 24, 41</w:t>
      </w:r>
    </w:p>
    <w:p w14:paraId="6AB41951" w14:textId="77777777" w:rsidR="001F7233" w:rsidRDefault="00000000">
      <w:pPr>
        <w:pStyle w:val="ListParagraph"/>
      </w:pPr>
      <w:r>
        <w:rPr>
          <w:b/>
        </w:rPr>
        <w:t>Community Colleges</w:t>
      </w:r>
      <w:r>
        <w:t xml:space="preserve"> — zweijährige, lokal getragene Hochschulen mit niedrigen Studiengebühren | Kap. 32, 36</w:t>
      </w:r>
    </w:p>
    <w:p w14:paraId="1A3C2094" w14:textId="77777777" w:rsidR="001F7233" w:rsidRDefault="00000000">
      <w:pPr>
        <w:pStyle w:val="ListParagraph"/>
      </w:pPr>
      <w:r>
        <w:rPr>
          <w:b/>
        </w:rPr>
        <w:t>Collision / Comprehensive Coverage</w:t>
      </w:r>
      <w:r>
        <w:t xml:space="preserve"> — Kfz-Versicherungsbausteine: Collision deckt Schäden am eigenen Auto nach einem Unfall, Comprehensive deckt Diebstahl, Hagel, Wildschaden | Kap. 27</w:t>
      </w:r>
    </w:p>
    <w:p w14:paraId="0FBA93AD" w14:textId="77777777" w:rsidR="001F7233" w:rsidRDefault="00000000">
      <w:pPr>
        <w:pStyle w:val="ListParagraph"/>
      </w:pPr>
      <w:r>
        <w:rPr>
          <w:b/>
        </w:rPr>
        <w:t>Coinsurance</w:t>
      </w:r>
      <w:r>
        <w:t xml:space="preserve"> — prozentuale Selbstbeteiligung an den Behandlungskosten nach dem Selbstbehalt | Kap. 26</w:t>
      </w:r>
    </w:p>
    <w:p w14:paraId="03C01963" w14:textId="77777777" w:rsidR="001F7233" w:rsidRDefault="00000000">
      <w:pPr>
        <w:pStyle w:val="ListParagraph"/>
      </w:pPr>
      <w:r>
        <w:rPr>
          <w:b/>
        </w:rPr>
        <w:t>Closing Costs</w:t>
      </w:r>
      <w:r>
        <w:t xml:space="preserve"> — Abschlusskosten beim Immobilienkauf, zusätzlich zum Kaufpreis, oft 2–5 % | Kap. 14</w:t>
      </w:r>
    </w:p>
    <w:p w14:paraId="7B9A8DA7" w14:textId="77777777" w:rsidR="001F7233" w:rsidRDefault="00000000">
      <w:pPr>
        <w:pStyle w:val="ListParagraph"/>
      </w:pPr>
      <w:r>
        <w:rPr>
          <w:b/>
        </w:rPr>
        <w:t>Civics Test</w:t>
      </w:r>
      <w:r>
        <w:t xml:space="preserve"> — mündlicher Test zu US-Geschichte und Staatsbürgerkunde im Einbürgerungsverfahren | Kap. 41</w:t>
      </w:r>
    </w:p>
    <w:p w14:paraId="733943B0" w14:textId="77777777" w:rsidR="001F7233" w:rsidRDefault="00000000">
      <w:pPr>
        <w:pStyle w:val="ListParagraph"/>
      </w:pPr>
      <w:r>
        <w:rPr>
          <w:b/>
        </w:rPr>
        <w:t>CIMT</w:t>
      </w:r>
      <w:r>
        <w:t xml:space="preserve"> — Crime Involving Moral Turpitude, Delikt mit „sittlicher Verworfenheit“, kann Einwanderungsfolgen haben | Kap. 40</w:t>
      </w:r>
    </w:p>
    <w:p w14:paraId="76E6B93C" w14:textId="77777777" w:rsidR="001F7233" w:rsidRDefault="00000000">
      <w:pPr>
        <w:pStyle w:val="ListParagraph"/>
      </w:pPr>
      <w:r>
        <w:rPr>
          <w:b/>
        </w:rPr>
        <w:t>Child Tax Credit</w:t>
      </w:r>
      <w:r>
        <w:t xml:space="preserve"> — Steuergutschrift pro Kind bei der Bundeseinkommensteuer | Kap. 24, 28</w:t>
      </w:r>
    </w:p>
    <w:p w14:paraId="0C5D2E35" w14:textId="77777777" w:rsidR="001F7233" w:rsidRDefault="00000000">
      <w:pPr>
        <w:pStyle w:val="ListParagraph"/>
      </w:pPr>
      <w:r>
        <w:rPr>
          <w:b/>
        </w:rPr>
        <w:t>Child Protective Services (CPS)</w:t>
      </w:r>
      <w:r>
        <w:t xml:space="preserve"> — Jugendamt-Äquivalent, zuständig bei Kindeswohlgefährdung | Kap. 38</w:t>
      </w:r>
    </w:p>
    <w:p w14:paraId="6DC26105" w14:textId="77777777" w:rsidR="001F7233" w:rsidRDefault="00000000">
      <w:pPr>
        <w:pStyle w:val="ListParagraph"/>
      </w:pPr>
      <w:r>
        <w:rPr>
          <w:b/>
        </w:rPr>
        <w:t>Child Citizenship Act — verleiht im Ausland geborenen oder adoptierten Kindern von US-Bürgern unter bestimmten Bedingungen automatisch die Staatsbürgerschaft | Kap. 41</w:t>
      </w:r>
    </w:p>
    <w:p w14:paraId="5510FEBE" w14:textId="77777777" w:rsidR="001F7233" w:rsidRDefault="00000000">
      <w:pPr>
        <w:pStyle w:val="ListParagraph"/>
      </w:pPr>
      <w:r>
        <w:rPr>
          <w:b/>
        </w:rPr>
        <w:t>Child Care Center</w:t>
      </w:r>
      <w:r>
        <w:t xml:space="preserve"> — Kindertagesstätte beziehungsweise Betreuungseinrichtung | Kap. 38</w:t>
      </w:r>
    </w:p>
    <w:p w14:paraId="080997AB" w14:textId="77777777" w:rsidR="001F7233" w:rsidRDefault="00000000">
      <w:pPr>
        <w:pStyle w:val="ListParagraph"/>
      </w:pPr>
      <w:r>
        <w:rPr>
          <w:b/>
        </w:rPr>
        <w:t>Checking Account</w:t>
      </w:r>
      <w:r>
        <w:t xml:space="preserve"> — Girokonto mit Debitkarte für den täglichen Zahlungsverkehr | Kap. 25</w:t>
      </w:r>
    </w:p>
    <w:p w14:paraId="730C2A06" w14:textId="77777777" w:rsidR="001F7233" w:rsidRDefault="00000000">
      <w:pPr>
        <w:pStyle w:val="ListParagraph"/>
      </w:pPr>
      <w:r>
        <w:rPr>
          <w:b/>
        </w:rPr>
        <w:t>BYOB</w:t>
      </w:r>
      <w:r>
        <w:t xml:space="preserve"> — Bring Your Own Bottle – du bringst dein eigenes Getränk zur Feier mit | Kap. 32</w:t>
      </w:r>
    </w:p>
    <w:p w14:paraId="34B51D25" w14:textId="77777777" w:rsidR="001F7233" w:rsidRDefault="00000000">
      <w:pPr>
        <w:pStyle w:val="ListParagraph"/>
      </w:pPr>
      <w:r>
        <w:rPr>
          <w:b/>
        </w:rPr>
        <w:lastRenderedPageBreak/>
        <w:t>Business Casual / Business Formal — abgestufte Kleiderordnung: Hemd/Bluse ohne Krawatte oder Anzug/Kostüm mit Krawatte | Kap. 34</w:t>
      </w:r>
    </w:p>
    <w:p w14:paraId="232BDCC0" w14:textId="77777777" w:rsidR="001F7233" w:rsidRDefault="00000000">
      <w:pPr>
        <w:pStyle w:val="ListParagraph"/>
      </w:pPr>
      <w:r>
        <w:rPr>
          <w:b/>
        </w:rPr>
        <w:t>Black Tie</w:t>
      </w:r>
      <w:r>
        <w:t xml:space="preserve"> — festliche Kleiderordnung: Smoking beziehungsweise langes Kleid | Kap. 34</w:t>
      </w:r>
    </w:p>
    <w:p w14:paraId="64C07017" w14:textId="77777777" w:rsidR="001F7233" w:rsidRDefault="00000000">
      <w:pPr>
        <w:pStyle w:val="ListParagraph"/>
      </w:pPr>
      <w:r>
        <w:rPr>
          <w:b/>
        </w:rPr>
        <w:t>Beneficiary</w:t>
      </w:r>
      <w:r>
        <w:t xml:space="preserve"> — Begünstigter, etwa bei Versicherung, Konto oder Erbschaft | Kap. 11, 39</w:t>
      </w:r>
    </w:p>
    <w:p w14:paraId="459900FD" w14:textId="77777777" w:rsidR="001F7233" w:rsidRDefault="00000000">
      <w:pPr>
        <w:pStyle w:val="ListParagraph"/>
      </w:pPr>
      <w:r>
        <w:rPr>
          <w:b/>
        </w:rPr>
        <w:t>Baking Powder / Baking Soda</w:t>
      </w:r>
      <w:r>
        <w:t xml:space="preserve"> — Backpulver bzw. Natron – leicht zu verwechseln, unterschiedliche Wirkung | Kap. 35</w:t>
      </w:r>
    </w:p>
    <w:p w14:paraId="19C7D390" w14:textId="77777777" w:rsidR="001F7233" w:rsidRDefault="00000000">
      <w:pPr>
        <w:pStyle w:val="ListParagraph"/>
      </w:pPr>
      <w:r>
        <w:rPr>
          <w:b/>
        </w:rPr>
        <w:t>Bake / Broil / Convection</w:t>
      </w:r>
      <w:r>
        <w:t xml:space="preserve"> — Ofeneinstellungen: Ober-/Unterhitze, Grillfunktion, Umluft (Convection senkt die angegebene Temperatur meist um ca. 25 °F) | Kap. 35</w:t>
      </w:r>
    </w:p>
    <w:p w14:paraId="220BF323" w14:textId="77777777" w:rsidR="001F7233" w:rsidRDefault="00000000">
      <w:pPr>
        <w:pStyle w:val="ListParagraph"/>
      </w:pPr>
      <w:r>
        <w:rPr>
          <w:b/>
        </w:rPr>
        <w:t>Background Check</w:t>
      </w:r>
      <w:r>
        <w:t xml:space="preserve"> — Überprüfung von Vorstrafen und Beschäftigungshistorie vor der Einstellung | Kap. 29</w:t>
      </w:r>
    </w:p>
    <w:p w14:paraId="3F7B458E" w14:textId="77777777" w:rsidR="001F7233" w:rsidRDefault="00000000">
      <w:pPr>
        <w:pStyle w:val="ListParagraph"/>
      </w:pPr>
      <w:r>
        <w:rPr>
          <w:b/>
        </w:rPr>
        <w:t>Back-to-School Night</w:t>
      </w:r>
      <w:r>
        <w:t xml:space="preserve"> — Elternabend zum Schuljahresbeginn | Kap. 37</w:t>
      </w:r>
    </w:p>
    <w:p w14:paraId="77282921" w14:textId="77777777" w:rsidR="001F7233" w:rsidRDefault="00000000">
      <w:pPr>
        <w:pStyle w:val="ListParagraph"/>
      </w:pPr>
      <w:r>
        <w:rPr>
          <w:b/>
        </w:rPr>
        <w:t>At-will Employment</w:t>
      </w:r>
      <w:r>
        <w:t xml:space="preserve"> — Kündigung ohne Grund und ohne Frist möglich, Kernunterschied zu Deutschland | Kap. 29, 30</w:t>
      </w:r>
    </w:p>
    <w:p w14:paraId="5ABEE14E" w14:textId="77777777" w:rsidR="001F7233" w:rsidRDefault="00000000">
      <w:pPr>
        <w:pStyle w:val="ListParagraph"/>
      </w:pPr>
      <w:r>
        <w:rPr>
          <w:b/>
        </w:rPr>
        <w:t>ARM</w:t>
      </w:r>
      <w:r>
        <w:t xml:space="preserve"> — Adjustable-Rate Mortgage, Hypothek mit anpassbarem Zins | Kap. 14</w:t>
      </w:r>
    </w:p>
    <w:p w14:paraId="67D65329" w14:textId="77777777" w:rsidR="001F7233" w:rsidRDefault="00000000">
      <w:pPr>
        <w:pStyle w:val="ListParagraph"/>
      </w:pPr>
      <w:r>
        <w:rPr>
          <w:b/>
        </w:rPr>
        <w:t>APR</w:t>
      </w:r>
      <w:r>
        <w:t xml:space="preserve"> — Annual Percentage Rate, effektiver Jahreszins inklusive Gebühren | Kap. 14, 25</w:t>
      </w:r>
    </w:p>
    <w:p w14:paraId="24414654" w14:textId="77777777" w:rsidR="001F7233" w:rsidRDefault="00000000">
      <w:pPr>
        <w:pStyle w:val="ListParagraph"/>
      </w:pPr>
      <w:r>
        <w:rPr>
          <w:b/>
        </w:rPr>
        <w:t>Applicant Tracking System (ATS)</w:t>
      </w:r>
      <w:r>
        <w:t xml:space="preserve"> — Software, die Bewerbungen vor der Sichtung automatisch vorfiltert | Kap. 29</w:t>
      </w:r>
    </w:p>
    <w:p w14:paraId="7733D6B5" w14:textId="77777777" w:rsidR="001F7233" w:rsidRDefault="00000000">
      <w:pPr>
        <w:pStyle w:val="ListParagraph"/>
      </w:pPr>
      <w:r>
        <w:rPr>
          <w:b/>
        </w:rPr>
        <w:t>Aggravated Felony</w:t>
      </w:r>
      <w:r>
        <w:t xml:space="preserve"> — Schwerstverbrechen-Kategorie im Einwanderungsrecht, führt fast immer zur Abschiebung | Kap. 40</w:t>
      </w:r>
    </w:p>
    <w:p w14:paraId="1AC0E7ED" w14:textId="77777777" w:rsidR="001F7233" w:rsidRDefault="00000000">
      <w:pPr>
        <w:pStyle w:val="ListParagraph"/>
      </w:pPr>
      <w:r>
        <w:rPr>
          <w:b/>
        </w:rPr>
        <w:t>Affordable Care Act (ACA)</w:t>
      </w:r>
      <w:r>
        <w:t xml:space="preserve"> — US-Gesundheitsreformgesetz von 2010, Grundlage der Krankenversicherungs-Marktplätze | Kap. 26</w:t>
      </w:r>
    </w:p>
    <w:p w14:paraId="758E2079" w14:textId="77777777" w:rsidR="001F7233" w:rsidRDefault="00000000">
      <w:pPr>
        <w:pStyle w:val="ListParagraph"/>
      </w:pPr>
      <w:r>
        <w:rPr>
          <w:b/>
        </w:rPr>
        <w:t>Affidavit of Support</w:t>
      </w:r>
      <w:r>
        <w:t xml:space="preserve"> — finanzielle Verpflichtungserklärung eines Sponsors für nachziehende Angehörige | Kap. 6, 9</w:t>
      </w:r>
    </w:p>
    <w:p w14:paraId="6880B6B1" w14:textId="77777777" w:rsidR="001F7233" w:rsidRDefault="00000000">
      <w:pPr>
        <w:pStyle w:val="ListParagraph"/>
      </w:pPr>
      <w:r>
        <w:rPr>
          <w:b/>
        </w:rPr>
        <w:t>Advance Directive</w:t>
      </w:r>
      <w:r>
        <w:t xml:space="preserve"> — Patientenverfügung und Vorsorgevollmacht für den Gesundheitsfall (auch Healthcare Directive) | Kap. 16, 39</w:t>
      </w:r>
    </w:p>
    <w:p w14:paraId="2CEDA481" w14:textId="77777777" w:rsidR="001F7233" w:rsidRDefault="00000000">
      <w:pPr>
        <w:pStyle w:val="ListParagraph"/>
      </w:pPr>
      <w:r>
        <w:rPr>
          <w:b/>
        </w:rPr>
        <w:t>Adjustment of Status</w:t>
      </w:r>
      <w:r>
        <w:t xml:space="preserve"> — Antrag auf die Green Card im Inland, ohne Ausreise | Kap. 6, 24</w:t>
      </w:r>
    </w:p>
    <w:p w14:paraId="33CCBA89" w14:textId="77777777" w:rsidR="001F7233" w:rsidRDefault="00000000">
      <w:pPr>
        <w:pStyle w:val="ListParagraph"/>
      </w:pPr>
      <w:r>
        <w:rPr>
          <w:b/>
        </w:rPr>
        <w:lastRenderedPageBreak/>
        <w:t>Acetaminophen</w:t>
      </w:r>
      <w:r>
        <w:t xml:space="preserve"> — Schmerz- und Fiebermittel, in Deutschland als Paracetamol bekannt (Markenname Tylenol) | Kap. 23</w:t>
      </w:r>
    </w:p>
    <w:p w14:paraId="501CF329" w14:textId="77777777" w:rsidR="001F7233" w:rsidRDefault="00000000">
      <w:pPr>
        <w:pStyle w:val="ListParagraph"/>
      </w:pPr>
      <w:r>
        <w:rPr>
          <w:b/>
        </w:rPr>
        <w:t>988 Suicide &amp; Crisis Lifeline</w:t>
      </w:r>
      <w:r>
        <w:t xml:space="preserve"> — kostenlose, rund um die Uhr erreichbare Krisenhotline | Kap. 33</w:t>
      </w:r>
    </w:p>
    <w:p w14:paraId="01A93A20" w14:textId="77777777" w:rsidR="001F7233" w:rsidRDefault="00000000">
      <w:pPr>
        <w:pStyle w:val="ListParagraph"/>
      </w:pPr>
      <w:r>
        <w:rPr>
          <w:b/>
        </w:rPr>
        <w:t>401(k)</w:t>
      </w:r>
      <w:r>
        <w:t xml:space="preserve"> — arbeitgebergeförderter US-Altersvorsorgeplan, oft mit Arbeitgeberzuschuss (Match) | Kap. 29, 39</w:t>
      </w:r>
    </w:p>
    <w:p w14:paraId="54278303" w14:textId="77777777" w:rsidR="001F7233" w:rsidRDefault="00000000">
      <w:pPr>
        <w:pStyle w:val="ListParagraph"/>
      </w:pPr>
      <w:r>
        <w:rPr>
          <w:b/>
        </w:rPr>
        <w:t>1BR</w:t>
      </w:r>
      <w:r>
        <w:t xml:space="preserve"> — Wohnung mit einem separaten Schlafzimmer (One Bedroom), Standardangabe in Mietinseraten | Kap. 13</w:t>
      </w:r>
    </w:p>
    <w:p w14:paraId="0AD9FC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w14:paraId="67B5F44E" w14:textId="77777777" w:rsidR="001F7233" w:rsidRDefault="00000000">
      <w:pPr>
        <w:pStyle w:val="ListParagraph"/>
      </w:pPr>
      <w:r>
        <w:rPr>
          <w:b/>
        </w:rPr>
        <w:t>Work Permit</w:t>
      </w:r>
      <w:r>
        <w:t xml:space="preserve"> — befristete, meist arbeitgebergebundene kanadische Arbeitserlaubnis | Kanada: Arbeit, Einwanderung</w:t>
      </w:r>
    </w:p>
    <w:p w14:paraId="4A6A4733" w14:textId="77777777" w:rsidR="001F7233" w:rsidRDefault="00000000">
      <w:pPr>
        <w:pStyle w:val="ListParagraph"/>
      </w:pPr>
      <w:r>
        <w:rPr>
          <w:b/>
        </w:rPr>
        <w:t>Temporary Foreign Worker Program (TFWP)</w:t>
      </w:r>
      <w:r>
        <w:t xml:space="preserve"> — arbeitsmarktgeprüftes, LMIA-pflichtiges Programm für befristete Arbeitskräfte | Kanada: Einwanderung, Arbeit</w:t>
      </w:r>
    </w:p>
    <w:p w14:paraId="6A3A5AD3" w14:textId="77777777" w:rsidR="001F7233" w:rsidRDefault="00000000">
      <w:pPr>
        <w:pStyle w:val="ListParagraph"/>
      </w:pPr>
      <w:r>
        <w:rPr>
          <w:b/>
        </w:rPr>
        <w:t>Super Visa</w:t>
      </w:r>
      <w:r>
        <w:t xml:space="preserve"> — Mehrfacheinreise-Langzeit-Besuchervisum für Eltern und Großeltern, kein Daueraufenthaltstitel | Kanada: Familie</w:t>
      </w:r>
    </w:p>
    <w:p w14:paraId="5BBB2EB0" w14:textId="77777777" w:rsidR="001F7233" w:rsidRDefault="00000000">
      <w:pPr>
        <w:pStyle w:val="ListParagraph"/>
      </w:pPr>
      <w:r>
        <w:rPr>
          <w:b/>
        </w:rPr>
        <w:t>Social Insurance Number (SIN)</w:t>
      </w:r>
      <w:r>
        <w:t xml:space="preserve"> — neunstellige kanadische Sozialversicherungsnummer, Pflicht für Gehalt und Steuererklärung | Kanada: Ankunft, Steuer</w:t>
      </w:r>
    </w:p>
    <w:p w14:paraId="36FAEE34" w14:textId="77777777" w:rsidR="001F7233" w:rsidRDefault="00000000">
      <w:pPr>
        <w:pStyle w:val="ListParagraph"/>
      </w:pPr>
      <w:r>
        <w:rPr>
          <w:b/>
        </w:rPr>
        <w:t>Secured Credit Card</w:t>
      </w:r>
      <w:r>
        <w:t xml:space="preserve"> — durch Kaution gedeckte Kreditkarte zum Aufbau einer kanadischen Kredithistorie | Kanada: Steuer, Ankunft</w:t>
      </w:r>
    </w:p>
    <w:p w14:paraId="539119AE" w14:textId="77777777" w:rsidR="001F7233" w:rsidRDefault="00000000">
      <w:pPr>
        <w:pStyle w:val="ListParagraph"/>
      </w:pPr>
      <w:r>
        <w:rPr>
          <w:b/>
        </w:rPr>
        <w:t>School Board</w:t>
      </w:r>
      <w:r>
        <w:t xml:space="preserve"> — lokale Schulbehörde, setzt Einschulungsalter, Notenskala und Lehrplan der Provinz um | Kanada: Schule</w:t>
      </w:r>
    </w:p>
    <w:p w14:paraId="00930B6C" w14:textId="77777777" w:rsidR="001F7233" w:rsidRDefault="00000000">
      <w:pPr>
        <w:pStyle w:val="ListParagraph"/>
      </w:pPr>
      <w:r>
        <w:rPr>
          <w:b/>
        </w:rPr>
        <w:t>Red Seal</w:t>
      </w:r>
      <w:r>
        <w:t xml:space="preserve"> — kanadisches Siegel für anerkannte Handwerksberufe. Ein deutscher Gesellenbrief setzt es nicht automatisch. Die Stelle der Provinz sagt, ob eine Prüfung fehlt | Kanada: Anerkennung</w:t>
      </w:r>
    </w:p>
    <w:p w14:paraId="2429CE3B" w14:textId="77777777" w:rsidR="001F7233" w:rsidRDefault="00000000">
      <w:pPr>
        <w:pStyle w:val="ListParagraph"/>
      </w:pPr>
      <w:r>
        <w:rPr>
          <w:b/>
        </w:rPr>
        <w:t>Royal Canadian Mounted Police (RCMP)</w:t>
      </w:r>
      <w:r>
        <w:t xml:space="preserve"> — kanadische Bundespolizei, übernimmt in den meisten Provinzen auch die Alltagspolizei | Kanada: Recht</w:t>
      </w:r>
    </w:p>
    <w:p w14:paraId="72D9766A" w14:textId="77777777" w:rsidR="001F7233" w:rsidRDefault="00000000">
      <w:pPr>
        <w:pStyle w:val="ListParagraph"/>
      </w:pPr>
      <w:r>
        <w:rPr>
          <w:b/>
        </w:rPr>
        <w:t>Right of Permanent Residence Fee (RPRF)</w:t>
      </w:r>
      <w:r>
        <w:t xml:space="preserve"> — Zusatzgebühr für das Recht auf permanenten Aufenthalt. Den Betrag nennt IRCC auf der Gebührenseite. Dieses Glossar druckt ihn nicht | Kanada: Antrag</w:t>
      </w:r>
    </w:p>
    <w:p w14:paraId="1BA0A2B4" w14:textId="77777777" w:rsidR="001F7233" w:rsidRDefault="00000000">
      <w:pPr>
        <w:pStyle w:val="ListParagraph"/>
      </w:pPr>
      <w:r>
        <w:rPr>
          <w:b/>
        </w:rPr>
        <w:lastRenderedPageBreak/>
        <w:t>Regulated Canadian Immigration Consultant (RCIC)</w:t>
      </w:r>
      <w:r>
        <w:t xml:space="preserve"> — zugelassener kanadischer Einwanderungsberater | Kanada: Antrag</w:t>
      </w:r>
    </w:p>
    <w:p w14:paraId="7C8E9BB1" w14:textId="77777777" w:rsidR="001F7233" w:rsidRDefault="00000000">
      <w:pPr>
        <w:pStyle w:val="ListParagraph"/>
      </w:pPr>
      <w:r>
        <w:rPr>
          <w:b/>
        </w:rPr>
        <w:t>Provincial Nominee Program (PNP)</w:t>
      </w:r>
      <w:r>
        <w:t xml:space="preserve"> — provinzielles Nominierungsprogramm für die PR, mit eigenen Kriterien je Provinz | Kanada: Einwanderung</w:t>
      </w:r>
    </w:p>
    <w:p w14:paraId="05F7E05F" w14:textId="77777777" w:rsidR="001F7233" w:rsidRDefault="00000000">
      <w:pPr>
        <w:pStyle w:val="ListParagraph"/>
      </w:pPr>
      <w:r>
        <w:rPr>
          <w:b/>
        </w:rPr>
        <w:t>Post-Graduation Work Permit (PGWP)</w:t>
      </w:r>
      <w:r>
        <w:t xml:space="preserve"> — befristetes Arbeitsvisum für Absolventen kanadischer Hochschulen | Kanada: Einwanderung</w:t>
      </w:r>
    </w:p>
    <w:p w14:paraId="116754C9" w14:textId="77777777" w:rsidR="001F7233" w:rsidRDefault="00000000">
      <w:pPr>
        <w:pStyle w:val="ListParagraph"/>
      </w:pPr>
      <w:r>
        <w:rPr>
          <w:b/>
        </w:rPr>
        <w:t>Permanent Residence (PR)</w:t>
      </w:r>
      <w:r>
        <w:t xml:space="preserve"> — unbefristeter Aufenthaltsstatus Kanadas, funktional vergleichbar mit der US-Green-Card | Kanada: Einwanderung, Staatsbürgerschaft</w:t>
      </w:r>
    </w:p>
    <w:p w14:paraId="442C664E" w14:textId="77777777" w:rsidR="001F7233" w:rsidRDefault="00000000">
      <w:pPr>
        <w:pStyle w:val="ListParagraph"/>
      </w:pPr>
      <w:r>
        <w:rPr>
          <w:b/>
        </w:rPr>
        <w:t>Parent and Grandparent Program (PGP) — familienbasierter PR-Weg für Eltern und Großeltern, seit 2026 für Neuanträge pausiert | Kanada: Familie.</w:t>
      </w:r>
    </w:p>
    <w:p w14:paraId="765D9C85" w14:textId="77777777" w:rsidR="001F7233" w:rsidRDefault="00000000">
      <w:pPr>
        <w:pStyle w:val="ListParagraph"/>
      </w:pPr>
      <w:r>
        <w:rPr>
          <w:b/>
        </w:rPr>
        <w:t>OHIP (Ontario Health Insurance Plan)</w:t>
      </w:r>
      <w:r>
        <w:t xml:space="preserve"> — gesetzliche Krankenversicherung Ontarios. Die Wartefrist und den Antrag nennt die Provinzseite, nicht ein Forum | Kanada: Gesundheit</w:t>
      </w:r>
    </w:p>
    <w:p w14:paraId="004A8086" w14:textId="77777777" w:rsidR="001F7233" w:rsidRDefault="00000000">
      <w:pPr>
        <w:pStyle w:val="ListParagraph"/>
      </w:pPr>
      <w:r>
        <w:rPr>
          <w:b/>
        </w:rPr>
        <w:t>Open Work Permit — Arbeitsvisum ohne Bindung an einen einzelnen Arbeitgeber, etwa nach PGWP oder für mitreisende Partner | Kanada: Arbeit.</w:t>
      </w:r>
    </w:p>
    <w:p w14:paraId="45313EDD" w14:textId="77777777" w:rsidR="001F7233" w:rsidRDefault="00000000">
      <w:pPr>
        <w:pStyle w:val="ListParagraph"/>
      </w:pPr>
      <w:r>
        <w:rPr>
          <w:b/>
        </w:rPr>
        <w:t>NNAS (National Nursing Assessment Service)</w:t>
      </w:r>
      <w:r>
        <w:t xml:space="preserve"> — zentrale Bewertung ausländischer Pflegeausbildungen, wenn die Provinz NNAS nutzt. Die Zulassung erteilt danach das Pflege-College der Provinz | Kanada: Anerkennung</w:t>
      </w:r>
    </w:p>
    <w:p w14:paraId="0D45883F" w14:textId="77777777" w:rsidR="001F7233" w:rsidRDefault="00000000">
      <w:pPr>
        <w:pStyle w:val="ListParagraph"/>
      </w:pPr>
      <w:r>
        <w:rPr>
          <w:b/>
        </w:rPr>
        <w:t>National Occupational Classification (NOC)</w:t>
      </w:r>
      <w:r>
        <w:t xml:space="preserve"> — kanadisches Berufsklassifikationssystem, gestaffelt nach TEER-Anforderungsstufen | Kanada: Arbeit</w:t>
      </w:r>
    </w:p>
    <w:p w14:paraId="3F888039" w14:textId="77777777" w:rsidR="001F7233" w:rsidRDefault="00000000">
      <w:pPr>
        <w:pStyle w:val="ListParagraph"/>
      </w:pPr>
      <w:r>
        <w:rPr>
          <w:b/>
        </w:rPr>
        <w:t>My Service Canada Account (MSCA)</w:t>
      </w:r>
      <w:r>
        <w:t xml:space="preserve"> — persönliches Online-Konto bei Service Canada, unter anderem für die SIN-Bestätigung | Kanada: Ankunft, Steuer</w:t>
      </w:r>
    </w:p>
    <w:p w14:paraId="72ABF268" w14:textId="77777777" w:rsidR="001F7233" w:rsidRDefault="00000000">
      <w:pPr>
        <w:pStyle w:val="ListParagraph"/>
      </w:pPr>
      <w:r>
        <w:rPr>
          <w:b/>
        </w:rPr>
        <w:t>Low Income Cut-Off (LICO)</w:t>
      </w:r>
      <w:r>
        <w:t xml:space="preserve"> — Einkommensschwelle, Grundlage für das Mindesteinkommen beim Eltern-/Großeltern-Sponsoring | Kanada: Familie</w:t>
      </w:r>
    </w:p>
    <w:p w14:paraId="497F689B" w14:textId="77777777" w:rsidR="001F7233" w:rsidRDefault="00000000">
      <w:pPr>
        <w:pStyle w:val="ListParagraph"/>
      </w:pPr>
      <w:r>
        <w:rPr>
          <w:b/>
        </w:rPr>
        <w:t>Land Transfer Tax</w:t>
      </w:r>
      <w:r>
        <w:t xml:space="preserve"> — Grunderwerbsteuer beim Immobilienkauf, gestaffelt nach Kaufpreis und Provinz | Kanada: Wohnen</w:t>
      </w:r>
    </w:p>
    <w:p w14:paraId="37DCE0A5" w14:textId="77777777" w:rsidR="001F7233" w:rsidRDefault="00000000">
      <w:pPr>
        <w:pStyle w:val="ListParagraph"/>
      </w:pPr>
      <w:r>
        <w:rPr>
          <w:b/>
        </w:rPr>
        <w:lastRenderedPageBreak/>
        <w:t>Labour Market Impact Assessment (LMIA)</w:t>
      </w:r>
      <w:r>
        <w:t xml:space="preserve"> — Arbeitsmarkttest, mit dem ein Arbeitgeber die fehlende Verfügbarkeit kanadischer Bewerber nachweist | Kanada: Einwanderung, Arbeit</w:t>
      </w:r>
    </w:p>
    <w:p w14:paraId="2FA2E7B8" w14:textId="77777777" w:rsidR="001F7233" w:rsidRDefault="00000000">
      <w:pPr>
        <w:pStyle w:val="ListParagraph"/>
      </w:pPr>
      <w:r>
        <w:rPr>
          <w:b/>
        </w:rPr>
        <w:t>Job Bank</w:t>
      </w:r>
      <w:r>
        <w:t xml:space="preserve"> — kostenlose Jobbörse des kanadischen Arbeitsministeriums | Kanada: Arbeit</w:t>
      </w:r>
    </w:p>
    <w:p w14:paraId="17A04627" w14:textId="77777777" w:rsidR="001F7233" w:rsidRDefault="00000000">
      <w:pPr>
        <w:pStyle w:val="ListParagraph"/>
      </w:pPr>
      <w:r>
        <w:rPr>
          <w:b/>
        </w:rPr>
        <w:t>Invitation to Apply (ITA)</w:t>
      </w:r>
      <w:r>
        <w:t xml:space="preserve"> — Einladung zur PR-Antragstellung nach ausreichendem CRS-Score | Kanada: Einwanderung</w:t>
      </w:r>
    </w:p>
    <w:p w14:paraId="7AB00481" w14:textId="77777777" w:rsidR="001F7233" w:rsidRDefault="00000000">
      <w:pPr>
        <w:pStyle w:val="ListParagraph"/>
      </w:pPr>
      <w:r>
        <w:rPr>
          <w:b/>
        </w:rPr>
        <w:t>International Mobility Program (IMP)</w:t>
      </w:r>
      <w:r>
        <w:t xml:space="preserve"> — befreit von der LMIA-Pflicht, wenn die Stelle einen breiteren Nutzen für Kanada hat | Kanada: Einwanderung</w:t>
      </w:r>
    </w:p>
    <w:p w14:paraId="4DA9CDDC" w14:textId="77777777" w:rsidR="001F7233" w:rsidRDefault="00000000">
      <w:pPr>
        <w:pStyle w:val="ListParagraph"/>
      </w:pPr>
      <w:r>
        <w:rPr>
          <w:b/>
        </w:rPr>
        <w:t>Immigration, Refugees and Citizenship Canada (IRCC)</w:t>
      </w:r>
      <w:r>
        <w:t xml:space="preserve"> — kanadische Einwanderungsbehörde | Kanada: Einwanderung</w:t>
      </w:r>
    </w:p>
    <w:p w14:paraId="064B5AA6" w14:textId="77777777" w:rsidR="001F7233" w:rsidRDefault="00000000">
      <w:pPr>
        <w:pStyle w:val="ListParagraph"/>
      </w:pPr>
      <w:r>
        <w:rPr>
          <w:b/>
        </w:rPr>
        <w:t>Immigration Medical Exam (IME)</w:t>
      </w:r>
      <w:r>
        <w:t xml:space="preserve"> — Pflicht-Gesundheitsuntersuchung bei einem zugelassenen Panel Physician vor PR oder Visum | Kanada: Antrag</w:t>
      </w:r>
    </w:p>
    <w:p w14:paraId="13E15119" w14:textId="77777777" w:rsidR="001F7233" w:rsidRDefault="00000000">
      <w:pPr>
        <w:pStyle w:val="ListParagraph"/>
      </w:pPr>
      <w:r>
        <w:rPr>
          <w:b/>
        </w:rPr>
        <w:t>Goods and Services Tax (GST)</w:t>
      </w:r>
      <w:r>
        <w:t xml:space="preserve"> — bundesweite Mehrwertsteuer von 5 %, in fünf Provinzen als Harmonized Sales Tax (HST) mit Provinzanteil kombiniert | Kanada: Steuer</w:t>
      </w:r>
    </w:p>
    <w:p w14:paraId="45F0E7CD" w14:textId="77777777" w:rsidR="001F7233" w:rsidRDefault="00000000">
      <w:pPr>
        <w:pStyle w:val="ListParagraph"/>
      </w:pPr>
      <w:r>
        <w:rPr>
          <w:b/>
        </w:rPr>
        <w:t>French Immersion</w:t>
      </w:r>
      <w:r>
        <w:t xml:space="preserve"> — optionaler zweisprachiger Schulzweig an regulären englischsprachigen Schulen, kostenlos | Kanada: Schule</w:t>
      </w:r>
    </w:p>
    <w:p w14:paraId="45F97465" w14:textId="77777777" w:rsidR="001F7233" w:rsidRDefault="00000000">
      <w:pPr>
        <w:pStyle w:val="ListParagraph"/>
      </w:pPr>
      <w:r>
        <w:rPr>
          <w:b/>
        </w:rPr>
        <w:t>Federal Skilled Worker (FSW)</w:t>
      </w:r>
      <w:r>
        <w:t xml:space="preserve"> — Express-Entry-Weg für Fachkräfte ohne Kanada-Bezug, mit eigenem 67-Punkte-Zulassungsraster | Kanada: Einwanderung</w:t>
      </w:r>
    </w:p>
    <w:p w14:paraId="0DF32721" w14:textId="77777777" w:rsidR="001F7233" w:rsidRDefault="00000000">
      <w:pPr>
        <w:pStyle w:val="ListParagraph"/>
      </w:pPr>
      <w:r>
        <w:rPr>
          <w:b/>
        </w:rPr>
        <w:t>Extended Health Benefits</w:t>
      </w:r>
      <w:r>
        <w:t xml:space="preserve"> — arbeitgeberfinanzierte Zusatzversicherung für Zahn, Medikamente, Sehhilfen und Physiotherapie | Kanada: Gesundheit</w:t>
      </w:r>
    </w:p>
    <w:p w14:paraId="4430C7B3" w14:textId="77777777" w:rsidR="001F7233" w:rsidRDefault="00000000">
      <w:pPr>
        <w:pStyle w:val="ListParagraph"/>
      </w:pPr>
      <w:r>
        <w:rPr>
          <w:b/>
        </w:rPr>
        <w:t>Express Entry</w:t>
      </w:r>
      <w:r>
        <w:t xml:space="preserve"> — bundesweites Online-Punktesystem für die wirtschaftliche Einwanderung, bündelt FSW, CEC und FST | Kanada: Einwanderung</w:t>
      </w:r>
    </w:p>
    <w:p w14:paraId="1E69E609" w14:textId="77777777" w:rsidR="001F7233" w:rsidRDefault="00000000">
      <w:pPr>
        <w:pStyle w:val="ListParagraph"/>
      </w:pPr>
      <w:r>
        <w:rPr>
          <w:b/>
        </w:rPr>
        <w:t>eTA (Electronic Travel Authorization)</w:t>
      </w:r>
      <w:r>
        <w:t xml:space="preserve"> — elektronische Einreisegenehmigung für visumfreie Besuchsreisen, keine Arbeitsberechtigung | Kanada: Einwanderung</w:t>
      </w:r>
    </w:p>
    <w:p w14:paraId="5FAAB019" w14:textId="77777777" w:rsidR="001F7233" w:rsidRDefault="00000000">
      <w:pPr>
        <w:pStyle w:val="ListParagraph"/>
      </w:pPr>
      <w:r>
        <w:rPr>
          <w:b/>
        </w:rPr>
        <w:t>Employment Standards Act</w:t>
      </w:r>
      <w:r>
        <w:t xml:space="preserve"> — provinzielles Arbeitsstandardgesetz, regelt Mindesturlaub, Kündigungsfrist und Feiertage | Kanada: Arbeit</w:t>
      </w:r>
    </w:p>
    <w:p w14:paraId="32329E34" w14:textId="77777777" w:rsidR="001F7233" w:rsidRDefault="00000000">
      <w:pPr>
        <w:pStyle w:val="ListParagraph"/>
      </w:pPr>
      <w:r>
        <w:rPr>
          <w:b/>
        </w:rPr>
        <w:lastRenderedPageBreak/>
        <w:t>Employment Insurance (EI)</w:t>
      </w:r>
      <w:r>
        <w:t xml:space="preserve"> — kanadische Arbeitslosenversicherung | Kanada: Arbeit</w:t>
      </w:r>
    </w:p>
    <w:p w14:paraId="5AEBF2AD" w14:textId="77777777" w:rsidR="001F7233" w:rsidRDefault="00000000">
      <w:pPr>
        <w:pStyle w:val="ListParagraph"/>
      </w:pPr>
      <w:r>
        <w:rPr>
          <w:b/>
        </w:rPr>
        <w:t>Educational Credential Assessment (ECA)</w:t>
      </w:r>
      <w:r>
        <w:t xml:space="preserve"> — amtlich anerkannte Bewertung eines ausländischen Bildungsabschlusses | Kanada: Einwanderung</w:t>
      </w:r>
    </w:p>
    <w:p w14:paraId="28C9C31F" w14:textId="77777777" w:rsidR="001F7233" w:rsidRDefault="00000000">
      <w:pPr>
        <w:pStyle w:val="ListParagraph"/>
      </w:pPr>
      <w:r>
        <w:rPr>
          <w:b/>
        </w:rPr>
        <w:t>Demerit Points</w:t>
      </w:r>
      <w:r>
        <w:t xml:space="preserve"> — Strafpunkte im Führerscheinregister, von jeder Provinz eigenständig geführt | Kanada: Führerschein</w:t>
      </w:r>
    </w:p>
    <w:p w14:paraId="5F4F41CB" w14:textId="77777777" w:rsidR="001F7233" w:rsidRDefault="00000000">
      <w:pPr>
        <w:pStyle w:val="ListParagraph"/>
      </w:pPr>
      <w:r>
        <w:rPr>
          <w:b/>
        </w:rPr>
        <w:t>Credit Report</w:t>
      </w:r>
      <w:r>
        <w:t xml:space="preserve"> — kanadische Bonitätsauskunft auf einer Skala von 300 bis 900, ausländische Kredithistorie wird nicht übernommen | Kanada: Wohnen, Steuer</w:t>
      </w:r>
    </w:p>
    <w:p w14:paraId="7E9BF829" w14:textId="77777777" w:rsidR="001F7233" w:rsidRDefault="00000000">
      <w:pPr>
        <w:pStyle w:val="ListParagraph"/>
      </w:pPr>
      <w:r>
        <w:rPr>
          <w:b/>
        </w:rPr>
        <w:t>Confirmation of Permanent Residence (COPR)</w:t>
      </w:r>
      <w:r>
        <w:t xml:space="preserve"> — Bestätigungsdokument, das bei der Einreise den PR-Status offiziell aktiviert | Kanada: Ankunft</w:t>
      </w:r>
    </w:p>
    <w:p w14:paraId="408C40EB" w14:textId="77777777" w:rsidR="001F7233" w:rsidRDefault="00000000">
      <w:pPr>
        <w:pStyle w:val="ListParagraph"/>
      </w:pPr>
      <w:r>
        <w:rPr>
          <w:b/>
        </w:rPr>
        <w:t>Comprehensive Ranking System (CRS)</w:t>
      </w:r>
      <w:r>
        <w:t xml:space="preserve"> — Punkteskala, nach der IRCC Kandidatenprofile im Express-Entry-Bewerberpool rangiert | Kanada: Einwanderung</w:t>
      </w:r>
    </w:p>
    <w:p w14:paraId="5FA3534E" w14:textId="77777777" w:rsidR="001F7233" w:rsidRDefault="00000000">
      <w:pPr>
        <w:pStyle w:val="ListParagraph"/>
      </w:pPr>
      <w:r>
        <w:rPr>
          <w:b/>
        </w:rPr>
        <w:t>Certificate of Eligibility</w:t>
      </w:r>
      <w:r>
        <w:t xml:space="preserve"> — Berechtigungsbescheinigung für englischsprachigen Schulunterricht in Québec | Kanada: Schule</w:t>
      </w:r>
    </w:p>
    <w:p w14:paraId="17BFD2AC" w14:textId="77777777" w:rsidR="001F7233" w:rsidRDefault="00000000">
      <w:pPr>
        <w:pStyle w:val="ListParagraph"/>
      </w:pPr>
      <w:r>
        <w:rPr>
          <w:b/>
        </w:rPr>
        <w:t>Cannabis Act</w:t>
      </w:r>
      <w:r>
        <w:t xml:space="preserve"> — Bundesgesetz von 2018, macht Cannabis in ganz Kanada legal, anders als nach US-Bundesrecht | Kanada: Recht</w:t>
      </w:r>
    </w:p>
    <w:p w14:paraId="3501C336" w14:textId="77777777" w:rsidR="001F7233" w:rsidRDefault="00000000">
      <w:pPr>
        <w:pStyle w:val="ListParagraph"/>
      </w:pPr>
      <w:r>
        <w:rPr>
          <w:b/>
        </w:rPr>
        <w:t>Canadian Language Benchmark (CLB)</w:t>
      </w:r>
      <w:r>
        <w:t xml:space="preserve"> — offizielle kanadische Sprachniveau-Skala für Englisch beziehungsweise Französisch | Kanada: Einwanderung</w:t>
      </w:r>
    </w:p>
    <w:p w14:paraId="1FAAC756" w14:textId="77777777" w:rsidR="001F7233" w:rsidRDefault="00000000">
      <w:pPr>
        <w:pStyle w:val="ListParagraph"/>
      </w:pPr>
      <w:r>
        <w:rPr>
          <w:b/>
        </w:rPr>
        <w:t>Canadian Experience Class (CEC)</w:t>
      </w:r>
      <w:r>
        <w:t xml:space="preserve"> — Express-Entry-Weg zur PR auf Basis bereits in Kanada gesammelter Berufserfahrung | Kanada: Einwanderung</w:t>
      </w:r>
    </w:p>
    <w:p w14:paraId="75ADE41D" w14:textId="77777777" w:rsidR="001F7233" w:rsidRDefault="00000000">
      <w:pPr>
        <w:pStyle w:val="ListParagraph"/>
      </w:pPr>
      <w:r>
        <w:rPr>
          <w:b/>
        </w:rPr>
        <w:t>Canadian Charter of Rights and Freedoms</w:t>
      </w:r>
      <w:r>
        <w:t xml:space="preserve"> — kanadische Grundrechtecharta, seit 1982 verfassungsrechtlich verankert | Kanada: Recht, Kultur</w:t>
      </w:r>
    </w:p>
    <w:p w14:paraId="2B151D61" w14:textId="77777777" w:rsidR="001F7233" w:rsidRDefault="00000000">
      <w:pPr>
        <w:pStyle w:val="ListParagraph"/>
      </w:pPr>
      <w:r>
        <w:rPr>
          <w:b/>
        </w:rPr>
        <w:t>Canada Revenue Agency (CRA) — kanadische Bundessteuerbehörde, vergleichbar mit Finanzamt und Bundeszentralamt für Steuern zusammen | Kanada: Steuer.</w:t>
      </w:r>
    </w:p>
    <w:p w14:paraId="6414DAFE" w14:textId="77777777" w:rsidR="001F7233" w:rsidRDefault="00000000">
      <w:pPr>
        <w:pStyle w:val="ListParagraph"/>
      </w:pPr>
      <w:r>
        <w:rPr>
          <w:b/>
        </w:rPr>
        <w:t>Canada Pension Plan (CPP)</w:t>
      </w:r>
      <w:r>
        <w:t xml:space="preserve"> — bundesweite gesetzliche Altersvorsorge, Beitrag je 5,95 % von Arbeitnehmer und Arbeitgeber | Kanada: Überblick, Steuer</w:t>
      </w:r>
    </w:p>
    <w:p w14:paraId="0F222A6D" w14:textId="77777777" w:rsidR="001F7233" w:rsidRDefault="00000000">
      <w:pPr>
        <w:pStyle w:val="ListParagraph"/>
      </w:pPr>
      <w:r>
        <w:rPr>
          <w:b/>
        </w:rPr>
        <w:lastRenderedPageBreak/>
        <w:t>Canada Health Act</w:t>
      </w:r>
      <w:r>
        <w:t xml:space="preserve"> — Rahmengesetz mit Mindeststandards für die öffentliche Gesundheitsversorgung, Umsetzung liegt bei den Provinzen | Kanada: Gesundheit</w:t>
      </w:r>
    </w:p>
    <w:p w14:paraId="2CC25D82" w14:textId="77777777" w:rsidR="001F7233" w:rsidRDefault="00000000">
      <w:pPr>
        <w:pStyle w:val="ListParagraph"/>
      </w:pPr>
      <w:r>
        <w:rPr>
          <w:b/>
        </w:rPr>
        <w:t>Canada Child Benefit (CCB)</w:t>
      </w:r>
      <w:r>
        <w:t xml:space="preserve"> — kanadisches Kindergeld, beantragt über Formular RC66 | Kanada: Steuer</w:t>
      </w:r>
    </w:p>
    <w:p w14:paraId="378A09C3" w14:textId="77777777" w:rsidR="001F7233" w:rsidRDefault="00000000">
      <w:pPr>
        <w:pStyle w:val="ListParagraph"/>
      </w:pPr>
      <w:r>
        <w:rPr>
          <w:b/>
        </w:rPr>
        <w:t>Canada Border Services Agency (CBSA)</w:t>
      </w:r>
      <w:r>
        <w:t xml:space="preserve"> — kanadischer Grenzschutz, aktiviert bei der Einreise („Landung“) den PR-Status offiziell | Kanada: Ankunft</w:t>
      </w:r>
    </w:p>
    <w:p w14:paraId="45A546E5" w14:textId="77777777" w:rsidR="001F7233" w:rsidRDefault="00000000">
      <w:pPr>
        <w:pStyle w:val="ListParagraph"/>
      </w:pPr>
      <w:r>
        <w:rPr>
          <w:b/>
        </w:rPr>
        <w:t>Bridging Open Work Permit — Offene Arbeitserlaubnis, für bestimmte Antragsteller auf Daueraufenthalt in Kanada, die während der Bearbeitung ihrer vollständigen PR-Anträge weiterarbeiten dürfen. Enge Status- und Programmbedingungen gelten. | Kanada: Arbeit</w:t>
      </w:r>
    </w:p>
    <w:p w14:paraId="709D9CD9" w14:textId="77777777" w:rsidR="001F7233" w:rsidRDefault="00000000">
      <w:pPr>
        <w:pStyle w:val="ListParagraph"/>
      </w:pPr>
      <w:r>
        <w:rPr>
          <w:b/>
        </w:rPr>
        <w:t>Bill 96 (Loi 96)</w:t>
      </w:r>
      <w:r>
        <w:t xml:space="preserve"> — Québecs Sprachgesetz von 2022, macht Französisch zur einzigen Amts- und Schulunterrichtssprache | Kanada: Kultur, Schule</w:t>
      </w:r>
    </w:p>
    <w:p w14:paraId="699732FB" w14:textId="77777777" w:rsidR="001F7233" w:rsidRDefault="00000000">
      <w:pPr>
        <w:pStyle w:val="ListParagraph"/>
      </w:pPr>
      <w:r>
        <w:rPr>
          <w:b/>
        </w:rPr>
        <w:t>Big Five</w:t>
      </w:r>
      <w:r>
        <w:t xml:space="preserve"> — die fünf großen kanadischen Retailbanken (RBC, TD, Scotiabank, BMO, CIBC) mit eigenen Newcomer-Paketen | Kanada: Ankunft, Steuer</w:t>
      </w:r>
    </w:p>
    <w:p w14:paraId="688BB4A7" w14:textId="77777777" w:rsidR="001F7233" w:rsidRDefault="00000000">
      <w:pPr>
        <w:pStyle w:val="ListParagraph"/>
      </w:pPr>
      <w:r>
        <w:rPr>
          <w:b/>
        </w:rPr>
        <w:t>Beer League</w:t>
      </w:r>
      <w:r>
        <w:t xml:space="preserve"> — lockere Freizeit-Eishockeyliga für Erwachsene, meist über die städtische Freizeitverwaltung organisiert | Kanada: Kultur</w:t>
      </w:r>
    </w:p>
    <w:p w14:paraId="529E52F8" w14:textId="77777777" w:rsidR="001F7233" w:rsidRDefault="00000000">
      <w:pPr>
        <w:pStyle w:val="ListParagraph"/>
      </w:pPr>
      <w:r>
        <w:rPr>
          <w:b/>
        </w:rPr>
        <w:t>Basic Personal Amount</w:t>
      </w:r>
      <w:r>
        <w:t xml:space="preserve"> — Grundfreibetrag bei der Einkommensteuer, getrennt für Bund und Provinz festgelegt | Kanada: Steuer</w:t>
      </w:r>
    </w:p>
    <w:p w14:paraId="1EE1C7F1" w14:textId="77777777" w:rsidR="001F7233" w:rsidRDefault="00000000">
      <w:pPr>
        <w:pStyle w:val="ListParagraph"/>
      </w:pPr>
      <w:r>
        <w:rPr>
          <w:b/>
        </w:rPr>
        <w:t>Arrima</w:t>
      </w:r>
      <w:r>
        <w:t xml:space="preserve"> — eigenständiges, von Express Entry komplett getrenntes Einwanderungssystem Québecs | Kanada: Einwanderung</w:t>
      </w:r>
    </w:p>
    <w:p w14:paraId="56C025D7" w14:textId="77777777" w:rsidR="001F7233" w:rsidRDefault="00000000">
      <w:pPr>
        <w:pStyle w:val="ListParagraph"/>
      </w:pPr>
      <w:r>
        <w:rPr>
          <w:b/>
        </w:rPr>
        <w:t>All-Way Stop</w:t>
      </w:r>
      <w:r>
        <w:t xml:space="preserve"> — unbeschilderte Kreuzung mit vier Stoppschildern, wer zuerst vollständig hält, fährt zuerst | Kanada: Führerschein</w:t>
      </w:r>
    </w:p>
    <w:p w14:paraId="24789946" w14:textId="77777777" w:rsidR="001F7233" w:rsidRDefault="00000000">
      <w:pPr>
        <w:pStyle w:val="ListParagraph"/>
      </w:pPr>
      <w:r>
        <w:rPr>
          <w:b/>
        </w:rPr>
        <w:t>9-8-8 Suicide Crisis Helpline</w:t>
      </w:r>
      <w:r>
        <w:t xml:space="preserve"> — kostenlose, rund um die Uhr erreichbare kanadische Krisenhotline für Suizidprävention, per Anruf oder SMS | Kanada: Kultur</w:t>
      </w:r>
    </w:p>
    <w:p w14:paraId="419CE9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w14:paraId="3BA54A4D" w14:textId="77777777" w:rsidR="001F7233" w:rsidRDefault="00000000">
      <w:pPr>
        <w:pStyle w:val="ListParagraph"/>
      </w:pPr>
      <w:r>
        <w:rPr>
          <w:b/>
        </w:rPr>
        <w:t>Unfair Dismissal</w:t>
      </w:r>
      <w:r>
        <w:t xml:space="preserve"> — gesetzlicher Schutz vor unfairer Kündigung, greift erst nach sechs bis zwölf Monaten Beschäftigung | Australien: Arbeit</w:t>
      </w:r>
    </w:p>
    <w:p w14:paraId="4F2036C0" w14:textId="77777777" w:rsidR="001F7233" w:rsidRDefault="00000000">
      <w:pPr>
        <w:pStyle w:val="ListParagraph"/>
      </w:pPr>
      <w:r>
        <w:rPr>
          <w:b/>
        </w:rPr>
        <w:t>TFN (Tax File Number)</w:t>
      </w:r>
      <w:r>
        <w:t xml:space="preserve"> — zentrale australische Steuer-Identifikationsnummer; ohne sie werden 47 % vom Lohn einbehalten | Australien: Steuer</w:t>
      </w:r>
    </w:p>
    <w:p w14:paraId="21E1483B" w14:textId="77777777" w:rsidR="001F7233" w:rsidRDefault="00000000">
      <w:pPr>
        <w:pStyle w:val="ListParagraph"/>
      </w:pPr>
      <w:r>
        <w:rPr>
          <w:b/>
        </w:rPr>
        <w:t>Tall Poppy Syndrome</w:t>
      </w:r>
      <w:r>
        <w:t xml:space="preserve"> — soziale Zurückhaltung gegenüber demonstrativem Erfolg oder Prahlerei | Australien: Kultur</w:t>
      </w:r>
    </w:p>
    <w:p w14:paraId="5A9CC929" w14:textId="77777777" w:rsidR="001F7233" w:rsidRDefault="00000000">
      <w:pPr>
        <w:pStyle w:val="ListParagraph"/>
      </w:pPr>
      <w:r>
        <w:rPr>
          <w:b/>
        </w:rPr>
        <w:t>Superannuation</w:t>
      </w:r>
      <w:r>
        <w:t xml:space="preserve"> — verpflichtende, kapitalgedeckte Altersvorsorge, die der Arbeitgeber neben dem Gehalt einzahlt (12,0 % seit Juli 2025) | Australien: Steuer</w:t>
      </w:r>
    </w:p>
    <w:p w14:paraId="4BDE1FE8" w14:textId="77777777" w:rsidR="001F7233" w:rsidRDefault="00000000">
      <w:pPr>
        <w:pStyle w:val="ListParagraph"/>
      </w:pPr>
      <w:r>
        <w:rPr>
          <w:b/>
        </w:rPr>
        <w:t>Stamp Duty — von den Bundesstaaten erhobene Grunderwerbsteuer. Nicht-Staatsbürger ohne PR zahlen auch einen Foreign-Buyer-Zuschlag | Australien: Wohnen.</w:t>
      </w:r>
    </w:p>
    <w:p w14:paraId="237AE458" w14:textId="77777777" w:rsidR="001F7233" w:rsidRDefault="00000000">
      <w:pPr>
        <w:pStyle w:val="ListParagraph"/>
      </w:pPr>
      <w:r>
        <w:rPr>
          <w:b/>
        </w:rPr>
        <w:t>SkillSelect</w:t>
      </w:r>
      <w:r>
        <w:t xml:space="preserve"> — Online-Plattform für punktebasierte Visa: Interessensbekundung, Punkteberechnung und Einladung zur Antragstellung | Australien: Einwanderung</w:t>
      </w:r>
    </w:p>
    <w:p w14:paraId="3C96CE60" w14:textId="77777777" w:rsidR="001F7233" w:rsidRDefault="00000000">
      <w:pPr>
        <w:pStyle w:val="ListParagraph"/>
      </w:pPr>
      <w:r>
        <w:rPr>
          <w:b/>
        </w:rPr>
        <w:t>Skills in Demand (SID, Subclass 482)</w:t>
      </w:r>
      <w:r>
        <w:t xml:space="preserve"> — arbeitgebergesponsertes befristetes Arbeitsvisum, seit Dezember 2024 Nachfolger des Temporary Skill Shortage Visa | Australien: Arbeit</w:t>
      </w:r>
    </w:p>
    <w:p w14:paraId="0077FA84" w14:textId="77777777" w:rsidR="001F7233" w:rsidRDefault="00000000">
      <w:pPr>
        <w:pStyle w:val="ListParagraph"/>
      </w:pPr>
      <w:r>
        <w:rPr>
          <w:b/>
        </w:rPr>
        <w:t>Skills Assessment — fachliche Qualifikationsprüfung durch eine passende Berufsorganisation, oft der eigentliche Flaschenhals vor dem Visumantrag | Australien: Arbeit, Einwanderung</w:t>
      </w:r>
    </w:p>
    <w:p w14:paraId="15D251ED" w14:textId="77777777" w:rsidR="001F7233" w:rsidRDefault="00000000">
      <w:pPr>
        <w:pStyle w:val="ListParagraph"/>
      </w:pPr>
      <w:r>
        <w:rPr>
          <w:b/>
        </w:rPr>
        <w:t>Skilling Australians Fund Levy (SAF-Levy) — Ausbildungsabgabe, die der Arbeitgeber bei Subclass 482 und 186 zahlt, nicht auf den Arbeitnehmer abwälzbar | Australien: Arbeit.</w:t>
      </w:r>
    </w:p>
    <w:p w14:paraId="409DBEE0" w14:textId="77777777" w:rsidR="001F7233" w:rsidRDefault="00000000">
      <w:pPr>
        <w:pStyle w:val="ListParagraph"/>
      </w:pPr>
      <w:r>
        <w:rPr>
          <w:b/>
        </w:rPr>
        <w:t>Skilled Independent (Subclass 189)</w:t>
      </w:r>
      <w:r>
        <w:t xml:space="preserve"> — punktebasiertes Visum ganz ohne Sponsor, mit freier Wohnortwahl in ganz Australien | Australien: Einwanderung</w:t>
      </w:r>
    </w:p>
    <w:p w14:paraId="7EB06B2E" w14:textId="77777777" w:rsidR="001F7233" w:rsidRDefault="00000000">
      <w:pPr>
        <w:pStyle w:val="ListParagraph"/>
      </w:pPr>
      <w:r>
        <w:rPr>
          <w:b/>
        </w:rPr>
        <w:lastRenderedPageBreak/>
        <w:t>Roadworthy Certificate</w:t>
      </w:r>
      <w:r>
        <w:t xml:space="preserve"> — Zustandsprüfung eines Fahrzeugs, in Victoria und Queensland beim Gebrauchtwagenverkauf gesetzlich vorgeschrieben | Australien: Führerschein</w:t>
      </w:r>
    </w:p>
    <w:p w14:paraId="510CB71A" w14:textId="77777777" w:rsidR="001F7233" w:rsidRDefault="00000000">
      <w:pPr>
        <w:pStyle w:val="ListParagraph"/>
      </w:pPr>
      <w:r>
        <w:rPr>
          <w:b/>
        </w:rPr>
        <w:t>Right to Disconnect</w:t>
      </w:r>
      <w:r>
        <w:t xml:space="preserve"> — seit 2024/25 geltendes Recht, Kontaktversuche des Arbeitgebers außerhalb der Arbeitszeit abzulehnen | Australien: Arbeit</w:t>
      </w:r>
    </w:p>
    <w:p w14:paraId="6FD92FCB" w14:textId="77777777" w:rsidR="001F7233" w:rsidRDefault="00000000">
      <w:pPr>
        <w:pStyle w:val="ListParagraph"/>
      </w:pPr>
      <w:r>
        <w:rPr>
          <w:b/>
        </w:rPr>
        <w:t>Registered Migration Agent</w:t>
      </w:r>
      <w:r>
        <w:t xml:space="preserve"> — bei der OMARA registrierte, zur entgeltlichen Migrationsberatung befugte Fachperson | Australien: Antrag</w:t>
      </w:r>
    </w:p>
    <w:p w14:paraId="7A0B664B" w14:textId="77777777" w:rsidR="001F7233" w:rsidRDefault="00000000">
      <w:pPr>
        <w:pStyle w:val="ListParagraph"/>
      </w:pPr>
      <w:r>
        <w:rPr>
          <w:b/>
        </w:rPr>
        <w:t>Reciprocal Health Care Agreement (RHCA) — zwischenstaatliches Gegenseitigkeitsabkommen zur medizinischen Grundversorgung. Deutschland gehört nicht zu den elf Partnerländern | Australien: Gesundheit.</w:t>
      </w:r>
    </w:p>
    <w:p w14:paraId="22604CA6" w14:textId="77777777" w:rsidR="001F7233" w:rsidRDefault="00000000">
      <w:pPr>
        <w:pStyle w:val="ListParagraph"/>
      </w:pPr>
      <w:r>
        <w:rPr>
          <w:b/>
        </w:rPr>
        <w:t>Random Drug Testing (RDT)</w:t>
      </w:r>
      <w:r>
        <w:t xml:space="preserve"> — verdachtsunabhängiger Speicheltest auf Drogen im Straßenverkehr | Australien: Recht</w:t>
      </w:r>
    </w:p>
    <w:p w14:paraId="63694A74" w14:textId="77777777" w:rsidR="001F7233" w:rsidRDefault="00000000">
      <w:pPr>
        <w:pStyle w:val="ListParagraph"/>
      </w:pPr>
      <w:r>
        <w:rPr>
          <w:b/>
        </w:rPr>
        <w:t>Random Breath Testing (RBT)</w:t>
      </w:r>
      <w:r>
        <w:t xml:space="preserve"> — verdachtsunabhängige Atemalkoholkontrolle im Straßenverkehr, in Australien Routine | Australien: Führerschein, Recht</w:t>
      </w:r>
    </w:p>
    <w:p w14:paraId="595A2F49" w14:textId="77777777" w:rsidR="001F7233" w:rsidRDefault="00000000">
      <w:pPr>
        <w:pStyle w:val="ListParagraph"/>
      </w:pPr>
      <w:r>
        <w:rPr>
          <w:b/>
        </w:rPr>
        <w:t>Permanent Resident (PR)</w:t>
      </w:r>
      <w:r>
        <w:t xml:space="preserve"> — Inhaber einer unbefristeten Aufenthaltserlaubnis, u. a. Voraussetzung für vollen Medicare-Zugang | Australien: Einwanderung</w:t>
      </w:r>
    </w:p>
    <w:p w14:paraId="73D4F9FA" w14:textId="77777777" w:rsidR="001F7233" w:rsidRDefault="00000000">
      <w:pPr>
        <w:pStyle w:val="ListParagraph"/>
      </w:pPr>
      <w:r>
        <w:rPr>
          <w:b/>
        </w:rPr>
        <w:t>P-Plates</w:t>
      </w:r>
      <w:r>
        <w:t xml:space="preserve"> — Kennzeichnung für Fahranfänger, vergleichbar der deutschen Probezeit, mit eigener 0,00-%-Alkoholgrenze | Australien: Führerschein</w:t>
      </w:r>
    </w:p>
    <w:p w14:paraId="4C86F2B1" w14:textId="77777777" w:rsidR="001F7233" w:rsidRDefault="00000000">
      <w:pPr>
        <w:pStyle w:val="ListParagraph"/>
      </w:pPr>
      <w:r>
        <w:rPr>
          <w:b/>
        </w:rPr>
        <w:t>OVHC (Overseas Visitor Health Cover)</w:t>
      </w:r>
      <w:r>
        <w:t xml:space="preserve"> — private Krankenzusatzversicherung für die meisten befristeten, nicht-studentischen Visa | Australien: Gesundheit</w:t>
      </w:r>
    </w:p>
    <w:p w14:paraId="70194857" w14:textId="77777777" w:rsidR="001F7233" w:rsidRDefault="00000000">
      <w:pPr>
        <w:pStyle w:val="ListParagraph"/>
      </w:pPr>
      <w:r>
        <w:rPr>
          <w:b/>
        </w:rPr>
        <w:t>OSHC (Outside School Hours Care) — kostenpflichtige Vor- und Nachmittagsbetreuung an Grundschulen, gleiche Abkürzung wie die Krankenzusatzversicherung oben, aber ein anderer Begriff | Australien: Schule.</w:t>
      </w:r>
    </w:p>
    <w:p w14:paraId="14F91BDB" w14:textId="77777777" w:rsidR="001F7233" w:rsidRDefault="00000000">
      <w:pPr>
        <w:pStyle w:val="ListParagraph"/>
      </w:pPr>
      <w:r>
        <w:rPr>
          <w:b/>
        </w:rPr>
        <w:t>OSHC (Overseas Student Health Cover)</w:t>
      </w:r>
      <w:r>
        <w:t xml:space="preserve"> — für Studienvisum-Inhaber verpflichtende private Krankenzusatzversicherung | Australien: Gesundheit</w:t>
      </w:r>
    </w:p>
    <w:p w14:paraId="33AE69EA" w14:textId="77777777" w:rsidR="001F7233" w:rsidRDefault="00000000">
      <w:pPr>
        <w:pStyle w:val="ListParagraph"/>
      </w:pPr>
      <w:r>
        <w:rPr>
          <w:b/>
        </w:rPr>
        <w:lastRenderedPageBreak/>
        <w:t>National Employment Standards (NES) — elf gesetzliche Mindestansprüche aus dem Fair Work Act, u. a. zu Urlaub und Kündigungsfristen | Australien: Arbeit</w:t>
      </w:r>
    </w:p>
    <w:p w14:paraId="4522092E" w14:textId="77777777" w:rsidR="001F7233" w:rsidRDefault="00000000">
      <w:pPr>
        <w:pStyle w:val="ListParagraph"/>
      </w:pPr>
      <w:r>
        <w:rPr>
          <w:b/>
        </w:rPr>
        <w:t>NAPLAN</w:t>
      </w:r>
      <w:r>
        <w:t xml:space="preserve"> — landesweiter Standardtest für Grundfertigkeiten in Lesen, Schreiben und Mathematik in Year 3, 5, 7 und 9 | Australien: Schule</w:t>
      </w:r>
    </w:p>
    <w:p w14:paraId="45C6F504" w14:textId="77777777" w:rsidR="001F7233" w:rsidRDefault="00000000">
      <w:pPr>
        <w:pStyle w:val="ListParagraph"/>
      </w:pPr>
      <w:r>
        <w:rPr>
          <w:b/>
        </w:rPr>
        <w:t>Medicare Levy Surcharge (MLS)</w:t>
      </w:r>
      <w:r>
        <w:t xml:space="preserve"> — Zusatzabgabe für Besserverdiener ohne private Krankenhausversicherung | Australien: Steuer</w:t>
      </w:r>
    </w:p>
    <w:p w14:paraId="7CB262FB" w14:textId="77777777" w:rsidR="001F7233" w:rsidRDefault="00000000">
      <w:pPr>
        <w:pStyle w:val="ListParagraph"/>
      </w:pPr>
      <w:r>
        <w:rPr>
          <w:b/>
        </w:rPr>
        <w:t>Medicare Levy</w:t>
      </w:r>
      <w:r>
        <w:t xml:space="preserve"> — pauschale Abgabe von 2,0 % des zu versteuernden Einkommens zur Mitfinanzierung von Medicare | Australien: Steuer, Gesundheit</w:t>
      </w:r>
    </w:p>
    <w:p w14:paraId="628C30CA" w14:textId="77777777" w:rsidR="001F7233" w:rsidRDefault="00000000">
      <w:pPr>
        <w:pStyle w:val="ListParagraph"/>
      </w:pPr>
      <w:r>
        <w:rPr>
          <w:b/>
        </w:rPr>
        <w:t>Medicare</w:t>
      </w:r>
      <w:r>
        <w:t xml:space="preserve"> — staatliches australisches Krankenversicherungssystem für Staatsbürger und Permanent Residents. Die meisten befristeten Visa bekommen es nicht. Den Zugang prüfst du bei Services Australia, bevor du kündigst | Australien: Gesundheit</w:t>
      </w:r>
    </w:p>
    <w:p w14:paraId="3738AE18" w14:textId="77777777" w:rsidR="001F7233" w:rsidRDefault="00000000">
      <w:pPr>
        <w:pStyle w:val="ListParagraph"/>
      </w:pPr>
      <w:r>
        <w:rPr>
          <w:b/>
        </w:rPr>
        <w:t>Mateship</w:t>
      </w:r>
      <w:r>
        <w:t xml:space="preserve"> — australisches Ideal von Gleichheit und gegenseitiger Unterstützung, Grundlage der informellen Umgangsformen | Australien: Kultur</w:t>
      </w:r>
    </w:p>
    <w:p w14:paraId="147B9A19" w14:textId="77777777" w:rsidR="001F7233" w:rsidRDefault="00000000">
      <w:pPr>
        <w:pStyle w:val="ListParagraph"/>
      </w:pPr>
      <w:r>
        <w:rPr>
          <w:b/>
        </w:rPr>
        <w:t>LITO (Low Income Tax Offset)</w:t>
      </w:r>
      <w:r>
        <w:t xml:space="preserve"> — Steuergutschrift für niedrige Einkommen von bis zu 700 AUD, hebt die faktische Steuerfreigrenze auf rund 22.867 AUD | Australien: Überblick, Steuer</w:t>
      </w:r>
    </w:p>
    <w:p w14:paraId="64D38094" w14:textId="77777777" w:rsidR="001F7233" w:rsidRDefault="00000000">
      <w:pPr>
        <w:pStyle w:val="ListParagraph"/>
      </w:pPr>
      <w:r>
        <w:rPr>
          <w:b/>
        </w:rPr>
        <w:t>ImmiAccount</w:t>
      </w:r>
      <w:r>
        <w:t xml:space="preserve"> — zentrales Online-Portal des Department of Home Affairs für Visumanträge, Zahlungen und Behördenkommunikation | Australien: Antrag</w:t>
      </w:r>
    </w:p>
    <w:p w14:paraId="20F8A341" w14:textId="77777777" w:rsidR="001F7233" w:rsidRDefault="00000000">
      <w:pPr>
        <w:pStyle w:val="ListParagraph"/>
      </w:pPr>
      <w:r>
        <w:rPr>
          <w:b/>
        </w:rPr>
        <w:t>HAP-ID (Health Assessment Processing ID)</w:t>
      </w:r>
      <w:r>
        <w:t xml:space="preserve"> — Kennnummer für die Terminbuchung bei der visumsbezogenen Gesundheitsuntersuchung beim Panel Physician | Australien: Antrag</w:t>
      </w:r>
    </w:p>
    <w:p w14:paraId="7D9BC741" w14:textId="77777777" w:rsidR="001F7233" w:rsidRDefault="00000000">
      <w:pPr>
        <w:pStyle w:val="ListParagraph"/>
      </w:pPr>
      <w:r>
        <w:rPr>
          <w:b/>
        </w:rPr>
        <w:t>GST (Goods and Services Tax) — australische Waren- und Dienstleistungssteuer, anders als in den USA bereits im Ladenpreis enthalten | Australien: Ankunft.</w:t>
      </w:r>
    </w:p>
    <w:p w14:paraId="5C38163A" w14:textId="77777777" w:rsidR="001F7233" w:rsidRDefault="00000000">
      <w:pPr>
        <w:pStyle w:val="ListParagraph"/>
      </w:pPr>
      <w:r>
        <w:rPr>
          <w:b/>
        </w:rPr>
        <w:t>Genuine Reason — gesetzlich vorgeschriebener triftiger Grund für eine Waffenlizenz. Selbstverteidigung zählt ausdrücklich nicht dazu | Australien: Recht.</w:t>
      </w:r>
    </w:p>
    <w:p w14:paraId="6EB99498" w14:textId="77777777" w:rsidR="001F7233" w:rsidRDefault="00000000">
      <w:pPr>
        <w:pStyle w:val="ListParagraph"/>
      </w:pPr>
      <w:r>
        <w:rPr>
          <w:b/>
        </w:rPr>
        <w:lastRenderedPageBreak/>
        <w:t>FIRB (Foreign Investment Review Board) — australische Prüfbehörde für Auslandsinvestitionen, setzt u. a. das Established-Dwelling-Kaufverbot durch | Australien: Wohnen</w:t>
      </w:r>
    </w:p>
    <w:p w14:paraId="60869024" w14:textId="77777777" w:rsidR="001F7233" w:rsidRDefault="00000000">
      <w:pPr>
        <w:pStyle w:val="ListParagraph"/>
      </w:pPr>
      <w:r>
        <w:rPr>
          <w:b/>
        </w:rPr>
        <w:t>Fair Work Act</w:t>
      </w:r>
      <w:r>
        <w:t xml:space="preserve"> — zentrales australisches Arbeitsgesetz von 2009, gilt bundeseinheitlich für fast alle privaten Arbeitsverhältnisse | Australien: Arbeit</w:t>
      </w:r>
    </w:p>
    <w:p w14:paraId="255497E9" w14:textId="77777777" w:rsidR="001F7233" w:rsidRDefault="00000000">
      <w:pPr>
        <w:pStyle w:val="ListParagraph"/>
      </w:pPr>
      <w:r>
        <w:rPr>
          <w:b/>
        </w:rPr>
        <w:t>Expression of Interest (EOI)</w:t>
      </w:r>
      <w:r>
        <w:t xml:space="preserve"> — unverbindliche Interessensbekundung über SkillSelect, Grundlage für eine spätere Einladung zum Visumantrag | Australien: Einwanderung</w:t>
      </w:r>
    </w:p>
    <w:p w14:paraId="39548F86" w14:textId="77777777" w:rsidR="001F7233" w:rsidRDefault="00000000">
      <w:pPr>
        <w:pStyle w:val="ListParagraph"/>
      </w:pPr>
      <w:r>
        <w:rPr>
          <w:b/>
        </w:rPr>
        <w:t>Established Dwellings — Bestandsimmobilien, die Ausländer und befristete Visa-Inhaber seit 1.4.2025 bis mindestens 30.6.2029 meist nicht kaufen dürfen | Australien: Wohnen</w:t>
      </w:r>
    </w:p>
    <w:p w14:paraId="7C12E543" w14:textId="77777777" w:rsidR="001F7233" w:rsidRDefault="00000000">
      <w:pPr>
        <w:pStyle w:val="ListParagraph"/>
      </w:pPr>
      <w:r>
        <w:rPr>
          <w:b/>
        </w:rPr>
        <w:t>Employer Nomination Scheme (ENS, Subclass 186) — Weg zur Daueraufenthaltserlaubnis über einen sponsernden Arbeitgeber, u. a. nach zwei Jahren im Subclass 482 | Australien: Arbeit, Einwanderung</w:t>
      </w:r>
    </w:p>
    <w:p w14:paraId="7BF23685" w14:textId="77777777" w:rsidR="001F7233" w:rsidRDefault="00000000">
      <w:pPr>
        <w:pStyle w:val="ListParagraph"/>
      </w:pPr>
      <w:r>
        <w:rPr>
          <w:b/>
        </w:rPr>
        <w:t>Demerit Points — Punktesystem für Verkehrsverstöße, gestaffelt nach Lizenztyp und Bundesstaat; bei Erreichen der Grenze droht Führerscheinsperre | Australien: Führerschein.</w:t>
      </w:r>
    </w:p>
    <w:p w14:paraId="16227DD6" w14:textId="77777777" w:rsidR="001F7233" w:rsidRDefault="00000000">
      <w:pPr>
        <w:pStyle w:val="ListParagraph"/>
      </w:pPr>
      <w:r>
        <w:rPr>
          <w:b/>
        </w:rPr>
        <w:t>DASP (Departing Australia Superannuation Payment)</w:t>
      </w:r>
      <w:r>
        <w:t xml:space="preserve"> — Auszahlung des Superannuation-Guthabens beim endgültigen Verlassen Australiens, mit 35–65 % Abgeltungssteuer | Australien: Steuer</w:t>
      </w:r>
    </w:p>
    <w:p w14:paraId="44423569" w14:textId="77777777" w:rsidR="001F7233" w:rsidRDefault="00000000">
      <w:pPr>
        <w:pStyle w:val="ListParagraph"/>
      </w:pPr>
      <w:r>
        <w:rPr>
          <w:b/>
        </w:rPr>
        <w:t>Core Skills Occupation List (CSOL) — seit 1.7.2025 gültige, 456 Berufe umfassende Liste für Subclass 482 und den Direktweg von 186 | Australien: Einwanderung, Arbeit.</w:t>
      </w:r>
    </w:p>
    <w:p w14:paraId="3B07DF9A" w14:textId="77777777" w:rsidR="001F7233" w:rsidRDefault="00000000">
      <w:pPr>
        <w:pStyle w:val="ListParagraph"/>
      </w:pPr>
      <w:r>
        <w:rPr>
          <w:b/>
        </w:rPr>
        <w:t>Core Skills Income Threshold (CSIT)</w:t>
      </w:r>
      <w:r>
        <w:t xml:space="preserve"> — gesetzliche Mindestlohnschwelle im Core-Skills-Strom des Subclass 482 | Australien: Arbeit</w:t>
      </w:r>
    </w:p>
    <w:p w14:paraId="3819E459" w14:textId="77777777" w:rsidR="001F7233" w:rsidRDefault="00000000">
      <w:pPr>
        <w:pStyle w:val="ListParagraph"/>
      </w:pPr>
      <w:r>
        <w:rPr>
          <w:b/>
        </w:rPr>
        <w:t>Conveyancer — auf Immobilienrecht spezialisierte Fachperson, prüft den Kaufvertrag und wickelt die Übergabe ab, Ersatz für den deutschen Notar | Australien: Wohnen.</w:t>
      </w:r>
    </w:p>
    <w:p w14:paraId="5459F629" w14:textId="77777777" w:rsidR="001F7233" w:rsidRDefault="00000000">
      <w:pPr>
        <w:pStyle w:val="ListParagraph"/>
      </w:pPr>
      <w:r>
        <w:rPr>
          <w:b/>
        </w:rPr>
        <w:t xml:space="preserve">Citizenship Test — Prüfung für die meisten erwachsenen Antragsteller auf australische Staatsbürgerschaft durch Verleihung. Sie prüft Englischkenntnisse sowie Wissen über </w:t>
      </w:r>
      <w:r>
        <w:rPr>
          <w:b/>
        </w:rPr>
        <w:lastRenderedPageBreak/>
        <w:t>Australien und die Staatsbürgerschaft. Ausnahmen gelten. | Australien: Staatsbürgerschaft</w:t>
      </w:r>
    </w:p>
    <w:p w14:paraId="1A4555D8" w14:textId="77777777" w:rsidR="001F7233" w:rsidRDefault="00000000">
      <w:pPr>
        <w:pStyle w:val="ListParagraph"/>
      </w:pPr>
      <w:r>
        <w:rPr>
          <w:b/>
        </w:rPr>
        <w:t>BYO (Bring Your Own) — Aufforderung bei Einladungen und Barbecues, eigene Getränke (gelegentlich Fleisch) mitzubringen | Australien: Kultur.</w:t>
      </w:r>
    </w:p>
    <w:p w14:paraId="70FAF5DD" w14:textId="77777777" w:rsidR="001F7233" w:rsidRDefault="00000000">
      <w:pPr>
        <w:pStyle w:val="ListParagraph"/>
      </w:pPr>
      <w:r>
        <w:rPr>
          <w:b/>
        </w:rPr>
        <w:t>Bulk Billing — Abrechnungsform, bei der ein Hausarzt direkt und ohne Zuzahlung mit Medicare abrechnet | Australien: Gesundheit.</w:t>
      </w:r>
    </w:p>
    <w:p w14:paraId="66B71A8A" w14:textId="77777777" w:rsidR="001F7233" w:rsidRDefault="00000000">
      <w:pPr>
        <w:pStyle w:val="ListParagraph"/>
      </w:pPr>
      <w:r>
        <w:rPr>
          <w:b/>
        </w:rPr>
        <w:t>Booze Bus</w:t>
      </w:r>
      <w:r>
        <w:t xml:space="preserve"> — umgangssprachlich für eine mobile Polizeistation zur Alkohol- und Drogenkontrolle im Straßenverkehr | Australien: Recht</w:t>
      </w:r>
    </w:p>
    <w:p w14:paraId="198218B2" w14:textId="77777777" w:rsidR="001F7233" w:rsidRDefault="00000000">
      <w:pPr>
        <w:pStyle w:val="ListParagraph"/>
      </w:pPr>
      <w:r>
        <w:rPr>
          <w:b/>
        </w:rPr>
        <w:t>Bond (Rental Bond)</w:t>
      </w:r>
      <w:r>
        <w:t xml:space="preserve"> — Mietkaution, meist vier Wochen Miete, wird bei einer staatlichen Kautionsstelle hinterlegt statt beim Vermieter | Australien: Wohnen</w:t>
      </w:r>
    </w:p>
    <w:p w14:paraId="2EFA221B" w14:textId="77777777" w:rsidR="001F7233" w:rsidRDefault="00000000">
      <w:pPr>
        <w:pStyle w:val="ListParagraph"/>
      </w:pPr>
      <w:r>
        <w:rPr>
          <w:b/>
        </w:rPr>
        <w:t>Base Application Charge</w:t>
      </w:r>
      <w:r>
        <w:t xml:space="preserve"> — die eigentliche Visumantragsgebühr, nur ein Teilposten neben Skills Assessment, Gesundheitscheck und Führungszeugnissen | Australien: Antrag</w:t>
      </w:r>
    </w:p>
    <w:p w14:paraId="4CFB3D8D" w14:textId="77777777" w:rsidR="001F7233" w:rsidRDefault="00000000">
      <w:pPr>
        <w:pStyle w:val="ListParagraph"/>
      </w:pPr>
      <w:r>
        <w:rPr>
          <w:b/>
        </w:rPr>
        <w:t>Balance-of-Family-Test — rein geografische Prüfung beim Eltern-Visum. Bestanden nur, wenn mindestens die Hälfte der volljährigen Kinder in Australien lebt | Australien: Familie.</w:t>
      </w:r>
    </w:p>
    <w:p w14:paraId="5D751899" w14:textId="77777777" w:rsidR="001F7233" w:rsidRDefault="00000000">
      <w:pPr>
        <w:pStyle w:val="ListParagraph"/>
      </w:pPr>
      <w:r>
        <w:rPr>
          <w:b/>
        </w:rPr>
        <w:t>Backpacker Tax</w:t>
      </w:r>
      <w:r>
        <w:t xml:space="preserve"> — Steuertarif für Working-Holiday-Visuminhaber: 15 % auf jeden verdienten Dollar bis 45.000 AUD, ohne Steuerfreibetrag | Australien: Steuer</w:t>
      </w:r>
    </w:p>
    <w:p w14:paraId="703D7F45" w14:textId="77777777" w:rsidR="001F7233" w:rsidRDefault="00000000">
      <w:pPr>
        <w:pStyle w:val="ListParagraph"/>
      </w:pPr>
      <w:r>
        <w:rPr>
          <w:b/>
        </w:rPr>
        <w:t>Auction — öffentliche Immobilienversteigerung, in Melbourne und Sydney üblich. Der Zuschlag ist meist sofort bindend, ohne Rücktrittsrecht | Australien: Wohnen.</w:t>
      </w:r>
    </w:p>
    <w:p w14:paraId="0248642B" w14:textId="77777777" w:rsidR="001F7233" w:rsidRDefault="00000000">
      <w:pPr>
        <w:pStyle w:val="ListParagraph"/>
      </w:pPr>
      <w:r>
        <w:rPr>
          <w:b/>
        </w:rPr>
        <w:t>ATO (Australian Taxation Office)</w:t>
      </w:r>
      <w:r>
        <w:t xml:space="preserve"> — australische Finanzbehörde, zuständig für Einkommensteuer, TFN und Superannuation | Australien: Steuer</w:t>
      </w:r>
    </w:p>
    <w:p w14:paraId="2E3780E4" w14:textId="77777777" w:rsidR="001F7233" w:rsidRDefault="00000000">
      <w:pPr>
        <w:pStyle w:val="ListParagraph"/>
      </w:pPr>
      <w:r>
        <w:rPr>
          <w:b/>
        </w:rPr>
        <w:t>ATAR (Australian Tertiary Admission Rank) — Rangzahl zwischen 0 und 99,95 für die Universitätszulassung, misst die Schülerleistung relativ zum Jahrgang | Australien: Schule.</w:t>
      </w:r>
    </w:p>
    <w:p w14:paraId="2258784F" w14:textId="77777777" w:rsidR="001F7233" w:rsidRDefault="00000000">
      <w:pPr>
        <w:pStyle w:val="ListParagraph"/>
      </w:pPr>
      <w:r>
        <w:rPr>
          <w:b/>
        </w:rPr>
        <w:t>Assurance of Support</w:t>
      </w:r>
      <w:r>
        <w:t xml:space="preserve"> — bei Services Australia für zehn Jahre hinterlegte, rückzahlbare Kaution eines Sponsors beim Contributory-Eltern-Visum | Australien: Familie</w:t>
      </w:r>
    </w:p>
    <w:p w14:paraId="370C3223" w14:textId="77777777" w:rsidR="001F7233" w:rsidRDefault="00000000">
      <w:pPr>
        <w:pStyle w:val="ListParagraph"/>
      </w:pPr>
      <w:r>
        <w:rPr>
          <w:b/>
        </w:rPr>
        <w:lastRenderedPageBreak/>
        <w:t>Annual Market Salary Rate (AMSR)</w:t>
      </w:r>
      <w:r>
        <w:t xml:space="preserve"> — marktüblicher Lohn für eine Position, neben der CSIT maßgeblich für die Lohnschwelle beim Subclass 482 | Australien: Arbeit</w:t>
      </w:r>
    </w:p>
    <w:p w14:paraId="69EC2E79" w14:textId="77777777" w:rsidR="001F7233" w:rsidRDefault="00000000">
      <w:pPr>
        <w:pStyle w:val="ListParagraph"/>
      </w:pPr>
      <w:r>
        <w:rPr>
          <w:b/>
        </w:rPr>
        <w:t>ANMAC (Australian Nursing and Midwifery Accreditation Council)</w:t>
      </w:r>
      <w:r>
        <w:t xml:space="preserve"> — bewertet ausländische Pflegeausbildungen für das Visum. Die Berufszulassung erteilt die NMBA über Ahpra | Australien: Anerkennung</w:t>
      </w:r>
    </w:p>
    <w:p w14:paraId="24BFB5EB" w14:textId="77777777" w:rsidR="001F7233" w:rsidRDefault="00000000">
      <w:pPr>
        <w:pStyle w:val="ListParagraph"/>
      </w:pPr>
      <w:r>
        <w:rPr>
          <w:b/>
        </w:rPr>
        <w:t>Ahpra (Australian Health Practitioner Regulation Agency). Behörde, über die die Gesundheitsberufe registriert werden, darunter die Medical Board und die NMBA für Pflege | Australien: Anerkennung.</w:t>
      </w:r>
    </w:p>
    <w:p w14:paraId="69B2C9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0AEF8209" w14:textId="77777777" w:rsidR="001F7233" w:rsidRDefault="00000000">
      <w:r>
        <w:t>• Quellen- und Datenstand: September 2026; Redaktionsschluss: Oktober 2026. Gesetze, Formularnummern und Programmdetails ändern sich. Prüfe bei einem konkreten Vorhaben die aktuelle Fassung auf der passenden Behördenseite.</w:t>
      </w:r>
    </w:p>
    <w:p w14:paraId="215C4FBD" w14:textId="77777777" w:rsidR="001F7233" w:rsidRDefault="00000000">
      <w:pPr>
        <w:pStyle w:val="ListParagraph"/>
      </w:pPr>
      <w:r>
        <w:t xml:space="preserve">Working Holiday Visa — Germany Working Holiday Visa für deutsche Staatsangehörige. Altersgrenze zum Stand des Neuseeland-Kapitels 18 bis 30 Jahre, nur auf </w:t>
      </w:r>
      <w:hyperlink r:id="rId1138">
        <w:r w:rsidR="001F7233">
          <w:rPr>
            <w:rStyle w:val="Hyperlink"/>
          </w:rPr>
          <w:t>immigration.govt.nz</w:t>
        </w:r>
      </w:hyperlink>
      <w:r>
        <w:t xml:space="preserve"> verbindlich. Nicht die australische Subclass 417 (dort im Kapitel 18 bis 35 seit 1. Juli 2026). Kein Weg zum Daueraufenthalt | Neuseeland: Einwanderung</w:t>
      </w:r>
    </w:p>
    <w:p w14:paraId="6D6BCF89" w14:textId="77777777" w:rsidR="001F7233" w:rsidRDefault="00000000">
      <w:pPr>
        <w:pStyle w:val="ListParagraph"/>
      </w:pPr>
      <w:r>
        <w:rPr>
          <w:b/>
        </w:rPr>
        <w:t>Warrant of Fitness (WoF)</w:t>
      </w:r>
      <w:r>
        <w:t xml:space="preserve"> — neuseeländisches Pendant zum TÜV, bei Verkauf höchstens einen Monat alt | Neuseeland: Führerschein</w:t>
      </w:r>
    </w:p>
    <w:p w14:paraId="5C05BEB8" w14:textId="77777777" w:rsidR="001F7233" w:rsidRDefault="00000000">
      <w:pPr>
        <w:pStyle w:val="ListParagraph"/>
      </w:pPr>
      <w:r>
        <w:rPr>
          <w:b/>
        </w:rPr>
        <w:t>Trial Period</w:t>
      </w:r>
      <w:r>
        <w:t xml:space="preserve"> — bis zu 90-tägige Probezeit ohne Kündigungsschutz, seit 2023 für jeden Arbeitgeber unabhängig von der Betriebsgröße möglich | Neuseeland: Arbeit</w:t>
      </w:r>
    </w:p>
    <w:p w14:paraId="63726DBC" w14:textId="77777777" w:rsidR="001F7233" w:rsidRDefault="00000000">
      <w:pPr>
        <w:pStyle w:val="ListParagraph"/>
      </w:pPr>
      <w:r>
        <w:rPr>
          <w:b/>
        </w:rPr>
        <w:t>Transitional Resident — steuerliche Befreiung für Neuankömmlinge auf die meisten ausländischen Kapital-, Miet- und Beteiligungseinkünfte, 48 Monate lang | Neuseeland: Steuer.</w:t>
      </w:r>
    </w:p>
    <w:p w14:paraId="37E8BDC8" w14:textId="77777777" w:rsidR="001F7233" w:rsidRDefault="00000000">
      <w:pPr>
        <w:pStyle w:val="ListParagraph"/>
      </w:pPr>
      <w:r>
        <w:rPr>
          <w:b/>
        </w:rPr>
        <w:lastRenderedPageBreak/>
        <w:t>Tramping</w:t>
      </w:r>
      <w:r>
        <w:t xml:space="preserve"> — mehrtägiges Wandern mit Hüttenübernachtung, eigenständiger neuseeländischer Begriff | Neuseeland: Kultur</w:t>
      </w:r>
    </w:p>
    <w:p w14:paraId="76C57E7D" w14:textId="77777777" w:rsidR="001F7233" w:rsidRDefault="00000000">
      <w:pPr>
        <w:pStyle w:val="ListParagraph"/>
      </w:pPr>
      <w:r>
        <w:rPr>
          <w:b/>
        </w:rPr>
        <w:t>Toka Tū Ake (Natural Hazards Commission). Staatliche Naturgefahrenversicherung, deckt die ersten 300.000 NZD Erdbebenschaden am Wohngebäude | Neuseeland: Wohnen, Recht.</w:t>
      </w:r>
    </w:p>
    <w:p w14:paraId="119283A4" w14:textId="77777777" w:rsidR="001F7233" w:rsidRDefault="00000000">
      <w:pPr>
        <w:pStyle w:val="ListParagraph"/>
      </w:pPr>
      <w:r>
        <w:rPr>
          <w:b/>
        </w:rPr>
        <w:t>Tenancy Services</w:t>
      </w:r>
      <w:r>
        <w:t xml:space="preserve"> — staatliche Stelle, die Mietkautionen treuhänderisch verwaltet und bei Mietstreitigkeiten vermittelt | Neuseeland: Wohnen</w:t>
      </w:r>
    </w:p>
    <w:p w14:paraId="3CD0D25E" w14:textId="77777777" w:rsidR="001F7233" w:rsidRDefault="00000000">
      <w:pPr>
        <w:pStyle w:val="ListParagraph"/>
      </w:pPr>
      <w:r>
        <w:rPr>
          <w:b/>
        </w:rPr>
        <w:t>Temporary Retirement Visitor Visa — befristeter Ruhestandsweg ohne dort lebendes Kind, verlangt hohe Investitions- und Einkommensschwellen | Neuseeland: Familie/Investor/Ruhestand.</w:t>
      </w:r>
    </w:p>
    <w:p w14:paraId="322324EF" w14:textId="77777777" w:rsidR="001F7233" w:rsidRDefault="00000000">
      <w:pPr>
        <w:pStyle w:val="ListParagraph"/>
      </w:pPr>
      <w:r>
        <w:rPr>
          <w:b/>
        </w:rPr>
        <w:t>Te Ao Māori</w:t>
      </w:r>
      <w:r>
        <w:t xml:space="preserve"> — die Māori-Weltsicht, prägt zunehmend Alltag und Arbeitswelt Neuseelands | Neuseeland: Kultur</w:t>
      </w:r>
    </w:p>
    <w:p w14:paraId="094CB4ED" w14:textId="77777777" w:rsidR="001F7233" w:rsidRDefault="00000000">
      <w:pPr>
        <w:pStyle w:val="ListParagraph"/>
      </w:pPr>
      <w:r>
        <w:rPr>
          <w:b/>
        </w:rPr>
        <w:t>Smoko</w:t>
      </w:r>
      <w:r>
        <w:t xml:space="preserve"> — informelle Kaffee- oder Teepause während der Arbeitszeit, ursprünglich die Raucherpause | Neuseeland: Kultur</w:t>
      </w:r>
    </w:p>
    <w:p w14:paraId="5EC5A23E" w14:textId="77777777" w:rsidR="001F7233" w:rsidRDefault="00000000">
      <w:pPr>
        <w:pStyle w:val="ListParagraph"/>
      </w:pPr>
      <w:r>
        <w:rPr>
          <w:b/>
        </w:rPr>
        <w:t>Skilled Migrant Category (SMC)</w:t>
      </w:r>
      <w:r>
        <w:t xml:space="preserve"> — punktebasiertes Hauptvisum für Fachkräfte zum Daueraufenthalt, seit der Reform 2025/26 mit einer Schwelle von 6 Punkten | Neuseeland: Einwanderung, Arbeit</w:t>
      </w:r>
    </w:p>
    <w:p w14:paraId="5EEDFC90" w14:textId="77777777" w:rsidR="001F7233" w:rsidRDefault="00000000">
      <w:pPr>
        <w:pStyle w:val="ListParagraph"/>
      </w:pPr>
      <w:r>
        <w:rPr>
          <w:b/>
        </w:rPr>
        <w:t>She’ll Be Right</w:t>
      </w:r>
      <w:r>
        <w:t xml:space="preserve"> — entspannte Redewendung im Sinne von „wird schon werden“, typisch für die neuseeländische Gelassenheit | Neuseeland: Kultur</w:t>
      </w:r>
    </w:p>
    <w:p w14:paraId="6AFF0A8F" w14:textId="77777777" w:rsidR="001F7233" w:rsidRDefault="00000000">
      <w:pPr>
        <w:pStyle w:val="ListParagraph"/>
      </w:pPr>
      <w:r>
        <w:rPr>
          <w:b/>
        </w:rPr>
        <w:t>Resident Visa</w:t>
      </w:r>
      <w:r>
        <w:t xml:space="preserve"> — neuseeländischer Daueraufenthaltstitel, funktional vergleichbar mit der Green Card, zunächst zwei Jahre reisebeschränkt | Neuseeland: Einwanderung</w:t>
      </w:r>
    </w:p>
    <w:p w14:paraId="5544FF84" w14:textId="77777777" w:rsidR="001F7233" w:rsidRDefault="00000000">
      <w:pPr>
        <w:pStyle w:val="ListParagraph"/>
      </w:pPr>
      <w:r>
        <w:rPr>
          <w:b/>
        </w:rPr>
        <w:t>Redundancy</w:t>
      </w:r>
      <w:r>
        <w:t xml:space="preserve"> — betriebsbedingte Kündigung; anders als in Deutschland keine automatische gesetzliche Abfindungspflicht | Neuseeland: Arbeit</w:t>
      </w:r>
    </w:p>
    <w:p w14:paraId="530B56A0" w14:textId="77777777" w:rsidR="001F7233" w:rsidRDefault="00000000">
      <w:pPr>
        <w:pStyle w:val="ListParagraph"/>
      </w:pPr>
      <w:r>
        <w:rPr>
          <w:b/>
        </w:rPr>
        <w:t>Pōwhiri</w:t>
      </w:r>
      <w:r>
        <w:t xml:space="preserve"> — traditionelle Māori-Willkommenszeremonie mit Reden, Gesang und Ritual | Neuseeland: Kultur</w:t>
      </w:r>
    </w:p>
    <w:p w14:paraId="750712A3" w14:textId="77777777" w:rsidR="001F7233" w:rsidRDefault="00000000">
      <w:pPr>
        <w:pStyle w:val="ListParagraph"/>
      </w:pPr>
      <w:r>
        <w:rPr>
          <w:b/>
        </w:rPr>
        <w:t>Police Certificate</w:t>
      </w:r>
      <w:r>
        <w:t xml:space="preserve"> — Führungszeugnis, für den Visumantrag höchstens sechs Monate alt, ohne Apostille, nur mit beglaubigter Übersetzung | Neuseeland: Antrag</w:t>
      </w:r>
    </w:p>
    <w:p w14:paraId="2B62E13D" w14:textId="77777777" w:rsidR="001F7233" w:rsidRDefault="00000000">
      <w:pPr>
        <w:pStyle w:val="ListParagraph"/>
      </w:pPr>
      <w:r>
        <w:rPr>
          <w:b/>
        </w:rPr>
        <w:lastRenderedPageBreak/>
        <w:t>Plunket — landesweite gemeinnützige Organisation für frühkindliche Gesundheit und Krabbelgruppen, guter Ort für erste Kontakte | Neuseeland: Kultur.</w:t>
      </w:r>
    </w:p>
    <w:p w14:paraId="0B67BBE7" w14:textId="77777777" w:rsidR="001F7233" w:rsidRDefault="00000000">
      <w:pPr>
        <w:pStyle w:val="ListParagraph"/>
      </w:pPr>
      <w:r>
        <w:rPr>
          <w:b/>
        </w:rPr>
        <w:t>Personal Grievance</w:t>
      </w:r>
      <w:r>
        <w:t xml:space="preserve"> — arbeitsrechtliche Beschwerde bei ungerechter Behandlung, ohne Mindestbeschäftigungszeit möglich, Frist 90 Tage | Neuseeland: Arbeit</w:t>
      </w:r>
    </w:p>
    <w:p w14:paraId="25A03F1F" w14:textId="77777777" w:rsidR="001F7233" w:rsidRDefault="00000000">
      <w:pPr>
        <w:pStyle w:val="ListParagraph"/>
      </w:pPr>
      <w:r>
        <w:rPr>
          <w:b/>
        </w:rPr>
        <w:t>Permanent Resident Visa (PRV)</w:t>
      </w:r>
      <w:r>
        <w:t xml:space="preserve"> — unbefristeter Daueraufenthaltstitel ohne Reisebeschränkung, meist im Anschluss an das zunächst reisebeschränkte Resident Visa | Neuseeland: Einwanderung</w:t>
      </w:r>
    </w:p>
    <w:p w14:paraId="0FA25691" w14:textId="77777777" w:rsidR="001F7233" w:rsidRDefault="00000000">
      <w:pPr>
        <w:pStyle w:val="ListParagraph"/>
      </w:pPr>
      <w:r>
        <w:rPr>
          <w:b/>
        </w:rPr>
        <w:t>Pay As You Earn (PAYE)</w:t>
      </w:r>
      <w:r>
        <w:t xml:space="preserve"> — laufender Lohnsteuerabzug direkt vom Arbeitgeber nach den progressiven Steuerstufen | Neuseeland: Steuer</w:t>
      </w:r>
    </w:p>
    <w:p w14:paraId="61DFA508" w14:textId="77777777" w:rsidR="001F7233" w:rsidRDefault="00000000">
      <w:pPr>
        <w:pStyle w:val="ListParagraph"/>
      </w:pPr>
      <w:r>
        <w:rPr>
          <w:b/>
        </w:rPr>
        <w:t>Overseas Person — rechtlicher Status nach dem Overseas Investment Act, der den Kauf von Bestandsimmobilien meist verbietet | Neuseeland: Wohnen</w:t>
      </w:r>
    </w:p>
    <w:p w14:paraId="5BCB1220" w14:textId="77777777" w:rsidR="001F7233" w:rsidRDefault="00000000">
      <w:pPr>
        <w:pStyle w:val="ListParagraph"/>
      </w:pPr>
      <w:r>
        <w:rPr>
          <w:b/>
        </w:rPr>
        <w:t>Ordinarily Resident — Status, der ausländischen Käufern erst den Kauf einer Bestandsimmobilie erlaubt. Verlangt Resident-Visum, 12 Monate Aufenthalt, 183-Tage-Anwesenheit und Steuerresidenz gleichzeitig | Neuseeland: Wohnen.</w:t>
      </w:r>
    </w:p>
    <w:p w14:paraId="188336E2" w14:textId="77777777" w:rsidR="001F7233" w:rsidRDefault="00000000">
      <w:pPr>
        <w:pStyle w:val="ListParagraph"/>
      </w:pPr>
      <w:r>
        <w:t xml:space="preserve">No-notification Rate — Abzug auf Gehalt und Zinsen ohne hinterlegte IRD-Nummer. Den Satz nennt </w:t>
      </w:r>
      <w:hyperlink r:id="rId1139">
        <w:r w:rsidR="001F7233">
          <w:rPr>
            <w:rStyle w:val="Hyperlink"/>
          </w:rPr>
          <w:t>ird.govt.nz</w:t>
        </w:r>
      </w:hyperlink>
      <w:r>
        <w:t>. Hier steht keine Prozentzahl | Neuseeland: Steuer</w:t>
      </w:r>
    </w:p>
    <w:p w14:paraId="7CDD4D18" w14:textId="77777777" w:rsidR="001F7233" w:rsidRDefault="00000000">
      <w:pPr>
        <w:pStyle w:val="ListParagraph"/>
      </w:pPr>
      <w:r>
        <w:rPr>
          <w:b/>
        </w:rPr>
        <w:t>Nursing Council of New Zealand</w:t>
      </w:r>
      <w:r>
        <w:t xml:space="preserve"> — Zulassungsstelle für Pflege. Ein Visum oder ein Green-List-Eintrag ersetzt die Registrierung nicht | Neuseeland: Anerkennung</w:t>
      </w:r>
    </w:p>
    <w:p w14:paraId="50E39F7B" w14:textId="77777777" w:rsidR="001F7233" w:rsidRDefault="00000000">
      <w:pPr>
        <w:pStyle w:val="ListParagraph"/>
      </w:pPr>
      <w:r>
        <w:rPr>
          <w:b/>
        </w:rPr>
        <w:t>New Zealand Traveller Declaration (NZTD) — digitale Einreise-, Zoll- und Biosecurity-Erklärung, vor der Landung Pflicht | Neuseeland: Ankunft.</w:t>
      </w:r>
    </w:p>
    <w:p w14:paraId="476A2500" w14:textId="77777777" w:rsidR="001F7233" w:rsidRDefault="00000000">
      <w:pPr>
        <w:pStyle w:val="ListParagraph"/>
      </w:pPr>
      <w:r>
        <w:rPr>
          <w:b/>
        </w:rPr>
        <w:t>New Zealand Transport Agency Waka Kotahi (NZTA). Neuseeländische Verkehrsbehörde, zuständig für Führerschein-Umtausch und Verkehrsregeln | Neuseeland: Führerschein.</w:t>
      </w:r>
    </w:p>
    <w:p w14:paraId="4E1A3961" w14:textId="77777777" w:rsidR="001F7233" w:rsidRDefault="00000000">
      <w:pPr>
        <w:pStyle w:val="ListParagraph"/>
      </w:pPr>
      <w:r>
        <w:rPr>
          <w:b/>
        </w:rPr>
        <w:t>New Zealand Bill of Rights Act 1990. Grundrechtecharta, gilt für jeden im Land unabhängig von der Staatsangehörigkeit | Neuseeland: Recht.</w:t>
      </w:r>
    </w:p>
    <w:p w14:paraId="5F1829E9" w14:textId="77777777" w:rsidR="001F7233" w:rsidRDefault="00000000">
      <w:pPr>
        <w:pStyle w:val="ListParagraph"/>
      </w:pPr>
      <w:r>
        <w:rPr>
          <w:b/>
        </w:rPr>
        <w:lastRenderedPageBreak/>
        <w:t>National Certificate of Educational Achievement (NCEA) — neuseeländischer Schulabschluss über Einzelfächer und Kredit-Punkte, etwa Year 11 bis 13 | Neuseeland: Schule.</w:t>
      </w:r>
    </w:p>
    <w:p w14:paraId="3D0CAA29" w14:textId="77777777" w:rsidR="001F7233" w:rsidRDefault="00000000">
      <w:pPr>
        <w:pStyle w:val="ListParagraph"/>
      </w:pPr>
      <w:r>
        <w:rPr>
          <w:b/>
        </w:rPr>
        <w:t>Licensed Immigration Adviser (LIA)</w:t>
      </w:r>
      <w:r>
        <w:t xml:space="preserve"> — lizenzierter Einwanderungsberater, reguliert durch die Immigration Advisers Authority | Neuseeland: Antrag</w:t>
      </w:r>
    </w:p>
    <w:p w14:paraId="29E8AA8E" w14:textId="77777777" w:rsidR="001F7233" w:rsidRDefault="00000000">
      <w:pPr>
        <w:pStyle w:val="ListParagraph"/>
      </w:pPr>
      <w:r>
        <w:rPr>
          <w:b/>
        </w:rPr>
        <w:t>KiwiSaver — freiwilliges, staatlich gefördertes Rentensparsystem mit Pflichtbeitrag des Arbeitgebers, nur für Bürger und Personen mit unbefristetem Aufenthaltsrecht offen | Neuseeland: Steuer.</w:t>
      </w:r>
    </w:p>
    <w:p w14:paraId="5DE3E43F" w14:textId="77777777" w:rsidR="001F7233" w:rsidRDefault="00000000">
      <w:pPr>
        <w:pStyle w:val="ListParagraph"/>
      </w:pPr>
      <w:r>
        <w:rPr>
          <w:b/>
        </w:rPr>
        <w:t>Kia ora</w:t>
      </w:r>
      <w:r>
        <w:t xml:space="preserve"> — Māori-Gruß, im neuseeländischen Alltagsenglisch fest für „Hallo“ verankert | Neuseeland: Kultur</w:t>
      </w:r>
    </w:p>
    <w:p w14:paraId="0AB83CDA" w14:textId="77777777" w:rsidR="001F7233" w:rsidRDefault="00000000">
      <w:pPr>
        <w:pStyle w:val="ListParagraph"/>
      </w:pPr>
      <w:r>
        <w:rPr>
          <w:b/>
        </w:rPr>
        <w:t>Karakia</w:t>
      </w:r>
      <w:r>
        <w:t xml:space="preserve"> — kurzes einleitendes Ritual beziehungsweise stilles Gebet zur Eröffnung von Zeremonien und Besprechungen | Neuseeland: Kultur</w:t>
      </w:r>
    </w:p>
    <w:p w14:paraId="59032340" w14:textId="77777777" w:rsidR="001F7233" w:rsidRDefault="00000000">
      <w:pPr>
        <w:pStyle w:val="ListParagraph"/>
      </w:pPr>
      <w:r>
        <w:rPr>
          <w:b/>
        </w:rPr>
        <w:t>Job Check</w:t>
      </w:r>
      <w:r>
        <w:t xml:space="preserve"> — behördliche Prüfung einer konkreten Stelle im AEWV-Verfahren, weist marktübliche Bezahlung und Bedingungen nach | Neuseeland: Arbeit</w:t>
      </w:r>
    </w:p>
    <w:p w14:paraId="686C46F5" w14:textId="77777777" w:rsidR="001F7233" w:rsidRDefault="00000000">
      <w:pPr>
        <w:pStyle w:val="ListParagraph"/>
      </w:pPr>
      <w:r>
        <w:rPr>
          <w:b/>
        </w:rPr>
        <w:t>Inland Revenue Department (IRD)</w:t>
      </w:r>
      <w:r>
        <w:t xml:space="preserve"> — neuseeländische Steuerbehörde, vergibt die kostenlose, lebenslange IRD-Nummer als Voraussetzung für Gehalt, Bankkonto und KiwiSaver | Neuseeland: Steuer</w:t>
      </w:r>
    </w:p>
    <w:p w14:paraId="1CEB16BF" w14:textId="77777777" w:rsidR="001F7233" w:rsidRDefault="00000000">
      <w:pPr>
        <w:pStyle w:val="ListParagraph"/>
      </w:pPr>
      <w:r>
        <w:rPr>
          <w:b/>
        </w:rPr>
        <w:t>Immigration New Zealand (INZ)</w:t>
      </w:r>
      <w:r>
        <w:t xml:space="preserve"> — neuseeländische Einwanderungsbehörde, Teil des Wirtschaftsministeriums MBIE | Neuseeland: Einwanderung</w:t>
      </w:r>
    </w:p>
    <w:p w14:paraId="01D46CE4" w14:textId="77777777" w:rsidR="001F7233" w:rsidRDefault="00000000">
      <w:pPr>
        <w:pStyle w:val="ListParagraph"/>
      </w:pPr>
      <w:r>
        <w:rPr>
          <w:b/>
        </w:rPr>
        <w:t>Immigration Levy</w:t>
      </w:r>
      <w:r>
        <w:t xml:space="preserve"> — zusätzliche Einwanderungsabgabe, die bei fast jedem Visumantrag zur Antragsgebühr hinzukommt | Neuseeland: Antrag</w:t>
      </w:r>
    </w:p>
    <w:p w14:paraId="4D620F97" w14:textId="77777777" w:rsidR="001F7233" w:rsidRDefault="00000000">
      <w:pPr>
        <w:pStyle w:val="ListParagraph"/>
      </w:pPr>
      <w:r>
        <w:rPr>
          <w:b/>
        </w:rPr>
        <w:t>Green List — Mangelberufe-Liste mit direktem (Tier 1) oder verkürztem (Tier 2) Weg zur Residency für rund 200 Berufe | Neuseeland: Einwanderung, Arbeit.</w:t>
      </w:r>
    </w:p>
    <w:p w14:paraId="45FCE681" w14:textId="77777777" w:rsidR="001F7233" w:rsidRDefault="00000000">
      <w:pPr>
        <w:pStyle w:val="ListParagraph"/>
      </w:pPr>
      <w:r>
        <w:rPr>
          <w:b/>
        </w:rPr>
        <w:t>Goods and Services Tax (GST)</w:t>
      </w:r>
      <w:r>
        <w:t xml:space="preserve"> — neuseeländische Verbrauchsteuer von 15 %, anders als die US-Sales-Tax bereits im Preis enthalten | Neuseeland: Steuer</w:t>
      </w:r>
    </w:p>
    <w:p w14:paraId="1223BAC2" w14:textId="77777777" w:rsidR="001F7233" w:rsidRDefault="00000000">
      <w:pPr>
        <w:pStyle w:val="ListParagraph"/>
      </w:pPr>
      <w:r>
        <w:rPr>
          <w:b/>
        </w:rPr>
        <w:lastRenderedPageBreak/>
        <w:t>Good Faith</w:t>
      </w:r>
      <w:r>
        <w:t xml:space="preserve"> — Treu und Glauben, zentraler Grundsatz des neuseeländischen Arbeitsrechts | Neuseeland: Arbeit</w:t>
      </w:r>
    </w:p>
    <w:p w14:paraId="7FC05A6C" w14:textId="77777777" w:rsidR="001F7233" w:rsidRDefault="00000000">
      <w:pPr>
        <w:pStyle w:val="ListParagraph"/>
      </w:pPr>
      <w:r>
        <w:rPr>
          <w:b/>
        </w:rPr>
        <w:t>Give Way</w:t>
      </w:r>
      <w:r>
        <w:t xml:space="preserve"> — seit 2012 geltende Vorfahrtsregel, wonach abbiegender Verkehr nicht mehr automatisch Vorrang hat | Neuseeland: Führerschein</w:t>
      </w:r>
    </w:p>
    <w:p w14:paraId="1159D90C" w14:textId="77777777" w:rsidR="001F7233" w:rsidRDefault="00000000">
      <w:pPr>
        <w:pStyle w:val="ListParagraph"/>
      </w:pPr>
      <w:r>
        <w:rPr>
          <w:b/>
        </w:rPr>
        <w:t>General Practitioner (GP)</w:t>
      </w:r>
      <w:r>
        <w:t xml:space="preserve"> — Hausarzt, meist über eine Primary Health Organisation organisiert | Neuseeland: Gesundheit</w:t>
      </w:r>
    </w:p>
    <w:p w14:paraId="3EE865EB" w14:textId="77777777" w:rsidR="001F7233" w:rsidRDefault="00000000">
      <w:pPr>
        <w:pStyle w:val="ListParagraph"/>
      </w:pPr>
      <w:r>
        <w:rPr>
          <w:b/>
        </w:rPr>
        <w:t>Exempt Countries — von der Verkehrsbehörde NZTA anerkannte Länderliste, deren Führerscheine ohne Prüfung umgetauscht werden können. Deutschland zählt dazu | Neuseeland: Führerschein.</w:t>
      </w:r>
    </w:p>
    <w:p w14:paraId="749AC9ED" w14:textId="77777777" w:rsidR="001F7233" w:rsidRDefault="00000000">
      <w:pPr>
        <w:pStyle w:val="ListParagraph"/>
      </w:pPr>
      <w:r>
        <w:rPr>
          <w:b/>
        </w:rPr>
        <w:t>ESOL (English for Speakers of Other Languages). Schulische Sprachförderung für Kinder ohne Englisch als Erstsprache, vom Bildungsministerium bezuschusst | Neuseeland: Schule.</w:t>
      </w:r>
    </w:p>
    <w:p w14:paraId="714175F7" w14:textId="77777777" w:rsidR="001F7233" w:rsidRDefault="00000000">
      <w:pPr>
        <w:pStyle w:val="ListParagraph"/>
      </w:pPr>
      <w:r>
        <w:rPr>
          <w:b/>
        </w:rPr>
        <w:t>Employment New Zealand</w:t>
      </w:r>
      <w:r>
        <w:t xml:space="preserve"> — Arbeitsbereich des Wirtschaftsministeriums MBIE, kostenlose Information und Beratung zum Arbeitsrecht | Neuseeland: Arbeit</w:t>
      </w:r>
    </w:p>
    <w:p w14:paraId="77578215" w14:textId="77777777" w:rsidR="001F7233" w:rsidRDefault="00000000">
      <w:pPr>
        <w:pStyle w:val="ListParagraph"/>
      </w:pPr>
      <w:r>
        <w:rPr>
          <w:b/>
        </w:rPr>
        <w:t>Employer Accreditation</w:t>
      </w:r>
      <w:r>
        <w:t xml:space="preserve"> — Vorab-Akkreditierung eines Arbeitgebers, Voraussetzung für das AEWV-System | Neuseeland: Arbeit</w:t>
      </w:r>
    </w:p>
    <w:p w14:paraId="73265B7C" w14:textId="77777777" w:rsidR="001F7233" w:rsidRDefault="00000000">
      <w:pPr>
        <w:pStyle w:val="ListParagraph"/>
      </w:pPr>
      <w:r>
        <w:rPr>
          <w:b/>
        </w:rPr>
        <w:t>Earner’s Levy</w:t>
      </w:r>
      <w:r>
        <w:t xml:space="preserve"> — Arbeitnehmerbeitrag zur Finanzierung von ACC, ab April 2026 1,75 % des beitragspflichtigen Einkommens | Neuseeland: Gesundheit</w:t>
      </w:r>
    </w:p>
    <w:p w14:paraId="219087A1" w14:textId="77777777" w:rsidR="001F7233" w:rsidRDefault="00000000">
      <w:pPr>
        <w:pStyle w:val="ListParagraph"/>
      </w:pPr>
      <w:r>
        <w:rPr>
          <w:b/>
        </w:rPr>
        <w:t>Direct Deduction Policy</w:t>
      </w:r>
      <w:r>
        <w:t xml:space="preserve"> — Regel, nach der die staatliche Rente NZ Super Dollar für Dollar um eine ausländische Sozialversicherungsrente gekürzt wird | Neuseeland: Familie/Investor/Ruhestand</w:t>
      </w:r>
    </w:p>
    <w:p w14:paraId="40AFEE66" w14:textId="77777777" w:rsidR="001F7233" w:rsidRDefault="00000000">
      <w:pPr>
        <w:pStyle w:val="ListParagraph"/>
      </w:pPr>
      <w:r>
        <w:rPr>
          <w:b/>
        </w:rPr>
        <w:t>Department of Internal Affairs (DIA) — Behörde, die Einbürgerungsanträge bearbeitet und den guten Leumund prüft | Neuseeland: Staatsbürgerschaft.</w:t>
      </w:r>
    </w:p>
    <w:p w14:paraId="3859A0C3" w14:textId="77777777" w:rsidR="001F7233" w:rsidRDefault="00000000">
      <w:pPr>
        <w:pStyle w:val="ListParagraph"/>
      </w:pPr>
      <w:r>
        <w:rPr>
          <w:b/>
        </w:rPr>
        <w:t>Common Law</w:t>
      </w:r>
      <w:r>
        <w:t xml:space="preserve"> — britisch geprägtes Fallrecht, Grundlage des neuseeländischen Rechtssystems | Neuseeland: Recht</w:t>
      </w:r>
    </w:p>
    <w:p w14:paraId="61792D48" w14:textId="77777777" w:rsidR="001F7233" w:rsidRDefault="00000000">
      <w:pPr>
        <w:pStyle w:val="ListParagraph"/>
      </w:pPr>
      <w:r>
        <w:rPr>
          <w:b/>
        </w:rPr>
        <w:t>Citizenship by Descent</w:t>
      </w:r>
      <w:r>
        <w:t xml:space="preserve"> — Registrierung der Staatsbürgerschaft für im Ausland geborene Kinder neuseeländischer Eltern, konstitutiv statt automatisch | Neuseeland: Staatsbürgerschaft</w:t>
      </w:r>
    </w:p>
    <w:p w14:paraId="00CB1833" w14:textId="77777777" w:rsidR="001F7233" w:rsidRDefault="00000000">
      <w:pPr>
        <w:pStyle w:val="ListParagraph"/>
      </w:pPr>
      <w:r>
        <w:rPr>
          <w:b/>
        </w:rPr>
        <w:lastRenderedPageBreak/>
        <w:t>Character Requirement</w:t>
      </w:r>
      <w:r>
        <w:t xml:space="preserve"> — Vorgabe zum guten Leumund im Einwanderungsverfahren, geprüft ab 17 Jahren | Neuseeland: Antrag</w:t>
      </w:r>
    </w:p>
    <w:p w14:paraId="0A6C055E" w14:textId="77777777" w:rsidR="001F7233" w:rsidRDefault="00000000">
      <w:pPr>
        <w:pStyle w:val="ListParagraph"/>
      </w:pPr>
      <w:r>
        <w:rPr>
          <w:b/>
        </w:rPr>
        <w:t>Business Investor Work Visa</w:t>
      </w:r>
      <w:r>
        <w:t xml:space="preserve"> — Investoren-Arbeitsvisum für aktive Unternehmensführung mit Mindestbeschäftigung, löst seit 2025 die frühere Entrepreneur-Kategorie ab | Neuseeland: Familie/Investor/Ruhestand</w:t>
      </w:r>
    </w:p>
    <w:p w14:paraId="6D169A66" w14:textId="77777777" w:rsidR="001F7233" w:rsidRDefault="00000000">
      <w:pPr>
        <w:pStyle w:val="ListParagraph"/>
      </w:pPr>
      <w:r>
        <w:rPr>
          <w:b/>
        </w:rPr>
        <w:t>Bond</w:t>
      </w:r>
      <w:r>
        <w:t xml:space="preserve"> — gesetzlich auf höchstens vier Wochenmieten gedeckelte Mietkaution, treuhänderisch bei Tenancy Services hinterlegt | Neuseeland: Wohnen</w:t>
      </w:r>
    </w:p>
    <w:p w14:paraId="172E29B0" w14:textId="77777777" w:rsidR="001F7233" w:rsidRDefault="00000000">
      <w:pPr>
        <w:pStyle w:val="ListParagraph"/>
      </w:pPr>
      <w:r>
        <w:rPr>
          <w:b/>
        </w:rPr>
        <w:t>Active Investor Plus Visa</w:t>
      </w:r>
      <w:r>
        <w:t xml:space="preserve"> — Investorenvisum für reine Kapitalanlage ohne operative Geschäftsführung, Kategorien „Growth“ (ab 5 Mio. NZD) und „Balanced“ (ab 10 Mio. NZD) | Neuseeland: Familie/Investor/Ruhestand</w:t>
      </w:r>
    </w:p>
    <w:p w14:paraId="61021316" w14:textId="77777777" w:rsidR="001F7233" w:rsidRDefault="00000000">
      <w:pPr>
        <w:pStyle w:val="ListParagraph"/>
      </w:pPr>
      <w:r>
        <w:rPr>
          <w:b/>
        </w:rPr>
        <w:t>Accredited Employer Work Visa (AEWV) — befristetes, arbeitgebergebundenes Fachkräfte-Arbeitsvisum. Der Arbeitgeber muss vorab akkreditiert sein und einen Job Check bestehen | Neuseeland: Einwanderung, Arbeit.</w:t>
      </w:r>
    </w:p>
    <w:p w14:paraId="27A31E24" w14:textId="77777777" w:rsidR="001F7233" w:rsidRDefault="00000000">
      <w:pPr>
        <w:pStyle w:val="ListParagraph"/>
      </w:pPr>
      <w:r>
        <w:rPr>
          <w:b/>
        </w:rPr>
        <w:t>Accident Compensation Corporation (ACC)</w:t>
      </w:r>
      <w:r>
        <w:t xml:space="preserve"> — staatliche, verpflichtende No-Fault-Unfallversicherung für jede Person in Neuseeland, unabhängig vom Aufenthaltsstatus | Neuseeland: Gesundheit</w:t>
      </w:r>
      <w:r>
        <w:br w:type="page"/>
      </w:r>
    </w:p>
    <w:p w14:paraId="37C81B2D" w14:textId="77777777" w:rsidR="001F7233" w:rsidRDefault="00000000">
      <w:pPr>
        <w:pStyle w:val="Heading2"/>
        <w:keepNext/>
        <w:spacing w:line="341" w:lineRule="auto"/>
        <w:jc w:val="center"/>
      </w:pPr>
      <w:bookmarkStart w:id="150" w:name="anhang_c"/>
      <w:r>
        <w:rPr>
          <w:rFonts w:ascii="Amazon Ember" w:eastAsia="Amazon Ember" w:hAnsi="Amazon Ember" w:cs="Amazon Ember"/>
          <w:color w:val="0000FF"/>
          <w:sz w:val="36"/>
          <w:szCs w:val="36"/>
        </w:rPr>
        <w:lastRenderedPageBreak/>
        <w:t>Anhang C: Umrechnungstabellen</w:t>
      </w:r>
      <w:bookmarkEnd w:id="150"/>
    </w:p>
    <w:p w14:paraId="12C76DDC" w14:textId="77777777" w:rsidR="001F7233" w:rsidRDefault="00000000">
      <w:pPr>
        <w:spacing w:after="140"/>
      </w:pPr>
      <w:r>
        <w:t>Dieser Anhang sammelt die Umrechnungen, die im Alltag in den vier Zielländern am häufigsten gebraucht werden: Temperatur, Länge, Gewicht, Küchenmaße, Kleider- und Bettgrößen, Papierformat, Datum und Strom. Er ersetzt nicht die Maßtabelle der jeweiligen Marke oder das Typenschild des Geräts. Er liefert aber einen schnellen Ausgangswert.</w:t>
      </w:r>
    </w:p>
    <w:p w14:paraId="07CE429A" w14:textId="77777777" w:rsidR="001F7233" w:rsidRDefault="00000000">
      <w:pPr>
        <w:spacing w:after="140"/>
      </w:pPr>
      <w:r>
        <w:t>Wichtig: Nur die USA messen nicht metrisch. Dort brauchst du für fast alles eine Umrechnung, deshalb ist der folgende Abschnitt entsprechend ausführlich. Kanada, Australien und Neuseeland sind, wie Deutschland, metrische Länder. Ihre Abschnitte fallen deshalb deutlich kürzer aus. Sie konzentrieren sich auf das, was tatsächlich abweicht. Vor allem Steckertyp/Spannung sowie Kleider- und Schuhgrößen.</w:t>
      </w:r>
    </w:p>
    <w:p w14:paraId="0EDDD1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6EC7A1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Temperatur</w:t>
      </w:r>
    </w:p>
    <w:p w14:paraId="7B8EBCB9" w14:textId="77777777" w:rsidR="001F7233" w:rsidRDefault="00000000">
      <w:pPr>
        <w:spacing w:after="140"/>
      </w:pPr>
      <w:r>
        <w:t>Formel: °C = (°F − 32) × 5/9. Umgekehrt: °F = °C × 9/5 + 32.</w:t>
      </w:r>
    </w:p>
    <w:p w14:paraId="2DEAFF1E" w14:textId="77777777" w:rsidR="001F7233" w:rsidRDefault="00000000">
      <w:r>
        <w:rPr>
          <w:b/>
        </w:rPr>
        <w:t>0</w:t>
      </w:r>
    </w:p>
    <w:p w14:paraId="2B49E9C2" w14:textId="77777777" w:rsidR="001F7233" w:rsidRDefault="00000000">
      <w:r>
        <w:rPr>
          <w:b/>
        </w:rPr>
        <w:t xml:space="preserve">°C: </w:t>
      </w:r>
      <w:r>
        <w:t>−18</w:t>
      </w:r>
    </w:p>
    <w:p w14:paraId="4D99725F" w14:textId="77777777" w:rsidR="001F7233" w:rsidRDefault="00000000">
      <w:r>
        <w:rPr>
          <w:b/>
        </w:rPr>
        <w:t xml:space="preserve">Typischer Wert: </w:t>
      </w:r>
      <w:r>
        <w:t>Extreme Kälte</w:t>
      </w:r>
    </w:p>
    <w:p w14:paraId="12C57783" w14:textId="77777777" w:rsidR="001F7233" w:rsidRDefault="00000000">
      <w:r>
        <w:rPr>
          <w:b/>
        </w:rPr>
        <w:t>32</w:t>
      </w:r>
    </w:p>
    <w:p w14:paraId="3C869DA1" w14:textId="77777777" w:rsidR="001F7233" w:rsidRDefault="00000000">
      <w:r>
        <w:rPr>
          <w:b/>
        </w:rPr>
        <w:t xml:space="preserve">°C: </w:t>
      </w:r>
      <w:r>
        <w:t>0</w:t>
      </w:r>
    </w:p>
    <w:p w14:paraId="1359F671" w14:textId="77777777" w:rsidR="001F7233" w:rsidRDefault="00000000">
      <w:r>
        <w:rPr>
          <w:b/>
        </w:rPr>
        <w:t xml:space="preserve">Typischer Wert: </w:t>
      </w:r>
      <w:r>
        <w:t>Gefrierpunkt Wasser</w:t>
      </w:r>
    </w:p>
    <w:p w14:paraId="7D50156E" w14:textId="77777777" w:rsidR="001F7233" w:rsidRDefault="00000000">
      <w:r>
        <w:rPr>
          <w:b/>
        </w:rPr>
        <w:t>50</w:t>
      </w:r>
    </w:p>
    <w:p w14:paraId="045308A3" w14:textId="77777777" w:rsidR="001F7233" w:rsidRDefault="00000000">
      <w:r>
        <w:rPr>
          <w:b/>
        </w:rPr>
        <w:t xml:space="preserve">°C: </w:t>
      </w:r>
      <w:r>
        <w:t>10</w:t>
      </w:r>
    </w:p>
    <w:p w14:paraId="007F0972" w14:textId="77777777" w:rsidR="001F7233" w:rsidRDefault="00000000">
      <w:r>
        <w:rPr>
          <w:b/>
        </w:rPr>
        <w:t xml:space="preserve">Typischer Wert: </w:t>
      </w:r>
      <w:r>
        <w:t>Kühl</w:t>
      </w:r>
    </w:p>
    <w:p w14:paraId="2499FEAE" w14:textId="77777777" w:rsidR="001F7233" w:rsidRDefault="00000000">
      <w:r>
        <w:rPr>
          <w:b/>
        </w:rPr>
        <w:t>68</w:t>
      </w:r>
    </w:p>
    <w:p w14:paraId="42CC2FC1" w14:textId="77777777" w:rsidR="001F7233" w:rsidRDefault="00000000">
      <w:r>
        <w:rPr>
          <w:b/>
        </w:rPr>
        <w:t xml:space="preserve">°C: </w:t>
      </w:r>
      <w:r>
        <w:t>20</w:t>
      </w:r>
    </w:p>
    <w:p w14:paraId="2E50DC96" w14:textId="77777777" w:rsidR="001F7233" w:rsidRDefault="00000000">
      <w:r>
        <w:rPr>
          <w:b/>
        </w:rPr>
        <w:lastRenderedPageBreak/>
        <w:t xml:space="preserve">Typischer Wert: </w:t>
      </w:r>
      <w:r>
        <w:t>Angenehme Raumtemperatur</w:t>
      </w:r>
    </w:p>
    <w:p w14:paraId="6F2B4400" w14:textId="77777777" w:rsidR="001F7233" w:rsidRDefault="00000000">
      <w:r>
        <w:rPr>
          <w:b/>
        </w:rPr>
        <w:t>77</w:t>
      </w:r>
    </w:p>
    <w:p w14:paraId="69DCA836" w14:textId="77777777" w:rsidR="001F7233" w:rsidRDefault="00000000">
      <w:r>
        <w:rPr>
          <w:b/>
        </w:rPr>
        <w:t xml:space="preserve">°C: </w:t>
      </w:r>
      <w:r>
        <w:t>25</w:t>
      </w:r>
    </w:p>
    <w:p w14:paraId="512E1554" w14:textId="77777777" w:rsidR="001F7233" w:rsidRDefault="00000000">
      <w:r>
        <w:rPr>
          <w:b/>
        </w:rPr>
        <w:t xml:space="preserve">Typischer Wert: </w:t>
      </w:r>
      <w:r>
        <w:t>Warm</w:t>
      </w:r>
    </w:p>
    <w:p w14:paraId="6FF51F10" w14:textId="77777777" w:rsidR="001F7233" w:rsidRDefault="00000000">
      <w:r>
        <w:rPr>
          <w:b/>
        </w:rPr>
        <w:t>86</w:t>
      </w:r>
    </w:p>
    <w:p w14:paraId="29B5AA11" w14:textId="77777777" w:rsidR="001F7233" w:rsidRDefault="00000000">
      <w:r>
        <w:rPr>
          <w:b/>
        </w:rPr>
        <w:t xml:space="preserve">°C: </w:t>
      </w:r>
      <w:r>
        <w:t>30</w:t>
      </w:r>
    </w:p>
    <w:p w14:paraId="394A0E64" w14:textId="77777777" w:rsidR="001F7233" w:rsidRDefault="00000000">
      <w:r>
        <w:rPr>
          <w:b/>
        </w:rPr>
        <w:t xml:space="preserve">Typischer Wert: </w:t>
      </w:r>
      <w:r>
        <w:t>Heiß</w:t>
      </w:r>
    </w:p>
    <w:p w14:paraId="6916DF5A" w14:textId="77777777" w:rsidR="001F7233" w:rsidRDefault="00000000">
      <w:r>
        <w:rPr>
          <w:b/>
        </w:rPr>
        <w:t>95</w:t>
      </w:r>
    </w:p>
    <w:p w14:paraId="2D837569" w14:textId="77777777" w:rsidR="001F7233" w:rsidRDefault="00000000">
      <w:r>
        <w:rPr>
          <w:b/>
        </w:rPr>
        <w:t xml:space="preserve">°C: </w:t>
      </w:r>
      <w:r>
        <w:t>35</w:t>
      </w:r>
    </w:p>
    <w:p w14:paraId="273BFE56" w14:textId="77777777" w:rsidR="001F7233" w:rsidRDefault="00000000">
      <w:r>
        <w:rPr>
          <w:b/>
        </w:rPr>
        <w:t xml:space="preserve">Typischer Wert: </w:t>
      </w:r>
      <w:r>
        <w:t>Sehr heiß</w:t>
      </w:r>
    </w:p>
    <w:p w14:paraId="4398DDC4" w14:textId="77777777" w:rsidR="001F7233" w:rsidRDefault="00000000">
      <w:r>
        <w:rPr>
          <w:b/>
        </w:rPr>
        <w:t>104</w:t>
      </w:r>
    </w:p>
    <w:p w14:paraId="5A808EB4" w14:textId="77777777" w:rsidR="001F7233" w:rsidRDefault="00000000">
      <w:r>
        <w:rPr>
          <w:b/>
        </w:rPr>
        <w:t xml:space="preserve">°C: </w:t>
      </w:r>
      <w:r>
        <w:t>40</w:t>
      </w:r>
    </w:p>
    <w:p w14:paraId="10EF7BD1" w14:textId="77777777" w:rsidR="001F7233" w:rsidRDefault="00000000">
      <w:r>
        <w:rPr>
          <w:b/>
        </w:rPr>
        <w:t xml:space="preserve">Typischer Wert: </w:t>
      </w:r>
      <w:r>
        <w:t>Hitzewelle</w:t>
      </w:r>
    </w:p>
    <w:p w14:paraId="4E6DAE08" w14:textId="77777777" w:rsidR="001F7233" w:rsidRDefault="001F7233">
      <w:pPr>
        <w:spacing w:line="180" w:lineRule="exact"/>
      </w:pPr>
    </w:p>
    <w:p w14:paraId="60BA501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Längen und Distanzen</w:t>
      </w:r>
    </w:p>
    <w:p w14:paraId="669F1409" w14:textId="77777777" w:rsidR="001F7233" w:rsidRDefault="00000000">
      <w:pPr>
        <w:spacing w:after="140"/>
      </w:pPr>
      <w:r>
        <w:t>1 Meile (</w:t>
      </w:r>
      <w:r>
        <w:rPr>
          <w:i/>
          <w:iCs/>
        </w:rPr>
        <w:t>mile</w:t>
      </w:r>
      <w:r>
        <w:t>) = 1,61 km. 1 Fuß (</w:t>
      </w:r>
      <w:r>
        <w:rPr>
          <w:i/>
          <w:iCs/>
        </w:rPr>
        <w:t>foot</w:t>
      </w:r>
      <w:r>
        <w:t>, ft) = 30,48 cm. 1 Zoll (</w:t>
      </w:r>
      <w:r>
        <w:rPr>
          <w:i/>
          <w:iCs/>
        </w:rPr>
        <w:t>inch</w:t>
      </w:r>
      <w:r>
        <w:t>, in) = 2,54 cm.</w:t>
      </w:r>
    </w:p>
    <w:p w14:paraId="7FD09860" w14:textId="77777777" w:rsidR="001F7233" w:rsidRDefault="00000000">
      <w:r>
        <w:rPr>
          <w:b/>
        </w:rPr>
        <w:t>1</w:t>
      </w:r>
    </w:p>
    <w:p w14:paraId="0072856D" w14:textId="77777777" w:rsidR="001F7233" w:rsidRDefault="00000000">
      <w:r>
        <w:rPr>
          <w:b/>
        </w:rPr>
        <w:t xml:space="preserve">Kilometer: </w:t>
      </w:r>
      <w:r>
        <w:t>1,6</w:t>
      </w:r>
    </w:p>
    <w:p w14:paraId="44756576" w14:textId="77777777" w:rsidR="001F7233" w:rsidRDefault="00000000">
      <w:r>
        <w:rPr>
          <w:b/>
        </w:rPr>
        <w:t>5</w:t>
      </w:r>
    </w:p>
    <w:p w14:paraId="66C248EA" w14:textId="77777777" w:rsidR="001F7233" w:rsidRDefault="00000000">
      <w:r>
        <w:rPr>
          <w:b/>
        </w:rPr>
        <w:t xml:space="preserve">Kilometer: </w:t>
      </w:r>
      <w:r>
        <w:t>8</w:t>
      </w:r>
    </w:p>
    <w:p w14:paraId="467437A3" w14:textId="77777777" w:rsidR="001F7233" w:rsidRDefault="00000000">
      <w:r>
        <w:rPr>
          <w:b/>
        </w:rPr>
        <w:t>10</w:t>
      </w:r>
    </w:p>
    <w:p w14:paraId="73874101" w14:textId="77777777" w:rsidR="001F7233" w:rsidRDefault="00000000">
      <w:r>
        <w:rPr>
          <w:b/>
        </w:rPr>
        <w:t xml:space="preserve">Kilometer: </w:t>
      </w:r>
      <w:r>
        <w:t>16</w:t>
      </w:r>
    </w:p>
    <w:p w14:paraId="26D5A692" w14:textId="77777777" w:rsidR="001F7233" w:rsidRDefault="00000000">
      <w:r>
        <w:rPr>
          <w:b/>
        </w:rPr>
        <w:t>25</w:t>
      </w:r>
    </w:p>
    <w:p w14:paraId="6D63F565" w14:textId="77777777" w:rsidR="001F7233" w:rsidRDefault="00000000">
      <w:r>
        <w:rPr>
          <w:b/>
        </w:rPr>
        <w:t xml:space="preserve">Kilometer: </w:t>
      </w:r>
      <w:r>
        <w:t>40</w:t>
      </w:r>
    </w:p>
    <w:p w14:paraId="2ECA1309" w14:textId="77777777" w:rsidR="001F7233" w:rsidRDefault="00000000">
      <w:r>
        <w:rPr>
          <w:b/>
        </w:rPr>
        <w:t>50</w:t>
      </w:r>
    </w:p>
    <w:p w14:paraId="1949171D" w14:textId="77777777" w:rsidR="001F7233" w:rsidRDefault="00000000">
      <w:r>
        <w:rPr>
          <w:b/>
        </w:rPr>
        <w:t xml:space="preserve">Kilometer: </w:t>
      </w:r>
      <w:r>
        <w:t>80</w:t>
      </w:r>
    </w:p>
    <w:p w14:paraId="24087B05" w14:textId="77777777" w:rsidR="001F7233" w:rsidRDefault="00000000">
      <w:r>
        <w:rPr>
          <w:b/>
        </w:rPr>
        <w:t>100</w:t>
      </w:r>
    </w:p>
    <w:p w14:paraId="74642D3B" w14:textId="77777777" w:rsidR="001F7233" w:rsidRDefault="00000000">
      <w:r>
        <w:rPr>
          <w:b/>
        </w:rPr>
        <w:t xml:space="preserve">Kilometer: </w:t>
      </w:r>
      <w:r>
        <w:t>161</w:t>
      </w:r>
    </w:p>
    <w:p w14:paraId="42281609" w14:textId="77777777" w:rsidR="001F7233" w:rsidRDefault="001F7233">
      <w:pPr>
        <w:spacing w:line="180" w:lineRule="exact"/>
      </w:pPr>
    </w:p>
    <w:p w14:paraId="16E23CCD" w14:textId="77777777" w:rsidR="001F7233" w:rsidRDefault="00000000">
      <w:pPr>
        <w:spacing w:after="140"/>
      </w:pPr>
      <w:r>
        <w:t>Körpergröße (Fuß und Zoll zu cm):</w:t>
      </w:r>
    </w:p>
    <w:p w14:paraId="00433CAC" w14:textId="77777777" w:rsidR="001F7233" w:rsidRDefault="00000000">
      <w:r>
        <w:rPr>
          <w:b/>
        </w:rPr>
        <w:t>5’0“</w:t>
      </w:r>
    </w:p>
    <w:p w14:paraId="2E7B4ECE" w14:textId="77777777" w:rsidR="001F7233" w:rsidRDefault="00000000">
      <w:r>
        <w:rPr>
          <w:b/>
        </w:rPr>
        <w:lastRenderedPageBreak/>
        <w:t xml:space="preserve">cm: </w:t>
      </w:r>
      <w:r>
        <w:t>152</w:t>
      </w:r>
    </w:p>
    <w:p w14:paraId="4B8AF0C8" w14:textId="77777777" w:rsidR="001F7233" w:rsidRDefault="00000000">
      <w:r>
        <w:rPr>
          <w:b/>
        </w:rPr>
        <w:t>5’2“</w:t>
      </w:r>
    </w:p>
    <w:p w14:paraId="2C43F682" w14:textId="77777777" w:rsidR="001F7233" w:rsidRDefault="00000000">
      <w:r>
        <w:rPr>
          <w:b/>
        </w:rPr>
        <w:t xml:space="preserve">cm: </w:t>
      </w:r>
      <w:r>
        <w:t>157</w:t>
      </w:r>
    </w:p>
    <w:p w14:paraId="4654A880" w14:textId="77777777" w:rsidR="001F7233" w:rsidRDefault="00000000">
      <w:r>
        <w:rPr>
          <w:b/>
        </w:rPr>
        <w:t>5’4“</w:t>
      </w:r>
    </w:p>
    <w:p w14:paraId="38D11715" w14:textId="77777777" w:rsidR="001F7233" w:rsidRDefault="00000000">
      <w:r>
        <w:rPr>
          <w:b/>
        </w:rPr>
        <w:t xml:space="preserve">cm: </w:t>
      </w:r>
      <w:r>
        <w:t>163</w:t>
      </w:r>
    </w:p>
    <w:p w14:paraId="486F5FA3" w14:textId="77777777" w:rsidR="001F7233" w:rsidRDefault="00000000">
      <w:r>
        <w:rPr>
          <w:b/>
        </w:rPr>
        <w:t>5’6“</w:t>
      </w:r>
    </w:p>
    <w:p w14:paraId="73B4D657" w14:textId="77777777" w:rsidR="001F7233" w:rsidRDefault="00000000">
      <w:r>
        <w:rPr>
          <w:b/>
        </w:rPr>
        <w:t xml:space="preserve">cm: </w:t>
      </w:r>
      <w:r>
        <w:t>168</w:t>
      </w:r>
    </w:p>
    <w:p w14:paraId="7B8FB78C" w14:textId="77777777" w:rsidR="001F7233" w:rsidRDefault="00000000">
      <w:r>
        <w:rPr>
          <w:b/>
        </w:rPr>
        <w:t>5’8“</w:t>
      </w:r>
    </w:p>
    <w:p w14:paraId="53815E15" w14:textId="77777777" w:rsidR="001F7233" w:rsidRDefault="00000000">
      <w:r>
        <w:rPr>
          <w:b/>
        </w:rPr>
        <w:t xml:space="preserve">cm: </w:t>
      </w:r>
      <w:r>
        <w:t>173</w:t>
      </w:r>
    </w:p>
    <w:p w14:paraId="25033EF2" w14:textId="77777777" w:rsidR="001F7233" w:rsidRDefault="00000000">
      <w:r>
        <w:rPr>
          <w:b/>
        </w:rPr>
        <w:t>5’10“</w:t>
      </w:r>
    </w:p>
    <w:p w14:paraId="0892924C" w14:textId="77777777" w:rsidR="001F7233" w:rsidRDefault="00000000">
      <w:r>
        <w:rPr>
          <w:b/>
        </w:rPr>
        <w:t xml:space="preserve">cm: </w:t>
      </w:r>
      <w:r>
        <w:t>178</w:t>
      </w:r>
    </w:p>
    <w:p w14:paraId="7A0332EA" w14:textId="77777777" w:rsidR="001F7233" w:rsidRDefault="00000000">
      <w:r>
        <w:rPr>
          <w:b/>
        </w:rPr>
        <w:t>6’0“</w:t>
      </w:r>
    </w:p>
    <w:p w14:paraId="67C53BE2" w14:textId="77777777" w:rsidR="001F7233" w:rsidRDefault="00000000">
      <w:r>
        <w:rPr>
          <w:b/>
        </w:rPr>
        <w:t xml:space="preserve">cm: </w:t>
      </w:r>
      <w:r>
        <w:t>183</w:t>
      </w:r>
    </w:p>
    <w:p w14:paraId="14973721" w14:textId="77777777" w:rsidR="001F7233" w:rsidRDefault="00000000">
      <w:r>
        <w:rPr>
          <w:b/>
        </w:rPr>
        <w:t>6’2“</w:t>
      </w:r>
    </w:p>
    <w:p w14:paraId="082AA14B" w14:textId="77777777" w:rsidR="001F7233" w:rsidRDefault="00000000">
      <w:r>
        <w:rPr>
          <w:b/>
        </w:rPr>
        <w:t xml:space="preserve">cm: </w:t>
      </w:r>
      <w:r>
        <w:t>188</w:t>
      </w:r>
    </w:p>
    <w:p w14:paraId="667A657A" w14:textId="77777777" w:rsidR="001F7233" w:rsidRDefault="001F7233">
      <w:pPr>
        <w:spacing w:line="180" w:lineRule="exact"/>
      </w:pPr>
    </w:p>
    <w:p w14:paraId="0093F2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Gewicht</w:t>
      </w:r>
    </w:p>
    <w:p w14:paraId="46BBC828" w14:textId="77777777" w:rsidR="001F7233" w:rsidRDefault="00000000">
      <w:pPr>
        <w:spacing w:after="140"/>
      </w:pPr>
      <w:r>
        <w:t>1 Pfund (</w:t>
      </w:r>
      <w:r>
        <w:rPr>
          <w:i/>
          <w:iCs/>
        </w:rPr>
        <w:t>pound</w:t>
      </w:r>
      <w:r>
        <w:t>, lb) = 0,4536 kg. 1 kg = 2,2046 lb.</w:t>
      </w:r>
    </w:p>
    <w:p w14:paraId="2CFA71E9" w14:textId="77777777" w:rsidR="001F7233" w:rsidRDefault="00000000">
      <w:r>
        <w:rPr>
          <w:b/>
        </w:rPr>
        <w:t>100</w:t>
      </w:r>
    </w:p>
    <w:p w14:paraId="1EF0D29C" w14:textId="77777777" w:rsidR="001F7233" w:rsidRDefault="00000000">
      <w:r>
        <w:rPr>
          <w:b/>
        </w:rPr>
        <w:t xml:space="preserve">Kilogramm: </w:t>
      </w:r>
      <w:r>
        <w:t>45</w:t>
      </w:r>
    </w:p>
    <w:p w14:paraId="17CC71C8" w14:textId="77777777" w:rsidR="001F7233" w:rsidRDefault="00000000">
      <w:r>
        <w:rPr>
          <w:b/>
        </w:rPr>
        <w:t>125</w:t>
      </w:r>
    </w:p>
    <w:p w14:paraId="1935C799" w14:textId="77777777" w:rsidR="001F7233" w:rsidRDefault="00000000">
      <w:r>
        <w:rPr>
          <w:b/>
        </w:rPr>
        <w:t xml:space="preserve">Kilogramm: </w:t>
      </w:r>
      <w:r>
        <w:t>57</w:t>
      </w:r>
    </w:p>
    <w:p w14:paraId="3F36E610" w14:textId="77777777" w:rsidR="001F7233" w:rsidRDefault="00000000">
      <w:r>
        <w:rPr>
          <w:b/>
        </w:rPr>
        <w:t>150</w:t>
      </w:r>
    </w:p>
    <w:p w14:paraId="3824D778" w14:textId="77777777" w:rsidR="001F7233" w:rsidRDefault="00000000">
      <w:r>
        <w:rPr>
          <w:b/>
        </w:rPr>
        <w:t xml:space="preserve">Kilogramm: </w:t>
      </w:r>
      <w:r>
        <w:t>68</w:t>
      </w:r>
    </w:p>
    <w:p w14:paraId="786AE065" w14:textId="77777777" w:rsidR="001F7233" w:rsidRDefault="00000000">
      <w:r>
        <w:rPr>
          <w:b/>
        </w:rPr>
        <w:t>175</w:t>
      </w:r>
    </w:p>
    <w:p w14:paraId="372F7FAC" w14:textId="77777777" w:rsidR="001F7233" w:rsidRDefault="00000000">
      <w:r>
        <w:rPr>
          <w:b/>
        </w:rPr>
        <w:t xml:space="preserve">Kilogramm: </w:t>
      </w:r>
      <w:r>
        <w:t>79</w:t>
      </w:r>
    </w:p>
    <w:p w14:paraId="3441C26D" w14:textId="77777777" w:rsidR="001F7233" w:rsidRDefault="00000000">
      <w:r>
        <w:rPr>
          <w:b/>
        </w:rPr>
        <w:t>200</w:t>
      </w:r>
    </w:p>
    <w:p w14:paraId="59CC9A60" w14:textId="77777777" w:rsidR="001F7233" w:rsidRDefault="00000000">
      <w:r>
        <w:rPr>
          <w:b/>
        </w:rPr>
        <w:t xml:space="preserve">Kilogramm: </w:t>
      </w:r>
      <w:r>
        <w:t>91</w:t>
      </w:r>
    </w:p>
    <w:p w14:paraId="194B395B" w14:textId="77777777" w:rsidR="001F7233" w:rsidRDefault="00000000">
      <w:r>
        <w:rPr>
          <w:b/>
        </w:rPr>
        <w:t>250</w:t>
      </w:r>
    </w:p>
    <w:p w14:paraId="75E421C9" w14:textId="77777777" w:rsidR="001F7233" w:rsidRDefault="00000000">
      <w:r>
        <w:rPr>
          <w:b/>
        </w:rPr>
        <w:t xml:space="preserve">Kilogramm: </w:t>
      </w:r>
      <w:r>
        <w:t>113</w:t>
      </w:r>
    </w:p>
    <w:p w14:paraId="4BF11208" w14:textId="77777777" w:rsidR="001F7233" w:rsidRDefault="001F7233">
      <w:pPr>
        <w:spacing w:line="180" w:lineRule="exact"/>
      </w:pPr>
    </w:p>
    <w:p w14:paraId="7A4D9A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Küche und Backen</w:t>
      </w:r>
    </w:p>
    <w:p w14:paraId="0E1B695F" w14:textId="77777777" w:rsidR="001F7233" w:rsidRDefault="00000000">
      <w:pPr>
        <w:spacing w:after="140"/>
      </w:pPr>
      <w:r>
        <w:t>Hohlmaße (</w:t>
      </w:r>
      <w:r>
        <w:rPr>
          <w:i/>
          <w:iCs/>
        </w:rPr>
        <w:t>teaspoon</w:t>
      </w:r>
      <w:r>
        <w:t xml:space="preserve">, tsp; </w:t>
      </w:r>
      <w:r>
        <w:rPr>
          <w:i/>
          <w:iCs/>
        </w:rPr>
        <w:t>tablespoon</w:t>
      </w:r>
      <w:r>
        <w:t xml:space="preserve">, tbsp; </w:t>
      </w:r>
      <w:r>
        <w:rPr>
          <w:i/>
          <w:iCs/>
        </w:rPr>
        <w:t>cup</w:t>
      </w:r>
      <w:r>
        <w:t>):</w:t>
      </w:r>
    </w:p>
    <w:p w14:paraId="4CA61F2D" w14:textId="77777777" w:rsidR="001F7233" w:rsidRDefault="00000000">
      <w:r>
        <w:rPr>
          <w:b/>
        </w:rPr>
        <w:t>1 tsp</w:t>
      </w:r>
    </w:p>
    <w:p w14:paraId="1C06EDFF" w14:textId="77777777" w:rsidR="001F7233" w:rsidRDefault="00000000">
      <w:r>
        <w:rPr>
          <w:b/>
        </w:rPr>
        <w:t xml:space="preserve">ml: </w:t>
      </w:r>
      <w:r>
        <w:t>5</w:t>
      </w:r>
    </w:p>
    <w:p w14:paraId="50E511A6" w14:textId="77777777" w:rsidR="001F7233" w:rsidRDefault="00000000">
      <w:r>
        <w:rPr>
          <w:b/>
        </w:rPr>
        <w:t>1 tbsp (3 tsp)</w:t>
      </w:r>
    </w:p>
    <w:p w14:paraId="7EE2E81D" w14:textId="77777777" w:rsidR="001F7233" w:rsidRDefault="00000000">
      <w:r>
        <w:rPr>
          <w:b/>
        </w:rPr>
        <w:t xml:space="preserve">ml: </w:t>
      </w:r>
      <w:r>
        <w:t>15</w:t>
      </w:r>
    </w:p>
    <w:p w14:paraId="61EFA66E" w14:textId="77777777" w:rsidR="001F7233" w:rsidRDefault="00000000">
      <w:r>
        <w:rPr>
          <w:b/>
        </w:rPr>
        <w:t>¼ cup</w:t>
      </w:r>
    </w:p>
    <w:p w14:paraId="41D0BA94" w14:textId="77777777" w:rsidR="001F7233" w:rsidRDefault="00000000">
      <w:r>
        <w:rPr>
          <w:b/>
        </w:rPr>
        <w:t xml:space="preserve">ml: </w:t>
      </w:r>
      <w:r>
        <w:t>60</w:t>
      </w:r>
    </w:p>
    <w:p w14:paraId="7F9299D3" w14:textId="77777777" w:rsidR="001F7233" w:rsidRDefault="00000000">
      <w:r>
        <w:rPr>
          <w:b/>
        </w:rPr>
        <w:t>⅓ cup</w:t>
      </w:r>
    </w:p>
    <w:p w14:paraId="36244098" w14:textId="77777777" w:rsidR="001F7233" w:rsidRDefault="00000000">
      <w:r>
        <w:rPr>
          <w:b/>
        </w:rPr>
        <w:t xml:space="preserve">ml: </w:t>
      </w:r>
      <w:r>
        <w:t>80</w:t>
      </w:r>
    </w:p>
    <w:p w14:paraId="27CED452" w14:textId="77777777" w:rsidR="001F7233" w:rsidRDefault="00000000">
      <w:r>
        <w:rPr>
          <w:b/>
        </w:rPr>
        <w:t>½ cup</w:t>
      </w:r>
    </w:p>
    <w:p w14:paraId="44B4241B" w14:textId="77777777" w:rsidR="001F7233" w:rsidRDefault="00000000">
      <w:r>
        <w:rPr>
          <w:b/>
        </w:rPr>
        <w:t xml:space="preserve">ml: </w:t>
      </w:r>
      <w:r>
        <w:t>120</w:t>
      </w:r>
    </w:p>
    <w:p w14:paraId="4DDA033D" w14:textId="77777777" w:rsidR="001F7233" w:rsidRDefault="00000000">
      <w:r>
        <w:rPr>
          <w:b/>
        </w:rPr>
        <w:t>⅔ cup</w:t>
      </w:r>
    </w:p>
    <w:p w14:paraId="3FBB166C" w14:textId="77777777" w:rsidR="001F7233" w:rsidRDefault="00000000">
      <w:r>
        <w:rPr>
          <w:b/>
        </w:rPr>
        <w:t xml:space="preserve">ml: </w:t>
      </w:r>
      <w:r>
        <w:t>160</w:t>
      </w:r>
    </w:p>
    <w:p w14:paraId="07581038" w14:textId="77777777" w:rsidR="001F7233" w:rsidRDefault="00000000">
      <w:r>
        <w:rPr>
          <w:b/>
        </w:rPr>
        <w:t>¾ cup</w:t>
      </w:r>
    </w:p>
    <w:p w14:paraId="5872E5CC" w14:textId="77777777" w:rsidR="001F7233" w:rsidRDefault="00000000">
      <w:r>
        <w:rPr>
          <w:b/>
        </w:rPr>
        <w:t xml:space="preserve">ml: </w:t>
      </w:r>
      <w:r>
        <w:t>180</w:t>
      </w:r>
    </w:p>
    <w:p w14:paraId="4AE69874" w14:textId="77777777" w:rsidR="001F7233" w:rsidRDefault="00000000">
      <w:r>
        <w:rPr>
          <w:b/>
        </w:rPr>
        <w:t>1 cup</w:t>
      </w:r>
    </w:p>
    <w:p w14:paraId="0B736FB6" w14:textId="77777777" w:rsidR="001F7233" w:rsidRDefault="00000000">
      <w:r>
        <w:rPr>
          <w:b/>
        </w:rPr>
        <w:t xml:space="preserve">ml: </w:t>
      </w:r>
      <w:r>
        <w:t>240</w:t>
      </w:r>
    </w:p>
    <w:p w14:paraId="66915D3A" w14:textId="77777777" w:rsidR="001F7233" w:rsidRDefault="001F7233">
      <w:pPr>
        <w:spacing w:line="180" w:lineRule="exact"/>
      </w:pPr>
    </w:p>
    <w:p w14:paraId="71B2582D" w14:textId="77777777" w:rsidR="001F7233" w:rsidRDefault="00000000">
      <w:pPr>
        <w:spacing w:after="140"/>
      </w:pPr>
      <w:r>
        <w:t>Gewichte (</w:t>
      </w:r>
      <w:r>
        <w:rPr>
          <w:i/>
          <w:iCs/>
        </w:rPr>
        <w:t>ounce</w:t>
      </w:r>
      <w:r>
        <w:t>, oz):</w:t>
      </w:r>
    </w:p>
    <w:p w14:paraId="61EDBBF1" w14:textId="77777777" w:rsidR="001F7233" w:rsidRDefault="00000000">
      <w:r>
        <w:rPr>
          <w:b/>
        </w:rPr>
        <w:t>1 oz</w:t>
      </w:r>
    </w:p>
    <w:p w14:paraId="785007A8" w14:textId="77777777" w:rsidR="001F7233" w:rsidRDefault="00000000">
      <w:r>
        <w:rPr>
          <w:b/>
        </w:rPr>
        <w:t xml:space="preserve">Gramm: </w:t>
      </w:r>
      <w:r>
        <w:t>28</w:t>
      </w:r>
    </w:p>
    <w:p w14:paraId="3142A295" w14:textId="77777777" w:rsidR="001F7233" w:rsidRDefault="00000000">
      <w:r>
        <w:rPr>
          <w:b/>
        </w:rPr>
        <w:t>4 oz</w:t>
      </w:r>
    </w:p>
    <w:p w14:paraId="6463ECFE" w14:textId="77777777" w:rsidR="001F7233" w:rsidRDefault="00000000">
      <w:r>
        <w:rPr>
          <w:b/>
        </w:rPr>
        <w:t xml:space="preserve">Gramm: </w:t>
      </w:r>
      <w:r>
        <w:t>113</w:t>
      </w:r>
    </w:p>
    <w:p w14:paraId="6887B552" w14:textId="77777777" w:rsidR="001F7233" w:rsidRDefault="00000000">
      <w:r>
        <w:rPr>
          <w:b/>
        </w:rPr>
        <w:t>8 oz</w:t>
      </w:r>
    </w:p>
    <w:p w14:paraId="3943FDF4" w14:textId="77777777" w:rsidR="001F7233" w:rsidRDefault="00000000">
      <w:r>
        <w:rPr>
          <w:b/>
        </w:rPr>
        <w:t xml:space="preserve">Gramm: </w:t>
      </w:r>
      <w:r>
        <w:t>227</w:t>
      </w:r>
    </w:p>
    <w:p w14:paraId="00725A74" w14:textId="77777777" w:rsidR="001F7233" w:rsidRDefault="00000000">
      <w:r>
        <w:rPr>
          <w:b/>
        </w:rPr>
        <w:t>16 oz (1 lb)</w:t>
      </w:r>
    </w:p>
    <w:p w14:paraId="3E04BB54" w14:textId="77777777" w:rsidR="001F7233" w:rsidRDefault="00000000">
      <w:r>
        <w:rPr>
          <w:b/>
        </w:rPr>
        <w:t xml:space="preserve">Gramm: </w:t>
      </w:r>
      <w:r>
        <w:t>454</w:t>
      </w:r>
    </w:p>
    <w:p w14:paraId="56935F48" w14:textId="77777777" w:rsidR="001F7233" w:rsidRDefault="001F7233">
      <w:pPr>
        <w:spacing w:line="180" w:lineRule="exact"/>
      </w:pPr>
    </w:p>
    <w:p w14:paraId="6EBB2352" w14:textId="77777777" w:rsidR="001F7233" w:rsidRDefault="00000000">
      <w:pPr>
        <w:spacing w:after="140"/>
      </w:pPr>
      <w:r>
        <w:t>Backofentemperaturen:</w:t>
      </w:r>
    </w:p>
    <w:p w14:paraId="1C46FCA6" w14:textId="77777777" w:rsidR="001F7233" w:rsidRDefault="00000000">
      <w:r>
        <w:rPr>
          <w:b/>
        </w:rPr>
        <w:t>275</w:t>
      </w:r>
    </w:p>
    <w:p w14:paraId="6A572985" w14:textId="77777777" w:rsidR="001F7233" w:rsidRDefault="00000000">
      <w:r>
        <w:rPr>
          <w:b/>
        </w:rPr>
        <w:t xml:space="preserve">°C: </w:t>
      </w:r>
      <w:r>
        <w:t>135</w:t>
      </w:r>
    </w:p>
    <w:p w14:paraId="2CE0BC84" w14:textId="77777777" w:rsidR="001F7233" w:rsidRDefault="00000000">
      <w:r>
        <w:rPr>
          <w:b/>
        </w:rPr>
        <w:t xml:space="preserve">Gasstufe: </w:t>
      </w:r>
      <w:r>
        <w:t>1</w:t>
      </w:r>
    </w:p>
    <w:p w14:paraId="44ACEEB1" w14:textId="77777777" w:rsidR="001F7233" w:rsidRDefault="00000000">
      <w:r>
        <w:rPr>
          <w:b/>
        </w:rPr>
        <w:lastRenderedPageBreak/>
        <w:t>300</w:t>
      </w:r>
    </w:p>
    <w:p w14:paraId="394DD4DE" w14:textId="77777777" w:rsidR="001F7233" w:rsidRDefault="00000000">
      <w:r>
        <w:rPr>
          <w:b/>
        </w:rPr>
        <w:t xml:space="preserve">°C: </w:t>
      </w:r>
      <w:r>
        <w:t>150</w:t>
      </w:r>
    </w:p>
    <w:p w14:paraId="79EC16F2" w14:textId="77777777" w:rsidR="001F7233" w:rsidRDefault="00000000">
      <w:r>
        <w:rPr>
          <w:b/>
        </w:rPr>
        <w:t xml:space="preserve">Gasstufe: </w:t>
      </w:r>
      <w:r>
        <w:t>2</w:t>
      </w:r>
    </w:p>
    <w:p w14:paraId="71393AFF" w14:textId="77777777" w:rsidR="001F7233" w:rsidRDefault="00000000">
      <w:r>
        <w:rPr>
          <w:b/>
        </w:rPr>
        <w:t>325</w:t>
      </w:r>
    </w:p>
    <w:p w14:paraId="3B9936DB" w14:textId="77777777" w:rsidR="001F7233" w:rsidRDefault="00000000">
      <w:r>
        <w:rPr>
          <w:b/>
        </w:rPr>
        <w:t xml:space="preserve">°C: </w:t>
      </w:r>
      <w:r>
        <w:t>165</w:t>
      </w:r>
    </w:p>
    <w:p w14:paraId="7FDA50E3" w14:textId="77777777" w:rsidR="001F7233" w:rsidRDefault="00000000">
      <w:r>
        <w:rPr>
          <w:b/>
        </w:rPr>
        <w:t xml:space="preserve">Gasstufe: </w:t>
      </w:r>
      <w:r>
        <w:t>3</w:t>
      </w:r>
    </w:p>
    <w:p w14:paraId="755E12CB" w14:textId="77777777" w:rsidR="001F7233" w:rsidRDefault="00000000">
      <w:r>
        <w:rPr>
          <w:b/>
        </w:rPr>
        <w:t>350</w:t>
      </w:r>
    </w:p>
    <w:p w14:paraId="3503D92D" w14:textId="77777777" w:rsidR="001F7233" w:rsidRDefault="00000000">
      <w:r>
        <w:rPr>
          <w:b/>
        </w:rPr>
        <w:t xml:space="preserve">°C: </w:t>
      </w:r>
      <w:r>
        <w:t>180</w:t>
      </w:r>
    </w:p>
    <w:p w14:paraId="6FAF6EAF" w14:textId="77777777" w:rsidR="001F7233" w:rsidRDefault="00000000">
      <w:r>
        <w:rPr>
          <w:b/>
        </w:rPr>
        <w:t xml:space="preserve">Gasstufe: </w:t>
      </w:r>
      <w:r>
        <w:t>4</w:t>
      </w:r>
    </w:p>
    <w:p w14:paraId="38361986" w14:textId="77777777" w:rsidR="001F7233" w:rsidRDefault="00000000">
      <w:r>
        <w:rPr>
          <w:b/>
        </w:rPr>
        <w:t>375</w:t>
      </w:r>
    </w:p>
    <w:p w14:paraId="0E7DFD87" w14:textId="77777777" w:rsidR="001F7233" w:rsidRDefault="00000000">
      <w:r>
        <w:rPr>
          <w:b/>
        </w:rPr>
        <w:t xml:space="preserve">°C: </w:t>
      </w:r>
      <w:r>
        <w:t>190</w:t>
      </w:r>
    </w:p>
    <w:p w14:paraId="1273E156" w14:textId="77777777" w:rsidR="001F7233" w:rsidRDefault="00000000">
      <w:r>
        <w:rPr>
          <w:b/>
        </w:rPr>
        <w:t xml:space="preserve">Gasstufe: </w:t>
      </w:r>
      <w:r>
        <w:t>5</w:t>
      </w:r>
    </w:p>
    <w:p w14:paraId="02986A0D" w14:textId="77777777" w:rsidR="001F7233" w:rsidRDefault="00000000">
      <w:r>
        <w:rPr>
          <w:b/>
        </w:rPr>
        <w:t>400</w:t>
      </w:r>
    </w:p>
    <w:p w14:paraId="2C2924FA" w14:textId="77777777" w:rsidR="001F7233" w:rsidRDefault="00000000">
      <w:r>
        <w:rPr>
          <w:b/>
        </w:rPr>
        <w:t xml:space="preserve">°C: </w:t>
      </w:r>
      <w:r>
        <w:t>200</w:t>
      </w:r>
    </w:p>
    <w:p w14:paraId="417C63C3" w14:textId="77777777" w:rsidR="001F7233" w:rsidRDefault="00000000">
      <w:r>
        <w:rPr>
          <w:b/>
        </w:rPr>
        <w:t xml:space="preserve">Gasstufe: </w:t>
      </w:r>
      <w:r>
        <w:t>6</w:t>
      </w:r>
    </w:p>
    <w:p w14:paraId="5C0C119F" w14:textId="77777777" w:rsidR="001F7233" w:rsidRDefault="00000000">
      <w:r>
        <w:rPr>
          <w:b/>
        </w:rPr>
        <w:t>425</w:t>
      </w:r>
    </w:p>
    <w:p w14:paraId="560CDC2C" w14:textId="77777777" w:rsidR="001F7233" w:rsidRDefault="00000000">
      <w:r>
        <w:rPr>
          <w:b/>
        </w:rPr>
        <w:t xml:space="preserve">°C: </w:t>
      </w:r>
      <w:r>
        <w:t>220</w:t>
      </w:r>
    </w:p>
    <w:p w14:paraId="466774E7" w14:textId="77777777" w:rsidR="001F7233" w:rsidRDefault="00000000">
      <w:r>
        <w:rPr>
          <w:b/>
        </w:rPr>
        <w:t xml:space="preserve">Gasstufe: </w:t>
      </w:r>
      <w:r>
        <w:t>7</w:t>
      </w:r>
    </w:p>
    <w:p w14:paraId="09FC917F" w14:textId="77777777" w:rsidR="001F7233" w:rsidRDefault="00000000">
      <w:r>
        <w:rPr>
          <w:b/>
        </w:rPr>
        <w:t>450</w:t>
      </w:r>
    </w:p>
    <w:p w14:paraId="396664DE" w14:textId="77777777" w:rsidR="001F7233" w:rsidRDefault="00000000">
      <w:r>
        <w:rPr>
          <w:b/>
        </w:rPr>
        <w:t xml:space="preserve">°C: </w:t>
      </w:r>
      <w:r>
        <w:t>230</w:t>
      </w:r>
    </w:p>
    <w:p w14:paraId="2838672D" w14:textId="77777777" w:rsidR="001F7233" w:rsidRDefault="00000000">
      <w:r>
        <w:rPr>
          <w:b/>
        </w:rPr>
        <w:t xml:space="preserve">Gasstufe: </w:t>
      </w:r>
      <w:r>
        <w:t>8</w:t>
      </w:r>
    </w:p>
    <w:p w14:paraId="16DAEA9D" w14:textId="77777777" w:rsidR="001F7233" w:rsidRDefault="00000000">
      <w:r>
        <w:rPr>
          <w:b/>
        </w:rPr>
        <w:t>475</w:t>
      </w:r>
    </w:p>
    <w:p w14:paraId="67674487" w14:textId="77777777" w:rsidR="001F7233" w:rsidRDefault="00000000">
      <w:r>
        <w:rPr>
          <w:b/>
        </w:rPr>
        <w:t xml:space="preserve">°C: </w:t>
      </w:r>
      <w:r>
        <w:t>245</w:t>
      </w:r>
    </w:p>
    <w:p w14:paraId="7FBCD16C" w14:textId="77777777" w:rsidR="001F7233" w:rsidRDefault="00000000">
      <w:r>
        <w:rPr>
          <w:b/>
        </w:rPr>
        <w:t xml:space="preserve">Gasstufe: </w:t>
      </w:r>
      <w:r>
        <w:t>9</w:t>
      </w:r>
    </w:p>
    <w:p w14:paraId="09BB0909" w14:textId="77777777" w:rsidR="001F7233" w:rsidRDefault="001F7233">
      <w:pPr>
        <w:spacing w:line="180" w:lineRule="exact"/>
      </w:pPr>
    </w:p>
    <w:p w14:paraId="675647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Kleidergrößen</w:t>
      </w:r>
    </w:p>
    <w:p w14:paraId="740F6F20" w14:textId="77777777" w:rsidR="001F7233" w:rsidRDefault="00000000">
      <w:pPr>
        <w:spacing w:after="140"/>
      </w:pPr>
      <w:r>
        <w:t>US-Größen weichen von deutschen ab und schwanken zusätzlich je Marke (</w:t>
      </w:r>
      <w:r>
        <w:rPr>
          <w:i/>
          <w:iCs/>
        </w:rPr>
        <w:t>Vanity Sizing</w:t>
      </w:r>
      <w:r>
        <w:t>). Die folgenden Tabellen sind Näherungswerte; maßgeblich bleibt die Maßtabelle der Marke, bei der du kaufst (ausführlich: Kapitel </w:t>
      </w:r>
      <w:hyperlink w:anchor="k34">
        <w:r w:rsidR="001F7233">
          <w:t>34</w:t>
        </w:r>
      </w:hyperlink>
      <w:r>
        <w:t>).</w:t>
      </w:r>
    </w:p>
    <w:p w14:paraId="0F272546" w14:textId="77777777" w:rsidR="001F7233" w:rsidRDefault="00000000">
      <w:pPr>
        <w:spacing w:after="140"/>
      </w:pPr>
      <w:r>
        <w:rPr>
          <w:b/>
          <w:bCs/>
        </w:rPr>
        <w:t>Damen (Faustformel: US-Größe plus 30 ergibt die deutsche Größe. In Frankreich und Italien fallen die Zahlen höher aus).</w:t>
      </w:r>
    </w:p>
    <w:p w14:paraId="6BCDB1A3" w14:textId="77777777" w:rsidR="001F7233" w:rsidRDefault="00000000">
      <w:r>
        <w:rPr>
          <w:b/>
        </w:rPr>
        <w:lastRenderedPageBreak/>
        <w:t>0–2</w:t>
      </w:r>
    </w:p>
    <w:p w14:paraId="4D24B7CB" w14:textId="77777777" w:rsidR="001F7233" w:rsidRDefault="00000000">
      <w:r>
        <w:rPr>
          <w:b/>
        </w:rPr>
        <w:t xml:space="preserve">Deutschland: </w:t>
      </w:r>
      <w:r>
        <w:t>30–32</w:t>
      </w:r>
    </w:p>
    <w:p w14:paraId="14ABD113" w14:textId="77777777" w:rsidR="001F7233" w:rsidRDefault="00000000">
      <w:r>
        <w:rPr>
          <w:b/>
        </w:rPr>
        <w:t xml:space="preserve">Buchstabe (US-Handel): </w:t>
      </w:r>
      <w:r>
        <w:t>XS</w:t>
      </w:r>
    </w:p>
    <w:p w14:paraId="1E806FB7" w14:textId="77777777" w:rsidR="001F7233" w:rsidRDefault="00000000">
      <w:r>
        <w:rPr>
          <w:b/>
        </w:rPr>
        <w:t>4</w:t>
      </w:r>
    </w:p>
    <w:p w14:paraId="404A8098" w14:textId="77777777" w:rsidR="001F7233" w:rsidRDefault="00000000">
      <w:r>
        <w:rPr>
          <w:b/>
        </w:rPr>
        <w:t xml:space="preserve">Deutschland: </w:t>
      </w:r>
      <w:r>
        <w:t>34</w:t>
      </w:r>
    </w:p>
    <w:p w14:paraId="05341B24" w14:textId="77777777" w:rsidR="001F7233" w:rsidRDefault="00000000">
      <w:r>
        <w:rPr>
          <w:b/>
        </w:rPr>
        <w:t xml:space="preserve">Buchstabe (US-Handel): </w:t>
      </w:r>
      <w:r>
        <w:t>S</w:t>
      </w:r>
    </w:p>
    <w:p w14:paraId="3B01F857" w14:textId="77777777" w:rsidR="001F7233" w:rsidRDefault="00000000">
      <w:r>
        <w:rPr>
          <w:b/>
        </w:rPr>
        <w:t>6</w:t>
      </w:r>
    </w:p>
    <w:p w14:paraId="55A0E74A" w14:textId="77777777" w:rsidR="001F7233" w:rsidRDefault="00000000">
      <w:r>
        <w:rPr>
          <w:b/>
        </w:rPr>
        <w:t xml:space="preserve">Deutschland: </w:t>
      </w:r>
      <w:r>
        <w:t>36</w:t>
      </w:r>
    </w:p>
    <w:p w14:paraId="18D5D8E1" w14:textId="77777777" w:rsidR="001F7233" w:rsidRDefault="00000000">
      <w:r>
        <w:rPr>
          <w:b/>
        </w:rPr>
        <w:t xml:space="preserve">Buchstabe (US-Handel): </w:t>
      </w:r>
      <w:r>
        <w:t>S</w:t>
      </w:r>
    </w:p>
    <w:p w14:paraId="5EEDDECB" w14:textId="77777777" w:rsidR="001F7233" w:rsidRDefault="00000000">
      <w:r>
        <w:rPr>
          <w:b/>
        </w:rPr>
        <w:t>8</w:t>
      </w:r>
    </w:p>
    <w:p w14:paraId="6688EE48" w14:textId="77777777" w:rsidR="001F7233" w:rsidRDefault="00000000">
      <w:r>
        <w:rPr>
          <w:b/>
        </w:rPr>
        <w:t xml:space="preserve">Deutschland: </w:t>
      </w:r>
      <w:r>
        <w:t>38</w:t>
      </w:r>
    </w:p>
    <w:p w14:paraId="2E2A2682" w14:textId="77777777" w:rsidR="001F7233" w:rsidRDefault="00000000">
      <w:r>
        <w:rPr>
          <w:b/>
        </w:rPr>
        <w:t xml:space="preserve">Buchstabe (US-Handel): </w:t>
      </w:r>
      <w:r>
        <w:t>M</w:t>
      </w:r>
    </w:p>
    <w:p w14:paraId="221427B7" w14:textId="77777777" w:rsidR="001F7233" w:rsidRDefault="00000000">
      <w:r>
        <w:rPr>
          <w:b/>
        </w:rPr>
        <w:t>10</w:t>
      </w:r>
    </w:p>
    <w:p w14:paraId="7A444CD4" w14:textId="77777777" w:rsidR="001F7233" w:rsidRDefault="00000000">
      <w:r>
        <w:rPr>
          <w:b/>
        </w:rPr>
        <w:t xml:space="preserve">Deutschland: </w:t>
      </w:r>
      <w:r>
        <w:t>40</w:t>
      </w:r>
    </w:p>
    <w:p w14:paraId="29444772" w14:textId="77777777" w:rsidR="001F7233" w:rsidRDefault="00000000">
      <w:r>
        <w:rPr>
          <w:b/>
        </w:rPr>
        <w:t xml:space="preserve">Buchstabe (US-Handel): </w:t>
      </w:r>
      <w:r>
        <w:t>M</w:t>
      </w:r>
    </w:p>
    <w:p w14:paraId="3B759F94" w14:textId="77777777" w:rsidR="001F7233" w:rsidRDefault="00000000">
      <w:r>
        <w:rPr>
          <w:b/>
        </w:rPr>
        <w:t>12</w:t>
      </w:r>
    </w:p>
    <w:p w14:paraId="2A77CF54" w14:textId="77777777" w:rsidR="001F7233" w:rsidRDefault="00000000">
      <w:r>
        <w:rPr>
          <w:b/>
        </w:rPr>
        <w:t xml:space="preserve">Deutschland: </w:t>
      </w:r>
      <w:r>
        <w:t>42</w:t>
      </w:r>
    </w:p>
    <w:p w14:paraId="515985D5" w14:textId="77777777" w:rsidR="001F7233" w:rsidRDefault="00000000">
      <w:r>
        <w:rPr>
          <w:b/>
        </w:rPr>
        <w:t xml:space="preserve">Buchstabe (US-Handel): </w:t>
      </w:r>
      <w:r>
        <w:t>L</w:t>
      </w:r>
    </w:p>
    <w:p w14:paraId="72701EAF" w14:textId="77777777" w:rsidR="001F7233" w:rsidRDefault="00000000">
      <w:r>
        <w:rPr>
          <w:b/>
        </w:rPr>
        <w:t>14</w:t>
      </w:r>
    </w:p>
    <w:p w14:paraId="52560567" w14:textId="77777777" w:rsidR="001F7233" w:rsidRDefault="00000000">
      <w:r>
        <w:rPr>
          <w:b/>
        </w:rPr>
        <w:t xml:space="preserve">Deutschland: </w:t>
      </w:r>
      <w:r>
        <w:t>44</w:t>
      </w:r>
    </w:p>
    <w:p w14:paraId="491A1490" w14:textId="77777777" w:rsidR="001F7233" w:rsidRDefault="00000000">
      <w:r>
        <w:rPr>
          <w:b/>
        </w:rPr>
        <w:t xml:space="preserve">Buchstabe (US-Handel): </w:t>
      </w:r>
      <w:r>
        <w:t>L</w:t>
      </w:r>
    </w:p>
    <w:p w14:paraId="0893B17B" w14:textId="77777777" w:rsidR="001F7233" w:rsidRDefault="00000000">
      <w:r>
        <w:rPr>
          <w:b/>
        </w:rPr>
        <w:t>16</w:t>
      </w:r>
    </w:p>
    <w:p w14:paraId="250C7501" w14:textId="77777777" w:rsidR="001F7233" w:rsidRDefault="00000000">
      <w:r>
        <w:rPr>
          <w:b/>
        </w:rPr>
        <w:t xml:space="preserve">Deutschland: </w:t>
      </w:r>
      <w:r>
        <w:t>46</w:t>
      </w:r>
    </w:p>
    <w:p w14:paraId="69F17F7A" w14:textId="77777777" w:rsidR="001F7233" w:rsidRDefault="00000000">
      <w:r>
        <w:rPr>
          <w:b/>
        </w:rPr>
        <w:t xml:space="preserve">Buchstabe (US-Handel): </w:t>
      </w:r>
      <w:r>
        <w:t>XL</w:t>
      </w:r>
    </w:p>
    <w:p w14:paraId="70B45C89" w14:textId="77777777" w:rsidR="001F7233" w:rsidRDefault="001F7233">
      <w:pPr>
        <w:spacing w:line="180" w:lineRule="exact"/>
      </w:pPr>
    </w:p>
    <w:p w14:paraId="524EDF37" w14:textId="77777777" w:rsidR="001F7233" w:rsidRDefault="00000000">
      <w:pPr>
        <w:spacing w:after="140"/>
      </w:pPr>
      <w:r>
        <w:rPr>
          <w:b/>
          <w:bCs/>
        </w:rPr>
        <w:t>Herren</w:t>
      </w:r>
      <w:r>
        <w:t xml:space="preserve"> (Anzüge und Jacken nach Brustumfang, Hemden nach Kragenweite, Jeans nach Bundweite/Schrittlänge, jeweils in Zoll)</w:t>
      </w:r>
    </w:p>
    <w:p w14:paraId="36D62D1A" w14:textId="77777777" w:rsidR="001F7233" w:rsidRDefault="00000000">
      <w:r>
        <w:rPr>
          <w:b/>
        </w:rPr>
        <w:t>Anzug, Sakko</w:t>
      </w:r>
    </w:p>
    <w:p w14:paraId="518D1C68" w14:textId="77777777" w:rsidR="001F7233" w:rsidRDefault="00000000">
      <w:r>
        <w:rPr>
          <w:b/>
        </w:rPr>
        <w:t xml:space="preserve">Deutschland: </w:t>
      </w:r>
      <w:r>
        <w:t>46 / 48 / 50 / 52 / 54</w:t>
      </w:r>
    </w:p>
    <w:p w14:paraId="2D879314" w14:textId="77777777" w:rsidR="001F7233" w:rsidRDefault="00000000">
      <w:r>
        <w:rPr>
          <w:b/>
        </w:rPr>
        <w:t xml:space="preserve">USA: </w:t>
      </w:r>
      <w:r>
        <w:t>36 / 38 / 40 / 42 / 44</w:t>
      </w:r>
    </w:p>
    <w:p w14:paraId="4522432D" w14:textId="77777777" w:rsidR="001F7233" w:rsidRDefault="00000000">
      <w:r>
        <w:rPr>
          <w:b/>
        </w:rPr>
        <w:t>Hemdkragen</w:t>
      </w:r>
    </w:p>
    <w:p w14:paraId="4E77F82D" w14:textId="77777777" w:rsidR="001F7233" w:rsidRDefault="00000000">
      <w:r>
        <w:rPr>
          <w:b/>
        </w:rPr>
        <w:t xml:space="preserve">Deutschland: </w:t>
      </w:r>
      <w:r>
        <w:t>38 / 40 / 42 / 44 cm</w:t>
      </w:r>
    </w:p>
    <w:p w14:paraId="6B78C697" w14:textId="77777777" w:rsidR="001F7233" w:rsidRDefault="00000000">
      <w:r>
        <w:rPr>
          <w:b/>
        </w:rPr>
        <w:t xml:space="preserve">USA: </w:t>
      </w:r>
      <w:r>
        <w:t>15 / 15¾ / 16½ / 17½ Zoll</w:t>
      </w:r>
    </w:p>
    <w:p w14:paraId="13676C72" w14:textId="77777777" w:rsidR="001F7233" w:rsidRDefault="00000000">
      <w:r>
        <w:rPr>
          <w:b/>
        </w:rPr>
        <w:t>Hosenbund</w:t>
      </w:r>
    </w:p>
    <w:p w14:paraId="01B7FFF3" w14:textId="77777777" w:rsidR="001F7233" w:rsidRDefault="00000000">
      <w:r>
        <w:rPr>
          <w:b/>
        </w:rPr>
        <w:t xml:space="preserve">Deutschland: </w:t>
      </w:r>
      <w:r>
        <w:t>76 / 81 / 86 / 91 cm</w:t>
      </w:r>
    </w:p>
    <w:p w14:paraId="0AE2B90A" w14:textId="77777777" w:rsidR="001F7233" w:rsidRDefault="00000000">
      <w:r>
        <w:rPr>
          <w:b/>
        </w:rPr>
        <w:lastRenderedPageBreak/>
        <w:t xml:space="preserve">USA: </w:t>
      </w:r>
      <w:r>
        <w:t>30 / 32 / 34 / 36 Zoll</w:t>
      </w:r>
    </w:p>
    <w:p w14:paraId="36E16B1C" w14:textId="77777777" w:rsidR="001F7233" w:rsidRDefault="001F7233">
      <w:pPr>
        <w:spacing w:line="180" w:lineRule="exact"/>
      </w:pPr>
    </w:p>
    <w:p w14:paraId="00D6DDAB" w14:textId="77777777" w:rsidR="001F7233" w:rsidRDefault="00000000">
      <w:pPr>
        <w:spacing w:after="140"/>
      </w:pPr>
      <w:r>
        <w:rPr>
          <w:b/>
          <w:bCs/>
        </w:rPr>
        <w:t>Kinder</w:t>
      </w:r>
      <w:r>
        <w:t xml:space="preserve"> (US-Größe folgt grob dem Lebensjahr; „T“ steht für </w:t>
      </w:r>
      <w:r>
        <w:rPr>
          <w:i/>
          <w:iCs/>
        </w:rPr>
        <w:t>Toddler</w:t>
      </w:r>
      <w:r>
        <w:t>, Kleinkind)</w:t>
      </w:r>
    </w:p>
    <w:p w14:paraId="4E029EC5" w14:textId="77777777" w:rsidR="001F7233" w:rsidRDefault="00000000">
      <w:r>
        <w:rPr>
          <w:b/>
        </w:rPr>
        <w:t>92</w:t>
      </w:r>
    </w:p>
    <w:p w14:paraId="5591C781" w14:textId="77777777" w:rsidR="001F7233" w:rsidRDefault="00000000">
      <w:r>
        <w:rPr>
          <w:b/>
        </w:rPr>
        <w:t xml:space="preserve">US-Größe: </w:t>
      </w:r>
      <w:r>
        <w:t>2T</w:t>
      </w:r>
    </w:p>
    <w:p w14:paraId="549F804C" w14:textId="77777777" w:rsidR="001F7233" w:rsidRDefault="00000000">
      <w:r>
        <w:rPr>
          <w:b/>
        </w:rPr>
        <w:t xml:space="preserve">Jahre (ca.): </w:t>
      </w:r>
      <w:r>
        <w:t>2</w:t>
      </w:r>
    </w:p>
    <w:p w14:paraId="0609B4B0" w14:textId="77777777" w:rsidR="001F7233" w:rsidRDefault="00000000">
      <w:r>
        <w:rPr>
          <w:b/>
        </w:rPr>
        <w:t>104</w:t>
      </w:r>
    </w:p>
    <w:p w14:paraId="3D656595" w14:textId="77777777" w:rsidR="001F7233" w:rsidRDefault="00000000">
      <w:r>
        <w:rPr>
          <w:b/>
        </w:rPr>
        <w:t xml:space="preserve">US-Größe: </w:t>
      </w:r>
      <w:r>
        <w:t>4T</w:t>
      </w:r>
    </w:p>
    <w:p w14:paraId="75F6CDF5" w14:textId="77777777" w:rsidR="001F7233" w:rsidRDefault="00000000">
      <w:r>
        <w:rPr>
          <w:b/>
        </w:rPr>
        <w:t xml:space="preserve">Jahre (ca.): </w:t>
      </w:r>
      <w:r>
        <w:t>4</w:t>
      </w:r>
    </w:p>
    <w:p w14:paraId="18481F20" w14:textId="77777777" w:rsidR="001F7233" w:rsidRDefault="00000000">
      <w:r>
        <w:rPr>
          <w:b/>
        </w:rPr>
        <w:t>116</w:t>
      </w:r>
    </w:p>
    <w:p w14:paraId="21DED07D" w14:textId="77777777" w:rsidR="001F7233" w:rsidRDefault="00000000">
      <w:r>
        <w:rPr>
          <w:b/>
        </w:rPr>
        <w:t xml:space="preserve">US-Größe: </w:t>
      </w:r>
      <w:r>
        <w:t>6</w:t>
      </w:r>
    </w:p>
    <w:p w14:paraId="7BF11849" w14:textId="77777777" w:rsidR="001F7233" w:rsidRDefault="00000000">
      <w:r>
        <w:rPr>
          <w:b/>
        </w:rPr>
        <w:t>128</w:t>
      </w:r>
    </w:p>
    <w:p w14:paraId="6B3D904B" w14:textId="77777777" w:rsidR="001F7233" w:rsidRDefault="00000000">
      <w:r>
        <w:rPr>
          <w:b/>
        </w:rPr>
        <w:t xml:space="preserve">US-Größe: </w:t>
      </w:r>
      <w:r>
        <w:t>7</w:t>
      </w:r>
    </w:p>
    <w:p w14:paraId="33D57D1D" w14:textId="77777777" w:rsidR="001F7233" w:rsidRDefault="00000000">
      <w:r>
        <w:rPr>
          <w:b/>
        </w:rPr>
        <w:t>140</w:t>
      </w:r>
    </w:p>
    <w:p w14:paraId="202DA2B8" w14:textId="77777777" w:rsidR="001F7233" w:rsidRDefault="00000000">
      <w:r>
        <w:rPr>
          <w:b/>
        </w:rPr>
        <w:t xml:space="preserve">US-Größe: </w:t>
      </w:r>
      <w:r>
        <w:t>10</w:t>
      </w:r>
    </w:p>
    <w:p w14:paraId="11C836E0" w14:textId="77777777" w:rsidR="001F7233" w:rsidRDefault="00000000">
      <w:r>
        <w:rPr>
          <w:b/>
        </w:rPr>
        <w:t>152</w:t>
      </w:r>
    </w:p>
    <w:p w14:paraId="48EDF489" w14:textId="77777777" w:rsidR="001F7233" w:rsidRDefault="00000000">
      <w:r>
        <w:rPr>
          <w:b/>
        </w:rPr>
        <w:t xml:space="preserve">US-Größe: </w:t>
      </w:r>
      <w:r>
        <w:t>14</w:t>
      </w:r>
    </w:p>
    <w:p w14:paraId="6BCAF858" w14:textId="77777777" w:rsidR="001F7233" w:rsidRDefault="001F7233">
      <w:pPr>
        <w:spacing w:line="180" w:lineRule="exact"/>
      </w:pPr>
    </w:p>
    <w:p w14:paraId="64A63A3C" w14:textId="77777777" w:rsidR="001F7233" w:rsidRDefault="00000000">
      <w:pPr>
        <w:spacing w:after="140"/>
      </w:pPr>
      <w:r>
        <w:rPr>
          <w:b/>
          <w:bCs/>
        </w:rPr>
        <w:t>Schuhe</w:t>
      </w:r>
      <w:r>
        <w:t xml:space="preserve"> (Damen- und Herrengrößen laufen getrennt)</w:t>
      </w:r>
    </w:p>
    <w:p w14:paraId="5814E9C9" w14:textId="77777777" w:rsidR="001F7233" w:rsidRDefault="00000000">
      <w:r>
        <w:rPr>
          <w:b/>
        </w:rPr>
        <w:t>38</w:t>
      </w:r>
    </w:p>
    <w:p w14:paraId="3559A3A1" w14:textId="77777777" w:rsidR="001F7233" w:rsidRDefault="00000000">
      <w:r>
        <w:rPr>
          <w:b/>
        </w:rPr>
        <w:t xml:space="preserve">US Damen: </w:t>
      </w:r>
      <w:r>
        <w:t>7</w:t>
      </w:r>
    </w:p>
    <w:p w14:paraId="4AE728A3" w14:textId="77777777" w:rsidR="001F7233" w:rsidRDefault="00000000">
      <w:r>
        <w:rPr>
          <w:b/>
        </w:rPr>
        <w:t xml:space="preserve">US Herren: </w:t>
      </w:r>
      <w:r>
        <w:t>5,5</w:t>
      </w:r>
    </w:p>
    <w:p w14:paraId="210EC431" w14:textId="77777777" w:rsidR="001F7233" w:rsidRDefault="00000000">
      <w:r>
        <w:rPr>
          <w:b/>
        </w:rPr>
        <w:t>39</w:t>
      </w:r>
    </w:p>
    <w:p w14:paraId="4E895082" w14:textId="77777777" w:rsidR="001F7233" w:rsidRDefault="00000000">
      <w:r>
        <w:rPr>
          <w:b/>
        </w:rPr>
        <w:t xml:space="preserve">US Damen: </w:t>
      </w:r>
      <w:r>
        <w:t>8</w:t>
      </w:r>
    </w:p>
    <w:p w14:paraId="04E27AB9" w14:textId="77777777" w:rsidR="001F7233" w:rsidRDefault="00000000">
      <w:r>
        <w:rPr>
          <w:b/>
        </w:rPr>
        <w:t xml:space="preserve">US Herren: </w:t>
      </w:r>
      <w:r>
        <w:t>6,5</w:t>
      </w:r>
    </w:p>
    <w:p w14:paraId="7F8AC978" w14:textId="77777777" w:rsidR="001F7233" w:rsidRDefault="00000000">
      <w:r>
        <w:rPr>
          <w:b/>
        </w:rPr>
        <w:t>40</w:t>
      </w:r>
    </w:p>
    <w:p w14:paraId="0A5FFEA0" w14:textId="77777777" w:rsidR="001F7233" w:rsidRDefault="00000000">
      <w:r>
        <w:rPr>
          <w:b/>
        </w:rPr>
        <w:t xml:space="preserve">US Damen: </w:t>
      </w:r>
      <w:r>
        <w:t>8,5</w:t>
      </w:r>
    </w:p>
    <w:p w14:paraId="1FB807AF" w14:textId="77777777" w:rsidR="001F7233" w:rsidRDefault="00000000">
      <w:r>
        <w:rPr>
          <w:b/>
        </w:rPr>
        <w:t xml:space="preserve">US Herren: </w:t>
      </w:r>
      <w:r>
        <w:t>7</w:t>
      </w:r>
    </w:p>
    <w:p w14:paraId="720B89F5" w14:textId="77777777" w:rsidR="001F7233" w:rsidRDefault="00000000">
      <w:r>
        <w:rPr>
          <w:b/>
        </w:rPr>
        <w:t>41</w:t>
      </w:r>
    </w:p>
    <w:p w14:paraId="3FB85D7C" w14:textId="77777777" w:rsidR="001F7233" w:rsidRDefault="00000000">
      <w:r>
        <w:rPr>
          <w:b/>
        </w:rPr>
        <w:t xml:space="preserve">US Damen: </w:t>
      </w:r>
      <w:r>
        <w:t>9,5</w:t>
      </w:r>
    </w:p>
    <w:p w14:paraId="1EE74407" w14:textId="77777777" w:rsidR="001F7233" w:rsidRDefault="00000000">
      <w:r>
        <w:rPr>
          <w:b/>
        </w:rPr>
        <w:t xml:space="preserve">US Herren: </w:t>
      </w:r>
      <w:r>
        <w:t>8</w:t>
      </w:r>
    </w:p>
    <w:p w14:paraId="29297C30" w14:textId="77777777" w:rsidR="001F7233" w:rsidRDefault="00000000">
      <w:r>
        <w:rPr>
          <w:b/>
        </w:rPr>
        <w:t>42</w:t>
      </w:r>
    </w:p>
    <w:p w14:paraId="378E0764" w14:textId="77777777" w:rsidR="001F7233" w:rsidRDefault="00000000">
      <w:r>
        <w:rPr>
          <w:b/>
        </w:rPr>
        <w:t xml:space="preserve">US Damen: </w:t>
      </w:r>
      <w:r>
        <w:t>10</w:t>
      </w:r>
    </w:p>
    <w:p w14:paraId="5EBE6BE1" w14:textId="77777777" w:rsidR="001F7233" w:rsidRDefault="00000000">
      <w:r>
        <w:rPr>
          <w:b/>
        </w:rPr>
        <w:t xml:space="preserve">US Herren: </w:t>
      </w:r>
      <w:r>
        <w:t>8,5</w:t>
      </w:r>
    </w:p>
    <w:p w14:paraId="4A3D8DCD" w14:textId="77777777" w:rsidR="001F7233" w:rsidRDefault="00000000">
      <w:r>
        <w:rPr>
          <w:b/>
        </w:rPr>
        <w:lastRenderedPageBreak/>
        <w:t>43</w:t>
      </w:r>
    </w:p>
    <w:p w14:paraId="3675BD00" w14:textId="77777777" w:rsidR="001F7233" w:rsidRDefault="00000000">
      <w:r>
        <w:rPr>
          <w:b/>
        </w:rPr>
        <w:t xml:space="preserve">US Damen: </w:t>
      </w:r>
      <w:r>
        <w:t>11</w:t>
      </w:r>
    </w:p>
    <w:p w14:paraId="5DE0866F" w14:textId="77777777" w:rsidR="001F7233" w:rsidRDefault="00000000">
      <w:r>
        <w:rPr>
          <w:b/>
        </w:rPr>
        <w:t xml:space="preserve">US Herren: </w:t>
      </w:r>
      <w:r>
        <w:t>9,5</w:t>
      </w:r>
    </w:p>
    <w:p w14:paraId="09923D93" w14:textId="77777777" w:rsidR="001F7233" w:rsidRDefault="00000000">
      <w:r>
        <w:rPr>
          <w:b/>
        </w:rPr>
        <w:t>44</w:t>
      </w:r>
    </w:p>
    <w:p w14:paraId="4A50DD6F" w14:textId="77777777" w:rsidR="001F7233" w:rsidRDefault="00000000">
      <w:r>
        <w:rPr>
          <w:b/>
        </w:rPr>
        <w:t xml:space="preserve">US Damen: </w:t>
      </w:r>
      <w:r>
        <w:t>11,5</w:t>
      </w:r>
    </w:p>
    <w:p w14:paraId="1B4BCB89" w14:textId="77777777" w:rsidR="001F7233" w:rsidRDefault="00000000">
      <w:r>
        <w:rPr>
          <w:b/>
        </w:rPr>
        <w:t xml:space="preserve">US Herren: </w:t>
      </w:r>
      <w:r>
        <w:t>10</w:t>
      </w:r>
    </w:p>
    <w:p w14:paraId="45CC02F0" w14:textId="77777777" w:rsidR="001F7233" w:rsidRDefault="00000000">
      <w:r>
        <w:rPr>
          <w:b/>
        </w:rPr>
        <w:t>45</w:t>
      </w:r>
    </w:p>
    <w:p w14:paraId="3E99858F" w14:textId="77777777" w:rsidR="001F7233" w:rsidRDefault="00000000">
      <w:r>
        <w:rPr>
          <w:b/>
        </w:rPr>
        <w:t xml:space="preserve">US Damen: </w:t>
      </w:r>
      <w:r>
        <w:t>12,5</w:t>
      </w:r>
    </w:p>
    <w:p w14:paraId="22A586A8" w14:textId="77777777" w:rsidR="001F7233" w:rsidRDefault="00000000">
      <w:r>
        <w:rPr>
          <w:b/>
        </w:rPr>
        <w:t xml:space="preserve">US Herren: </w:t>
      </w:r>
      <w:r>
        <w:t>11</w:t>
      </w:r>
    </w:p>
    <w:p w14:paraId="432BAE5A" w14:textId="77777777" w:rsidR="001F7233" w:rsidRDefault="00000000">
      <w:r>
        <w:rPr>
          <w:b/>
        </w:rPr>
        <w:t>46</w:t>
      </w:r>
    </w:p>
    <w:p w14:paraId="7DCC8BEE" w14:textId="77777777" w:rsidR="001F7233" w:rsidRDefault="00000000">
      <w:r>
        <w:rPr>
          <w:b/>
        </w:rPr>
        <w:t xml:space="preserve">US Damen: </w:t>
      </w:r>
      <w:r>
        <w:t>13,5</w:t>
      </w:r>
    </w:p>
    <w:p w14:paraId="2B21367A" w14:textId="77777777" w:rsidR="001F7233" w:rsidRDefault="00000000">
      <w:r>
        <w:rPr>
          <w:b/>
        </w:rPr>
        <w:t xml:space="preserve">US Herren: </w:t>
      </w:r>
      <w:r>
        <w:t>12</w:t>
      </w:r>
    </w:p>
    <w:p w14:paraId="3433BA77" w14:textId="77777777" w:rsidR="001F7233" w:rsidRDefault="001F7233">
      <w:pPr>
        <w:spacing w:line="180" w:lineRule="exact"/>
      </w:pPr>
    </w:p>
    <w:p w14:paraId="3F854065" w14:textId="77777777" w:rsidR="001F7233" w:rsidRDefault="00000000">
      <w:pPr>
        <w:spacing w:after="140"/>
      </w:pPr>
      <w:r>
        <w:t>Kinderschuhe haben ein eigenes System: „C“ (</w:t>
      </w:r>
      <w:r>
        <w:rPr>
          <w:i/>
          <w:iCs/>
        </w:rPr>
        <w:t>Children</w:t>
      </w:r>
      <w:r>
        <w:t>) bis 13,5, danach „Y“ (</w:t>
      </w:r>
      <w:r>
        <w:rPr>
          <w:i/>
          <w:iCs/>
        </w:rPr>
        <w:t>Youth</w:t>
      </w:r>
      <w:r>
        <w:t>), etwa EU 27 = 10C, EU 31 = 13C, EU 35 = 3Y.</w:t>
      </w:r>
    </w:p>
    <w:p w14:paraId="760442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Bettgrößen</w:t>
      </w:r>
    </w:p>
    <w:p w14:paraId="1C7334FE" w14:textId="77777777" w:rsidR="001F7233" w:rsidRDefault="00000000">
      <w:pPr>
        <w:spacing w:after="140"/>
      </w:pPr>
      <w:r>
        <w:t>US-Matratzen sind anders genormt als deutsche; Bettwäsche kaufst du deshalb in den USA neu (ausführlich: Kapitel </w:t>
      </w:r>
      <w:hyperlink w:anchor="k21">
        <w:r w:rsidR="001F7233">
          <w:t>21</w:t>
        </w:r>
      </w:hyperlink>
      <w:r>
        <w:t>).</w:t>
      </w:r>
    </w:p>
    <w:p w14:paraId="0AC4BF21" w14:textId="77777777" w:rsidR="001F7233" w:rsidRDefault="00000000">
      <w:r>
        <w:rPr>
          <w:b/>
        </w:rPr>
        <w:t>Twin</w:t>
      </w:r>
    </w:p>
    <w:p w14:paraId="38E51A13" w14:textId="77777777" w:rsidR="001F7233" w:rsidRDefault="00000000">
      <w:r>
        <w:rPr>
          <w:b/>
        </w:rPr>
        <w:t xml:space="preserve">Zoll: </w:t>
      </w:r>
      <w:r>
        <w:t>38 × 75</w:t>
      </w:r>
    </w:p>
    <w:p w14:paraId="48261083" w14:textId="77777777" w:rsidR="001F7233" w:rsidRDefault="00000000">
      <w:r>
        <w:rPr>
          <w:b/>
        </w:rPr>
        <w:t xml:space="preserve">Zentimeter: </w:t>
      </w:r>
      <w:r>
        <w:t>96,5 × 190,5</w:t>
      </w:r>
    </w:p>
    <w:p w14:paraId="7754419C" w14:textId="77777777" w:rsidR="001F7233" w:rsidRDefault="00000000">
      <w:r>
        <w:rPr>
          <w:b/>
        </w:rPr>
        <w:t xml:space="preserve">Deutsche Entsprechung: </w:t>
      </w:r>
      <w:r>
        <w:t>90 × 200</w:t>
      </w:r>
    </w:p>
    <w:p w14:paraId="7665FD92" w14:textId="77777777" w:rsidR="001F7233" w:rsidRDefault="00000000">
      <w:r>
        <w:rPr>
          <w:b/>
        </w:rPr>
        <w:t>Full</w:t>
      </w:r>
    </w:p>
    <w:p w14:paraId="41BDCCA4" w14:textId="77777777" w:rsidR="001F7233" w:rsidRDefault="00000000">
      <w:r>
        <w:rPr>
          <w:b/>
        </w:rPr>
        <w:t xml:space="preserve">Zoll: </w:t>
      </w:r>
      <w:r>
        <w:t>54 × 75</w:t>
      </w:r>
    </w:p>
    <w:p w14:paraId="29607A22" w14:textId="77777777" w:rsidR="001F7233" w:rsidRDefault="00000000">
      <w:r>
        <w:rPr>
          <w:b/>
        </w:rPr>
        <w:t xml:space="preserve">Zentimeter: </w:t>
      </w:r>
      <w:r>
        <w:t>137 × 190,5</w:t>
      </w:r>
    </w:p>
    <w:p w14:paraId="753A39EC" w14:textId="77777777" w:rsidR="001F7233" w:rsidRDefault="00000000">
      <w:r>
        <w:rPr>
          <w:b/>
        </w:rPr>
        <w:t xml:space="preserve">Deutsche Entsprechung: </w:t>
      </w:r>
      <w:r>
        <w:t>140 × 200</w:t>
      </w:r>
    </w:p>
    <w:p w14:paraId="55CD0F30" w14:textId="77777777" w:rsidR="001F7233" w:rsidRDefault="00000000">
      <w:r>
        <w:rPr>
          <w:b/>
        </w:rPr>
        <w:t>Queen</w:t>
      </w:r>
    </w:p>
    <w:p w14:paraId="36CC9967" w14:textId="77777777" w:rsidR="001F7233" w:rsidRDefault="00000000">
      <w:r>
        <w:rPr>
          <w:b/>
        </w:rPr>
        <w:t xml:space="preserve">Zoll: </w:t>
      </w:r>
      <w:r>
        <w:t>60 × 80</w:t>
      </w:r>
    </w:p>
    <w:p w14:paraId="6225CCA6" w14:textId="77777777" w:rsidR="001F7233" w:rsidRDefault="00000000">
      <w:r>
        <w:rPr>
          <w:b/>
        </w:rPr>
        <w:t xml:space="preserve">Zentimeter: </w:t>
      </w:r>
      <w:r>
        <w:t>152 × 203</w:t>
      </w:r>
    </w:p>
    <w:p w14:paraId="5F28DA0A" w14:textId="77777777" w:rsidR="001F7233" w:rsidRDefault="00000000">
      <w:r>
        <w:rPr>
          <w:b/>
        </w:rPr>
        <w:t xml:space="preserve">Deutsche Entsprechung: </w:t>
      </w:r>
      <w:r>
        <w:t>160 × 200</w:t>
      </w:r>
    </w:p>
    <w:p w14:paraId="3D419464" w14:textId="77777777" w:rsidR="001F7233" w:rsidRDefault="00000000">
      <w:r>
        <w:rPr>
          <w:b/>
        </w:rPr>
        <w:t>King</w:t>
      </w:r>
    </w:p>
    <w:p w14:paraId="17E6833E" w14:textId="77777777" w:rsidR="001F7233" w:rsidRDefault="00000000">
      <w:r>
        <w:rPr>
          <w:b/>
        </w:rPr>
        <w:t xml:space="preserve">Zoll: </w:t>
      </w:r>
      <w:r>
        <w:t>76 × 80</w:t>
      </w:r>
    </w:p>
    <w:p w14:paraId="01459CDF" w14:textId="77777777" w:rsidR="001F7233" w:rsidRDefault="00000000">
      <w:r>
        <w:rPr>
          <w:b/>
        </w:rPr>
        <w:lastRenderedPageBreak/>
        <w:t xml:space="preserve">Zentimeter: </w:t>
      </w:r>
      <w:r>
        <w:t>193 × 203</w:t>
      </w:r>
    </w:p>
    <w:p w14:paraId="669FC517" w14:textId="77777777" w:rsidR="001F7233" w:rsidRDefault="00000000">
      <w:r>
        <w:rPr>
          <w:b/>
        </w:rPr>
        <w:t xml:space="preserve">Deutsche Entsprechung: </w:t>
      </w:r>
      <w:r>
        <w:t>180 × 200 oder 200 × 200</w:t>
      </w:r>
    </w:p>
    <w:p w14:paraId="1A58F866" w14:textId="77777777" w:rsidR="001F7233" w:rsidRDefault="00000000">
      <w:r>
        <w:rPr>
          <w:b/>
        </w:rPr>
        <w:t>California King</w:t>
      </w:r>
    </w:p>
    <w:p w14:paraId="623E155A" w14:textId="77777777" w:rsidR="001F7233" w:rsidRDefault="00000000">
      <w:r>
        <w:rPr>
          <w:b/>
        </w:rPr>
        <w:t xml:space="preserve">Zoll: </w:t>
      </w:r>
      <w:r>
        <w:t>72 × 84</w:t>
      </w:r>
    </w:p>
    <w:p w14:paraId="02C615A9" w14:textId="77777777" w:rsidR="001F7233" w:rsidRDefault="00000000">
      <w:r>
        <w:rPr>
          <w:b/>
        </w:rPr>
        <w:t xml:space="preserve">Zentimeter: </w:t>
      </w:r>
      <w:r>
        <w:t>183 × 213</w:t>
      </w:r>
    </w:p>
    <w:p w14:paraId="0439A075" w14:textId="77777777" w:rsidR="001F7233" w:rsidRDefault="00000000">
      <w:r>
        <w:rPr>
          <w:b/>
        </w:rPr>
        <w:t xml:space="preserve">Deutsche Entsprechung: </w:t>
      </w:r>
      <w:r>
        <w:t>180 × 200</w:t>
      </w:r>
    </w:p>
    <w:p w14:paraId="31CD547E" w14:textId="77777777" w:rsidR="001F7233" w:rsidRDefault="001F7233">
      <w:pPr>
        <w:spacing w:line="180" w:lineRule="exact"/>
      </w:pPr>
    </w:p>
    <w:p w14:paraId="2D2F21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Papierformat</w:t>
      </w:r>
    </w:p>
    <w:p w14:paraId="042FD335" w14:textId="77777777" w:rsidR="001F7233" w:rsidRDefault="00000000">
      <w:r>
        <w:rPr>
          <w:b/>
        </w:rPr>
        <w:t>Letter</w:t>
      </w:r>
    </w:p>
    <w:p w14:paraId="39C65668" w14:textId="77777777" w:rsidR="001F7233" w:rsidRDefault="00000000">
      <w:r>
        <w:rPr>
          <w:b/>
        </w:rPr>
        <w:t xml:space="preserve">Zoll: </w:t>
      </w:r>
      <w:r>
        <w:t>8,5 × 11</w:t>
      </w:r>
    </w:p>
    <w:p w14:paraId="08EDB42E" w14:textId="77777777" w:rsidR="001F7233" w:rsidRDefault="00000000">
      <w:r>
        <w:rPr>
          <w:b/>
        </w:rPr>
        <w:t xml:space="preserve">Zentimeter: </w:t>
      </w:r>
      <w:r>
        <w:t>21,6 × 27,9</w:t>
      </w:r>
    </w:p>
    <w:p w14:paraId="22260328" w14:textId="77777777" w:rsidR="001F7233" w:rsidRDefault="00000000">
      <w:r>
        <w:rPr>
          <w:b/>
        </w:rPr>
        <w:t xml:space="preserve">Verbreitung: </w:t>
      </w:r>
      <w:r>
        <w:t>USA (Standard)</w:t>
      </w:r>
    </w:p>
    <w:p w14:paraId="2753E315" w14:textId="77777777" w:rsidR="001F7233" w:rsidRDefault="00000000">
      <w:r>
        <w:rPr>
          <w:b/>
        </w:rPr>
        <w:t>Legal</w:t>
      </w:r>
    </w:p>
    <w:p w14:paraId="583B7664" w14:textId="77777777" w:rsidR="001F7233" w:rsidRDefault="00000000">
      <w:r>
        <w:rPr>
          <w:b/>
        </w:rPr>
        <w:t xml:space="preserve">Zoll: </w:t>
      </w:r>
      <w:r>
        <w:t>8,5 × 14</w:t>
      </w:r>
    </w:p>
    <w:p w14:paraId="7C39CB64" w14:textId="77777777" w:rsidR="001F7233" w:rsidRDefault="00000000">
      <w:r>
        <w:rPr>
          <w:b/>
        </w:rPr>
        <w:t xml:space="preserve">Zentimeter: </w:t>
      </w:r>
      <w:r>
        <w:t>21,6 × 35,6</w:t>
      </w:r>
    </w:p>
    <w:p w14:paraId="503CBF34" w14:textId="77777777" w:rsidR="001F7233" w:rsidRDefault="00000000">
      <w:r>
        <w:rPr>
          <w:b/>
        </w:rPr>
        <w:t xml:space="preserve">Verbreitung: </w:t>
      </w:r>
      <w:r>
        <w:t>USA (Verträge, Gerichtsdokumente)</w:t>
      </w:r>
    </w:p>
    <w:p w14:paraId="457FFBBE" w14:textId="77777777" w:rsidR="001F7233" w:rsidRDefault="00000000">
      <w:r>
        <w:rPr>
          <w:b/>
        </w:rPr>
        <w:t>A4</w:t>
      </w:r>
    </w:p>
    <w:p w14:paraId="59E9774C" w14:textId="77777777" w:rsidR="001F7233" w:rsidRDefault="00000000">
      <w:r>
        <w:rPr>
          <w:b/>
        </w:rPr>
        <w:t xml:space="preserve">Zoll: </w:t>
      </w:r>
      <w:r>
        <w:t>8,27 × 11,69</w:t>
      </w:r>
    </w:p>
    <w:p w14:paraId="6C927F31" w14:textId="77777777" w:rsidR="001F7233" w:rsidRDefault="00000000">
      <w:r>
        <w:rPr>
          <w:b/>
        </w:rPr>
        <w:t xml:space="preserve">Zentimeter: </w:t>
      </w:r>
      <w:r>
        <w:t>21,0 × 29,7</w:t>
      </w:r>
    </w:p>
    <w:p w14:paraId="4B2659CF" w14:textId="77777777" w:rsidR="001F7233" w:rsidRDefault="00000000">
      <w:r>
        <w:rPr>
          <w:b/>
        </w:rPr>
        <w:t xml:space="preserve">Verbreitung: </w:t>
      </w:r>
      <w:r>
        <w:t>Deutschland (Standard)</w:t>
      </w:r>
    </w:p>
    <w:p w14:paraId="19504054" w14:textId="77777777" w:rsidR="001F7233" w:rsidRDefault="001F7233">
      <w:pPr>
        <w:spacing w:line="180" w:lineRule="exact"/>
      </w:pPr>
    </w:p>
    <w:p w14:paraId="36C0A019" w14:textId="77777777" w:rsidR="001F7233" w:rsidRDefault="00000000">
      <w:pPr>
        <w:spacing w:after="140"/>
      </w:pPr>
      <w:r>
        <w:t>Ordner und Locher folgen in den USA einer anderen Lochung als in Deutschland; beides kaufst du vor Ort (Kapitel </w:t>
      </w:r>
      <w:hyperlink w:anchor="k21">
        <w:r w:rsidR="001F7233">
          <w:t>21</w:t>
        </w:r>
      </w:hyperlink>
      <w:r>
        <w:t>).</w:t>
      </w:r>
    </w:p>
    <w:p w14:paraId="16CAA0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Datumsformat und Wochenstart</w:t>
      </w:r>
    </w:p>
    <w:p w14:paraId="7687710C" w14:textId="77777777" w:rsidR="001F7233" w:rsidRDefault="00000000">
      <w:pPr>
        <w:spacing w:after="140"/>
      </w:pPr>
      <w:r>
        <w:t>In den USA steht der Monat vor dem Tag, in Deutschland der Tag vor dem Monat. Dieselbe Zahlenfolge kann deshalb zwei verschiedene Daten bedeuten.</w:t>
      </w:r>
    </w:p>
    <w:p w14:paraId="4508C961" w14:textId="77777777" w:rsidR="001F7233" w:rsidRDefault="00000000">
      <w:r>
        <w:rPr>
          <w:b/>
        </w:rPr>
        <w:t>MM/DD/YYYY (USA)</w:t>
      </w:r>
    </w:p>
    <w:p w14:paraId="7D2256FE" w14:textId="77777777" w:rsidR="001F7233" w:rsidRDefault="00000000">
      <w:r>
        <w:rPr>
          <w:b/>
        </w:rPr>
        <w:t xml:space="preserve">Beispiel: </w:t>
      </w:r>
      <w:r>
        <w:t>09/23/2026</w:t>
      </w:r>
    </w:p>
    <w:p w14:paraId="2970366D" w14:textId="77777777" w:rsidR="001F7233" w:rsidRDefault="00000000">
      <w:r>
        <w:rPr>
          <w:b/>
        </w:rPr>
        <w:t xml:space="preserve">Bedeutung: </w:t>
      </w:r>
      <w:r>
        <w:t>23. September 2026</w:t>
      </w:r>
    </w:p>
    <w:p w14:paraId="50E4B9A8" w14:textId="77777777" w:rsidR="001F7233" w:rsidRDefault="00000000">
      <w:r>
        <w:rPr>
          <w:b/>
        </w:rPr>
        <w:t>TT.MM.JJJJ (Deutschland)</w:t>
      </w:r>
    </w:p>
    <w:p w14:paraId="71B33580" w14:textId="77777777" w:rsidR="001F7233" w:rsidRDefault="00000000">
      <w:r>
        <w:rPr>
          <w:b/>
        </w:rPr>
        <w:lastRenderedPageBreak/>
        <w:t xml:space="preserve">Beispiel: </w:t>
      </w:r>
      <w:r>
        <w:t>23.09.2026</w:t>
      </w:r>
    </w:p>
    <w:p w14:paraId="031856AE" w14:textId="77777777" w:rsidR="001F7233" w:rsidRDefault="00000000">
      <w:r>
        <w:rPr>
          <w:b/>
        </w:rPr>
        <w:t xml:space="preserve">Bedeutung: </w:t>
      </w:r>
      <w:r>
        <w:t>23. September 2026</w:t>
      </w:r>
    </w:p>
    <w:p w14:paraId="57C20955" w14:textId="77777777" w:rsidR="001F7233" w:rsidRDefault="001F7233">
      <w:pPr>
        <w:spacing w:line="180" w:lineRule="exact"/>
      </w:pPr>
    </w:p>
    <w:p w14:paraId="49ECDD98" w14:textId="77777777" w:rsidR="001F7233" w:rsidRDefault="00000000">
      <w:pPr>
        <w:spacing w:after="140"/>
      </w:pPr>
      <w:r>
        <w:t>Bei Formularen und Terminen hilft es, den Monat auszuschreiben (4. März statt 03/04) oder das eindeutige Format JJJJ-MM-TT zu nutzen. Kalender und Apps zeigen in den USA meist den Sonntag als ersten Wochentag, in Deutschland nach internationaler Norm den Montag. Arbeitswoche und Wochenende ändert das nicht.</w:t>
      </w:r>
    </w:p>
    <w:p w14:paraId="1EFDE7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w:t>
      </w:r>
    </w:p>
    <w:p w14:paraId="0D9EB7E9" w14:textId="77777777" w:rsidR="001F7233" w:rsidRDefault="00000000">
      <w:r>
        <w:rPr>
          <w:b/>
        </w:rPr>
        <w:t>Spannung</w:t>
      </w:r>
    </w:p>
    <w:p w14:paraId="1D0217B3" w14:textId="77777777" w:rsidR="001F7233" w:rsidRDefault="00000000">
      <w:r>
        <w:rPr>
          <w:b/>
        </w:rPr>
        <w:t xml:space="preserve">USA: </w:t>
      </w:r>
      <w:r>
        <w:t>120 V (nominal, schwankt zwischen ca. 100 und 127 V)</w:t>
      </w:r>
    </w:p>
    <w:p w14:paraId="7453EE63" w14:textId="77777777" w:rsidR="001F7233" w:rsidRDefault="00000000">
      <w:r>
        <w:rPr>
          <w:b/>
        </w:rPr>
        <w:t xml:space="preserve">Deutschland: </w:t>
      </w:r>
      <w:r>
        <w:t>230 V</w:t>
      </w:r>
    </w:p>
    <w:p w14:paraId="52ED4D4A" w14:textId="77777777" w:rsidR="001F7233" w:rsidRDefault="00000000">
      <w:r>
        <w:rPr>
          <w:b/>
        </w:rPr>
        <w:t>Frequenz</w:t>
      </w:r>
    </w:p>
    <w:p w14:paraId="74BAFD80" w14:textId="77777777" w:rsidR="001F7233" w:rsidRDefault="00000000">
      <w:r>
        <w:rPr>
          <w:b/>
        </w:rPr>
        <w:t xml:space="preserve">USA: </w:t>
      </w:r>
      <w:r>
        <w:t>60 Hz</w:t>
      </w:r>
    </w:p>
    <w:p w14:paraId="449C0DBD" w14:textId="77777777" w:rsidR="001F7233" w:rsidRDefault="00000000">
      <w:r>
        <w:rPr>
          <w:b/>
        </w:rPr>
        <w:t xml:space="preserve">Deutschland: </w:t>
      </w:r>
      <w:r>
        <w:t>50 Hz</w:t>
      </w:r>
    </w:p>
    <w:p w14:paraId="31C7D76A" w14:textId="77777777" w:rsidR="001F7233" w:rsidRDefault="00000000">
      <w:r>
        <w:rPr>
          <w:b/>
        </w:rPr>
        <w:t>Steckertyp</w:t>
      </w:r>
    </w:p>
    <w:p w14:paraId="5A9FC97C" w14:textId="77777777" w:rsidR="001F7233" w:rsidRDefault="00000000">
      <w:r>
        <w:rPr>
          <w:b/>
        </w:rPr>
        <w:t xml:space="preserve">USA: </w:t>
      </w:r>
      <w:r>
        <w:t>Typ A (zwei Flachstifte) / Typ B (mit Erdungsstift)</w:t>
      </w:r>
    </w:p>
    <w:p w14:paraId="3F017AEE" w14:textId="77777777" w:rsidR="001F7233" w:rsidRDefault="00000000">
      <w:r>
        <w:rPr>
          <w:b/>
        </w:rPr>
        <w:t xml:space="preserve">Deutschland: </w:t>
      </w:r>
      <w:r>
        <w:t>Typ C / Typ F (Schuko)</w:t>
      </w:r>
    </w:p>
    <w:p w14:paraId="36D5D0FB" w14:textId="77777777" w:rsidR="001F7233" w:rsidRDefault="001F7233">
      <w:pPr>
        <w:spacing w:line="180" w:lineRule="exact"/>
      </w:pPr>
    </w:p>
    <w:p w14:paraId="43BF02D4" w14:textId="77777777" w:rsidR="001F7233" w:rsidRDefault="00000000">
      <w:pPr>
        <w:spacing w:after="140"/>
      </w:pPr>
      <w:r>
        <w:t>Für Großverbraucher wie Herd, Trockner und Klimaanlage gibt es im US-Haushalt zusätzlich eine 240-V-Leitung; normale Steckdosen bleiben bei 120 V. Ein Adapter ändert nur die Steckerform, nicht die Spannung (ausführlich, inklusive Regeln für mitgebrachte Geräte: Kapitel </w:t>
      </w:r>
      <w:hyperlink w:anchor="k21">
        <w:r w:rsidR="001F7233">
          <w:t>21</w:t>
        </w:r>
      </w:hyperlink>
      <w:r>
        <w:t>).</w:t>
      </w:r>
    </w:p>
    <w:p w14:paraId="11DC4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w14:paraId="4B1354B5" w14:textId="77777777" w:rsidR="001F7233" w:rsidRDefault="00000000">
      <w:pPr>
        <w:spacing w:after="140"/>
      </w:pPr>
      <w:r>
        <w:t>Kanada misst wie Deutschland metrisch: Grad Celsius, Kilometer, Kilogramm, Milliliter und Liter gelten im Alltag, in Wetterberichten und auf Supermarkt-Etiketten. Bei Temperatur, Entfernung, Gewicht und Küchenmaßen brauchst du deshalb. Anders als in den USA – keine eigene Umrechnungstabelle. Die deutschen Gewohnheiten übertragen sich fast eins zu eins.</w:t>
      </w:r>
    </w:p>
    <w:p w14:paraId="3FA5835D" w14:textId="77777777" w:rsidR="001F7233" w:rsidRDefault="00000000">
      <w:pPr>
        <w:spacing w:after="140"/>
      </w:pPr>
      <w:r>
        <w:rPr>
          <w:i/>
          <w:iCs/>
        </w:rPr>
        <w:lastRenderedPageBreak/>
        <w:t>Trotzdem tauchen imperiale Einheiten gelegentlich noch auf: in Kochrezepten (cups, °F), in manchen umgangssprachlichen Wetterangaben und vor allem bei Körpergröße und Gewicht im lockeren Gespräch („5 foot 10“, „180 pounds“). Das kommt häufiger bei älteren Generationen vor und in Grenznähe zu den USA, wo US-Fernsehen und US-Handel den Sprachgebrauch prägen. Behörden, Wetterdienst und Handel bleiben in offiziellen Angaben durchgehend metrisch.</w:t>
      </w:r>
    </w:p>
    <w:p w14:paraId="4BAD57EF" w14:textId="77777777" w:rsidR="001F7233" w:rsidRDefault="00000000">
      <w:pPr>
        <w:spacing w:after="140"/>
      </w:pPr>
      <w:r>
        <w:t>Kleidergrößen folgen im kanadischen Handel meist dem US-System (siehe Tabellen im Abschnitt USA oben). Die meisten dort verkauften Marken sind ohnehin US-amerikanisch oder international.</w:t>
      </w:r>
    </w:p>
    <w:p w14:paraId="54133ACC" w14:textId="77777777" w:rsidR="001F7233" w:rsidRDefault="00000000">
      <w:pPr>
        <w:spacing w:after="140"/>
      </w:pPr>
      <w:r>
        <w:t>Beim Strom gilt trotz metrischem Alltag der nordamerikanische Standard. Wie in den USA, nicht wie in Deutschland:</w:t>
      </w:r>
    </w:p>
    <w:p w14:paraId="00C38F30" w14:textId="77777777" w:rsidR="001F7233" w:rsidRDefault="00000000">
      <w:r>
        <w:rPr>
          <w:b/>
        </w:rPr>
        <w:t>Spannung</w:t>
      </w:r>
    </w:p>
    <w:p w14:paraId="6958C734" w14:textId="77777777" w:rsidR="001F7233" w:rsidRDefault="00000000">
      <w:r>
        <w:rPr>
          <w:b/>
        </w:rPr>
        <w:t xml:space="preserve">Kanada: </w:t>
      </w:r>
      <w:r>
        <w:t>120 V (nominal)</w:t>
      </w:r>
    </w:p>
    <w:p w14:paraId="0DDEFA86" w14:textId="77777777" w:rsidR="001F7233" w:rsidRDefault="00000000">
      <w:r>
        <w:rPr>
          <w:b/>
        </w:rPr>
        <w:t>Frequenz</w:t>
      </w:r>
    </w:p>
    <w:p w14:paraId="3E3DA372" w14:textId="77777777" w:rsidR="001F7233" w:rsidRDefault="00000000">
      <w:r>
        <w:rPr>
          <w:b/>
        </w:rPr>
        <w:t xml:space="preserve">Kanada: </w:t>
      </w:r>
      <w:r>
        <w:t>60 Hz</w:t>
      </w:r>
    </w:p>
    <w:p w14:paraId="5DB4322A" w14:textId="77777777" w:rsidR="001F7233" w:rsidRDefault="00000000">
      <w:r>
        <w:rPr>
          <w:b/>
        </w:rPr>
        <w:t>Steckertyp</w:t>
      </w:r>
    </w:p>
    <w:p w14:paraId="64F568B8" w14:textId="77777777" w:rsidR="001F7233" w:rsidRDefault="00000000">
      <w:r>
        <w:rPr>
          <w:b/>
        </w:rPr>
        <w:t xml:space="preserve">Kanada: </w:t>
      </w:r>
      <w:r>
        <w:t>Typ A / Typ B (identisch mit den USA)</w:t>
      </w:r>
    </w:p>
    <w:p w14:paraId="35BF5786" w14:textId="77777777" w:rsidR="001F7233" w:rsidRDefault="001F7233">
      <w:pPr>
        <w:spacing w:line="180" w:lineRule="exact"/>
      </w:pPr>
    </w:p>
    <w:p w14:paraId="088D931D" w14:textId="77777777" w:rsidR="001F7233" w:rsidRDefault="00000000">
      <w:r>
        <w:rPr>
          <w:b/>
        </w:rPr>
        <w:t xml:space="preserve">ACHTUNG: </w:t>
      </w:r>
    </w:p>
    <w:p w14:paraId="3A51746F" w14:textId="77777777" w:rsidR="001F7233" w:rsidRDefault="00000000">
      <w:r>
        <w:t xml:space="preserve">• Meter und Kilogramm gelten in Kanada wie zu Hause – die Steckdose tut es nicht. Wer nur an die Maßeinheiten denkt und keinen Adapter für nordamerikanische Stecker einpackt, steht mit dem deutschen Ladegerät vor einer Typ-A-Dose (mehr dazu in </w:t>
      </w:r>
      <w:hyperlink w:anchor="k21">
        <w:r w:rsidR="001F7233">
          <w:rPr>
            <w:color w:val="0563C1"/>
            <w:u w:val="single"/>
          </w:rPr>
          <w:t>Kapitel 21</w:t>
        </w:r>
      </w:hyperlink>
      <w:r>
        <w:t>).</w:t>
      </w:r>
    </w:p>
    <w:p w14:paraId="61ECA94E" w14:textId="77777777" w:rsidR="001F7233" w:rsidRDefault="001F7233">
      <w:pPr>
        <w:spacing w:line="220" w:lineRule="exact"/>
      </w:pPr>
    </w:p>
    <w:p w14:paraId="4F27ED27" w14:textId="77777777" w:rsidR="001F7233" w:rsidRDefault="00000000">
      <w:pPr>
        <w:spacing w:after="140"/>
      </w:pPr>
      <w:r>
        <w:t>Beim Datum ist Kanada uneinheitlich: Im Alltag sind sowohl MM/DD/YYYY (US-Einfluss) als auch DD/MM/YYYY (britisch-französisch geprägt, vor allem in Québec) gebräuchlich. Behörden und offizielle Formulare nutzen meist das eindeutige Format JJJJ-MM-TT.</w:t>
      </w:r>
    </w:p>
    <w:p w14:paraId="49C1C6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w14:paraId="29E96529" w14:textId="77777777" w:rsidR="001F7233" w:rsidRDefault="00000000">
      <w:pPr>
        <w:spacing w:after="140"/>
      </w:pPr>
      <w:r>
        <w:t>Australien misst durchgehend metrisch wie Deutschland: Grad Celsius, Kilometer, Kilogramm, Milliliter und Liter gelten ausnahmslos. Für Temperatur, Länge und Gewicht brauchst du in Australien keine einzige Tabelle. Das ist eine echte Erleichterung gegen den USA: Was 22 °C, 5 km oder 2 kg bedeuten, weißt du bereits.</w:t>
      </w:r>
    </w:p>
    <w:p w14:paraId="79DA9A00" w14:textId="77777777" w:rsidR="001F7233" w:rsidRDefault="00000000">
      <w:pPr>
        <w:spacing w:after="140"/>
      </w:pPr>
      <w:r>
        <w:t>Was wirklich abweicht, ist der Stecker: Australien nutzt Typ I (zwei schräg gestellte Flachstifte, oft mit geradem Erdungsstift). Bei Spannung und Frequenz wie in Deutschland.</w:t>
      </w:r>
    </w:p>
    <w:p w14:paraId="5252F679" w14:textId="77777777" w:rsidR="001F7233" w:rsidRDefault="00000000">
      <w:r>
        <w:rPr>
          <w:b/>
        </w:rPr>
        <w:t>Spannung</w:t>
      </w:r>
    </w:p>
    <w:p w14:paraId="53C65F31" w14:textId="77777777" w:rsidR="001F7233" w:rsidRDefault="00000000">
      <w:r>
        <w:rPr>
          <w:b/>
        </w:rPr>
        <w:t xml:space="preserve">Australien: </w:t>
      </w:r>
      <w:r>
        <w:t>230 V</w:t>
      </w:r>
    </w:p>
    <w:p w14:paraId="7C3EAF77" w14:textId="77777777" w:rsidR="001F7233" w:rsidRDefault="00000000">
      <w:r>
        <w:rPr>
          <w:b/>
        </w:rPr>
        <w:t>Frequenz</w:t>
      </w:r>
    </w:p>
    <w:p w14:paraId="0BDE722D" w14:textId="77777777" w:rsidR="001F7233" w:rsidRDefault="00000000">
      <w:r>
        <w:rPr>
          <w:b/>
        </w:rPr>
        <w:t xml:space="preserve">Australien: </w:t>
      </w:r>
      <w:r>
        <w:t>50 Hz</w:t>
      </w:r>
    </w:p>
    <w:p w14:paraId="6FCEEB42" w14:textId="77777777" w:rsidR="001F7233" w:rsidRDefault="00000000">
      <w:r>
        <w:rPr>
          <w:b/>
        </w:rPr>
        <w:t>Steckertyp</w:t>
      </w:r>
    </w:p>
    <w:p w14:paraId="702424AE" w14:textId="77777777" w:rsidR="001F7233" w:rsidRDefault="00000000">
      <w:r>
        <w:rPr>
          <w:b/>
        </w:rPr>
        <w:t xml:space="preserve">Australien: </w:t>
      </w:r>
      <w:r>
        <w:t>Typ I</w:t>
      </w:r>
    </w:p>
    <w:p w14:paraId="35A02205" w14:textId="77777777" w:rsidR="001F7233" w:rsidRDefault="00000000">
      <w:r>
        <w:rPr>
          <w:b/>
        </w:rPr>
        <w:t xml:space="preserve">Deutschland: </w:t>
      </w:r>
      <w:r>
        <w:t>Typ C / Typ F (Schuko)</w:t>
      </w:r>
    </w:p>
    <w:p w14:paraId="5B45E891" w14:textId="77777777" w:rsidR="001F7233" w:rsidRDefault="001F7233">
      <w:pPr>
        <w:spacing w:line="180" w:lineRule="exact"/>
      </w:pPr>
    </w:p>
    <w:p w14:paraId="23F7D8D8" w14:textId="77777777" w:rsidR="001F7233" w:rsidRDefault="00000000">
      <w:pPr>
        <w:spacing w:after="140"/>
      </w:pPr>
      <w:r>
        <w:t>Ein deutsches Gerät läuft an australischem Strom also ohne Spannungswandler; ein einfacher Steckeradapter genügt (ausführlich: Kapitel </w:t>
      </w:r>
      <w:hyperlink w:anchor="k21">
        <w:r w:rsidR="001F7233">
          <w:t>21</w:t>
        </w:r>
      </w:hyperlink>
      <w:r>
        <w:t>).</w:t>
      </w:r>
    </w:p>
    <w:p w14:paraId="7646ABF5" w14:textId="77777777" w:rsidR="001F7233" w:rsidRDefault="00000000">
      <w:pPr>
        <w:spacing w:after="140"/>
      </w:pPr>
      <w:r>
        <w:t>Bei Kleidung und Schuhen hat Australien dagegen ein eigenes System, das weder der deutschen noch der US-Größe entspricht, sondern der britischen ähnelt.</w:t>
      </w:r>
    </w:p>
    <w:p w14:paraId="103FDFE0" w14:textId="77777777" w:rsidR="001F7233" w:rsidRDefault="00000000">
      <w:pPr>
        <w:spacing w:after="140"/>
      </w:pPr>
      <w:r>
        <w:rPr>
          <w:b/>
          <w:bCs/>
        </w:rPr>
        <w:t>Damen</w:t>
      </w:r>
      <w:r>
        <w:t xml:space="preserve"> (Kleidung; AU entspricht der britischen Größe)</w:t>
      </w:r>
    </w:p>
    <w:p w14:paraId="7D7C503D" w14:textId="77777777" w:rsidR="001F7233" w:rsidRDefault="00000000">
      <w:r>
        <w:rPr>
          <w:b/>
        </w:rPr>
        <w:t>8</w:t>
      </w:r>
    </w:p>
    <w:p w14:paraId="251F3962" w14:textId="77777777" w:rsidR="001F7233" w:rsidRDefault="00000000">
      <w:r>
        <w:rPr>
          <w:b/>
        </w:rPr>
        <w:t xml:space="preserve">Deutschland (EU): </w:t>
      </w:r>
      <w:r>
        <w:t>36</w:t>
      </w:r>
    </w:p>
    <w:p w14:paraId="39E93CF1" w14:textId="77777777" w:rsidR="001F7233" w:rsidRDefault="00000000">
      <w:r>
        <w:rPr>
          <w:b/>
        </w:rPr>
        <w:t xml:space="preserve">USA: </w:t>
      </w:r>
      <w:r>
        <w:t>4</w:t>
      </w:r>
    </w:p>
    <w:p w14:paraId="43D3C94F" w14:textId="77777777" w:rsidR="001F7233" w:rsidRDefault="00000000">
      <w:r>
        <w:rPr>
          <w:b/>
        </w:rPr>
        <w:t>10</w:t>
      </w:r>
    </w:p>
    <w:p w14:paraId="2EDEBAC9" w14:textId="77777777" w:rsidR="001F7233" w:rsidRDefault="00000000">
      <w:r>
        <w:rPr>
          <w:b/>
        </w:rPr>
        <w:t xml:space="preserve">Deutschland (EU): </w:t>
      </w:r>
      <w:r>
        <w:t>38</w:t>
      </w:r>
    </w:p>
    <w:p w14:paraId="31B077C1" w14:textId="77777777" w:rsidR="001F7233" w:rsidRDefault="00000000">
      <w:r>
        <w:rPr>
          <w:b/>
        </w:rPr>
        <w:t xml:space="preserve">USA: </w:t>
      </w:r>
      <w:r>
        <w:t>6</w:t>
      </w:r>
    </w:p>
    <w:p w14:paraId="59EEEC92" w14:textId="77777777" w:rsidR="001F7233" w:rsidRDefault="00000000">
      <w:r>
        <w:rPr>
          <w:b/>
        </w:rPr>
        <w:lastRenderedPageBreak/>
        <w:t>12</w:t>
      </w:r>
    </w:p>
    <w:p w14:paraId="3DF6857D" w14:textId="77777777" w:rsidR="001F7233" w:rsidRDefault="00000000">
      <w:r>
        <w:rPr>
          <w:b/>
        </w:rPr>
        <w:t xml:space="preserve">Deutschland (EU): </w:t>
      </w:r>
      <w:r>
        <w:t>40</w:t>
      </w:r>
    </w:p>
    <w:p w14:paraId="356BEE31" w14:textId="77777777" w:rsidR="001F7233" w:rsidRDefault="00000000">
      <w:r>
        <w:rPr>
          <w:b/>
        </w:rPr>
        <w:t xml:space="preserve">USA: </w:t>
      </w:r>
      <w:r>
        <w:t>8</w:t>
      </w:r>
    </w:p>
    <w:p w14:paraId="089DA938" w14:textId="77777777" w:rsidR="001F7233" w:rsidRDefault="00000000">
      <w:r>
        <w:rPr>
          <w:b/>
        </w:rPr>
        <w:t>14</w:t>
      </w:r>
    </w:p>
    <w:p w14:paraId="23716D89" w14:textId="77777777" w:rsidR="001F7233" w:rsidRDefault="00000000">
      <w:r>
        <w:rPr>
          <w:b/>
        </w:rPr>
        <w:t xml:space="preserve">Deutschland (EU): </w:t>
      </w:r>
      <w:r>
        <w:t>42</w:t>
      </w:r>
    </w:p>
    <w:p w14:paraId="5183F058" w14:textId="77777777" w:rsidR="001F7233" w:rsidRDefault="00000000">
      <w:r>
        <w:rPr>
          <w:b/>
        </w:rPr>
        <w:t xml:space="preserve">USA: </w:t>
      </w:r>
      <w:r>
        <w:t>10</w:t>
      </w:r>
    </w:p>
    <w:p w14:paraId="4DA83610" w14:textId="77777777" w:rsidR="001F7233" w:rsidRDefault="00000000">
      <w:r>
        <w:rPr>
          <w:b/>
        </w:rPr>
        <w:t>16</w:t>
      </w:r>
    </w:p>
    <w:p w14:paraId="492ED256" w14:textId="77777777" w:rsidR="001F7233" w:rsidRDefault="00000000">
      <w:r>
        <w:rPr>
          <w:b/>
        </w:rPr>
        <w:t xml:space="preserve">Deutschland (EU): </w:t>
      </w:r>
      <w:r>
        <w:t>44</w:t>
      </w:r>
    </w:p>
    <w:p w14:paraId="244814DF" w14:textId="77777777" w:rsidR="001F7233" w:rsidRDefault="00000000">
      <w:r>
        <w:rPr>
          <w:b/>
        </w:rPr>
        <w:t xml:space="preserve">USA: </w:t>
      </w:r>
      <w:r>
        <w:t>12</w:t>
      </w:r>
    </w:p>
    <w:p w14:paraId="7C556A80" w14:textId="77777777" w:rsidR="001F7233" w:rsidRDefault="001F7233">
      <w:pPr>
        <w:spacing w:line="180" w:lineRule="exact"/>
      </w:pPr>
    </w:p>
    <w:p w14:paraId="73E3B93E" w14:textId="77777777" w:rsidR="001F7233" w:rsidRDefault="00000000">
      <w:pPr>
        <w:spacing w:after="140"/>
      </w:pPr>
      <w:r>
        <w:t>Bei Herrenanzügen und -hemden gelten in Australien dieselben Zoll-Nummern wie in den USA (siehe Tabelle im Abschnitt USA). Die deutsche Entsprechung ist identisch.</w:t>
      </w:r>
    </w:p>
    <w:p w14:paraId="02466C66" w14:textId="77777777" w:rsidR="001F7233" w:rsidRDefault="00000000">
      <w:pPr>
        <w:spacing w:after="140"/>
      </w:pPr>
      <w:r>
        <w:rPr>
          <w:b/>
          <w:bCs/>
        </w:rPr>
        <w:t>Schuhe</w:t>
      </w:r>
      <w:r>
        <w:t xml:space="preserve"> (Damen- und Herrengrößen laufen unterschiedlich zur EU-Skala versetzt)</w:t>
      </w:r>
    </w:p>
    <w:p w14:paraId="62B935AE" w14:textId="77777777" w:rsidR="001F7233" w:rsidRDefault="00000000">
      <w:r>
        <w:rPr>
          <w:b/>
        </w:rPr>
        <w:t>37</w:t>
      </w:r>
    </w:p>
    <w:p w14:paraId="764D4FFE" w14:textId="77777777" w:rsidR="001F7233" w:rsidRDefault="00000000">
      <w:r>
        <w:rPr>
          <w:b/>
        </w:rPr>
        <w:t xml:space="preserve">Damen (AU = US): </w:t>
      </w:r>
      <w:r>
        <w:t>6</w:t>
      </w:r>
    </w:p>
    <w:p w14:paraId="0F02B6D1" w14:textId="77777777" w:rsidR="001F7233" w:rsidRDefault="00000000">
      <w:r>
        <w:rPr>
          <w:b/>
        </w:rPr>
        <w:t xml:space="preserve">Herren AU/UK: </w:t>
      </w:r>
      <w:r>
        <w:t>4</w:t>
      </w:r>
    </w:p>
    <w:p w14:paraId="762C26FF" w14:textId="77777777" w:rsidR="001F7233" w:rsidRDefault="00000000">
      <w:r>
        <w:rPr>
          <w:b/>
        </w:rPr>
        <w:t xml:space="preserve">Herren US: </w:t>
      </w:r>
      <w:r>
        <w:t>5</w:t>
      </w:r>
    </w:p>
    <w:p w14:paraId="16E0F1E3" w14:textId="77777777" w:rsidR="001F7233" w:rsidRDefault="00000000">
      <w:r>
        <w:rPr>
          <w:b/>
        </w:rPr>
        <w:t>38</w:t>
      </w:r>
    </w:p>
    <w:p w14:paraId="4EAC3EA5" w14:textId="77777777" w:rsidR="001F7233" w:rsidRDefault="00000000">
      <w:r>
        <w:rPr>
          <w:b/>
        </w:rPr>
        <w:t xml:space="preserve">Damen (AU = US): </w:t>
      </w:r>
      <w:r>
        <w:t>7</w:t>
      </w:r>
    </w:p>
    <w:p w14:paraId="40EC2E16" w14:textId="77777777" w:rsidR="001F7233" w:rsidRDefault="00000000">
      <w:r>
        <w:rPr>
          <w:b/>
        </w:rPr>
        <w:t xml:space="preserve">Herren AU/UK: </w:t>
      </w:r>
      <w:r>
        <w:t>5</w:t>
      </w:r>
    </w:p>
    <w:p w14:paraId="3FB0DC48" w14:textId="77777777" w:rsidR="001F7233" w:rsidRDefault="00000000">
      <w:r>
        <w:rPr>
          <w:b/>
        </w:rPr>
        <w:t xml:space="preserve">Herren US: </w:t>
      </w:r>
      <w:r>
        <w:t>6</w:t>
      </w:r>
    </w:p>
    <w:p w14:paraId="7EFF8B45" w14:textId="77777777" w:rsidR="001F7233" w:rsidRDefault="00000000">
      <w:r>
        <w:rPr>
          <w:b/>
        </w:rPr>
        <w:t>39</w:t>
      </w:r>
    </w:p>
    <w:p w14:paraId="2C8EE375" w14:textId="77777777" w:rsidR="001F7233" w:rsidRDefault="00000000">
      <w:r>
        <w:rPr>
          <w:b/>
        </w:rPr>
        <w:t xml:space="preserve">Damen (AU = US): </w:t>
      </w:r>
      <w:r>
        <w:t>8</w:t>
      </w:r>
    </w:p>
    <w:p w14:paraId="00B8D00E" w14:textId="77777777" w:rsidR="001F7233" w:rsidRDefault="00000000">
      <w:r>
        <w:rPr>
          <w:b/>
        </w:rPr>
        <w:t xml:space="preserve">Herren AU/UK: </w:t>
      </w:r>
      <w:r>
        <w:t>6</w:t>
      </w:r>
    </w:p>
    <w:p w14:paraId="4D1266AD" w14:textId="77777777" w:rsidR="001F7233" w:rsidRDefault="00000000">
      <w:r>
        <w:rPr>
          <w:b/>
        </w:rPr>
        <w:t xml:space="preserve">Herren US: </w:t>
      </w:r>
      <w:r>
        <w:t>7</w:t>
      </w:r>
    </w:p>
    <w:p w14:paraId="55F9E087" w14:textId="77777777" w:rsidR="001F7233" w:rsidRDefault="00000000">
      <w:r>
        <w:rPr>
          <w:b/>
        </w:rPr>
        <w:t>40</w:t>
      </w:r>
    </w:p>
    <w:p w14:paraId="6E276CA3" w14:textId="77777777" w:rsidR="001F7233" w:rsidRDefault="00000000">
      <w:r>
        <w:rPr>
          <w:b/>
        </w:rPr>
        <w:t xml:space="preserve">Damen (AU = US): </w:t>
      </w:r>
      <w:r>
        <w:t>9</w:t>
      </w:r>
    </w:p>
    <w:p w14:paraId="797FA1FF" w14:textId="77777777" w:rsidR="001F7233" w:rsidRDefault="00000000">
      <w:r>
        <w:rPr>
          <w:b/>
        </w:rPr>
        <w:t xml:space="preserve">Herren AU/UK: </w:t>
      </w:r>
      <w:r>
        <w:t>7</w:t>
      </w:r>
    </w:p>
    <w:p w14:paraId="3076AC59" w14:textId="77777777" w:rsidR="001F7233" w:rsidRDefault="00000000">
      <w:r>
        <w:rPr>
          <w:b/>
        </w:rPr>
        <w:t xml:space="preserve">Herren US: </w:t>
      </w:r>
      <w:r>
        <w:t>8</w:t>
      </w:r>
    </w:p>
    <w:p w14:paraId="53BE9DC9" w14:textId="77777777" w:rsidR="001F7233" w:rsidRDefault="00000000">
      <w:r>
        <w:rPr>
          <w:b/>
        </w:rPr>
        <w:t>41</w:t>
      </w:r>
    </w:p>
    <w:p w14:paraId="52B7FE7C" w14:textId="77777777" w:rsidR="001F7233" w:rsidRDefault="00000000">
      <w:r>
        <w:rPr>
          <w:b/>
        </w:rPr>
        <w:t xml:space="preserve">Damen (AU = US): </w:t>
      </w:r>
      <w:r>
        <w:t>10</w:t>
      </w:r>
    </w:p>
    <w:p w14:paraId="77AACC69" w14:textId="77777777" w:rsidR="001F7233" w:rsidRDefault="00000000">
      <w:r>
        <w:rPr>
          <w:b/>
        </w:rPr>
        <w:t xml:space="preserve">Herren AU/UK: </w:t>
      </w:r>
      <w:r>
        <w:t>8</w:t>
      </w:r>
    </w:p>
    <w:p w14:paraId="6E70D187" w14:textId="77777777" w:rsidR="001F7233" w:rsidRDefault="00000000">
      <w:r>
        <w:rPr>
          <w:b/>
        </w:rPr>
        <w:lastRenderedPageBreak/>
        <w:t xml:space="preserve">Herren US: </w:t>
      </w:r>
      <w:r>
        <w:t>9</w:t>
      </w:r>
    </w:p>
    <w:p w14:paraId="79230BC5" w14:textId="77777777" w:rsidR="001F7233" w:rsidRDefault="00000000">
      <w:r>
        <w:rPr>
          <w:b/>
        </w:rPr>
        <w:t>42</w:t>
      </w:r>
    </w:p>
    <w:p w14:paraId="50877BC7" w14:textId="77777777" w:rsidR="001F7233" w:rsidRDefault="00000000">
      <w:r>
        <w:rPr>
          <w:b/>
        </w:rPr>
        <w:t xml:space="preserve">Damen (AU = US): </w:t>
      </w:r>
      <w:r>
        <w:t>11</w:t>
      </w:r>
    </w:p>
    <w:p w14:paraId="78A45AD4" w14:textId="77777777" w:rsidR="001F7233" w:rsidRDefault="00000000">
      <w:r>
        <w:rPr>
          <w:b/>
        </w:rPr>
        <w:t xml:space="preserve">Herren AU/UK: </w:t>
      </w:r>
      <w:r>
        <w:t>9</w:t>
      </w:r>
    </w:p>
    <w:p w14:paraId="543D798A" w14:textId="77777777" w:rsidR="001F7233" w:rsidRDefault="00000000">
      <w:r>
        <w:rPr>
          <w:b/>
        </w:rPr>
        <w:t xml:space="preserve">Herren US: </w:t>
      </w:r>
      <w:r>
        <w:t>10</w:t>
      </w:r>
    </w:p>
    <w:p w14:paraId="556C8D28" w14:textId="77777777" w:rsidR="001F7233" w:rsidRDefault="00000000">
      <w:r>
        <w:rPr>
          <w:b/>
        </w:rPr>
        <w:t>43</w:t>
      </w:r>
    </w:p>
    <w:p w14:paraId="40701232" w14:textId="77777777" w:rsidR="001F7233" w:rsidRDefault="00000000">
      <w:r>
        <w:rPr>
          <w:b/>
        </w:rPr>
        <w:t xml:space="preserve">Damen (AU = US): </w:t>
      </w:r>
      <w:r>
        <w:t>12</w:t>
      </w:r>
    </w:p>
    <w:p w14:paraId="2676D9C3" w14:textId="77777777" w:rsidR="001F7233" w:rsidRDefault="00000000">
      <w:r>
        <w:rPr>
          <w:b/>
        </w:rPr>
        <w:t xml:space="preserve">Herren AU/UK: </w:t>
      </w:r>
      <w:r>
        <w:t>10</w:t>
      </w:r>
    </w:p>
    <w:p w14:paraId="388CE043" w14:textId="77777777" w:rsidR="001F7233" w:rsidRDefault="00000000">
      <w:r>
        <w:rPr>
          <w:b/>
        </w:rPr>
        <w:t xml:space="preserve">Herren US: </w:t>
      </w:r>
      <w:r>
        <w:t>11</w:t>
      </w:r>
    </w:p>
    <w:p w14:paraId="0F843CB0" w14:textId="77777777" w:rsidR="001F7233" w:rsidRDefault="00000000">
      <w:r>
        <w:rPr>
          <w:b/>
        </w:rPr>
        <w:t>44</w:t>
      </w:r>
    </w:p>
    <w:p w14:paraId="5F18F750" w14:textId="77777777" w:rsidR="001F7233" w:rsidRDefault="00000000">
      <w:r>
        <w:rPr>
          <w:b/>
        </w:rPr>
        <w:t xml:space="preserve">Damen (AU = US): </w:t>
      </w:r>
      <w:r>
        <w:t>13</w:t>
      </w:r>
    </w:p>
    <w:p w14:paraId="5BD4ADEC" w14:textId="77777777" w:rsidR="001F7233" w:rsidRDefault="00000000">
      <w:r>
        <w:rPr>
          <w:b/>
        </w:rPr>
        <w:t xml:space="preserve">Herren AU/UK: </w:t>
      </w:r>
      <w:r>
        <w:t>11</w:t>
      </w:r>
    </w:p>
    <w:p w14:paraId="09212C3A" w14:textId="77777777" w:rsidR="001F7233" w:rsidRDefault="00000000">
      <w:r>
        <w:rPr>
          <w:b/>
        </w:rPr>
        <w:t xml:space="preserve">Herren US: </w:t>
      </w:r>
      <w:r>
        <w:t>12</w:t>
      </w:r>
    </w:p>
    <w:p w14:paraId="58AA595A" w14:textId="77777777" w:rsidR="001F7233" w:rsidRDefault="001F7233">
      <w:pPr>
        <w:spacing w:line="180" w:lineRule="exact"/>
      </w:pPr>
    </w:p>
    <w:p w14:paraId="1A32B8F3" w14:textId="77777777" w:rsidR="001F7233" w:rsidRDefault="00000000">
      <w:pPr>
        <w:spacing w:after="140"/>
      </w:pPr>
      <w:r>
        <w:t>Bei Damenschuhen entspricht die australische Größe der US-Größe, bei Herrenschuhen der britischen. Die US-Größe liegt dort eine Nummer höher. Wie überall gilt: Näherungswerte, im Zweifel nach Fußlänge in Zentimetern kaufen.</w:t>
      </w:r>
    </w:p>
    <w:p w14:paraId="26EE014B" w14:textId="77777777" w:rsidR="001F7233" w:rsidRDefault="00000000">
      <w:pPr>
        <w:spacing w:after="140"/>
      </w:pPr>
      <w:r>
        <w:t>Papierformat und Datum folgen ebenfalls dem deutschen Muster: Australien nutzt A4 als Standardformat (kein Letter oder Legal) und das Datum wird TT/MM/JJJJ geschrieben. Wie in Deutschland, nur mit Schrägstrich statt Punkt (23/09/2026 statt 23.09.2026).</w:t>
      </w:r>
    </w:p>
    <w:p w14:paraId="13B46ADF" w14:textId="77777777" w:rsidR="001F7233" w:rsidRDefault="00000000">
      <w:r>
        <w:rPr>
          <w:b/>
        </w:rPr>
        <w:t xml:space="preserve">MERKE: </w:t>
      </w:r>
    </w:p>
    <w:p w14:paraId="0B74B193" w14:textId="77777777" w:rsidR="001F7233" w:rsidRDefault="00000000">
      <w:r>
        <w:t>• Australien ist beim Messen praktisch ein zweites Deutschland. Die einzige Umstellung, die wirklich zählt, betrifft Stecker und Kleidergröße – nicht Kilo, Meter oder Grad.</w:t>
      </w:r>
    </w:p>
    <w:p w14:paraId="16CD0F99" w14:textId="77777777" w:rsidR="001F7233" w:rsidRDefault="001F7233">
      <w:pPr>
        <w:spacing w:line="220" w:lineRule="exact"/>
      </w:pPr>
    </w:p>
    <w:p w14:paraId="53DC27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3FD47446" w14:textId="77777777" w:rsidR="001F7233" w:rsidRDefault="00000000">
      <w:pPr>
        <w:spacing w:after="140"/>
      </w:pPr>
      <w:r>
        <w:t xml:space="preserve">Neuseeland misst wie Australien vollständig metrisch (Grad Celsius, Kilometer, Kilogramm, Milliliter und Liter) und nutzt denselben Steckertyp I bei 230 V und 50 Hz. Auch Papierformat (A4) und Datumsformat (TT/MM/JJJJ) folgen derselben Logik wie in </w:t>
      </w:r>
      <w:r>
        <w:lastRenderedPageBreak/>
        <w:t>Australien und Deutschland. Ausführliche Tabellen dazu stehen im Abschnitt Australien oben.</w:t>
      </w:r>
    </w:p>
    <w:p w14:paraId="547D6FE1" w14:textId="77777777" w:rsidR="001F7233" w:rsidRDefault="00000000">
      <w:pPr>
        <w:spacing w:after="140"/>
      </w:pPr>
      <w:r>
        <w:t>Bei Kleider- und Schuhgrößen orientiert sich Neuseeland eng an Australien, mit einer Abweichung: Australische Herrenschuhe folgen der britischen Größe. Viele neuseeländische Marken und Händler rechnen inzwischen aber direkt in US-Größen. Ein neuseeländischer Herren-„9“ ist damit oft schon die US-Größe, nicht die eine Nummer kleinere australische. Bei Damenschuhen und bei Kleidung gilt dagegen dieselbe Skala wie in Australien (siehe Tabellen oben).</w:t>
      </w:r>
    </w:p>
    <w:p w14:paraId="6B39EB65" w14:textId="77777777" w:rsidR="001F7233" w:rsidRDefault="00000000">
      <w:r>
        <w:rPr>
          <w:b/>
        </w:rPr>
        <w:t xml:space="preserve">ACHTUNG: </w:t>
      </w:r>
    </w:p>
    <w:p w14:paraId="280867AC" w14:textId="77777777" w:rsidR="001F7233" w:rsidRDefault="00000000">
      <w:r>
        <w:t>• Frag beim Schuhkauf in Neuseeland im Zweifel nach, ob die angegebene Größe „AU“ oder „US“ meint. Beide Systeme sind im Umlauf, und bei Herrenschuhen liegt genau eine Nummer dazwischen.</w:t>
      </w:r>
    </w:p>
    <w:p w14:paraId="657DED33" w14:textId="77777777" w:rsidR="001F7233" w:rsidRDefault="001F7233">
      <w:pPr>
        <w:spacing w:line="220" w:lineRule="exact"/>
      </w:pPr>
    </w:p>
    <w:p w14:paraId="2B01B4D1" w14:textId="77777777" w:rsidR="001F7233" w:rsidRDefault="00000000">
      <w:r>
        <w:t>• Quellen- und Datenstand: September 2026; Redaktionsschluss: Oktober 2026. Physikalische Umrechnungen (Temperatur, Länge, Gewicht, Volumen) sind zeitlos. Kleider- und Schuhgrößen bleiben markenabhängige Näherungswerte; prüfe vor dem Kauf immer die Maßtabelle des Anbieters. Für Kanada gilt bei Stecker und Spannung dieselbe Logik wie für die USA (Typ A/B, 120 V, 60 Hz). Für Australien und Neuseeland der eigene Steckertyp I (230 V, 50 Hz).</w:t>
      </w:r>
    </w:p>
    <w:p w14:paraId="7B826FFE" w14:textId="77777777" w:rsidR="001F7233" w:rsidRDefault="00000000">
      <w:pPr>
        <w:spacing w:line="220" w:lineRule="exact"/>
      </w:pPr>
      <w:r>
        <w:br w:type="page"/>
      </w:r>
    </w:p>
    <w:p w14:paraId="560F5AB5" w14:textId="77777777" w:rsidR="001F7233" w:rsidRDefault="00000000">
      <w:pPr>
        <w:pStyle w:val="Heading2"/>
        <w:keepNext/>
        <w:spacing w:line="341" w:lineRule="auto"/>
        <w:jc w:val="center"/>
      </w:pPr>
      <w:bookmarkStart w:id="151" w:name="anhang_d"/>
      <w:r>
        <w:rPr>
          <w:rFonts w:ascii="Amazon Ember" w:eastAsia="Amazon Ember" w:hAnsi="Amazon Ember" w:cs="Amazon Ember"/>
          <w:color w:val="0000FF"/>
          <w:sz w:val="36"/>
          <w:szCs w:val="36"/>
        </w:rPr>
        <w:lastRenderedPageBreak/>
        <w:t>Anhang D: Formulare und Abkürzungen</w:t>
      </w:r>
      <w:bookmarkEnd w:id="151"/>
    </w:p>
    <w:p w14:paraId="2617C046" w14:textId="77777777" w:rsidR="001F7233" w:rsidRDefault="00000000">
      <w:pPr>
        <w:spacing w:after="140"/>
      </w:pPr>
      <w:r>
        <w:t>Dieses Buch nennt für die vier Zielländer zahlreiche Formularnummern, Behörden und Kürzel, die meist nur einmal im jeweiligen Kapitel erklärt werden. Dieser Anhang sammelt sie an einem Ort, damit du Begriffe rasch nachschlagen kannst, wenn dir ihre Bedeutung im Text nicht mehr präsent ist. Er ersetzt nicht die ausführliche Einordnung im jeweiligen Kapitel oder Länderteil, auf den jede Zeile verweist.</w:t>
      </w:r>
    </w:p>
    <w:p w14:paraId="783814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Formulare</w:t>
      </w:r>
    </w:p>
    <w:p w14:paraId="1A6BA90B" w14:textId="77777777" w:rsidR="001F7233" w:rsidRDefault="00000000">
      <w:r>
        <w:rPr>
          <w:b/>
        </w:rPr>
        <w:t>1040</w:t>
      </w:r>
    </w:p>
    <w:p w14:paraId="2F40CD9C" w14:textId="77777777" w:rsidR="001F7233" w:rsidRDefault="00000000">
      <w:r>
        <w:rPr>
          <w:b/>
        </w:rPr>
        <w:t xml:space="preserve">Zweck: </w:t>
      </w:r>
      <w:r>
        <w:t>Jährliche US-Einkommensteuererklärung für Ansässige</w:t>
      </w:r>
    </w:p>
    <w:p w14:paraId="641C9F81" w14:textId="77777777" w:rsidR="001F7233" w:rsidRDefault="00000000">
      <w:r>
        <w:rPr>
          <w:b/>
        </w:rPr>
        <w:t xml:space="preserve">Behörde: </w:t>
      </w:r>
      <w:r>
        <w:t>IRS</w:t>
      </w:r>
    </w:p>
    <w:p w14:paraId="391FFCCB" w14:textId="77777777" w:rsidR="001F7233" w:rsidRDefault="00000000">
      <w:r>
        <w:rPr>
          <w:b/>
        </w:rPr>
        <w:t xml:space="preserve">Kapitel: </w:t>
      </w:r>
      <w:r>
        <w:t>28</w:t>
      </w:r>
    </w:p>
    <w:p w14:paraId="1B31C4ED" w14:textId="77777777" w:rsidR="001F7233" w:rsidRDefault="00000000">
      <w:r>
        <w:rPr>
          <w:b/>
        </w:rPr>
        <w:t>1040-NR</w:t>
      </w:r>
    </w:p>
    <w:p w14:paraId="5F5C6F05" w14:textId="77777777" w:rsidR="001F7233" w:rsidRDefault="00000000">
      <w:r>
        <w:rPr>
          <w:b/>
        </w:rPr>
        <w:t xml:space="preserve">Zweck: </w:t>
      </w:r>
      <w:r>
        <w:t>US-Steuererklärung für nicht ansässige Ausländer</w:t>
      </w:r>
    </w:p>
    <w:p w14:paraId="781BF21F" w14:textId="77777777" w:rsidR="001F7233" w:rsidRDefault="00000000">
      <w:r>
        <w:rPr>
          <w:b/>
        </w:rPr>
        <w:t xml:space="preserve">Behörde: </w:t>
      </w:r>
      <w:r>
        <w:t>IRS</w:t>
      </w:r>
    </w:p>
    <w:p w14:paraId="63249143" w14:textId="77777777" w:rsidR="001F7233" w:rsidRDefault="00000000">
      <w:r>
        <w:rPr>
          <w:b/>
        </w:rPr>
        <w:t xml:space="preserve">Kapitel: </w:t>
      </w:r>
      <w:r>
        <w:t>8, 28</w:t>
      </w:r>
    </w:p>
    <w:p w14:paraId="0CE596E0" w14:textId="77777777" w:rsidR="001F7233" w:rsidRDefault="00000000">
      <w:r>
        <w:rPr>
          <w:b/>
        </w:rPr>
        <w:t>3520</w:t>
      </w:r>
    </w:p>
    <w:p w14:paraId="5ED9D98D" w14:textId="77777777" w:rsidR="001F7233" w:rsidRDefault="00000000">
      <w:r>
        <w:rPr>
          <w:b/>
        </w:rPr>
        <w:t xml:space="preserve">Zweck: </w:t>
      </w:r>
      <w:r>
        <w:t>Meldung ausländischer Schenkungen, Erbschaften und Trusts</w:t>
      </w:r>
    </w:p>
    <w:p w14:paraId="667BEFAE" w14:textId="77777777" w:rsidR="001F7233" w:rsidRDefault="00000000">
      <w:r>
        <w:rPr>
          <w:b/>
        </w:rPr>
        <w:t xml:space="preserve">Behörde: </w:t>
      </w:r>
      <w:r>
        <w:t>IRS</w:t>
      </w:r>
    </w:p>
    <w:p w14:paraId="3BA6D0E9" w14:textId="77777777" w:rsidR="001F7233" w:rsidRDefault="00000000">
      <w:r>
        <w:rPr>
          <w:b/>
        </w:rPr>
        <w:t xml:space="preserve">Kapitel: </w:t>
      </w:r>
      <w:r>
        <w:t>27, 28, 39</w:t>
      </w:r>
    </w:p>
    <w:p w14:paraId="09A9474D" w14:textId="77777777" w:rsidR="001F7233" w:rsidRDefault="00000000">
      <w:r>
        <w:rPr>
          <w:b/>
        </w:rPr>
        <w:t>8621</w:t>
      </w:r>
    </w:p>
    <w:p w14:paraId="3E21017B" w14:textId="77777777" w:rsidR="001F7233" w:rsidRDefault="00000000">
      <w:r>
        <w:rPr>
          <w:b/>
        </w:rPr>
        <w:t xml:space="preserve">Zweck: </w:t>
      </w:r>
      <w:r>
        <w:t>Meldung von Anteilen an PFIC-Fonds</w:t>
      </w:r>
    </w:p>
    <w:p w14:paraId="1342A17B" w14:textId="77777777" w:rsidR="001F7233" w:rsidRDefault="00000000">
      <w:r>
        <w:rPr>
          <w:b/>
        </w:rPr>
        <w:t xml:space="preserve">Behörde: </w:t>
      </w:r>
      <w:r>
        <w:t>IRS</w:t>
      </w:r>
    </w:p>
    <w:p w14:paraId="7E399E55" w14:textId="77777777" w:rsidR="001F7233" w:rsidRDefault="00000000">
      <w:r>
        <w:rPr>
          <w:b/>
        </w:rPr>
        <w:t xml:space="preserve">Kapitel: </w:t>
      </w:r>
      <w:r>
        <w:t>17, 28, 39</w:t>
      </w:r>
    </w:p>
    <w:p w14:paraId="037C1AFE" w14:textId="77777777" w:rsidR="001F7233" w:rsidRDefault="00000000">
      <w:r>
        <w:rPr>
          <w:b/>
        </w:rPr>
        <w:t>8843</w:t>
      </w:r>
    </w:p>
    <w:p w14:paraId="4B243C58" w14:textId="77777777" w:rsidR="001F7233" w:rsidRDefault="00000000">
      <w:r>
        <w:rPr>
          <w:b/>
        </w:rPr>
        <w:t xml:space="preserve">Zweck: </w:t>
      </w:r>
      <w:r>
        <w:t>Befreiungserklärung für Studierende und Austauschgäste</w:t>
      </w:r>
    </w:p>
    <w:p w14:paraId="482BCD0A" w14:textId="77777777" w:rsidR="001F7233" w:rsidRDefault="00000000">
      <w:r>
        <w:rPr>
          <w:b/>
        </w:rPr>
        <w:t xml:space="preserve">Behörde: </w:t>
      </w:r>
      <w:r>
        <w:t>IRS</w:t>
      </w:r>
    </w:p>
    <w:p w14:paraId="5365E700" w14:textId="77777777" w:rsidR="001F7233" w:rsidRDefault="00000000">
      <w:r>
        <w:rPr>
          <w:b/>
        </w:rPr>
        <w:lastRenderedPageBreak/>
        <w:t xml:space="preserve">Kapitel: </w:t>
      </w:r>
      <w:r>
        <w:t>8, 28</w:t>
      </w:r>
    </w:p>
    <w:p w14:paraId="075BDA33" w14:textId="77777777" w:rsidR="001F7233" w:rsidRDefault="00000000">
      <w:r>
        <w:rPr>
          <w:b/>
        </w:rPr>
        <w:t>8938</w:t>
      </w:r>
    </w:p>
    <w:p w14:paraId="69CE78EB" w14:textId="77777777" w:rsidR="001F7233" w:rsidRDefault="00000000">
      <w:r>
        <w:rPr>
          <w:b/>
        </w:rPr>
        <w:t xml:space="preserve">Zweck: </w:t>
      </w:r>
      <w:r>
        <w:t>FATCA-Meldung ausländischer Konten und Depots</w:t>
      </w:r>
    </w:p>
    <w:p w14:paraId="3101B786" w14:textId="77777777" w:rsidR="001F7233" w:rsidRDefault="00000000">
      <w:r>
        <w:rPr>
          <w:b/>
        </w:rPr>
        <w:t xml:space="preserve">Behörde: </w:t>
      </w:r>
      <w:r>
        <w:t>IRS</w:t>
      </w:r>
    </w:p>
    <w:p w14:paraId="29EA5597" w14:textId="77777777" w:rsidR="001F7233" w:rsidRDefault="00000000">
      <w:r>
        <w:rPr>
          <w:b/>
        </w:rPr>
        <w:t xml:space="preserve">Kapitel: </w:t>
      </w:r>
      <w:r>
        <w:t>1–2, 6, 17, 28, 39, 41–42</w:t>
      </w:r>
    </w:p>
    <w:p w14:paraId="1DE24764" w14:textId="77777777" w:rsidR="001F7233" w:rsidRDefault="00000000">
      <w:r>
        <w:rPr>
          <w:b/>
        </w:rPr>
        <w:t>AR-11</w:t>
      </w:r>
    </w:p>
    <w:p w14:paraId="0CD99063" w14:textId="77777777" w:rsidR="001F7233" w:rsidRDefault="00000000">
      <w:r>
        <w:rPr>
          <w:b/>
        </w:rPr>
        <w:t xml:space="preserve">Zweck: </w:t>
      </w:r>
      <w:r>
        <w:t>Meldung der neuen Adresse an die USCIS</w:t>
      </w:r>
    </w:p>
    <w:p w14:paraId="1184DD44" w14:textId="77777777" w:rsidR="001F7233" w:rsidRDefault="00000000">
      <w:r>
        <w:rPr>
          <w:b/>
        </w:rPr>
        <w:t xml:space="preserve">Behörde: </w:t>
      </w:r>
      <w:r>
        <w:t>USCIS</w:t>
      </w:r>
    </w:p>
    <w:p w14:paraId="31292F21" w14:textId="77777777" w:rsidR="001F7233" w:rsidRDefault="00000000">
      <w:r>
        <w:rPr>
          <w:b/>
        </w:rPr>
        <w:t xml:space="preserve">Kapitel: </w:t>
      </w:r>
      <w:r>
        <w:t>5–7, 23, 30–31, 40–41</w:t>
      </w:r>
    </w:p>
    <w:p w14:paraId="1401CC06" w14:textId="77777777" w:rsidR="001F7233" w:rsidRDefault="00000000">
      <w:r>
        <w:rPr>
          <w:b/>
        </w:rPr>
        <w:t>DS-160</w:t>
      </w:r>
    </w:p>
    <w:p w14:paraId="23FCBD26" w14:textId="77777777" w:rsidR="001F7233" w:rsidRDefault="00000000">
      <w:r>
        <w:rPr>
          <w:b/>
        </w:rPr>
        <w:t xml:space="preserve">Zweck: </w:t>
      </w:r>
      <w:r>
        <w:t>Online-Antrag für ein Nichteinwanderungsvisum</w:t>
      </w:r>
    </w:p>
    <w:p w14:paraId="31F132C6" w14:textId="77777777" w:rsidR="001F7233" w:rsidRDefault="00000000">
      <w:r>
        <w:rPr>
          <w:b/>
        </w:rPr>
        <w:t xml:space="preserve">Behörde: </w:t>
      </w:r>
      <w:r>
        <w:t>DOS</w:t>
      </w:r>
    </w:p>
    <w:p w14:paraId="0D3592DA" w14:textId="77777777" w:rsidR="001F7233" w:rsidRDefault="00000000">
      <w:r>
        <w:rPr>
          <w:b/>
        </w:rPr>
        <w:t xml:space="preserve">Kapitel: </w:t>
      </w:r>
      <w:r>
        <w:t>5, 8, 10–11, 15, 19</w:t>
      </w:r>
    </w:p>
    <w:p w14:paraId="5B4F5C28" w14:textId="77777777" w:rsidR="001F7233" w:rsidRDefault="00000000">
      <w:r>
        <w:rPr>
          <w:b/>
        </w:rPr>
        <w:t>DS-260</w:t>
      </w:r>
    </w:p>
    <w:p w14:paraId="0E8F55C2" w14:textId="77777777" w:rsidR="001F7233" w:rsidRDefault="00000000">
      <w:r>
        <w:rPr>
          <w:b/>
        </w:rPr>
        <w:t xml:space="preserve">Zweck: </w:t>
      </w:r>
      <w:r>
        <w:t>Online-Antrag für ein Einwanderungsvisum</w:t>
      </w:r>
    </w:p>
    <w:p w14:paraId="2BD9A42E" w14:textId="77777777" w:rsidR="001F7233" w:rsidRDefault="00000000">
      <w:r>
        <w:rPr>
          <w:b/>
        </w:rPr>
        <w:t xml:space="preserve">Behörde: </w:t>
      </w:r>
      <w:r>
        <w:t>DOS</w:t>
      </w:r>
    </w:p>
    <w:p w14:paraId="577C5519" w14:textId="77777777" w:rsidR="001F7233" w:rsidRDefault="00000000">
      <w:r>
        <w:rPr>
          <w:b/>
        </w:rPr>
        <w:t xml:space="preserve">Kapitel: </w:t>
      </w:r>
      <w:r>
        <w:t>6, 24</w:t>
      </w:r>
    </w:p>
    <w:p w14:paraId="57D9787F" w14:textId="77777777" w:rsidR="001F7233" w:rsidRDefault="00000000">
      <w:r>
        <w:rPr>
          <w:b/>
        </w:rPr>
        <w:t>G-1055</w:t>
      </w:r>
    </w:p>
    <w:p w14:paraId="4CF086DD" w14:textId="77777777" w:rsidR="001F7233" w:rsidRDefault="00000000">
      <w:r>
        <w:rPr>
          <w:b/>
        </w:rPr>
        <w:t xml:space="preserve">Zweck: </w:t>
      </w:r>
      <w:r>
        <w:t>Aktuelle Übersicht aller USCIS-Gebühren</w:t>
      </w:r>
    </w:p>
    <w:p w14:paraId="4272A740" w14:textId="77777777" w:rsidR="001F7233" w:rsidRDefault="00000000">
      <w:r>
        <w:rPr>
          <w:b/>
        </w:rPr>
        <w:t xml:space="preserve">Behörde: </w:t>
      </w:r>
      <w:r>
        <w:t>USCIS</w:t>
      </w:r>
    </w:p>
    <w:p w14:paraId="4387095B" w14:textId="77777777" w:rsidR="001F7233" w:rsidRDefault="00000000">
      <w:r>
        <w:rPr>
          <w:b/>
        </w:rPr>
        <w:t xml:space="preserve">Kapitel: </w:t>
      </w:r>
      <w:r>
        <w:t>5–7, 9–11, 30, 41</w:t>
      </w:r>
    </w:p>
    <w:p w14:paraId="2E7ED05C" w14:textId="77777777" w:rsidR="001F7233" w:rsidRDefault="00000000">
      <w:r>
        <w:rPr>
          <w:b/>
        </w:rPr>
        <w:t>I-9</w:t>
      </w:r>
    </w:p>
    <w:p w14:paraId="520C2D44" w14:textId="77777777" w:rsidR="001F7233" w:rsidRDefault="00000000">
      <w:r>
        <w:rPr>
          <w:b/>
        </w:rPr>
        <w:t xml:space="preserve">Zweck: </w:t>
      </w:r>
      <w:r>
        <w:t>Nachweis der Arbeitsberechtigung beim Arbeitgeber</w:t>
      </w:r>
    </w:p>
    <w:p w14:paraId="38316D5C" w14:textId="77777777" w:rsidR="001F7233" w:rsidRDefault="00000000">
      <w:r>
        <w:rPr>
          <w:b/>
        </w:rPr>
        <w:t xml:space="preserve">Behörde: </w:t>
      </w:r>
      <w:r>
        <w:t>USCIS</w:t>
      </w:r>
    </w:p>
    <w:p w14:paraId="5B3D2C3A" w14:textId="77777777" w:rsidR="001F7233" w:rsidRDefault="00000000">
      <w:r>
        <w:rPr>
          <w:b/>
        </w:rPr>
        <w:t xml:space="preserve">Kapitel: </w:t>
      </w:r>
      <w:r>
        <w:t>23–24, 29, 38, 40</w:t>
      </w:r>
    </w:p>
    <w:p w14:paraId="54D683B0" w14:textId="77777777" w:rsidR="001F7233" w:rsidRDefault="00000000">
      <w:r>
        <w:rPr>
          <w:b/>
        </w:rPr>
        <w:t>I-90</w:t>
      </w:r>
    </w:p>
    <w:p w14:paraId="4486CFE1" w14:textId="77777777" w:rsidR="001F7233" w:rsidRDefault="00000000">
      <w:r>
        <w:rPr>
          <w:b/>
        </w:rPr>
        <w:t xml:space="preserve">Zweck: </w:t>
      </w:r>
      <w:r>
        <w:t>Ersatz oder Verlängerung der Green-Card-Karte</w:t>
      </w:r>
    </w:p>
    <w:p w14:paraId="02E1B585" w14:textId="77777777" w:rsidR="001F7233" w:rsidRDefault="00000000">
      <w:r>
        <w:rPr>
          <w:b/>
        </w:rPr>
        <w:t xml:space="preserve">Behörde: </w:t>
      </w:r>
      <w:r>
        <w:t>USCIS</w:t>
      </w:r>
    </w:p>
    <w:p w14:paraId="27FD6D6F" w14:textId="77777777" w:rsidR="001F7233" w:rsidRDefault="00000000">
      <w:r>
        <w:rPr>
          <w:b/>
        </w:rPr>
        <w:t xml:space="preserve">Kapitel: </w:t>
      </w:r>
      <w:r>
        <w:t>6–7, 41</w:t>
      </w:r>
    </w:p>
    <w:p w14:paraId="405C050E" w14:textId="77777777" w:rsidR="001F7233" w:rsidRDefault="00000000">
      <w:r>
        <w:rPr>
          <w:b/>
        </w:rPr>
        <w:t>I-94</w:t>
      </w:r>
    </w:p>
    <w:p w14:paraId="253AD0BD" w14:textId="77777777" w:rsidR="001F7233" w:rsidRDefault="00000000">
      <w:r>
        <w:rPr>
          <w:b/>
        </w:rPr>
        <w:t xml:space="preserve">Zweck: </w:t>
      </w:r>
      <w:r>
        <w:t>Elektronischer Nachweis von Einreise und Aufenthaltsstatus</w:t>
      </w:r>
    </w:p>
    <w:p w14:paraId="5C66B6A7" w14:textId="77777777" w:rsidR="001F7233" w:rsidRDefault="00000000">
      <w:r>
        <w:rPr>
          <w:b/>
        </w:rPr>
        <w:t xml:space="preserve">Behörde: </w:t>
      </w:r>
      <w:r>
        <w:t>CBP</w:t>
      </w:r>
    </w:p>
    <w:p w14:paraId="6B7A1642" w14:textId="77777777" w:rsidR="001F7233" w:rsidRDefault="00000000">
      <w:r>
        <w:rPr>
          <w:b/>
        </w:rPr>
        <w:t xml:space="preserve">Kapitel: </w:t>
      </w:r>
      <w:r>
        <w:t>4–5, 7–11, 13, 20, 23–25, 27, 30, 40</w:t>
      </w:r>
    </w:p>
    <w:p w14:paraId="45B4C9E7" w14:textId="77777777" w:rsidR="001F7233" w:rsidRDefault="00000000">
      <w:r>
        <w:rPr>
          <w:b/>
        </w:rPr>
        <w:t>I-129</w:t>
      </w:r>
    </w:p>
    <w:p w14:paraId="43B27A5C" w14:textId="77777777" w:rsidR="001F7233" w:rsidRDefault="00000000">
      <w:r>
        <w:rPr>
          <w:b/>
        </w:rPr>
        <w:lastRenderedPageBreak/>
        <w:t xml:space="preserve">Zweck: </w:t>
      </w:r>
      <w:r>
        <w:t>Arbeitgeberpetition für Nichteinwanderungs-Arbeitsvisa wie H-1B</w:t>
      </w:r>
    </w:p>
    <w:p w14:paraId="310CF44A" w14:textId="77777777" w:rsidR="001F7233" w:rsidRDefault="00000000">
      <w:r>
        <w:rPr>
          <w:b/>
        </w:rPr>
        <w:t xml:space="preserve">Behörde: </w:t>
      </w:r>
      <w:r>
        <w:t>USCIS</w:t>
      </w:r>
    </w:p>
    <w:p w14:paraId="59047EB1" w14:textId="77777777" w:rsidR="001F7233" w:rsidRDefault="00000000">
      <w:r>
        <w:rPr>
          <w:b/>
        </w:rPr>
        <w:t xml:space="preserve">Kapitel: </w:t>
      </w:r>
      <w:r>
        <w:t>5, 8–9, 11, 30</w:t>
      </w:r>
    </w:p>
    <w:p w14:paraId="1C7D34E7" w14:textId="77777777" w:rsidR="001F7233" w:rsidRDefault="00000000">
      <w:r>
        <w:rPr>
          <w:b/>
        </w:rPr>
        <w:t>I-129F</w:t>
      </w:r>
    </w:p>
    <w:p w14:paraId="0A634B47" w14:textId="77777777" w:rsidR="001F7233" w:rsidRDefault="00000000">
      <w:r>
        <w:rPr>
          <w:b/>
        </w:rPr>
        <w:t xml:space="preserve">Zweck: </w:t>
      </w:r>
      <w:r>
        <w:t>Antrag auf ein Verlobtenvisum (K-1)</w:t>
      </w:r>
    </w:p>
    <w:p w14:paraId="1E4B8F9A" w14:textId="77777777" w:rsidR="001F7233" w:rsidRDefault="00000000">
      <w:r>
        <w:rPr>
          <w:b/>
        </w:rPr>
        <w:t xml:space="preserve">Behörde: </w:t>
      </w:r>
      <w:r>
        <w:t>USCIS</w:t>
      </w:r>
    </w:p>
    <w:p w14:paraId="53D0D23F" w14:textId="77777777" w:rsidR="001F7233" w:rsidRDefault="00000000">
      <w:r>
        <w:rPr>
          <w:b/>
        </w:rPr>
        <w:t xml:space="preserve">Kapitel: </w:t>
      </w:r>
      <w:r>
        <w:t>9</w:t>
      </w:r>
    </w:p>
    <w:p w14:paraId="0D1EA9C9" w14:textId="77777777" w:rsidR="001F7233" w:rsidRDefault="00000000">
      <w:r>
        <w:rPr>
          <w:b/>
        </w:rPr>
        <w:t>I-129S</w:t>
      </w:r>
    </w:p>
    <w:p w14:paraId="6C6430E6" w14:textId="77777777" w:rsidR="001F7233" w:rsidRDefault="00000000">
      <w:r>
        <w:rPr>
          <w:b/>
        </w:rPr>
        <w:t xml:space="preserve">Zweck: </w:t>
      </w:r>
      <w:r>
        <w:t>Zusatzantrag zur konzerninternen Blanket-L-1-Petition</w:t>
      </w:r>
    </w:p>
    <w:p w14:paraId="5AB4E030" w14:textId="77777777" w:rsidR="001F7233" w:rsidRDefault="00000000">
      <w:r>
        <w:rPr>
          <w:b/>
        </w:rPr>
        <w:t xml:space="preserve">Behörde: </w:t>
      </w:r>
      <w:r>
        <w:t>USCIS</w:t>
      </w:r>
    </w:p>
    <w:p w14:paraId="68097C5C" w14:textId="77777777" w:rsidR="001F7233" w:rsidRDefault="00000000">
      <w:r>
        <w:rPr>
          <w:b/>
        </w:rPr>
        <w:t xml:space="preserve">Kapitel: </w:t>
      </w:r>
      <w:r>
        <w:t>9</w:t>
      </w:r>
    </w:p>
    <w:p w14:paraId="4EF4B6FA" w14:textId="77777777" w:rsidR="001F7233" w:rsidRDefault="00000000">
      <w:r>
        <w:rPr>
          <w:b/>
        </w:rPr>
        <w:t>I-130</w:t>
      </w:r>
    </w:p>
    <w:p w14:paraId="1D1C81B2" w14:textId="77777777" w:rsidR="001F7233" w:rsidRDefault="00000000">
      <w:r>
        <w:rPr>
          <w:b/>
        </w:rPr>
        <w:t xml:space="preserve">Zweck: </w:t>
      </w:r>
      <w:r>
        <w:t>Petition für Familienangehörige zur Green Card</w:t>
      </w:r>
    </w:p>
    <w:p w14:paraId="69A83A37" w14:textId="77777777" w:rsidR="001F7233" w:rsidRDefault="00000000">
      <w:r>
        <w:rPr>
          <w:b/>
        </w:rPr>
        <w:t xml:space="preserve">Behörde: </w:t>
      </w:r>
      <w:r>
        <w:t>USCIS</w:t>
      </w:r>
    </w:p>
    <w:p w14:paraId="75CE44CA" w14:textId="77777777" w:rsidR="001F7233" w:rsidRDefault="00000000">
      <w:r>
        <w:rPr>
          <w:b/>
        </w:rPr>
        <w:t xml:space="preserve">Kapitel: </w:t>
      </w:r>
      <w:r>
        <w:t>6, 9</w:t>
      </w:r>
    </w:p>
    <w:p w14:paraId="05320068" w14:textId="77777777" w:rsidR="001F7233" w:rsidRDefault="00000000">
      <w:r>
        <w:rPr>
          <w:b/>
        </w:rPr>
        <w:t>I-131</w:t>
      </w:r>
    </w:p>
    <w:p w14:paraId="6A46558B" w14:textId="77777777" w:rsidR="001F7233" w:rsidRDefault="00000000">
      <w:r>
        <w:rPr>
          <w:b/>
        </w:rPr>
        <w:t xml:space="preserve">Zweck: </w:t>
      </w:r>
      <w:r>
        <w:t>Reisedokument: Advance Parole oder Wiedereinreiseerlaubnis</w:t>
      </w:r>
    </w:p>
    <w:p w14:paraId="274CA571" w14:textId="77777777" w:rsidR="001F7233" w:rsidRDefault="00000000">
      <w:r>
        <w:rPr>
          <w:b/>
        </w:rPr>
        <w:t xml:space="preserve">Behörde: </w:t>
      </w:r>
      <w:r>
        <w:t>USCIS</w:t>
      </w:r>
    </w:p>
    <w:p w14:paraId="4273A1C3" w14:textId="77777777" w:rsidR="001F7233" w:rsidRDefault="00000000">
      <w:r>
        <w:rPr>
          <w:b/>
        </w:rPr>
        <w:t xml:space="preserve">Kapitel: </w:t>
      </w:r>
      <w:r>
        <w:t>6, 42</w:t>
      </w:r>
    </w:p>
    <w:p w14:paraId="69119B24" w14:textId="77777777" w:rsidR="001F7233" w:rsidRDefault="00000000">
      <w:r>
        <w:rPr>
          <w:b/>
        </w:rPr>
        <w:t>I-140</w:t>
      </w:r>
    </w:p>
    <w:p w14:paraId="6379A418" w14:textId="77777777" w:rsidR="001F7233" w:rsidRDefault="00000000">
      <w:r>
        <w:rPr>
          <w:b/>
        </w:rPr>
        <w:t xml:space="preserve">Zweck: </w:t>
      </w:r>
      <w:r>
        <w:t>Arbeitgeberpetition für die Green Card (Arbeitsmigration)</w:t>
      </w:r>
    </w:p>
    <w:p w14:paraId="4C991BC3" w14:textId="77777777" w:rsidR="001F7233" w:rsidRDefault="00000000">
      <w:r>
        <w:rPr>
          <w:b/>
        </w:rPr>
        <w:t xml:space="preserve">Behörde: </w:t>
      </w:r>
      <w:r>
        <w:t>USCIS</w:t>
      </w:r>
    </w:p>
    <w:p w14:paraId="28CAE906" w14:textId="77777777" w:rsidR="001F7233" w:rsidRDefault="00000000">
      <w:r>
        <w:rPr>
          <w:b/>
        </w:rPr>
        <w:t xml:space="preserve">Kapitel: </w:t>
      </w:r>
      <w:r>
        <w:t>2–8, 10, 30</w:t>
      </w:r>
    </w:p>
    <w:p w14:paraId="0B5A5536" w14:textId="77777777" w:rsidR="001F7233" w:rsidRDefault="00000000">
      <w:r>
        <w:rPr>
          <w:b/>
        </w:rPr>
        <w:t>I-407</w:t>
      </w:r>
    </w:p>
    <w:p w14:paraId="2383BDC7" w14:textId="77777777" w:rsidR="001F7233" w:rsidRDefault="00000000">
      <w:r>
        <w:rPr>
          <w:b/>
        </w:rPr>
        <w:t xml:space="preserve">Zweck: </w:t>
      </w:r>
      <w:r>
        <w:t>Freiwillige Aufgabe der Green Card</w:t>
      </w:r>
    </w:p>
    <w:p w14:paraId="101447DF" w14:textId="77777777" w:rsidR="001F7233" w:rsidRDefault="00000000">
      <w:r>
        <w:rPr>
          <w:b/>
        </w:rPr>
        <w:t xml:space="preserve">Behörde: </w:t>
      </w:r>
      <w:r>
        <w:t>USCIS/CBP</w:t>
      </w:r>
    </w:p>
    <w:p w14:paraId="751601E9" w14:textId="77777777" w:rsidR="001F7233" w:rsidRDefault="00000000">
      <w:r>
        <w:rPr>
          <w:b/>
        </w:rPr>
        <w:t xml:space="preserve">Kapitel: </w:t>
      </w:r>
      <w:r>
        <w:t>6–7, 40–42</w:t>
      </w:r>
    </w:p>
    <w:p w14:paraId="685447EB" w14:textId="77777777" w:rsidR="001F7233" w:rsidRDefault="00000000">
      <w:r>
        <w:rPr>
          <w:b/>
        </w:rPr>
        <w:t>I-485</w:t>
      </w:r>
    </w:p>
    <w:p w14:paraId="04580161" w14:textId="77777777" w:rsidR="001F7233" w:rsidRDefault="00000000">
      <w:r>
        <w:rPr>
          <w:b/>
        </w:rPr>
        <w:t xml:space="preserve">Zweck: </w:t>
      </w:r>
      <w:r>
        <w:t>Antrag auf Green Card im Inland (Statusanpassung)</w:t>
      </w:r>
    </w:p>
    <w:p w14:paraId="3F399525" w14:textId="77777777" w:rsidR="001F7233" w:rsidRDefault="00000000">
      <w:r>
        <w:rPr>
          <w:b/>
        </w:rPr>
        <w:t xml:space="preserve">Behörde: </w:t>
      </w:r>
      <w:r>
        <w:t>USCIS</w:t>
      </w:r>
    </w:p>
    <w:p w14:paraId="1F1B7B0B" w14:textId="77777777" w:rsidR="001F7233" w:rsidRDefault="00000000">
      <w:r>
        <w:rPr>
          <w:b/>
        </w:rPr>
        <w:t xml:space="preserve">Kapitel: </w:t>
      </w:r>
      <w:r>
        <w:t>3–10, 19, 24, 30</w:t>
      </w:r>
    </w:p>
    <w:p w14:paraId="7C4C1D39" w14:textId="77777777" w:rsidR="001F7233" w:rsidRDefault="00000000">
      <w:r>
        <w:rPr>
          <w:b/>
        </w:rPr>
        <w:t>I-526E</w:t>
      </w:r>
    </w:p>
    <w:p w14:paraId="0F0A17CF" w14:textId="77777777" w:rsidR="001F7233" w:rsidRDefault="00000000">
      <w:r>
        <w:rPr>
          <w:b/>
        </w:rPr>
        <w:lastRenderedPageBreak/>
        <w:t xml:space="preserve">Zweck: </w:t>
      </w:r>
      <w:r>
        <w:t>Investorenpetition für die EB-5-Green-Card (Regional Center)</w:t>
      </w:r>
    </w:p>
    <w:p w14:paraId="11401CAB" w14:textId="77777777" w:rsidR="001F7233" w:rsidRDefault="00000000">
      <w:r>
        <w:rPr>
          <w:b/>
        </w:rPr>
        <w:t xml:space="preserve">Behörde: </w:t>
      </w:r>
      <w:r>
        <w:t>USCIS</w:t>
      </w:r>
    </w:p>
    <w:p w14:paraId="63989600" w14:textId="77777777" w:rsidR="001F7233" w:rsidRDefault="00000000">
      <w:r>
        <w:rPr>
          <w:b/>
        </w:rPr>
        <w:t xml:space="preserve">Kapitel: </w:t>
      </w:r>
      <w:r>
        <w:t>9</w:t>
      </w:r>
    </w:p>
    <w:p w14:paraId="6FBF5B95" w14:textId="77777777" w:rsidR="001F7233" w:rsidRDefault="00000000">
      <w:r>
        <w:rPr>
          <w:b/>
        </w:rPr>
        <w:t>I-539</w:t>
      </w:r>
    </w:p>
    <w:p w14:paraId="1B295E50" w14:textId="77777777" w:rsidR="001F7233" w:rsidRDefault="00000000">
      <w:r>
        <w:rPr>
          <w:b/>
        </w:rPr>
        <w:t xml:space="preserve">Zweck: </w:t>
      </w:r>
      <w:r>
        <w:t>Verlängerung oder Wechsel des Nichteinwanderungsstatus</w:t>
      </w:r>
    </w:p>
    <w:p w14:paraId="1D13EE38" w14:textId="77777777" w:rsidR="001F7233" w:rsidRDefault="00000000">
      <w:r>
        <w:rPr>
          <w:b/>
        </w:rPr>
        <w:t xml:space="preserve">Behörde: </w:t>
      </w:r>
      <w:r>
        <w:t>USCIS</w:t>
      </w:r>
    </w:p>
    <w:p w14:paraId="20A694F1" w14:textId="77777777" w:rsidR="001F7233" w:rsidRDefault="00000000">
      <w:r>
        <w:rPr>
          <w:b/>
        </w:rPr>
        <w:t xml:space="preserve">Kapitel: </w:t>
      </w:r>
      <w:r>
        <w:t>5, 8, 10</w:t>
      </w:r>
    </w:p>
    <w:p w14:paraId="31AC96AD" w14:textId="77777777" w:rsidR="001F7233" w:rsidRDefault="00000000">
      <w:r>
        <w:rPr>
          <w:b/>
        </w:rPr>
        <w:t>I-693</w:t>
      </w:r>
    </w:p>
    <w:p w14:paraId="451D3C5F" w14:textId="77777777" w:rsidR="001F7233" w:rsidRDefault="00000000">
      <w:r>
        <w:rPr>
          <w:b/>
        </w:rPr>
        <w:t xml:space="preserve">Zweck: </w:t>
      </w:r>
      <w:r>
        <w:t>Ärztliche Untersuchung und Impfnachweis für die Green Card</w:t>
      </w:r>
    </w:p>
    <w:p w14:paraId="0DA1D3F8" w14:textId="77777777" w:rsidR="001F7233" w:rsidRDefault="00000000">
      <w:r>
        <w:rPr>
          <w:b/>
        </w:rPr>
        <w:t xml:space="preserve">Behörde: </w:t>
      </w:r>
      <w:r>
        <w:t>USCIS</w:t>
      </w:r>
    </w:p>
    <w:p w14:paraId="144D8133" w14:textId="77777777" w:rsidR="001F7233" w:rsidRDefault="00000000">
      <w:r>
        <w:rPr>
          <w:b/>
        </w:rPr>
        <w:t xml:space="preserve">Kapitel: </w:t>
      </w:r>
      <w:r>
        <w:t>6</w:t>
      </w:r>
    </w:p>
    <w:p w14:paraId="7C624C87" w14:textId="77777777" w:rsidR="001F7233" w:rsidRDefault="00000000">
      <w:r>
        <w:rPr>
          <w:b/>
        </w:rPr>
        <w:t>I-751</w:t>
      </w:r>
    </w:p>
    <w:p w14:paraId="621ED06D" w14:textId="77777777" w:rsidR="001F7233" w:rsidRDefault="00000000">
      <w:r>
        <w:rPr>
          <w:b/>
        </w:rPr>
        <w:t xml:space="preserve">Zweck: </w:t>
      </w:r>
      <w:r>
        <w:t>Aufhebung der Bedingungen einer befristeten Green Card</w:t>
      </w:r>
    </w:p>
    <w:p w14:paraId="532EC954" w14:textId="77777777" w:rsidR="001F7233" w:rsidRDefault="00000000">
      <w:r>
        <w:rPr>
          <w:b/>
        </w:rPr>
        <w:t xml:space="preserve">Behörde: </w:t>
      </w:r>
      <w:r>
        <w:t>USCIS</w:t>
      </w:r>
    </w:p>
    <w:p w14:paraId="44EE6C4A" w14:textId="77777777" w:rsidR="001F7233" w:rsidRDefault="00000000">
      <w:r>
        <w:rPr>
          <w:b/>
        </w:rPr>
        <w:t xml:space="preserve">Kapitel: </w:t>
      </w:r>
      <w:r>
        <w:t>6</w:t>
      </w:r>
    </w:p>
    <w:p w14:paraId="09BD2562" w14:textId="77777777" w:rsidR="001F7233" w:rsidRDefault="00000000">
      <w:r>
        <w:rPr>
          <w:b/>
        </w:rPr>
        <w:t>I-765</w:t>
      </w:r>
    </w:p>
    <w:p w14:paraId="384FD38E" w14:textId="77777777" w:rsidR="001F7233" w:rsidRDefault="00000000">
      <w:r>
        <w:rPr>
          <w:b/>
        </w:rPr>
        <w:t xml:space="preserve">Zweck: </w:t>
      </w:r>
      <w:r>
        <w:t>Antrag auf Arbeitserlaubnis (EAD)</w:t>
      </w:r>
    </w:p>
    <w:p w14:paraId="6973B5D7" w14:textId="77777777" w:rsidR="001F7233" w:rsidRDefault="00000000">
      <w:r>
        <w:rPr>
          <w:b/>
        </w:rPr>
        <w:t xml:space="preserve">Behörde: </w:t>
      </w:r>
      <w:r>
        <w:t>USCIS</w:t>
      </w:r>
    </w:p>
    <w:p w14:paraId="1713EF58" w14:textId="77777777" w:rsidR="001F7233" w:rsidRDefault="00000000">
      <w:r>
        <w:rPr>
          <w:b/>
        </w:rPr>
        <w:t xml:space="preserve">Kapitel: </w:t>
      </w:r>
      <w:r>
        <w:t>5–6, 8–10, 24</w:t>
      </w:r>
    </w:p>
    <w:p w14:paraId="72D1CE92" w14:textId="77777777" w:rsidR="001F7233" w:rsidRDefault="00000000">
      <w:r>
        <w:rPr>
          <w:b/>
        </w:rPr>
        <w:t>I-797 / I-797A</w:t>
      </w:r>
    </w:p>
    <w:p w14:paraId="75EE9B71" w14:textId="77777777" w:rsidR="001F7233" w:rsidRDefault="00000000">
      <w:r>
        <w:rPr>
          <w:b/>
        </w:rPr>
        <w:t xml:space="preserve">Zweck: </w:t>
      </w:r>
      <w:r>
        <w:t>USCIS-Bescheid; I-797A enthält zugleich die I-94</w:t>
      </w:r>
    </w:p>
    <w:p w14:paraId="5DCE272C" w14:textId="77777777" w:rsidR="001F7233" w:rsidRDefault="00000000">
      <w:r>
        <w:rPr>
          <w:b/>
        </w:rPr>
        <w:t xml:space="preserve">Behörde: </w:t>
      </w:r>
      <w:r>
        <w:t>USCIS</w:t>
      </w:r>
    </w:p>
    <w:p w14:paraId="48C1BD31" w14:textId="77777777" w:rsidR="001F7233" w:rsidRDefault="00000000">
      <w:r>
        <w:rPr>
          <w:b/>
        </w:rPr>
        <w:t xml:space="preserve">Kapitel: </w:t>
      </w:r>
      <w:r>
        <w:t>6, 11, 19, 23–24, 30, 40</w:t>
      </w:r>
    </w:p>
    <w:p w14:paraId="4B83E474" w14:textId="77777777" w:rsidR="001F7233" w:rsidRDefault="00000000">
      <w:r>
        <w:rPr>
          <w:b/>
        </w:rPr>
        <w:t>I-829</w:t>
      </w:r>
    </w:p>
    <w:p w14:paraId="1DE02650" w14:textId="77777777" w:rsidR="001F7233" w:rsidRDefault="00000000">
      <w:r>
        <w:rPr>
          <w:b/>
        </w:rPr>
        <w:t xml:space="preserve">Zweck: </w:t>
      </w:r>
      <w:r>
        <w:t>Aufhebung der Bedingungen einer EB-5-Green-Card</w:t>
      </w:r>
    </w:p>
    <w:p w14:paraId="3B2A7B51" w14:textId="77777777" w:rsidR="001F7233" w:rsidRDefault="00000000">
      <w:r>
        <w:rPr>
          <w:b/>
        </w:rPr>
        <w:t xml:space="preserve">Behörde: </w:t>
      </w:r>
      <w:r>
        <w:t>USCIS</w:t>
      </w:r>
    </w:p>
    <w:p w14:paraId="67C9AB5D" w14:textId="77777777" w:rsidR="001F7233" w:rsidRDefault="00000000">
      <w:r>
        <w:rPr>
          <w:b/>
        </w:rPr>
        <w:t xml:space="preserve">Kapitel: </w:t>
      </w:r>
      <w:r>
        <w:t>6, 9</w:t>
      </w:r>
    </w:p>
    <w:p w14:paraId="3EBFFFED" w14:textId="77777777" w:rsidR="001F7233" w:rsidRDefault="00000000">
      <w:r>
        <w:rPr>
          <w:b/>
        </w:rPr>
        <w:t>I-864</w:t>
      </w:r>
    </w:p>
    <w:p w14:paraId="66CA0B93" w14:textId="77777777" w:rsidR="001F7233" w:rsidRDefault="00000000">
      <w:r>
        <w:rPr>
          <w:b/>
        </w:rPr>
        <w:t xml:space="preserve">Zweck: </w:t>
      </w:r>
      <w:r>
        <w:t>Finanzielle Verpflichtungserklärung für nachziehende Angehörige</w:t>
      </w:r>
    </w:p>
    <w:p w14:paraId="702AF67E" w14:textId="77777777" w:rsidR="001F7233" w:rsidRDefault="00000000">
      <w:r>
        <w:rPr>
          <w:b/>
        </w:rPr>
        <w:t xml:space="preserve">Behörde: </w:t>
      </w:r>
      <w:r>
        <w:t>USCIS</w:t>
      </w:r>
    </w:p>
    <w:p w14:paraId="3B3F35C9" w14:textId="77777777" w:rsidR="001F7233" w:rsidRDefault="00000000">
      <w:r>
        <w:rPr>
          <w:b/>
        </w:rPr>
        <w:t xml:space="preserve">Kapitel: </w:t>
      </w:r>
      <w:r>
        <w:t>6, 9</w:t>
      </w:r>
    </w:p>
    <w:p w14:paraId="02FF3D29" w14:textId="77777777" w:rsidR="001F7233" w:rsidRDefault="00000000">
      <w:r>
        <w:rPr>
          <w:b/>
        </w:rPr>
        <w:t>I-901</w:t>
      </w:r>
    </w:p>
    <w:p w14:paraId="14D9F8E8" w14:textId="77777777" w:rsidR="001F7233" w:rsidRDefault="00000000">
      <w:r>
        <w:rPr>
          <w:b/>
        </w:rPr>
        <w:lastRenderedPageBreak/>
        <w:t xml:space="preserve">Zweck: </w:t>
      </w:r>
      <w:r>
        <w:t>Gebühr für die Studierendendatenbank SEVIS</w:t>
      </w:r>
    </w:p>
    <w:p w14:paraId="092E99CE" w14:textId="77777777" w:rsidR="001F7233" w:rsidRDefault="00000000">
      <w:r>
        <w:rPr>
          <w:b/>
        </w:rPr>
        <w:t xml:space="preserve">Behörde: </w:t>
      </w:r>
      <w:r>
        <w:t>ICE (SEVP)</w:t>
      </w:r>
    </w:p>
    <w:p w14:paraId="5BCF1CD2" w14:textId="77777777" w:rsidR="001F7233" w:rsidRDefault="00000000">
      <w:r>
        <w:rPr>
          <w:b/>
        </w:rPr>
        <w:t xml:space="preserve">Kapitel: </w:t>
      </w:r>
      <w:r>
        <w:t>8</w:t>
      </w:r>
    </w:p>
    <w:p w14:paraId="33918BD7" w14:textId="77777777" w:rsidR="001F7233" w:rsidRDefault="00000000">
      <w:r>
        <w:rPr>
          <w:b/>
        </w:rPr>
        <w:t>I-907</w:t>
      </w:r>
    </w:p>
    <w:p w14:paraId="71AE91FE" w14:textId="77777777" w:rsidR="001F7233" w:rsidRDefault="00000000">
      <w:r>
        <w:rPr>
          <w:b/>
        </w:rPr>
        <w:t xml:space="preserve">Zweck: </w:t>
      </w:r>
      <w:r>
        <w:t>Antrag auf beschleunigte Bearbeitung (Premium Processing)</w:t>
      </w:r>
    </w:p>
    <w:p w14:paraId="5123A3C6" w14:textId="77777777" w:rsidR="001F7233" w:rsidRDefault="00000000">
      <w:r>
        <w:rPr>
          <w:b/>
        </w:rPr>
        <w:t xml:space="preserve">Behörde: </w:t>
      </w:r>
      <w:r>
        <w:t>USCIS</w:t>
      </w:r>
    </w:p>
    <w:p w14:paraId="5F4ECF59" w14:textId="77777777" w:rsidR="001F7233" w:rsidRDefault="00000000">
      <w:r>
        <w:rPr>
          <w:b/>
        </w:rPr>
        <w:t xml:space="preserve">Kapitel: </w:t>
      </w:r>
      <w:r>
        <w:t>5–6</w:t>
      </w:r>
    </w:p>
    <w:p w14:paraId="6D75832A" w14:textId="77777777" w:rsidR="001F7233" w:rsidRDefault="00000000">
      <w:r>
        <w:rPr>
          <w:b/>
        </w:rPr>
        <w:t>I-941</w:t>
      </w:r>
    </w:p>
    <w:p w14:paraId="5035C96F" w14:textId="77777777" w:rsidR="001F7233" w:rsidRDefault="00000000">
      <w:r>
        <w:rPr>
          <w:b/>
        </w:rPr>
        <w:t xml:space="preserve">Zweck: </w:t>
      </w:r>
      <w:r>
        <w:t>Antrag auf befristete Einreise für Start-up-Gründer</w:t>
      </w:r>
    </w:p>
    <w:p w14:paraId="3A7D85CF" w14:textId="77777777" w:rsidR="001F7233" w:rsidRDefault="00000000">
      <w:r>
        <w:rPr>
          <w:b/>
        </w:rPr>
        <w:t xml:space="preserve">Behörde: </w:t>
      </w:r>
      <w:r>
        <w:t>USCIS</w:t>
      </w:r>
    </w:p>
    <w:p w14:paraId="7C8331E8" w14:textId="77777777" w:rsidR="001F7233" w:rsidRDefault="00000000">
      <w:r>
        <w:rPr>
          <w:b/>
        </w:rPr>
        <w:t xml:space="preserve">Kapitel: </w:t>
      </w:r>
      <w:r>
        <w:t>9</w:t>
      </w:r>
    </w:p>
    <w:p w14:paraId="501E9E12" w14:textId="77777777" w:rsidR="001F7233" w:rsidRDefault="00000000">
      <w:r>
        <w:rPr>
          <w:b/>
        </w:rPr>
        <w:t>I-983</w:t>
      </w:r>
    </w:p>
    <w:p w14:paraId="41A2FE11" w14:textId="77777777" w:rsidR="001F7233" w:rsidRDefault="00000000">
      <w:r>
        <w:rPr>
          <w:b/>
        </w:rPr>
        <w:t xml:space="preserve">Zweck: </w:t>
      </w:r>
      <w:r>
        <w:t>Ausbildungsplan für die STEM-OPT-Verlängerung</w:t>
      </w:r>
    </w:p>
    <w:p w14:paraId="24F9B0BD" w14:textId="77777777" w:rsidR="001F7233" w:rsidRDefault="00000000">
      <w:r>
        <w:rPr>
          <w:b/>
        </w:rPr>
        <w:t xml:space="preserve">Behörde: </w:t>
      </w:r>
      <w:r>
        <w:t>USCIS</w:t>
      </w:r>
    </w:p>
    <w:p w14:paraId="19FDFEFB" w14:textId="77777777" w:rsidR="001F7233" w:rsidRDefault="00000000">
      <w:r>
        <w:rPr>
          <w:b/>
        </w:rPr>
        <w:t xml:space="preserve">Kapitel: </w:t>
      </w:r>
      <w:r>
        <w:t>8</w:t>
      </w:r>
    </w:p>
    <w:p w14:paraId="402B9F20" w14:textId="77777777" w:rsidR="001F7233" w:rsidRDefault="00000000">
      <w:r>
        <w:rPr>
          <w:b/>
        </w:rPr>
        <w:t>N-400</w:t>
      </w:r>
    </w:p>
    <w:p w14:paraId="64847473" w14:textId="77777777" w:rsidR="001F7233" w:rsidRDefault="00000000">
      <w:r>
        <w:rPr>
          <w:b/>
        </w:rPr>
        <w:t xml:space="preserve">Zweck: </w:t>
      </w:r>
      <w:r>
        <w:t>Antrag auf die Einbürgerung (Naturalization)</w:t>
      </w:r>
    </w:p>
    <w:p w14:paraId="48745A36" w14:textId="77777777" w:rsidR="001F7233" w:rsidRDefault="00000000">
      <w:r>
        <w:rPr>
          <w:b/>
        </w:rPr>
        <w:t xml:space="preserve">Behörde: </w:t>
      </w:r>
      <w:r>
        <w:t>USCIS</w:t>
      </w:r>
    </w:p>
    <w:p w14:paraId="32B59BD1" w14:textId="77777777" w:rsidR="001F7233" w:rsidRDefault="00000000">
      <w:r>
        <w:rPr>
          <w:b/>
        </w:rPr>
        <w:t xml:space="preserve">Kapitel: </w:t>
      </w:r>
      <w:r>
        <w:t>6, 41</w:t>
      </w:r>
    </w:p>
    <w:p w14:paraId="7C275E5D" w14:textId="77777777" w:rsidR="001F7233" w:rsidRDefault="00000000">
      <w:r>
        <w:rPr>
          <w:b/>
        </w:rPr>
        <w:t>N-470</w:t>
      </w:r>
    </w:p>
    <w:p w14:paraId="0D5C13E5" w14:textId="77777777" w:rsidR="001F7233" w:rsidRDefault="00000000">
      <w:r>
        <w:rPr>
          <w:b/>
        </w:rPr>
        <w:t xml:space="preserve">Zweck: </w:t>
      </w:r>
      <w:r>
        <w:t>Erhalt der Aufenthaltszeit bei längerem Auslandsaufenthalt</w:t>
      </w:r>
    </w:p>
    <w:p w14:paraId="2073E048" w14:textId="77777777" w:rsidR="001F7233" w:rsidRDefault="00000000">
      <w:r>
        <w:rPr>
          <w:b/>
        </w:rPr>
        <w:t xml:space="preserve">Behörde: </w:t>
      </w:r>
      <w:r>
        <w:t>USCIS</w:t>
      </w:r>
    </w:p>
    <w:p w14:paraId="186FE474" w14:textId="77777777" w:rsidR="001F7233" w:rsidRDefault="00000000">
      <w:r>
        <w:rPr>
          <w:b/>
        </w:rPr>
        <w:t xml:space="preserve">Kapitel: </w:t>
      </w:r>
      <w:r>
        <w:t>41</w:t>
      </w:r>
    </w:p>
    <w:p w14:paraId="179BF5C2" w14:textId="77777777" w:rsidR="001F7233" w:rsidRDefault="00000000">
      <w:r>
        <w:rPr>
          <w:b/>
        </w:rPr>
        <w:t>N-600</w:t>
      </w:r>
    </w:p>
    <w:p w14:paraId="552FCF1E" w14:textId="77777777" w:rsidR="001F7233" w:rsidRDefault="00000000">
      <w:r>
        <w:rPr>
          <w:b/>
        </w:rPr>
        <w:t xml:space="preserve">Zweck: </w:t>
      </w:r>
      <w:r>
        <w:t>Nachweis der Staatsbürgerschaft durch Abstammung</w:t>
      </w:r>
    </w:p>
    <w:p w14:paraId="2629A238" w14:textId="77777777" w:rsidR="001F7233" w:rsidRDefault="00000000">
      <w:r>
        <w:rPr>
          <w:b/>
        </w:rPr>
        <w:t xml:space="preserve">Behörde: </w:t>
      </w:r>
      <w:r>
        <w:t>USCIS</w:t>
      </w:r>
    </w:p>
    <w:p w14:paraId="2640FC89" w14:textId="77777777" w:rsidR="001F7233" w:rsidRDefault="00000000">
      <w:r>
        <w:rPr>
          <w:b/>
        </w:rPr>
        <w:t xml:space="preserve">Kapitel: </w:t>
      </w:r>
      <w:r>
        <w:t>41</w:t>
      </w:r>
    </w:p>
    <w:p w14:paraId="2624E478" w14:textId="77777777" w:rsidR="001F7233" w:rsidRDefault="00000000">
      <w:r>
        <w:rPr>
          <w:b/>
        </w:rPr>
        <w:t>SS-5</w:t>
      </w:r>
    </w:p>
    <w:p w14:paraId="705D9B1E" w14:textId="77777777" w:rsidR="001F7233" w:rsidRDefault="00000000">
      <w:r>
        <w:rPr>
          <w:b/>
        </w:rPr>
        <w:t xml:space="preserve">Zweck: </w:t>
      </w:r>
      <w:r>
        <w:t>Antrag auf die Sozialversicherungsnummer (SSN)</w:t>
      </w:r>
    </w:p>
    <w:p w14:paraId="5214D1B2" w14:textId="77777777" w:rsidR="001F7233" w:rsidRDefault="00000000">
      <w:r>
        <w:rPr>
          <w:b/>
        </w:rPr>
        <w:t xml:space="preserve">Behörde: </w:t>
      </w:r>
      <w:r>
        <w:t>SSA</w:t>
      </w:r>
    </w:p>
    <w:p w14:paraId="03BD86FD" w14:textId="77777777" w:rsidR="001F7233" w:rsidRDefault="00000000">
      <w:r>
        <w:rPr>
          <w:b/>
        </w:rPr>
        <w:t xml:space="preserve">Kapitel: </w:t>
      </w:r>
      <w:r>
        <w:t>24, 38</w:t>
      </w:r>
    </w:p>
    <w:p w14:paraId="18F04BEA" w14:textId="77777777" w:rsidR="001F7233" w:rsidRDefault="00000000">
      <w:r>
        <w:rPr>
          <w:b/>
        </w:rPr>
        <w:t>W-2</w:t>
      </w:r>
    </w:p>
    <w:p w14:paraId="559D05BB" w14:textId="77777777" w:rsidR="001F7233" w:rsidRDefault="00000000">
      <w:r>
        <w:rPr>
          <w:b/>
        </w:rPr>
        <w:t xml:space="preserve">Zweck: </w:t>
      </w:r>
      <w:r>
        <w:t>Jährliche Lohnsteuerbescheinigung des Arbeitgebers</w:t>
      </w:r>
    </w:p>
    <w:p w14:paraId="03F1B9D8" w14:textId="77777777" w:rsidR="001F7233" w:rsidRDefault="00000000">
      <w:r>
        <w:rPr>
          <w:b/>
        </w:rPr>
        <w:t xml:space="preserve">Behörde: </w:t>
      </w:r>
      <w:r>
        <w:t>IRS</w:t>
      </w:r>
    </w:p>
    <w:p w14:paraId="6B733DF3" w14:textId="77777777" w:rsidR="001F7233" w:rsidRDefault="00000000">
      <w:r>
        <w:rPr>
          <w:b/>
        </w:rPr>
        <w:t xml:space="preserve">Kapitel: </w:t>
      </w:r>
      <w:r>
        <w:t>20, 28, 30</w:t>
      </w:r>
    </w:p>
    <w:p w14:paraId="3F1C931B" w14:textId="77777777" w:rsidR="001F7233" w:rsidRDefault="00000000">
      <w:r>
        <w:rPr>
          <w:b/>
        </w:rPr>
        <w:lastRenderedPageBreak/>
        <w:t>W-4</w:t>
      </w:r>
    </w:p>
    <w:p w14:paraId="46444827" w14:textId="77777777" w:rsidR="001F7233" w:rsidRDefault="00000000">
      <w:r>
        <w:rPr>
          <w:b/>
        </w:rPr>
        <w:t xml:space="preserve">Zweck: </w:t>
      </w:r>
      <w:r>
        <w:t>Angaben zum Steuerabzug beim Arbeitgeber</w:t>
      </w:r>
    </w:p>
    <w:p w14:paraId="4490D5BC" w14:textId="77777777" w:rsidR="001F7233" w:rsidRDefault="00000000">
      <w:r>
        <w:rPr>
          <w:b/>
        </w:rPr>
        <w:t xml:space="preserve">Behörde: </w:t>
      </w:r>
      <w:r>
        <w:t>IRS</w:t>
      </w:r>
    </w:p>
    <w:p w14:paraId="036477C6" w14:textId="77777777" w:rsidR="001F7233" w:rsidRDefault="00000000">
      <w:r>
        <w:rPr>
          <w:b/>
        </w:rPr>
        <w:t xml:space="preserve">Kapitel: </w:t>
      </w:r>
      <w:r>
        <w:t>23–24, 28</w:t>
      </w:r>
    </w:p>
    <w:p w14:paraId="40539EAD" w14:textId="77777777" w:rsidR="001F7233" w:rsidRDefault="00000000">
      <w:r>
        <w:rPr>
          <w:b/>
        </w:rPr>
        <w:t>W-7</w:t>
      </w:r>
    </w:p>
    <w:p w14:paraId="62FB3214" w14:textId="77777777" w:rsidR="001F7233" w:rsidRDefault="00000000">
      <w:r>
        <w:rPr>
          <w:b/>
        </w:rPr>
        <w:t xml:space="preserve">Zweck: </w:t>
      </w:r>
      <w:r>
        <w:t>Antrag auf die Steuernummer ITIN</w:t>
      </w:r>
    </w:p>
    <w:p w14:paraId="59BD244C" w14:textId="77777777" w:rsidR="001F7233" w:rsidRDefault="00000000">
      <w:r>
        <w:rPr>
          <w:b/>
        </w:rPr>
        <w:t xml:space="preserve">Behörde: </w:t>
      </w:r>
      <w:r>
        <w:t>IRS</w:t>
      </w:r>
    </w:p>
    <w:p w14:paraId="48265B30" w14:textId="77777777" w:rsidR="001F7233" w:rsidRDefault="00000000">
      <w:r>
        <w:rPr>
          <w:b/>
        </w:rPr>
        <w:t xml:space="preserve">Kapitel: </w:t>
      </w:r>
      <w:r>
        <w:t>13, 24</w:t>
      </w:r>
    </w:p>
    <w:p w14:paraId="028529A4" w14:textId="77777777" w:rsidR="001F7233" w:rsidRDefault="001F7233">
      <w:pPr>
        <w:spacing w:line="180" w:lineRule="exact"/>
      </w:pPr>
    </w:p>
    <w:p w14:paraId="499B2C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Abkürzungen</w:t>
      </w:r>
    </w:p>
    <w:p w14:paraId="61186535" w14:textId="77777777" w:rsidR="001F7233" w:rsidRDefault="00000000">
      <w:r>
        <w:rPr>
          <w:b/>
        </w:rPr>
        <w:t>USCIS</w:t>
      </w:r>
    </w:p>
    <w:p w14:paraId="7FEF878E" w14:textId="77777777" w:rsidR="001F7233" w:rsidRDefault="00000000">
      <w:r>
        <w:rPr>
          <w:b/>
        </w:rPr>
        <w:t xml:space="preserve">Ausgeschrieben: </w:t>
      </w:r>
      <w:r>
        <w:t>U.S. Citizenship and Immigration Services</w:t>
      </w:r>
    </w:p>
    <w:p w14:paraId="2330429B" w14:textId="77777777" w:rsidR="001F7233" w:rsidRDefault="00000000">
      <w:r>
        <w:rPr>
          <w:b/>
        </w:rPr>
        <w:t xml:space="preserve">Kurzerklärung: </w:t>
      </w:r>
      <w:r>
        <w:t>Einwanderungsbehörde, entscheidet über Anträge im Inland</w:t>
      </w:r>
    </w:p>
    <w:p w14:paraId="0D77FD11" w14:textId="77777777" w:rsidR="001F7233" w:rsidRDefault="00000000">
      <w:r>
        <w:rPr>
          <w:b/>
        </w:rPr>
        <w:t>CBP</w:t>
      </w:r>
    </w:p>
    <w:p w14:paraId="4F3436F6" w14:textId="77777777" w:rsidR="001F7233" w:rsidRDefault="00000000">
      <w:r>
        <w:rPr>
          <w:b/>
        </w:rPr>
        <w:t xml:space="preserve">Ausgeschrieben: </w:t>
      </w:r>
      <w:r>
        <w:t>Customs and Border Protection</w:t>
      </w:r>
    </w:p>
    <w:p w14:paraId="212D67A4" w14:textId="77777777" w:rsidR="001F7233" w:rsidRDefault="00000000">
      <w:r>
        <w:rPr>
          <w:b/>
        </w:rPr>
        <w:t xml:space="preserve">Kurzerklärung: </w:t>
      </w:r>
      <w:r>
        <w:t>Grenzschutz, entscheidet über die Einreise selbst</w:t>
      </w:r>
    </w:p>
    <w:p w14:paraId="65EDC41C" w14:textId="77777777" w:rsidR="001F7233" w:rsidRDefault="00000000">
      <w:r>
        <w:rPr>
          <w:b/>
        </w:rPr>
        <w:t>DOS</w:t>
      </w:r>
    </w:p>
    <w:p w14:paraId="6D895596" w14:textId="77777777" w:rsidR="001F7233" w:rsidRDefault="00000000">
      <w:r>
        <w:rPr>
          <w:b/>
        </w:rPr>
        <w:t xml:space="preserve">Ausgeschrieben: </w:t>
      </w:r>
      <w:r>
        <w:t>Department of State</w:t>
      </w:r>
    </w:p>
    <w:p w14:paraId="48A55F84" w14:textId="77777777" w:rsidR="001F7233" w:rsidRDefault="00000000">
      <w:r>
        <w:rPr>
          <w:b/>
        </w:rPr>
        <w:t xml:space="preserve">Kurzerklärung: </w:t>
      </w:r>
      <w:r>
        <w:t>Außenministerium; seine Konsulate stellen Visa aus</w:t>
      </w:r>
    </w:p>
    <w:p w14:paraId="0B4E26E5" w14:textId="77777777" w:rsidR="001F7233" w:rsidRDefault="00000000">
      <w:r>
        <w:rPr>
          <w:b/>
        </w:rPr>
        <w:t>DOL</w:t>
      </w:r>
    </w:p>
    <w:p w14:paraId="5036CDCC" w14:textId="77777777" w:rsidR="001F7233" w:rsidRDefault="00000000">
      <w:r>
        <w:rPr>
          <w:b/>
        </w:rPr>
        <w:t xml:space="preserve">Ausgeschrieben: </w:t>
      </w:r>
      <w:r>
        <w:t>Department of Labor</w:t>
      </w:r>
    </w:p>
    <w:p w14:paraId="6181E433" w14:textId="77777777" w:rsidR="001F7233" w:rsidRDefault="00000000">
      <w:r>
        <w:rPr>
          <w:b/>
        </w:rPr>
        <w:t xml:space="preserve">Kurzerklärung: </w:t>
      </w:r>
      <w:r>
        <w:t>Arbeitsministerium, prüft Löhne und Arbeitsbedingungen (LCA, PERM)</w:t>
      </w:r>
    </w:p>
    <w:p w14:paraId="4F1C513E" w14:textId="77777777" w:rsidR="001F7233" w:rsidRDefault="00000000">
      <w:r>
        <w:rPr>
          <w:b/>
        </w:rPr>
        <w:t>SSA</w:t>
      </w:r>
    </w:p>
    <w:p w14:paraId="0C6593C3" w14:textId="77777777" w:rsidR="001F7233" w:rsidRDefault="00000000">
      <w:r>
        <w:rPr>
          <w:b/>
        </w:rPr>
        <w:t xml:space="preserve">Ausgeschrieben: </w:t>
      </w:r>
      <w:r>
        <w:t>Social Security Administration</w:t>
      </w:r>
    </w:p>
    <w:p w14:paraId="2FE26A52" w14:textId="77777777" w:rsidR="001F7233" w:rsidRDefault="00000000">
      <w:r>
        <w:rPr>
          <w:b/>
        </w:rPr>
        <w:t xml:space="preserve">Kurzerklärung: </w:t>
      </w:r>
      <w:r>
        <w:t>Sozialversicherungsbehörde, vergibt die SSN</w:t>
      </w:r>
    </w:p>
    <w:p w14:paraId="1C159466" w14:textId="77777777" w:rsidR="001F7233" w:rsidRDefault="00000000">
      <w:r>
        <w:rPr>
          <w:b/>
        </w:rPr>
        <w:t>IRS</w:t>
      </w:r>
    </w:p>
    <w:p w14:paraId="02EAC0E9" w14:textId="77777777" w:rsidR="001F7233" w:rsidRDefault="00000000">
      <w:r>
        <w:rPr>
          <w:b/>
        </w:rPr>
        <w:t xml:space="preserve">Ausgeschrieben: </w:t>
      </w:r>
      <w:r>
        <w:t>Internal Revenue Service</w:t>
      </w:r>
    </w:p>
    <w:p w14:paraId="02F7526F" w14:textId="77777777" w:rsidR="001F7233" w:rsidRDefault="00000000">
      <w:r>
        <w:rPr>
          <w:b/>
        </w:rPr>
        <w:t xml:space="preserve">Kurzerklärung: </w:t>
      </w:r>
      <w:r>
        <w:t>Bundessteuerbehörde</w:t>
      </w:r>
    </w:p>
    <w:p w14:paraId="6522311C" w14:textId="77777777" w:rsidR="001F7233" w:rsidRDefault="00000000">
      <w:r>
        <w:rPr>
          <w:b/>
        </w:rPr>
        <w:t>DHS</w:t>
      </w:r>
    </w:p>
    <w:p w14:paraId="6BC2E644" w14:textId="77777777" w:rsidR="001F7233" w:rsidRDefault="00000000">
      <w:r>
        <w:rPr>
          <w:b/>
        </w:rPr>
        <w:t xml:space="preserve">Ausgeschrieben: </w:t>
      </w:r>
      <w:r>
        <w:t>Department of Homeland Security</w:t>
      </w:r>
    </w:p>
    <w:p w14:paraId="2F08B4DE" w14:textId="77777777" w:rsidR="001F7233" w:rsidRDefault="00000000">
      <w:r>
        <w:rPr>
          <w:b/>
        </w:rPr>
        <w:lastRenderedPageBreak/>
        <w:t xml:space="preserve">Kurzerklärung: </w:t>
      </w:r>
      <w:r>
        <w:t>Heimatschutzministerium, Dachbehörde von USCIS, CBP und ICE</w:t>
      </w:r>
    </w:p>
    <w:p w14:paraId="7C0F6D5B" w14:textId="77777777" w:rsidR="001F7233" w:rsidRDefault="00000000">
      <w:r>
        <w:rPr>
          <w:b/>
        </w:rPr>
        <w:t>CMS</w:t>
      </w:r>
    </w:p>
    <w:p w14:paraId="76E32B8D" w14:textId="77777777" w:rsidR="001F7233" w:rsidRDefault="00000000">
      <w:r>
        <w:rPr>
          <w:b/>
        </w:rPr>
        <w:t xml:space="preserve">Ausgeschrieben: </w:t>
      </w:r>
      <w:r>
        <w:t>Centers for Medicare &amp; Medicaid Services</w:t>
      </w:r>
    </w:p>
    <w:p w14:paraId="040AA4DB" w14:textId="77777777" w:rsidR="001F7233" w:rsidRDefault="00000000">
      <w:r>
        <w:rPr>
          <w:b/>
        </w:rPr>
        <w:t xml:space="preserve">Kurzerklärung: </w:t>
      </w:r>
      <w:r>
        <w:t>Bundesbehörde für Medicare/Medicaid; nimmt Beschwerden zum No Surprises Act entgegen</w:t>
      </w:r>
    </w:p>
    <w:p w14:paraId="276316F0" w14:textId="77777777" w:rsidR="001F7233" w:rsidRDefault="00000000">
      <w:r>
        <w:rPr>
          <w:b/>
        </w:rPr>
        <w:t>ICE</w:t>
      </w:r>
    </w:p>
    <w:p w14:paraId="1F73C391" w14:textId="77777777" w:rsidR="001F7233" w:rsidRDefault="00000000">
      <w:r>
        <w:rPr>
          <w:b/>
        </w:rPr>
        <w:t xml:space="preserve">Ausgeschrieben: </w:t>
      </w:r>
      <w:r>
        <w:t>Immigration and Customs Enforcement</w:t>
      </w:r>
    </w:p>
    <w:p w14:paraId="37224501" w14:textId="77777777" w:rsidR="001F7233" w:rsidRDefault="00000000">
      <w:r>
        <w:rPr>
          <w:b/>
        </w:rPr>
        <w:t xml:space="preserve">Kurzerklärung: </w:t>
      </w:r>
      <w:r>
        <w:t>Zoll- und Einwanderungsfahndung; verwaltet über die SEVP auch Studierendenstatus</w:t>
      </w:r>
    </w:p>
    <w:p w14:paraId="38BDFB19" w14:textId="77777777" w:rsidR="001F7233" w:rsidRDefault="00000000">
      <w:r>
        <w:rPr>
          <w:b/>
        </w:rPr>
        <w:t>DMV</w:t>
      </w:r>
    </w:p>
    <w:p w14:paraId="6B56CFB6" w14:textId="77777777" w:rsidR="001F7233" w:rsidRDefault="00000000">
      <w:r>
        <w:rPr>
          <w:b/>
        </w:rPr>
        <w:t xml:space="preserve">Ausgeschrieben: </w:t>
      </w:r>
      <w:r>
        <w:t>Department of Motor Vehicles</w:t>
      </w:r>
    </w:p>
    <w:p w14:paraId="7C6B6CF4" w14:textId="77777777" w:rsidR="001F7233" w:rsidRDefault="00000000">
      <w:r>
        <w:rPr>
          <w:b/>
        </w:rPr>
        <w:t xml:space="preserve">Kurzerklärung: </w:t>
      </w:r>
      <w:r>
        <w:t>Kfz-Zulassungs- und Führerscheinstelle des jeweiligen Bundesstaats</w:t>
      </w:r>
    </w:p>
    <w:p w14:paraId="403FC5F3" w14:textId="77777777" w:rsidR="001F7233" w:rsidRDefault="00000000">
      <w:r>
        <w:rPr>
          <w:b/>
        </w:rPr>
        <w:t>HOA</w:t>
      </w:r>
    </w:p>
    <w:p w14:paraId="6999D81C" w14:textId="77777777" w:rsidR="001F7233" w:rsidRDefault="00000000">
      <w:r>
        <w:rPr>
          <w:b/>
        </w:rPr>
        <w:t xml:space="preserve">Ausgeschrieben: </w:t>
      </w:r>
      <w:r>
        <w:t>Homeowners Association</w:t>
      </w:r>
    </w:p>
    <w:p w14:paraId="4E04AC66" w14:textId="77777777" w:rsidR="001F7233" w:rsidRDefault="00000000">
      <w:r>
        <w:rPr>
          <w:b/>
        </w:rPr>
        <w:t xml:space="preserve">Kurzerklärung: </w:t>
      </w:r>
      <w:r>
        <w:t>Eigentümergemeinschaft mit monatlicher Umlage</w:t>
      </w:r>
    </w:p>
    <w:p w14:paraId="2456930F" w14:textId="77777777" w:rsidR="001F7233" w:rsidRDefault="00000000">
      <w:r>
        <w:rPr>
          <w:b/>
        </w:rPr>
        <w:t>PMI</w:t>
      </w:r>
    </w:p>
    <w:p w14:paraId="28545D4C" w14:textId="77777777" w:rsidR="001F7233" w:rsidRDefault="00000000">
      <w:r>
        <w:rPr>
          <w:b/>
        </w:rPr>
        <w:t xml:space="preserve">Ausgeschrieben: </w:t>
      </w:r>
      <w:r>
        <w:t>Private Mortgage Insurance</w:t>
      </w:r>
    </w:p>
    <w:p w14:paraId="478C04F3" w14:textId="77777777" w:rsidR="001F7233" w:rsidRDefault="00000000">
      <w:r>
        <w:rPr>
          <w:b/>
        </w:rPr>
        <w:t xml:space="preserve">Kurzerklärung: </w:t>
      </w:r>
      <w:r>
        <w:t>Kreditausfallversicherung bei Anzahlung unter 20 %</w:t>
      </w:r>
    </w:p>
    <w:p w14:paraId="61A6BE09" w14:textId="77777777" w:rsidR="001F7233" w:rsidRDefault="00000000">
      <w:r>
        <w:rPr>
          <w:b/>
        </w:rPr>
        <w:t>FICA</w:t>
      </w:r>
    </w:p>
    <w:p w14:paraId="54D53E5A" w14:textId="77777777" w:rsidR="001F7233" w:rsidRDefault="00000000">
      <w:r>
        <w:rPr>
          <w:b/>
        </w:rPr>
        <w:t xml:space="preserve">Ausgeschrieben: </w:t>
      </w:r>
      <w:r>
        <w:t>Federal Insurance Contributions Act</w:t>
      </w:r>
    </w:p>
    <w:p w14:paraId="13C5EFCB" w14:textId="77777777" w:rsidR="001F7233" w:rsidRDefault="00000000">
      <w:r>
        <w:rPr>
          <w:b/>
        </w:rPr>
        <w:t xml:space="preserve">Kurzerklärung: </w:t>
      </w:r>
      <w:r>
        <w:t>Lohnabgabe für Social Security und Medicare</w:t>
      </w:r>
    </w:p>
    <w:p w14:paraId="2B8D0435" w14:textId="77777777" w:rsidR="001F7233" w:rsidRDefault="00000000">
      <w:r>
        <w:rPr>
          <w:b/>
        </w:rPr>
        <w:t>FBAR</w:t>
      </w:r>
    </w:p>
    <w:p w14:paraId="5BE72757" w14:textId="77777777" w:rsidR="001F7233" w:rsidRDefault="00000000">
      <w:r>
        <w:rPr>
          <w:b/>
        </w:rPr>
        <w:t xml:space="preserve">Ausgeschrieben: </w:t>
      </w:r>
      <w:r>
        <w:t>Foreign Bank Account Report</w:t>
      </w:r>
    </w:p>
    <w:p w14:paraId="4DDD1663" w14:textId="77777777" w:rsidR="001F7233" w:rsidRDefault="00000000">
      <w:r>
        <w:rPr>
          <w:b/>
        </w:rPr>
        <w:t xml:space="preserve">Kurzerklärung: </w:t>
      </w:r>
      <w:r>
        <w:t>Meldepflicht für ausländische Konten ab 10.000 $</w:t>
      </w:r>
    </w:p>
    <w:p w14:paraId="35B0AF61" w14:textId="77777777" w:rsidR="001F7233" w:rsidRDefault="00000000">
      <w:r>
        <w:rPr>
          <w:b/>
        </w:rPr>
        <w:t>FATCA</w:t>
      </w:r>
    </w:p>
    <w:p w14:paraId="5644E6CA" w14:textId="77777777" w:rsidR="001F7233" w:rsidRDefault="00000000">
      <w:r>
        <w:rPr>
          <w:b/>
        </w:rPr>
        <w:t xml:space="preserve">Ausgeschrieben: </w:t>
      </w:r>
      <w:r>
        <w:t>Foreign Account Tax Compliance Act</w:t>
      </w:r>
    </w:p>
    <w:p w14:paraId="2C56C952" w14:textId="77777777" w:rsidR="001F7233" w:rsidRDefault="00000000">
      <w:r>
        <w:rPr>
          <w:b/>
        </w:rPr>
        <w:t xml:space="preserve">Kurzerklärung: </w:t>
      </w:r>
      <w:r>
        <w:t>Meldepflicht ausländischer Finanzinstitute an den IRS</w:t>
      </w:r>
    </w:p>
    <w:p w14:paraId="187624E2" w14:textId="77777777" w:rsidR="001F7233" w:rsidRDefault="00000000">
      <w:r>
        <w:rPr>
          <w:b/>
        </w:rPr>
        <w:t>PFIC</w:t>
      </w:r>
    </w:p>
    <w:p w14:paraId="0771C0A1" w14:textId="77777777" w:rsidR="001F7233" w:rsidRDefault="00000000">
      <w:r>
        <w:rPr>
          <w:b/>
        </w:rPr>
        <w:t xml:space="preserve">Ausgeschrieben: </w:t>
      </w:r>
      <w:r>
        <w:t>Passive Foreign Investment Company</w:t>
      </w:r>
    </w:p>
    <w:p w14:paraId="31F7A1C1" w14:textId="77777777" w:rsidR="001F7233" w:rsidRDefault="00000000">
      <w:r>
        <w:rPr>
          <w:b/>
        </w:rPr>
        <w:t xml:space="preserve">Kurzerklärung: </w:t>
      </w:r>
      <w:r>
        <w:t>Steuerlich nachteilige Einstufung ausländischer Fonds und ETFs</w:t>
      </w:r>
    </w:p>
    <w:p w14:paraId="0405249C" w14:textId="77777777" w:rsidR="001F7233" w:rsidRDefault="00000000">
      <w:r>
        <w:rPr>
          <w:b/>
        </w:rPr>
        <w:lastRenderedPageBreak/>
        <w:t>ITIN</w:t>
      </w:r>
    </w:p>
    <w:p w14:paraId="545A30B0" w14:textId="77777777" w:rsidR="001F7233" w:rsidRDefault="00000000">
      <w:r>
        <w:rPr>
          <w:b/>
        </w:rPr>
        <w:t xml:space="preserve">Ausgeschrieben: </w:t>
      </w:r>
      <w:r>
        <w:t>Individual Taxpayer Identification Number</w:t>
      </w:r>
    </w:p>
    <w:p w14:paraId="230ABCBC" w14:textId="77777777" w:rsidR="001F7233" w:rsidRDefault="00000000">
      <w:r>
        <w:rPr>
          <w:b/>
        </w:rPr>
        <w:t xml:space="preserve">Kurzerklärung: </w:t>
      </w:r>
      <w:r>
        <w:t>Steuernummer für Personen ohne Anspruch auf eine SSN</w:t>
      </w:r>
    </w:p>
    <w:p w14:paraId="6DF7483E" w14:textId="77777777" w:rsidR="001F7233" w:rsidRDefault="00000000">
      <w:r>
        <w:rPr>
          <w:b/>
        </w:rPr>
        <w:t>SSN</w:t>
      </w:r>
    </w:p>
    <w:p w14:paraId="429B6B75" w14:textId="77777777" w:rsidR="001F7233" w:rsidRDefault="00000000">
      <w:r>
        <w:rPr>
          <w:b/>
        </w:rPr>
        <w:t xml:space="preserve">Ausgeschrieben: </w:t>
      </w:r>
      <w:r>
        <w:t>Social Security Number</w:t>
      </w:r>
    </w:p>
    <w:p w14:paraId="5F7647EF" w14:textId="77777777" w:rsidR="001F7233" w:rsidRDefault="00000000">
      <w:r>
        <w:rPr>
          <w:b/>
        </w:rPr>
        <w:t xml:space="preserve">Kurzerklärung: </w:t>
      </w:r>
      <w:r>
        <w:t>Sozialversicherungsnummer, zentrale US-Identifikationsnummer</w:t>
      </w:r>
    </w:p>
    <w:p w14:paraId="57B29342" w14:textId="77777777" w:rsidR="001F7233" w:rsidRDefault="00000000">
      <w:r>
        <w:rPr>
          <w:b/>
        </w:rPr>
        <w:t>EAD</w:t>
      </w:r>
    </w:p>
    <w:p w14:paraId="78C83958" w14:textId="77777777" w:rsidR="001F7233" w:rsidRDefault="00000000">
      <w:r>
        <w:rPr>
          <w:b/>
        </w:rPr>
        <w:t xml:space="preserve">Ausgeschrieben: </w:t>
      </w:r>
      <w:r>
        <w:t>Employment Authorization Document</w:t>
      </w:r>
    </w:p>
    <w:p w14:paraId="344CD42A" w14:textId="77777777" w:rsidR="001F7233" w:rsidRDefault="00000000">
      <w:r>
        <w:rPr>
          <w:b/>
        </w:rPr>
        <w:t xml:space="preserve">Kurzerklärung: </w:t>
      </w:r>
      <w:r>
        <w:t>Arbeitserlaubniskarte, ausgestellt nach Form I-765</w:t>
      </w:r>
    </w:p>
    <w:p w14:paraId="02741804" w14:textId="77777777" w:rsidR="001F7233" w:rsidRDefault="00000000">
      <w:r>
        <w:rPr>
          <w:b/>
        </w:rPr>
        <w:t>LCA</w:t>
      </w:r>
    </w:p>
    <w:p w14:paraId="3ACA133E" w14:textId="77777777" w:rsidR="001F7233" w:rsidRDefault="00000000">
      <w:r>
        <w:rPr>
          <w:b/>
        </w:rPr>
        <w:t xml:space="preserve">Ausgeschrieben: </w:t>
      </w:r>
      <w:r>
        <w:t>Labor Condition Application</w:t>
      </w:r>
    </w:p>
    <w:p w14:paraId="7550F76E" w14:textId="77777777" w:rsidR="001F7233" w:rsidRDefault="00000000">
      <w:r>
        <w:rPr>
          <w:b/>
        </w:rPr>
        <w:t xml:space="preserve">Kurzerklärung: </w:t>
      </w:r>
      <w:r>
        <w:t>Erklärung des Arbeitgebers zu Lohn und Arbeitsbedingungen vor H-1B-Petitionen</w:t>
      </w:r>
    </w:p>
    <w:p w14:paraId="3E3139DC" w14:textId="77777777" w:rsidR="001F7233" w:rsidRDefault="00000000">
      <w:r>
        <w:rPr>
          <w:b/>
        </w:rPr>
        <w:t>PERM</w:t>
      </w:r>
    </w:p>
    <w:p w14:paraId="0185935A" w14:textId="77777777" w:rsidR="001F7233" w:rsidRDefault="00000000">
      <w:r>
        <w:rPr>
          <w:b/>
        </w:rPr>
        <w:t xml:space="preserve">Ausgeschrieben: </w:t>
      </w:r>
      <w:r>
        <w:t>Program Electronic Review Management</w:t>
      </w:r>
    </w:p>
    <w:p w14:paraId="7C72A2C8" w14:textId="77777777" w:rsidR="001F7233" w:rsidRDefault="00000000">
      <w:r>
        <w:rPr>
          <w:b/>
        </w:rPr>
        <w:t xml:space="preserve">Kurzerklärung: </w:t>
      </w:r>
      <w:r>
        <w:t>Arbeitsmarktprüfung des DOL vor der arbeitgebergestützten Green-Card-Petition</w:t>
      </w:r>
    </w:p>
    <w:p w14:paraId="54DBD09C" w14:textId="77777777" w:rsidR="001F7233" w:rsidRDefault="00000000">
      <w:r>
        <w:rPr>
          <w:b/>
        </w:rPr>
        <w:t>AC21</w:t>
      </w:r>
    </w:p>
    <w:p w14:paraId="0FDEE317" w14:textId="77777777" w:rsidR="001F7233" w:rsidRDefault="00000000">
      <w:r>
        <w:rPr>
          <w:b/>
        </w:rPr>
        <w:t xml:space="preserve">Ausgeschrieben: </w:t>
      </w:r>
      <w:r>
        <w:t>American Competitiveness in the Twenty-First Century Act</w:t>
      </w:r>
    </w:p>
    <w:p w14:paraId="74BAAAD7" w14:textId="77777777" w:rsidR="001F7233" w:rsidRDefault="00000000">
      <w:r>
        <w:rPr>
          <w:b/>
        </w:rPr>
        <w:t xml:space="preserve">Kurzerklärung: </w:t>
      </w:r>
      <w:r>
        <w:t>Erlaubt Arbeitgeberwechsel bei lange anhängigem Green-Card-Verfahren</w:t>
      </w:r>
    </w:p>
    <w:p w14:paraId="3838F0DE" w14:textId="77777777" w:rsidR="001F7233" w:rsidRDefault="00000000">
      <w:r>
        <w:rPr>
          <w:b/>
        </w:rPr>
        <w:t>CSPA</w:t>
      </w:r>
    </w:p>
    <w:p w14:paraId="7B7D4ABD" w14:textId="77777777" w:rsidR="001F7233" w:rsidRDefault="00000000">
      <w:r>
        <w:rPr>
          <w:b/>
        </w:rPr>
        <w:t xml:space="preserve">Ausgeschrieben: </w:t>
      </w:r>
      <w:r>
        <w:t>Child Status Protection Act</w:t>
      </w:r>
    </w:p>
    <w:p w14:paraId="10A9298D" w14:textId="77777777" w:rsidR="001F7233" w:rsidRDefault="00000000">
      <w:r>
        <w:rPr>
          <w:b/>
        </w:rPr>
        <w:t>COBRA</w:t>
      </w:r>
    </w:p>
    <w:p w14:paraId="44ABC77C" w14:textId="77777777" w:rsidR="001F7233" w:rsidRDefault="00000000">
      <w:r>
        <w:rPr>
          <w:b/>
        </w:rPr>
        <w:t xml:space="preserve">Ausgeschrieben: </w:t>
      </w:r>
      <w:r>
        <w:t>Consolidated Omnibus Budget Reconciliation Act</w:t>
      </w:r>
    </w:p>
    <w:p w14:paraId="0D10C1E8" w14:textId="77777777" w:rsidR="001F7233" w:rsidRDefault="00000000">
      <w:r>
        <w:rPr>
          <w:b/>
        </w:rPr>
        <w:t xml:space="preserve">Kurzerklärung: </w:t>
      </w:r>
      <w:r>
        <w:t>Befristete Fortführung der Arbeitgeber-Krankenversicherung nach Jobverlust</w:t>
      </w:r>
    </w:p>
    <w:p w14:paraId="56EB9D4C" w14:textId="77777777" w:rsidR="001F7233" w:rsidRDefault="00000000">
      <w:r>
        <w:rPr>
          <w:b/>
        </w:rPr>
        <w:t>FMLA</w:t>
      </w:r>
    </w:p>
    <w:p w14:paraId="27FE5968" w14:textId="77777777" w:rsidR="001F7233" w:rsidRDefault="00000000">
      <w:r>
        <w:rPr>
          <w:b/>
        </w:rPr>
        <w:t xml:space="preserve">Ausgeschrieben: </w:t>
      </w:r>
      <w:r>
        <w:t>Family and Medical Leave Act</w:t>
      </w:r>
    </w:p>
    <w:p w14:paraId="63B8BABA" w14:textId="77777777" w:rsidR="001F7233" w:rsidRDefault="00000000">
      <w:r>
        <w:rPr>
          <w:b/>
        </w:rPr>
        <w:t xml:space="preserve">Kurzerklärung: </w:t>
      </w:r>
      <w:r>
        <w:t>Unbezahlter, arbeitsplatzgeschützter Familien- und Pflegeurlaub (Bund)</w:t>
      </w:r>
    </w:p>
    <w:p w14:paraId="40E06A81" w14:textId="77777777" w:rsidR="001F7233" w:rsidRDefault="00000000">
      <w:r>
        <w:rPr>
          <w:b/>
        </w:rPr>
        <w:t>GKV</w:t>
      </w:r>
    </w:p>
    <w:p w14:paraId="7C62B725" w14:textId="77777777" w:rsidR="001F7233" w:rsidRDefault="00000000">
      <w:r>
        <w:rPr>
          <w:b/>
        </w:rPr>
        <w:lastRenderedPageBreak/>
        <w:t xml:space="preserve">Ausgeschrieben: </w:t>
      </w:r>
      <w:r>
        <w:t>Gesetzliche Krankenversicherung</w:t>
      </w:r>
    </w:p>
    <w:p w14:paraId="7218EFF0" w14:textId="77777777" w:rsidR="001F7233" w:rsidRDefault="00000000">
      <w:r>
        <w:rPr>
          <w:b/>
        </w:rPr>
        <w:t xml:space="preserve">Kurzerklärung: </w:t>
      </w:r>
      <w:r>
        <w:t>Deutsche gesetzliche Krankenkasse</w:t>
      </w:r>
    </w:p>
    <w:p w14:paraId="41B9C0CD" w14:textId="77777777" w:rsidR="001F7233" w:rsidRDefault="00000000">
      <w:r>
        <w:rPr>
          <w:b/>
        </w:rPr>
        <w:t>PKV</w:t>
      </w:r>
    </w:p>
    <w:p w14:paraId="0E2640A2" w14:textId="77777777" w:rsidR="001F7233" w:rsidRDefault="00000000">
      <w:r>
        <w:rPr>
          <w:b/>
        </w:rPr>
        <w:t xml:space="preserve">Ausgeschrieben: </w:t>
      </w:r>
      <w:r>
        <w:t>Private Krankenversicherung</w:t>
      </w:r>
    </w:p>
    <w:p w14:paraId="6C8A3741" w14:textId="77777777" w:rsidR="001F7233" w:rsidRDefault="00000000">
      <w:r>
        <w:rPr>
          <w:b/>
        </w:rPr>
        <w:t xml:space="preserve">Kurzerklärung: </w:t>
      </w:r>
      <w:r>
        <w:t>Deutsche private Krankenkasse</w:t>
      </w:r>
    </w:p>
    <w:p w14:paraId="0D769F7E" w14:textId="77777777" w:rsidR="001F7233" w:rsidRDefault="00000000">
      <w:r>
        <w:rPr>
          <w:b/>
        </w:rPr>
        <w:t>AStG</w:t>
      </w:r>
    </w:p>
    <w:p w14:paraId="1AD16763" w14:textId="77777777" w:rsidR="001F7233" w:rsidRDefault="00000000">
      <w:r>
        <w:rPr>
          <w:b/>
        </w:rPr>
        <w:t xml:space="preserve">Ausgeschrieben: </w:t>
      </w:r>
      <w:r>
        <w:t>Außensteuergesetz</w:t>
      </w:r>
    </w:p>
    <w:p w14:paraId="6E7806CC" w14:textId="77777777" w:rsidR="001F7233" w:rsidRDefault="00000000">
      <w:r>
        <w:rPr>
          <w:b/>
        </w:rPr>
        <w:t xml:space="preserve">Kurzerklärung: </w:t>
      </w:r>
      <w:r>
        <w:t>Deutsches Gesetz, regelt unter anderem die Wegzugsteuer</w:t>
      </w:r>
    </w:p>
    <w:p w14:paraId="0DA9A50B" w14:textId="77777777" w:rsidR="001F7233" w:rsidRDefault="00000000">
      <w:r>
        <w:rPr>
          <w:b/>
        </w:rPr>
        <w:t>EStG</w:t>
      </w:r>
    </w:p>
    <w:p w14:paraId="402D3DE2" w14:textId="77777777" w:rsidR="001F7233" w:rsidRDefault="00000000">
      <w:r>
        <w:rPr>
          <w:b/>
        </w:rPr>
        <w:t xml:space="preserve">Ausgeschrieben: </w:t>
      </w:r>
      <w:r>
        <w:t>Einkommensteuergesetz</w:t>
      </w:r>
    </w:p>
    <w:p w14:paraId="22ABEB5C" w14:textId="77777777" w:rsidR="001F7233" w:rsidRDefault="00000000">
      <w:r>
        <w:rPr>
          <w:b/>
        </w:rPr>
        <w:t xml:space="preserve">Kurzerklärung: </w:t>
      </w:r>
      <w:r>
        <w:t>Deutsches Einkommensteuerrecht</w:t>
      </w:r>
    </w:p>
    <w:p w14:paraId="3870DD3F" w14:textId="77777777" w:rsidR="001F7233" w:rsidRDefault="00000000">
      <w:r>
        <w:rPr>
          <w:b/>
        </w:rPr>
        <w:t>BGB</w:t>
      </w:r>
    </w:p>
    <w:p w14:paraId="5CE495E6" w14:textId="77777777" w:rsidR="001F7233" w:rsidRDefault="00000000">
      <w:r>
        <w:rPr>
          <w:b/>
        </w:rPr>
        <w:t xml:space="preserve">Ausgeschrieben: </w:t>
      </w:r>
      <w:r>
        <w:t>Bürgerliches Gesetzbuch</w:t>
      </w:r>
    </w:p>
    <w:p w14:paraId="4857747E" w14:textId="77777777" w:rsidR="001F7233" w:rsidRDefault="00000000">
      <w:r>
        <w:rPr>
          <w:b/>
        </w:rPr>
        <w:t xml:space="preserve">Kurzerklärung: </w:t>
      </w:r>
      <w:r>
        <w:t>Deutsches Zivilrecht, etwa Miet- und Maklerrecht</w:t>
      </w:r>
    </w:p>
    <w:p w14:paraId="5E1CDABE" w14:textId="77777777" w:rsidR="001F7233" w:rsidRDefault="00000000">
      <w:r>
        <w:rPr>
          <w:b/>
        </w:rPr>
        <w:t>SGB</w:t>
      </w:r>
    </w:p>
    <w:p w14:paraId="1400841E" w14:textId="77777777" w:rsidR="001F7233" w:rsidRDefault="00000000">
      <w:r>
        <w:rPr>
          <w:b/>
        </w:rPr>
        <w:t xml:space="preserve">Ausgeschrieben: </w:t>
      </w:r>
      <w:r>
        <w:t>Sozialgesetzbuch</w:t>
      </w:r>
    </w:p>
    <w:p w14:paraId="72D9253F" w14:textId="77777777" w:rsidR="001F7233" w:rsidRDefault="00000000">
      <w:r>
        <w:rPr>
          <w:b/>
        </w:rPr>
        <w:t xml:space="preserve">Kurzerklärung: </w:t>
      </w:r>
      <w:r>
        <w:t>Deutsches Sozialrecht; SGB V regelt die Krankenversicherung</w:t>
      </w:r>
    </w:p>
    <w:p w14:paraId="0F76E47D" w14:textId="77777777" w:rsidR="001F7233" w:rsidRDefault="00000000">
      <w:r>
        <w:rPr>
          <w:b/>
        </w:rPr>
        <w:t>DBA</w:t>
      </w:r>
    </w:p>
    <w:p w14:paraId="5F2859F6" w14:textId="77777777" w:rsidR="001F7233" w:rsidRDefault="00000000">
      <w:r>
        <w:rPr>
          <w:b/>
        </w:rPr>
        <w:t xml:space="preserve">Ausgeschrieben: </w:t>
      </w:r>
      <w:r>
        <w:t>Doppelbesteuerungsabkommen</w:t>
      </w:r>
    </w:p>
    <w:p w14:paraId="2A10284E" w14:textId="77777777" w:rsidR="001F7233" w:rsidRDefault="00000000">
      <w:r>
        <w:rPr>
          <w:b/>
        </w:rPr>
        <w:t xml:space="preserve">Kurzerklärung: </w:t>
      </w:r>
      <w:r>
        <w:t>Abkommen Deutschland–USA gegen doppelte Besteuerung</w:t>
      </w:r>
    </w:p>
    <w:p w14:paraId="48E70E6E" w14:textId="77777777" w:rsidR="001F7233" w:rsidRDefault="001F7233">
      <w:pPr>
        <w:spacing w:line="180" w:lineRule="exact"/>
      </w:pPr>
    </w:p>
    <w:p w14:paraId="632160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 Formulare und Abkürzungen</w:t>
      </w:r>
    </w:p>
    <w:p w14:paraId="127F5CAD" w14:textId="77777777" w:rsidR="001F7233" w:rsidRDefault="00000000">
      <w:r>
        <w:rPr>
          <w:b/>
        </w:rPr>
        <w:t>SIN</w:t>
      </w:r>
    </w:p>
    <w:p w14:paraId="3B131457" w14:textId="77777777" w:rsidR="001F7233" w:rsidRDefault="00000000">
      <w:r>
        <w:rPr>
          <w:b/>
        </w:rPr>
        <w:t xml:space="preserve">Zweck: </w:t>
      </w:r>
      <w:r>
        <w:t>Kanadische Sozialversicherungs- und Steuer-Identifikationsnummer</w:t>
      </w:r>
    </w:p>
    <w:p w14:paraId="66002FFC" w14:textId="77777777" w:rsidR="001F7233" w:rsidRDefault="00000000">
      <w:r>
        <w:rPr>
          <w:b/>
        </w:rPr>
        <w:t xml:space="preserve">Behörde: </w:t>
      </w:r>
      <w:r>
        <w:t>Service Canada</w:t>
      </w:r>
    </w:p>
    <w:p w14:paraId="303DC358" w14:textId="77777777" w:rsidR="001F7233" w:rsidRDefault="00000000">
      <w:r>
        <w:rPr>
          <w:b/>
        </w:rPr>
        <w:t xml:space="preserve">Referenz: </w:t>
      </w:r>
      <w:r>
        <w:t>Kanada: Ankunft</w:t>
      </w:r>
    </w:p>
    <w:p w14:paraId="4C7BD6EB" w14:textId="77777777" w:rsidR="001F7233" w:rsidRDefault="00000000">
      <w:r>
        <w:rPr>
          <w:b/>
        </w:rPr>
        <w:t>IRCC</w:t>
      </w:r>
    </w:p>
    <w:p w14:paraId="45F0C7F1" w14:textId="77777777" w:rsidR="001F7233" w:rsidRDefault="00000000">
      <w:r>
        <w:rPr>
          <w:b/>
        </w:rPr>
        <w:lastRenderedPageBreak/>
        <w:t xml:space="preserve">Zweck: </w:t>
      </w:r>
      <w:r>
        <w:t>Immigration, Refugees and Citizenship Canada – kanadische Einwanderungsbehörde</w:t>
      </w:r>
    </w:p>
    <w:p w14:paraId="413348D5" w14:textId="77777777" w:rsidR="001F7233" w:rsidRDefault="00000000">
      <w:r>
        <w:rPr>
          <w:b/>
        </w:rPr>
        <w:t xml:space="preserve">Referenz: </w:t>
      </w:r>
      <w:r>
        <w:t>Kanada: Einwanderung</w:t>
      </w:r>
    </w:p>
    <w:p w14:paraId="677DFCE0" w14:textId="77777777" w:rsidR="001F7233" w:rsidRDefault="00000000">
      <w:r>
        <w:rPr>
          <w:b/>
        </w:rPr>
        <w:t>Express Entry</w:t>
      </w:r>
    </w:p>
    <w:p w14:paraId="675B13FC" w14:textId="77777777" w:rsidR="001F7233" w:rsidRDefault="00000000">
      <w:r>
        <w:rPr>
          <w:b/>
        </w:rPr>
        <w:t xml:space="preserve">Zweck: </w:t>
      </w:r>
      <w:r>
        <w:t>Online-Verwaltungssystem für die wichtigsten PR-Wege (FSW, CEC, FST, viele PNP)</w:t>
      </w:r>
    </w:p>
    <w:p w14:paraId="2C1A98FE" w14:textId="77777777" w:rsidR="001F7233" w:rsidRDefault="00000000">
      <w:r>
        <w:rPr>
          <w:b/>
        </w:rPr>
        <w:t xml:space="preserve">Behörde: </w:t>
      </w:r>
      <w:r>
        <w:t>IRCC</w:t>
      </w:r>
    </w:p>
    <w:p w14:paraId="136C1813" w14:textId="77777777" w:rsidR="001F7233" w:rsidRDefault="00000000">
      <w:r>
        <w:rPr>
          <w:b/>
        </w:rPr>
        <w:t xml:space="preserve">Referenz: </w:t>
      </w:r>
      <w:r>
        <w:t>Kanada: Einwanderung</w:t>
      </w:r>
    </w:p>
    <w:p w14:paraId="34E4558A" w14:textId="77777777" w:rsidR="001F7233" w:rsidRDefault="00000000">
      <w:r>
        <w:rPr>
          <w:b/>
        </w:rPr>
        <w:t>CRS</w:t>
      </w:r>
    </w:p>
    <w:p w14:paraId="36B2514C" w14:textId="77777777" w:rsidR="001F7233" w:rsidRDefault="00000000">
      <w:r>
        <w:rPr>
          <w:b/>
        </w:rPr>
        <w:t xml:space="preserve">Zweck: </w:t>
      </w:r>
      <w:r>
        <w:t>Comprehensive Ranking System – Punktewert, der über die Einladung zum PR-Antrag entscheidet</w:t>
      </w:r>
    </w:p>
    <w:p w14:paraId="71E592FE" w14:textId="77777777" w:rsidR="001F7233" w:rsidRDefault="00000000">
      <w:r>
        <w:rPr>
          <w:b/>
        </w:rPr>
        <w:t xml:space="preserve">Behörde: </w:t>
      </w:r>
      <w:r>
        <w:t>IRCC</w:t>
      </w:r>
    </w:p>
    <w:p w14:paraId="0F4517EE" w14:textId="77777777" w:rsidR="001F7233" w:rsidRDefault="00000000">
      <w:r>
        <w:rPr>
          <w:b/>
        </w:rPr>
        <w:t xml:space="preserve">Referenz: </w:t>
      </w:r>
      <w:r>
        <w:t>Kanada: Einwanderung</w:t>
      </w:r>
    </w:p>
    <w:p w14:paraId="68B3D076" w14:textId="77777777" w:rsidR="001F7233" w:rsidRDefault="00000000">
      <w:r>
        <w:rPr>
          <w:b/>
        </w:rPr>
        <w:t>FSW</w:t>
      </w:r>
    </w:p>
    <w:p w14:paraId="55513840" w14:textId="77777777" w:rsidR="001F7233" w:rsidRDefault="00000000">
      <w:r>
        <w:rPr>
          <w:b/>
        </w:rPr>
        <w:t xml:space="preserve">Zweck: </w:t>
      </w:r>
      <w:r>
        <w:t>Federal Skilled Worker Program – Bundesprogramm für Fachkräfte innerhalb Express Entry</w:t>
      </w:r>
    </w:p>
    <w:p w14:paraId="27E7D2FB" w14:textId="77777777" w:rsidR="001F7233" w:rsidRDefault="00000000">
      <w:r>
        <w:rPr>
          <w:b/>
        </w:rPr>
        <w:t xml:space="preserve">Behörde: </w:t>
      </w:r>
      <w:r>
        <w:t>IRCC</w:t>
      </w:r>
    </w:p>
    <w:p w14:paraId="0395B7F6" w14:textId="77777777" w:rsidR="001F7233" w:rsidRDefault="00000000">
      <w:r>
        <w:rPr>
          <w:b/>
        </w:rPr>
        <w:t xml:space="preserve">Referenz: </w:t>
      </w:r>
      <w:r>
        <w:t>Kanada: Einwanderung</w:t>
      </w:r>
    </w:p>
    <w:p w14:paraId="21BF0481" w14:textId="77777777" w:rsidR="001F7233" w:rsidRDefault="00000000">
      <w:r>
        <w:rPr>
          <w:b/>
        </w:rPr>
        <w:t>CEC</w:t>
      </w:r>
    </w:p>
    <w:p w14:paraId="381C7BD1" w14:textId="77777777" w:rsidR="001F7233" w:rsidRDefault="00000000">
      <w:r>
        <w:rPr>
          <w:b/>
        </w:rPr>
        <w:t xml:space="preserve">Zweck: </w:t>
      </w:r>
      <w:r>
        <w:t>Canadian Experience Class – Bundesprogramm für bereits in Kanada Berufstätige</w:t>
      </w:r>
    </w:p>
    <w:p w14:paraId="37C6C82F" w14:textId="77777777" w:rsidR="001F7233" w:rsidRDefault="00000000">
      <w:r>
        <w:rPr>
          <w:b/>
        </w:rPr>
        <w:t xml:space="preserve">Behörde: </w:t>
      </w:r>
      <w:r>
        <w:t>IRCC</w:t>
      </w:r>
    </w:p>
    <w:p w14:paraId="5FFA82F2" w14:textId="77777777" w:rsidR="001F7233" w:rsidRDefault="00000000">
      <w:r>
        <w:rPr>
          <w:b/>
        </w:rPr>
        <w:t xml:space="preserve">Referenz: </w:t>
      </w:r>
      <w:r>
        <w:t>Kanada: Einwanderung</w:t>
      </w:r>
    </w:p>
    <w:p w14:paraId="287E6FE2" w14:textId="77777777" w:rsidR="001F7233" w:rsidRDefault="00000000">
      <w:r>
        <w:rPr>
          <w:b/>
        </w:rPr>
        <w:t>FST</w:t>
      </w:r>
    </w:p>
    <w:p w14:paraId="1596EF25" w14:textId="77777777" w:rsidR="001F7233" w:rsidRDefault="00000000">
      <w:r>
        <w:rPr>
          <w:b/>
        </w:rPr>
        <w:t xml:space="preserve">Zweck: </w:t>
      </w:r>
      <w:r>
        <w:t>Federal Skilled Trades Program – Bundesprogramm für Handwerksberufe</w:t>
      </w:r>
    </w:p>
    <w:p w14:paraId="5A612134" w14:textId="77777777" w:rsidR="001F7233" w:rsidRDefault="00000000">
      <w:r>
        <w:rPr>
          <w:b/>
        </w:rPr>
        <w:t xml:space="preserve">Behörde: </w:t>
      </w:r>
      <w:r>
        <w:t>IRCC</w:t>
      </w:r>
    </w:p>
    <w:p w14:paraId="5B439BA9" w14:textId="77777777" w:rsidR="001F7233" w:rsidRDefault="00000000">
      <w:r>
        <w:rPr>
          <w:b/>
        </w:rPr>
        <w:t xml:space="preserve">Referenz: </w:t>
      </w:r>
      <w:r>
        <w:t>Kanada: Einwanderung</w:t>
      </w:r>
    </w:p>
    <w:p w14:paraId="4BB77F15" w14:textId="77777777" w:rsidR="001F7233" w:rsidRDefault="00000000">
      <w:r>
        <w:rPr>
          <w:b/>
        </w:rPr>
        <w:t>PNP</w:t>
      </w:r>
    </w:p>
    <w:p w14:paraId="5993168E" w14:textId="77777777" w:rsidR="001F7233" w:rsidRDefault="00000000">
      <w:r>
        <w:rPr>
          <w:b/>
        </w:rPr>
        <w:t xml:space="preserve">Zweck: </w:t>
      </w:r>
      <w:r>
        <w:t>Provincial Nominee Program – Nominierungsprogramm der einzelnen Provinzen</w:t>
      </w:r>
    </w:p>
    <w:p w14:paraId="7AD51BD3" w14:textId="77777777" w:rsidR="001F7233" w:rsidRDefault="00000000">
      <w:r>
        <w:rPr>
          <w:b/>
        </w:rPr>
        <w:t xml:space="preserve">Behörde: </w:t>
      </w:r>
      <w:r>
        <w:t>jeweilige Provinzbehörde</w:t>
      </w:r>
    </w:p>
    <w:p w14:paraId="5C99707A" w14:textId="77777777" w:rsidR="001F7233" w:rsidRDefault="00000000">
      <w:r>
        <w:rPr>
          <w:b/>
        </w:rPr>
        <w:t xml:space="preserve">Referenz: </w:t>
      </w:r>
      <w:r>
        <w:t>Kanada: Einwanderung</w:t>
      </w:r>
    </w:p>
    <w:p w14:paraId="057CD7DC" w14:textId="77777777" w:rsidR="001F7233" w:rsidRDefault="00000000">
      <w:r>
        <w:rPr>
          <w:b/>
        </w:rPr>
        <w:t>LMIA</w:t>
      </w:r>
    </w:p>
    <w:p w14:paraId="2171B6BD" w14:textId="77777777" w:rsidR="001F7233" w:rsidRDefault="00000000">
      <w:r>
        <w:rPr>
          <w:b/>
        </w:rPr>
        <w:lastRenderedPageBreak/>
        <w:t xml:space="preserve">Zweck: </w:t>
      </w:r>
      <w:r>
        <w:t>Labour Market Impact Assessment – Arbeitsmarktprüfung vor arbeitgebergebundenem Arbeitsvisum</w:t>
      </w:r>
    </w:p>
    <w:p w14:paraId="227C43C2" w14:textId="77777777" w:rsidR="001F7233" w:rsidRDefault="00000000">
      <w:r>
        <w:rPr>
          <w:b/>
        </w:rPr>
        <w:t xml:space="preserve">Behörde: </w:t>
      </w:r>
      <w:r>
        <w:t>ESDC</w:t>
      </w:r>
    </w:p>
    <w:p w14:paraId="14402DD0" w14:textId="77777777" w:rsidR="001F7233" w:rsidRDefault="00000000">
      <w:r>
        <w:rPr>
          <w:b/>
        </w:rPr>
        <w:t xml:space="preserve">Referenz: </w:t>
      </w:r>
      <w:r>
        <w:t>Kanada: Arbeit</w:t>
      </w:r>
    </w:p>
    <w:p w14:paraId="7D2A5136" w14:textId="77777777" w:rsidR="001F7233" w:rsidRDefault="00000000">
      <w:r>
        <w:rPr>
          <w:b/>
        </w:rPr>
        <w:t>NOC</w:t>
      </w:r>
    </w:p>
    <w:p w14:paraId="5B7A7DDA" w14:textId="77777777" w:rsidR="001F7233" w:rsidRDefault="00000000">
      <w:r>
        <w:rPr>
          <w:b/>
        </w:rPr>
        <w:t xml:space="preserve">Zweck: </w:t>
      </w:r>
      <w:r>
        <w:t>National Occupational Classification – Berufscode-System für Visa und Punktetest</w:t>
      </w:r>
    </w:p>
    <w:p w14:paraId="053AEA24" w14:textId="77777777" w:rsidR="001F7233" w:rsidRDefault="00000000">
      <w:r>
        <w:rPr>
          <w:b/>
        </w:rPr>
        <w:t xml:space="preserve">Behörde: </w:t>
      </w:r>
      <w:r>
        <w:t>ESDC/Statistics Canada</w:t>
      </w:r>
    </w:p>
    <w:p w14:paraId="403527AB" w14:textId="77777777" w:rsidR="001F7233" w:rsidRDefault="00000000">
      <w:r>
        <w:rPr>
          <w:b/>
        </w:rPr>
        <w:t xml:space="preserve">Referenz: </w:t>
      </w:r>
      <w:r>
        <w:t>Kanada: Arbeit</w:t>
      </w:r>
    </w:p>
    <w:p w14:paraId="523F94A0" w14:textId="77777777" w:rsidR="001F7233" w:rsidRDefault="00000000">
      <w:r>
        <w:rPr>
          <w:b/>
        </w:rPr>
        <w:t>PGWP</w:t>
      </w:r>
    </w:p>
    <w:p w14:paraId="6C359F3B" w14:textId="77777777" w:rsidR="001F7233" w:rsidRDefault="00000000">
      <w:r>
        <w:rPr>
          <w:b/>
        </w:rPr>
        <w:t xml:space="preserve">Zweck: </w:t>
      </w:r>
      <w:r>
        <w:t>Post-Graduation Work Permit – offenes Arbeitsvisum nach kanadischem Studienabschluss</w:t>
      </w:r>
    </w:p>
    <w:p w14:paraId="602A83DB" w14:textId="77777777" w:rsidR="001F7233" w:rsidRDefault="00000000">
      <w:r>
        <w:rPr>
          <w:b/>
        </w:rPr>
        <w:t xml:space="preserve">Behörde: </w:t>
      </w:r>
      <w:r>
        <w:t>IRCC</w:t>
      </w:r>
    </w:p>
    <w:p w14:paraId="5A115847" w14:textId="77777777" w:rsidR="001F7233" w:rsidRDefault="00000000">
      <w:r>
        <w:rPr>
          <w:b/>
        </w:rPr>
        <w:t xml:space="preserve">Referenz: </w:t>
      </w:r>
      <w:r>
        <w:t>Kanada: Einwanderung</w:t>
      </w:r>
    </w:p>
    <w:p w14:paraId="66746EF6" w14:textId="77777777" w:rsidR="001F7233" w:rsidRDefault="00000000">
      <w:r>
        <w:rPr>
          <w:b/>
        </w:rPr>
        <w:t>ECA</w:t>
      </w:r>
    </w:p>
    <w:p w14:paraId="1BD1C509" w14:textId="77777777" w:rsidR="001F7233" w:rsidRDefault="00000000">
      <w:r>
        <w:rPr>
          <w:b/>
        </w:rPr>
        <w:t xml:space="preserve">Zweck: </w:t>
      </w:r>
      <w:r>
        <w:t>Educational Credential Assessment – Bewertung eines ausländischen Bildungsabschlusses</w:t>
      </w:r>
    </w:p>
    <w:p w14:paraId="5980B2CD" w14:textId="77777777" w:rsidR="001F7233" w:rsidRDefault="00000000">
      <w:r>
        <w:rPr>
          <w:b/>
        </w:rPr>
        <w:t xml:space="preserve">Behörde: </w:t>
      </w:r>
      <w:r>
        <w:t>anerkannte Bewertungsstelle</w:t>
      </w:r>
    </w:p>
    <w:p w14:paraId="395835B8" w14:textId="77777777" w:rsidR="001F7233" w:rsidRDefault="00000000">
      <w:r>
        <w:rPr>
          <w:b/>
        </w:rPr>
        <w:t xml:space="preserve">Referenz: </w:t>
      </w:r>
      <w:r>
        <w:t>Kanada: Einwanderung</w:t>
      </w:r>
    </w:p>
    <w:p w14:paraId="0811A61E" w14:textId="77777777" w:rsidR="001F7233" w:rsidRDefault="00000000">
      <w:r>
        <w:rPr>
          <w:b/>
        </w:rPr>
        <w:t>CLB/NCLC</w:t>
      </w:r>
    </w:p>
    <w:p w14:paraId="281E914F" w14:textId="77777777" w:rsidR="001F7233" w:rsidRDefault="00000000">
      <w:r>
        <w:rPr>
          <w:b/>
        </w:rPr>
        <w:t xml:space="preserve">Zweck: </w:t>
      </w:r>
      <w:r>
        <w:t>Canadian Language Benchmark – Sprachniveau-Skala für Englisch beziehungsweise Französisch</w:t>
      </w:r>
    </w:p>
    <w:p w14:paraId="37B95752" w14:textId="77777777" w:rsidR="001F7233" w:rsidRDefault="00000000">
      <w:r>
        <w:rPr>
          <w:b/>
        </w:rPr>
        <w:t xml:space="preserve">Behörde: </w:t>
      </w:r>
      <w:r>
        <w:t>IRCC</w:t>
      </w:r>
    </w:p>
    <w:p w14:paraId="5C57B38A" w14:textId="77777777" w:rsidR="001F7233" w:rsidRDefault="00000000">
      <w:r>
        <w:rPr>
          <w:b/>
        </w:rPr>
        <w:t xml:space="preserve">Referenz: </w:t>
      </w:r>
      <w:r>
        <w:t>Kanada: Einwanderung</w:t>
      </w:r>
    </w:p>
    <w:p w14:paraId="2B8F8B4D" w14:textId="77777777" w:rsidR="001F7233" w:rsidRDefault="00000000">
      <w:r>
        <w:rPr>
          <w:b/>
        </w:rPr>
        <w:t>RC151</w:t>
      </w:r>
    </w:p>
    <w:p w14:paraId="3CDFDE77" w14:textId="77777777" w:rsidR="001F7233" w:rsidRDefault="00000000">
      <w:r>
        <w:rPr>
          <w:b/>
        </w:rPr>
        <w:t xml:space="preserve">Zweck: </w:t>
      </w:r>
      <w:r>
        <w:t>Antrag auf den GST/HST-Credit für Neuankömmlinge</w:t>
      </w:r>
    </w:p>
    <w:p w14:paraId="73665EBC" w14:textId="77777777" w:rsidR="001F7233" w:rsidRDefault="00000000">
      <w:r>
        <w:rPr>
          <w:b/>
        </w:rPr>
        <w:t xml:space="preserve">Behörde: </w:t>
      </w:r>
      <w:r>
        <w:t>CRA</w:t>
      </w:r>
    </w:p>
    <w:p w14:paraId="394D3487" w14:textId="77777777" w:rsidR="001F7233" w:rsidRDefault="00000000">
      <w:r>
        <w:rPr>
          <w:b/>
        </w:rPr>
        <w:t xml:space="preserve">Referenz: </w:t>
      </w:r>
      <w:r>
        <w:t>Kanada: Steuer</w:t>
      </w:r>
    </w:p>
    <w:p w14:paraId="61E4FDFA" w14:textId="77777777" w:rsidR="001F7233" w:rsidRDefault="00000000">
      <w:r>
        <w:rPr>
          <w:b/>
        </w:rPr>
        <w:t>RC66</w:t>
      </w:r>
    </w:p>
    <w:p w14:paraId="28F03EFB" w14:textId="77777777" w:rsidR="001F7233" w:rsidRDefault="00000000">
      <w:r>
        <w:rPr>
          <w:b/>
        </w:rPr>
        <w:t xml:space="preserve">Zweck: </w:t>
      </w:r>
      <w:r>
        <w:t>Antrag auf die Canada Child Benefit</w:t>
      </w:r>
    </w:p>
    <w:p w14:paraId="23ACF0E3" w14:textId="77777777" w:rsidR="001F7233" w:rsidRDefault="00000000">
      <w:r>
        <w:rPr>
          <w:b/>
        </w:rPr>
        <w:t xml:space="preserve">Behörde: </w:t>
      </w:r>
      <w:r>
        <w:t>CRA</w:t>
      </w:r>
    </w:p>
    <w:p w14:paraId="3CA1F5CE" w14:textId="77777777" w:rsidR="001F7233" w:rsidRDefault="00000000">
      <w:r>
        <w:rPr>
          <w:b/>
        </w:rPr>
        <w:t xml:space="preserve">Referenz: </w:t>
      </w:r>
      <w:r>
        <w:t>Kanada: Steuer</w:t>
      </w:r>
    </w:p>
    <w:p w14:paraId="2C5FA24D" w14:textId="77777777" w:rsidR="001F7233" w:rsidRDefault="00000000">
      <w:r>
        <w:rPr>
          <w:b/>
        </w:rPr>
        <w:t>CRA</w:t>
      </w:r>
    </w:p>
    <w:p w14:paraId="6BE21BDE" w14:textId="77777777" w:rsidR="001F7233" w:rsidRDefault="00000000">
      <w:r>
        <w:rPr>
          <w:b/>
        </w:rPr>
        <w:t xml:space="preserve">Zweck: </w:t>
      </w:r>
      <w:r>
        <w:t>Canada Revenue Agency – kanadische Steuerbehörde</w:t>
      </w:r>
    </w:p>
    <w:p w14:paraId="5C5400D1" w14:textId="77777777" w:rsidR="001F7233" w:rsidRDefault="00000000">
      <w:r>
        <w:rPr>
          <w:b/>
        </w:rPr>
        <w:t xml:space="preserve">Referenz: </w:t>
      </w:r>
      <w:r>
        <w:t>Kanada: Steuer</w:t>
      </w:r>
    </w:p>
    <w:p w14:paraId="1DB044CB" w14:textId="77777777" w:rsidR="001F7233" w:rsidRDefault="00000000">
      <w:r>
        <w:rPr>
          <w:b/>
        </w:rPr>
        <w:lastRenderedPageBreak/>
        <w:t>CPP</w:t>
      </w:r>
    </w:p>
    <w:p w14:paraId="0E4BE4AF" w14:textId="77777777" w:rsidR="001F7233" w:rsidRDefault="00000000">
      <w:r>
        <w:rPr>
          <w:b/>
        </w:rPr>
        <w:t xml:space="preserve">Zweck: </w:t>
      </w:r>
      <w:r>
        <w:t>Canada Pension Plan – gesetzliche Rentenversicherung</w:t>
      </w:r>
    </w:p>
    <w:p w14:paraId="1090C540" w14:textId="77777777" w:rsidR="001F7233" w:rsidRDefault="00000000">
      <w:r>
        <w:rPr>
          <w:b/>
        </w:rPr>
        <w:t xml:space="preserve">Behörde: </w:t>
      </w:r>
      <w:r>
        <w:t>Service Canada</w:t>
      </w:r>
    </w:p>
    <w:p w14:paraId="1CEBDA28" w14:textId="77777777" w:rsidR="001F7233" w:rsidRDefault="00000000">
      <w:r>
        <w:rPr>
          <w:b/>
        </w:rPr>
        <w:t xml:space="preserve">Referenz: </w:t>
      </w:r>
      <w:r>
        <w:t>Kanada: Steuer</w:t>
      </w:r>
    </w:p>
    <w:p w14:paraId="1F1CE2F6" w14:textId="77777777" w:rsidR="001F7233" w:rsidRDefault="00000000">
      <w:r>
        <w:rPr>
          <w:b/>
        </w:rPr>
        <w:t>MSCA</w:t>
      </w:r>
    </w:p>
    <w:p w14:paraId="323BB436" w14:textId="77777777" w:rsidR="001F7233" w:rsidRDefault="00000000">
      <w:r>
        <w:rPr>
          <w:b/>
        </w:rPr>
        <w:t xml:space="preserve">Zweck: </w:t>
      </w:r>
      <w:r>
        <w:t>My Service Canada Account – Online-Konto für SIN, Employment Insurance und CPP</w:t>
      </w:r>
    </w:p>
    <w:p w14:paraId="377D41FA" w14:textId="77777777" w:rsidR="001F7233" w:rsidRDefault="00000000">
      <w:r>
        <w:rPr>
          <w:b/>
        </w:rPr>
        <w:t xml:space="preserve">Behörde: </w:t>
      </w:r>
      <w:r>
        <w:t>Service Canada</w:t>
      </w:r>
    </w:p>
    <w:p w14:paraId="5B58DCCD" w14:textId="77777777" w:rsidR="001F7233" w:rsidRDefault="00000000">
      <w:r>
        <w:rPr>
          <w:b/>
        </w:rPr>
        <w:t xml:space="preserve">Referenz: </w:t>
      </w:r>
      <w:r>
        <w:t>Kanada: Ankunft</w:t>
      </w:r>
    </w:p>
    <w:p w14:paraId="7B1B7B29" w14:textId="77777777" w:rsidR="001F7233" w:rsidRDefault="00000000">
      <w:r>
        <w:rPr>
          <w:b/>
        </w:rPr>
        <w:t>RCIC</w:t>
      </w:r>
    </w:p>
    <w:p w14:paraId="6850DA2A" w14:textId="77777777" w:rsidR="001F7233" w:rsidRDefault="00000000">
      <w:r>
        <w:rPr>
          <w:b/>
        </w:rPr>
        <w:t xml:space="preserve">Zweck: </w:t>
      </w:r>
      <w:r>
        <w:t>Regulated Canadian Immigration Consultant – zugelassene Einwanderungsberaterin oder zugelassener Einwanderungsberater</w:t>
      </w:r>
    </w:p>
    <w:p w14:paraId="00CE6A48" w14:textId="77777777" w:rsidR="001F7233" w:rsidRDefault="00000000">
      <w:r>
        <w:rPr>
          <w:b/>
        </w:rPr>
        <w:t xml:space="preserve">Behörde: </w:t>
      </w:r>
      <w:r>
        <w:t>CICC</w:t>
      </w:r>
    </w:p>
    <w:p w14:paraId="09D00AA6" w14:textId="77777777" w:rsidR="001F7233" w:rsidRDefault="00000000">
      <w:r>
        <w:rPr>
          <w:b/>
        </w:rPr>
        <w:t xml:space="preserve">Referenz: </w:t>
      </w:r>
      <w:r>
        <w:t>Kanada: Einwanderung</w:t>
      </w:r>
    </w:p>
    <w:p w14:paraId="0D354884" w14:textId="77777777" w:rsidR="001F7233" w:rsidRDefault="00000000">
      <w:r>
        <w:rPr>
          <w:b/>
        </w:rPr>
        <w:t>CICC</w:t>
      </w:r>
    </w:p>
    <w:p w14:paraId="502BB67F" w14:textId="77777777" w:rsidR="001F7233" w:rsidRDefault="00000000">
      <w:r>
        <w:rPr>
          <w:b/>
        </w:rPr>
        <w:t xml:space="preserve">Zweck: </w:t>
      </w:r>
      <w:r>
        <w:t>College of Immigration and Citizenship Consultants – Aufsichtsstelle für RCIC</w:t>
      </w:r>
    </w:p>
    <w:p w14:paraId="380513B8" w14:textId="77777777" w:rsidR="001F7233" w:rsidRDefault="00000000">
      <w:r>
        <w:rPr>
          <w:b/>
        </w:rPr>
        <w:t xml:space="preserve">Referenz: </w:t>
      </w:r>
      <w:r>
        <w:t>Kanada: Einwanderung</w:t>
      </w:r>
    </w:p>
    <w:p w14:paraId="35D25974" w14:textId="77777777" w:rsidR="001F7233" w:rsidRDefault="00000000">
      <w:r>
        <w:rPr>
          <w:b/>
        </w:rPr>
        <w:t>PGP</w:t>
      </w:r>
    </w:p>
    <w:p w14:paraId="61BE8849" w14:textId="77777777" w:rsidR="001F7233" w:rsidRDefault="00000000">
      <w:r>
        <w:rPr>
          <w:b/>
        </w:rPr>
        <w:t xml:space="preserve">Zweck: </w:t>
      </w:r>
      <w:r>
        <w:t>Parents and Grandparents Program – Familiennachzugs</w:t>
      </w:r>
      <w:r>
        <w:t>programm für Eltern und Großeltern</w:t>
      </w:r>
    </w:p>
    <w:p w14:paraId="657F4DDB" w14:textId="77777777" w:rsidR="001F7233" w:rsidRDefault="00000000">
      <w:r>
        <w:rPr>
          <w:b/>
        </w:rPr>
        <w:t xml:space="preserve">Behörde: </w:t>
      </w:r>
      <w:r>
        <w:t>IRCC</w:t>
      </w:r>
    </w:p>
    <w:p w14:paraId="5FDAB5A1" w14:textId="77777777" w:rsidR="001F7233" w:rsidRDefault="00000000">
      <w:r>
        <w:rPr>
          <w:b/>
        </w:rPr>
        <w:t xml:space="preserve">Referenz: </w:t>
      </w:r>
      <w:r>
        <w:t>Kanada: Familie</w:t>
      </w:r>
    </w:p>
    <w:p w14:paraId="6476D0FB" w14:textId="77777777" w:rsidR="001F7233" w:rsidRDefault="00000000">
      <w:r>
        <w:rPr>
          <w:b/>
        </w:rPr>
        <w:t>CBSA</w:t>
      </w:r>
    </w:p>
    <w:p w14:paraId="3D3C11D0" w14:textId="77777777" w:rsidR="001F7233" w:rsidRDefault="00000000">
      <w:r>
        <w:rPr>
          <w:b/>
        </w:rPr>
        <w:t xml:space="preserve">Zweck: </w:t>
      </w:r>
      <w:r>
        <w:t>Canada Border Services Agency – kanadischer Grenzschutz</w:t>
      </w:r>
    </w:p>
    <w:p w14:paraId="4484303B" w14:textId="77777777" w:rsidR="001F7233" w:rsidRDefault="00000000">
      <w:r>
        <w:rPr>
          <w:b/>
        </w:rPr>
        <w:t xml:space="preserve">Referenz: </w:t>
      </w:r>
      <w:r>
        <w:t>Kanada: Ankunft</w:t>
      </w:r>
    </w:p>
    <w:p w14:paraId="1E3B0ED8" w14:textId="77777777" w:rsidR="001F7233" w:rsidRDefault="001F7233">
      <w:pPr>
        <w:spacing w:line="180" w:lineRule="exact"/>
      </w:pPr>
    </w:p>
    <w:p w14:paraId="5AB52B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 Formulare und Abkürzungen</w:t>
      </w:r>
    </w:p>
    <w:p w14:paraId="736299BB" w14:textId="77777777" w:rsidR="001F7233" w:rsidRDefault="00000000">
      <w:r>
        <w:rPr>
          <w:b/>
        </w:rPr>
        <w:t>TFN</w:t>
      </w:r>
    </w:p>
    <w:p w14:paraId="28B08017" w14:textId="77777777" w:rsidR="001F7233" w:rsidRDefault="00000000">
      <w:r>
        <w:rPr>
          <w:b/>
        </w:rPr>
        <w:t xml:space="preserve">Zweck: </w:t>
      </w:r>
      <w:r>
        <w:t>Tax File Number – australische Steuer-Identifikationsnummer</w:t>
      </w:r>
    </w:p>
    <w:p w14:paraId="162EAE3A" w14:textId="77777777" w:rsidR="001F7233" w:rsidRDefault="00000000">
      <w:r>
        <w:rPr>
          <w:b/>
        </w:rPr>
        <w:lastRenderedPageBreak/>
        <w:t xml:space="preserve">Behörde: </w:t>
      </w:r>
      <w:r>
        <w:t>ATO</w:t>
      </w:r>
    </w:p>
    <w:p w14:paraId="17DE9F92" w14:textId="77777777" w:rsidR="001F7233" w:rsidRDefault="00000000">
      <w:r>
        <w:rPr>
          <w:b/>
        </w:rPr>
        <w:t xml:space="preserve">Referenz: </w:t>
      </w:r>
      <w:r>
        <w:t>Australien: Steuer</w:t>
      </w:r>
    </w:p>
    <w:p w14:paraId="529C55DE" w14:textId="77777777" w:rsidR="001F7233" w:rsidRDefault="00000000">
      <w:r>
        <w:rPr>
          <w:b/>
        </w:rPr>
        <w:t>ATO</w:t>
      </w:r>
    </w:p>
    <w:p w14:paraId="5296F778" w14:textId="77777777" w:rsidR="001F7233" w:rsidRDefault="00000000">
      <w:r>
        <w:rPr>
          <w:b/>
        </w:rPr>
        <w:t xml:space="preserve">Zweck: </w:t>
      </w:r>
      <w:r>
        <w:t>Australian Taxation Office – australische Steuerbehörde</w:t>
      </w:r>
    </w:p>
    <w:p w14:paraId="04A09DEC" w14:textId="77777777" w:rsidR="001F7233" w:rsidRDefault="00000000">
      <w:r>
        <w:rPr>
          <w:b/>
        </w:rPr>
        <w:t xml:space="preserve">Referenz: </w:t>
      </w:r>
      <w:r>
        <w:t>Australien: Steuer</w:t>
      </w:r>
    </w:p>
    <w:p w14:paraId="20D72CB8" w14:textId="77777777" w:rsidR="001F7233" w:rsidRDefault="00000000">
      <w:r>
        <w:rPr>
          <w:b/>
        </w:rPr>
        <w:t>ImmiAccount</w:t>
      </w:r>
    </w:p>
    <w:p w14:paraId="79DB5B58" w14:textId="77777777" w:rsidR="001F7233" w:rsidRDefault="00000000">
      <w:r>
        <w:rPr>
          <w:b/>
        </w:rPr>
        <w:t xml:space="preserve">Zweck: </w:t>
      </w:r>
      <w:r>
        <w:t>Online-Antragsportal für praktisch alle australischen Visa</w:t>
      </w:r>
    </w:p>
    <w:p w14:paraId="6F4C2A43" w14:textId="77777777" w:rsidR="001F7233" w:rsidRDefault="00000000">
      <w:r>
        <w:rPr>
          <w:b/>
        </w:rPr>
        <w:t xml:space="preserve">Behörde: </w:t>
      </w:r>
      <w:r>
        <w:t>Department of Home Affairs</w:t>
      </w:r>
    </w:p>
    <w:p w14:paraId="57FE50BD" w14:textId="77777777" w:rsidR="001F7233" w:rsidRDefault="00000000">
      <w:r>
        <w:rPr>
          <w:b/>
        </w:rPr>
        <w:t xml:space="preserve">Referenz: </w:t>
      </w:r>
      <w:r>
        <w:t>Australien: Einwanderung</w:t>
      </w:r>
    </w:p>
    <w:p w14:paraId="526C3B00" w14:textId="77777777" w:rsidR="001F7233" w:rsidRDefault="00000000">
      <w:r>
        <w:rPr>
          <w:b/>
        </w:rPr>
        <w:t>SkillSelect</w:t>
      </w:r>
    </w:p>
    <w:p w14:paraId="1D204EC3" w14:textId="77777777" w:rsidR="001F7233" w:rsidRDefault="00000000">
      <w:r>
        <w:rPr>
          <w:b/>
        </w:rPr>
        <w:t xml:space="preserve">Zweck: </w:t>
      </w:r>
      <w:r>
        <w:t>Plattform für Interessensbekundungen bei punktebasierten Visa</w:t>
      </w:r>
    </w:p>
    <w:p w14:paraId="7B7A478F" w14:textId="77777777" w:rsidR="001F7233" w:rsidRDefault="00000000">
      <w:r>
        <w:rPr>
          <w:b/>
        </w:rPr>
        <w:t xml:space="preserve">Behörde: </w:t>
      </w:r>
      <w:r>
        <w:t>Department of Home Affairs</w:t>
      </w:r>
    </w:p>
    <w:p w14:paraId="1D18260C" w14:textId="77777777" w:rsidR="001F7233" w:rsidRDefault="00000000">
      <w:r>
        <w:rPr>
          <w:b/>
        </w:rPr>
        <w:t xml:space="preserve">Referenz: </w:t>
      </w:r>
      <w:r>
        <w:t>Australien: Einwanderung</w:t>
      </w:r>
    </w:p>
    <w:p w14:paraId="42785FD1" w14:textId="77777777" w:rsidR="001F7233" w:rsidRDefault="00000000">
      <w:r>
        <w:rPr>
          <w:b/>
        </w:rPr>
        <w:t>EOI</w:t>
      </w:r>
    </w:p>
    <w:p w14:paraId="1F00BD61" w14:textId="77777777" w:rsidR="001F7233" w:rsidRDefault="00000000">
      <w:r>
        <w:rPr>
          <w:b/>
        </w:rPr>
        <w:t xml:space="preserve">Zweck: </w:t>
      </w:r>
      <w:r>
        <w:t>Expression of Interest – Interessensbekundung vor der Einladung zum Visumantrag</w:t>
      </w:r>
    </w:p>
    <w:p w14:paraId="7A6DEDA7" w14:textId="77777777" w:rsidR="001F7233" w:rsidRDefault="00000000">
      <w:r>
        <w:rPr>
          <w:b/>
        </w:rPr>
        <w:t xml:space="preserve">Behörde: </w:t>
      </w:r>
      <w:r>
        <w:t>Department of Home Affairs</w:t>
      </w:r>
    </w:p>
    <w:p w14:paraId="66432171" w14:textId="77777777" w:rsidR="001F7233" w:rsidRDefault="00000000">
      <w:r>
        <w:rPr>
          <w:b/>
        </w:rPr>
        <w:t xml:space="preserve">Referenz: </w:t>
      </w:r>
      <w:r>
        <w:t>Australien: Einwanderung</w:t>
      </w:r>
    </w:p>
    <w:p w14:paraId="3866DCF8" w14:textId="77777777" w:rsidR="001F7233" w:rsidRDefault="00000000">
      <w:r>
        <w:rPr>
          <w:b/>
        </w:rPr>
        <w:t>Subclass 189</w:t>
      </w:r>
    </w:p>
    <w:p w14:paraId="5D37E5AB" w14:textId="77777777" w:rsidR="001F7233" w:rsidRDefault="00000000">
      <w:r>
        <w:rPr>
          <w:b/>
        </w:rPr>
        <w:t xml:space="preserve">Zweck: </w:t>
      </w:r>
      <w:r>
        <w:t>Skilled Independent – unabhängiges Punkte-Daueraufenthaltsvisum ohne Sponsor</w:t>
      </w:r>
    </w:p>
    <w:p w14:paraId="4472A737" w14:textId="77777777" w:rsidR="001F7233" w:rsidRDefault="00000000">
      <w:r>
        <w:rPr>
          <w:b/>
        </w:rPr>
        <w:t xml:space="preserve">Behörde: </w:t>
      </w:r>
      <w:r>
        <w:t>Department of Home Affairs</w:t>
      </w:r>
    </w:p>
    <w:p w14:paraId="7D85B780" w14:textId="77777777" w:rsidR="001F7233" w:rsidRDefault="00000000">
      <w:r>
        <w:rPr>
          <w:b/>
        </w:rPr>
        <w:t xml:space="preserve">Referenz: </w:t>
      </w:r>
      <w:r>
        <w:t>Australien: Einwanderung</w:t>
      </w:r>
    </w:p>
    <w:p w14:paraId="0DDDB77E" w14:textId="77777777" w:rsidR="001F7233" w:rsidRDefault="00000000">
      <w:r>
        <w:rPr>
          <w:b/>
        </w:rPr>
        <w:t>Subclass 190</w:t>
      </w:r>
    </w:p>
    <w:p w14:paraId="0DD51858" w14:textId="77777777" w:rsidR="001F7233" w:rsidRDefault="00000000">
      <w:r>
        <w:rPr>
          <w:b/>
        </w:rPr>
        <w:t xml:space="preserve">Zweck: </w:t>
      </w:r>
      <w:r>
        <w:t>Skilled Nominated – Punktevisum mit Nominierung durch einen Bundesstaat</w:t>
      </w:r>
    </w:p>
    <w:p w14:paraId="4313AAF4" w14:textId="77777777" w:rsidR="001F7233" w:rsidRDefault="00000000">
      <w:r>
        <w:rPr>
          <w:b/>
        </w:rPr>
        <w:t xml:space="preserve">Behörde: </w:t>
      </w:r>
      <w:r>
        <w:t>Department of Home Affairs</w:t>
      </w:r>
    </w:p>
    <w:p w14:paraId="64923B50" w14:textId="77777777" w:rsidR="001F7233" w:rsidRDefault="00000000">
      <w:r>
        <w:rPr>
          <w:b/>
        </w:rPr>
        <w:t xml:space="preserve">Referenz: </w:t>
      </w:r>
      <w:r>
        <w:t>Australien: Einwanderung</w:t>
      </w:r>
    </w:p>
    <w:p w14:paraId="58FA62BF" w14:textId="77777777" w:rsidR="001F7233" w:rsidRDefault="00000000">
      <w:r>
        <w:rPr>
          <w:b/>
        </w:rPr>
        <w:t>Subclass 491</w:t>
      </w:r>
    </w:p>
    <w:p w14:paraId="18AB2ECD" w14:textId="77777777" w:rsidR="001F7233" w:rsidRDefault="00000000">
      <w:r>
        <w:rPr>
          <w:b/>
        </w:rPr>
        <w:t xml:space="preserve">Zweck: </w:t>
      </w:r>
      <w:r>
        <w:t>Skilled Work Regional – befristetes Punktevisum mit Regionalbindung</w:t>
      </w:r>
    </w:p>
    <w:p w14:paraId="7A2F3A26" w14:textId="77777777" w:rsidR="001F7233" w:rsidRDefault="00000000">
      <w:r>
        <w:rPr>
          <w:b/>
        </w:rPr>
        <w:t xml:space="preserve">Behörde: </w:t>
      </w:r>
      <w:r>
        <w:t>Department of Home Affairs</w:t>
      </w:r>
    </w:p>
    <w:p w14:paraId="00D6AF2E" w14:textId="77777777" w:rsidR="001F7233" w:rsidRDefault="00000000">
      <w:r>
        <w:rPr>
          <w:b/>
        </w:rPr>
        <w:t xml:space="preserve">Referenz: </w:t>
      </w:r>
      <w:r>
        <w:t>Australien: Einwanderung</w:t>
      </w:r>
    </w:p>
    <w:p w14:paraId="470B366D" w14:textId="77777777" w:rsidR="001F7233" w:rsidRDefault="00000000">
      <w:r>
        <w:rPr>
          <w:b/>
        </w:rPr>
        <w:t>Subclass 482</w:t>
      </w:r>
    </w:p>
    <w:p w14:paraId="1433CEB7" w14:textId="77777777" w:rsidR="001F7233" w:rsidRDefault="00000000">
      <w:r>
        <w:rPr>
          <w:b/>
        </w:rPr>
        <w:lastRenderedPageBreak/>
        <w:t xml:space="preserve">Zweck: </w:t>
      </w:r>
      <w:r>
        <w:t>Skills in Demand (SID) – befristetes, arbeitgebergesponsertes Arbeitsvisum</w:t>
      </w:r>
    </w:p>
    <w:p w14:paraId="228DFCA0" w14:textId="77777777" w:rsidR="001F7233" w:rsidRDefault="00000000">
      <w:r>
        <w:rPr>
          <w:b/>
        </w:rPr>
        <w:t xml:space="preserve">Behörde: </w:t>
      </w:r>
      <w:r>
        <w:t>Department of Home Affairs</w:t>
      </w:r>
    </w:p>
    <w:p w14:paraId="3C215E2B" w14:textId="77777777" w:rsidR="001F7233" w:rsidRDefault="00000000">
      <w:r>
        <w:rPr>
          <w:b/>
        </w:rPr>
        <w:t xml:space="preserve">Referenz: </w:t>
      </w:r>
      <w:r>
        <w:t>Australien: Arbeit</w:t>
      </w:r>
    </w:p>
    <w:p w14:paraId="67265B81" w14:textId="77777777" w:rsidR="001F7233" w:rsidRDefault="00000000">
      <w:r>
        <w:rPr>
          <w:b/>
        </w:rPr>
        <w:t>Subclass 186</w:t>
      </w:r>
    </w:p>
    <w:p w14:paraId="4591536E" w14:textId="77777777" w:rsidR="001F7233" w:rsidRDefault="00000000">
      <w:r>
        <w:rPr>
          <w:b/>
        </w:rPr>
        <w:t xml:space="preserve">Zweck: </w:t>
      </w:r>
      <w:r>
        <w:t>Employer Nomination Scheme (ENS) – arbeitgebergesponserte Daueraufenthaltserlaubnis</w:t>
      </w:r>
    </w:p>
    <w:p w14:paraId="733A8E8E" w14:textId="77777777" w:rsidR="001F7233" w:rsidRDefault="00000000">
      <w:r>
        <w:rPr>
          <w:b/>
        </w:rPr>
        <w:t xml:space="preserve">Behörde: </w:t>
      </w:r>
      <w:r>
        <w:t>Department of Home Affairs</w:t>
      </w:r>
    </w:p>
    <w:p w14:paraId="287BD77F" w14:textId="77777777" w:rsidR="001F7233" w:rsidRDefault="00000000">
      <w:r>
        <w:rPr>
          <w:b/>
        </w:rPr>
        <w:t xml:space="preserve">Referenz: </w:t>
      </w:r>
      <w:r>
        <w:t>Australien: Arbeit</w:t>
      </w:r>
    </w:p>
    <w:p w14:paraId="3206EAFE" w14:textId="77777777" w:rsidR="001F7233" w:rsidRDefault="00000000">
      <w:r>
        <w:rPr>
          <w:b/>
        </w:rPr>
        <w:t>Subclass 417</w:t>
      </w:r>
    </w:p>
    <w:p w14:paraId="4E71F388" w14:textId="77777777" w:rsidR="001F7233" w:rsidRDefault="00000000">
      <w:r>
        <w:rPr>
          <w:b/>
        </w:rPr>
        <w:t xml:space="preserve">Zweck: </w:t>
      </w:r>
      <w:r>
        <w:t>Working-Holiday-Visum; für deutsche Staatsangehörige der einschlägige Weg (nicht 462)</w:t>
      </w:r>
    </w:p>
    <w:p w14:paraId="04987968" w14:textId="77777777" w:rsidR="001F7233" w:rsidRDefault="00000000">
      <w:r>
        <w:rPr>
          <w:b/>
        </w:rPr>
        <w:t xml:space="preserve">Behörde: </w:t>
      </w:r>
      <w:r>
        <w:t>Department of Home Affairs</w:t>
      </w:r>
    </w:p>
    <w:p w14:paraId="68764BD1" w14:textId="77777777" w:rsidR="001F7233" w:rsidRDefault="00000000">
      <w:r>
        <w:rPr>
          <w:b/>
        </w:rPr>
        <w:t xml:space="preserve">Referenz: </w:t>
      </w:r>
      <w:r>
        <w:t>Australien: Einwanderung</w:t>
      </w:r>
    </w:p>
    <w:p w14:paraId="1D47843E" w14:textId="77777777" w:rsidR="001F7233" w:rsidRDefault="00000000">
      <w:r>
        <w:rPr>
          <w:b/>
        </w:rPr>
        <w:t>Subclass 500</w:t>
      </w:r>
    </w:p>
    <w:p w14:paraId="5BA906E7" w14:textId="77777777" w:rsidR="001F7233" w:rsidRDefault="00000000">
      <w:r>
        <w:rPr>
          <w:b/>
        </w:rPr>
        <w:t xml:space="preserve">Zweck: </w:t>
      </w:r>
      <w:r>
        <w:t>Student Visa – Aufenthaltstitel für ein Studium in Australien</w:t>
      </w:r>
    </w:p>
    <w:p w14:paraId="7E7AB796" w14:textId="77777777" w:rsidR="001F7233" w:rsidRDefault="00000000">
      <w:r>
        <w:rPr>
          <w:b/>
        </w:rPr>
        <w:t xml:space="preserve">Behörde: </w:t>
      </w:r>
      <w:r>
        <w:t>Department of Home Affairs</w:t>
      </w:r>
    </w:p>
    <w:p w14:paraId="44E1F65E" w14:textId="77777777" w:rsidR="001F7233" w:rsidRDefault="00000000">
      <w:r>
        <w:rPr>
          <w:b/>
        </w:rPr>
        <w:t xml:space="preserve">Referenz: </w:t>
      </w:r>
      <w:r>
        <w:t>Australien: Einwanderung</w:t>
      </w:r>
    </w:p>
    <w:p w14:paraId="2BB55E2C" w14:textId="77777777" w:rsidR="001F7233" w:rsidRDefault="00000000">
      <w:r>
        <w:rPr>
          <w:b/>
        </w:rPr>
        <w:t>Subclass 820/801</w:t>
      </w:r>
    </w:p>
    <w:p w14:paraId="67EA98A5" w14:textId="77777777" w:rsidR="001F7233" w:rsidRDefault="00000000">
      <w:r>
        <w:rPr>
          <w:b/>
        </w:rPr>
        <w:t xml:space="preserve">Zweck: </w:t>
      </w:r>
      <w:r>
        <w:t>Partnervisum: befristete, dann dauerhafte Aufenthaltserlaubnis (Antragstellung in Australien)</w:t>
      </w:r>
    </w:p>
    <w:p w14:paraId="2DEEE9E7" w14:textId="77777777" w:rsidR="001F7233" w:rsidRDefault="00000000">
      <w:r>
        <w:rPr>
          <w:b/>
        </w:rPr>
        <w:t xml:space="preserve">Behörde: </w:t>
      </w:r>
      <w:r>
        <w:t>Department of Home Affairs</w:t>
      </w:r>
    </w:p>
    <w:p w14:paraId="41901557" w14:textId="77777777" w:rsidR="001F7233" w:rsidRDefault="00000000">
      <w:r>
        <w:rPr>
          <w:b/>
        </w:rPr>
        <w:t xml:space="preserve">Referenz: </w:t>
      </w:r>
      <w:r>
        <w:t>Australien: Familie</w:t>
      </w:r>
    </w:p>
    <w:p w14:paraId="4F8F7CF3" w14:textId="77777777" w:rsidR="001F7233" w:rsidRDefault="00000000">
      <w:r>
        <w:rPr>
          <w:b/>
        </w:rPr>
        <w:t>CSOL</w:t>
      </w:r>
    </w:p>
    <w:p w14:paraId="4EB96805" w14:textId="77777777" w:rsidR="001F7233" w:rsidRDefault="00000000">
      <w:r>
        <w:rPr>
          <w:b/>
        </w:rPr>
        <w:t xml:space="preserve">Zweck: </w:t>
      </w:r>
      <w:r>
        <w:t>Core Skills Occupation List – Berufsliste für Subclass 482 (Core Skills) und 186 (Direct Entry)</w:t>
      </w:r>
    </w:p>
    <w:p w14:paraId="39D85751" w14:textId="77777777" w:rsidR="001F7233" w:rsidRDefault="00000000">
      <w:r>
        <w:rPr>
          <w:b/>
        </w:rPr>
        <w:t xml:space="preserve">Behörde: </w:t>
      </w:r>
      <w:r>
        <w:t>Jobs and Skills Australia</w:t>
      </w:r>
    </w:p>
    <w:p w14:paraId="3B9A8D8D" w14:textId="77777777" w:rsidR="001F7233" w:rsidRDefault="00000000">
      <w:r>
        <w:rPr>
          <w:b/>
        </w:rPr>
        <w:t xml:space="preserve">Referenz: </w:t>
      </w:r>
      <w:r>
        <w:t>Australien: Arbeit</w:t>
      </w:r>
    </w:p>
    <w:p w14:paraId="33352CDF" w14:textId="77777777" w:rsidR="001F7233" w:rsidRDefault="00000000">
      <w:r>
        <w:rPr>
          <w:b/>
        </w:rPr>
        <w:t>Medicare</w:t>
      </w:r>
    </w:p>
    <w:p w14:paraId="1A0727E7" w14:textId="77777777" w:rsidR="001F7233" w:rsidRDefault="00000000">
      <w:r>
        <w:rPr>
          <w:b/>
        </w:rPr>
        <w:t xml:space="preserve">Zweck: </w:t>
      </w:r>
      <w:r>
        <w:t>Staatliches Krankenversicherungssystem für Berechtigte</w:t>
      </w:r>
    </w:p>
    <w:p w14:paraId="1F9287EF" w14:textId="77777777" w:rsidR="001F7233" w:rsidRDefault="00000000">
      <w:r>
        <w:rPr>
          <w:b/>
        </w:rPr>
        <w:t xml:space="preserve">Behörde: </w:t>
      </w:r>
      <w:r>
        <w:t>Services Australia</w:t>
      </w:r>
    </w:p>
    <w:p w14:paraId="5375AC72" w14:textId="77777777" w:rsidR="001F7233" w:rsidRDefault="00000000">
      <w:r>
        <w:rPr>
          <w:b/>
        </w:rPr>
        <w:t xml:space="preserve">Referenz: </w:t>
      </w:r>
      <w:r>
        <w:t>Australien: Gesundheit</w:t>
      </w:r>
    </w:p>
    <w:p w14:paraId="64657C56" w14:textId="77777777" w:rsidR="001F7233" w:rsidRDefault="00000000">
      <w:r>
        <w:rPr>
          <w:b/>
        </w:rPr>
        <w:t>Medicare Levy</w:t>
      </w:r>
    </w:p>
    <w:p w14:paraId="245FD0CD" w14:textId="77777777" w:rsidR="001F7233" w:rsidRDefault="00000000">
      <w:r>
        <w:rPr>
          <w:b/>
        </w:rPr>
        <w:t xml:space="preserve">Zweck: </w:t>
      </w:r>
      <w:r>
        <w:t>Pflichtabgabe zur Mitfinanzierung von Medicare (2,0 % des zu versteuernden Einkommens)</w:t>
      </w:r>
    </w:p>
    <w:p w14:paraId="0ADA0EFC" w14:textId="77777777" w:rsidR="001F7233" w:rsidRDefault="00000000">
      <w:r>
        <w:rPr>
          <w:b/>
        </w:rPr>
        <w:lastRenderedPageBreak/>
        <w:t xml:space="preserve">Behörde: </w:t>
      </w:r>
      <w:r>
        <w:t>ATO</w:t>
      </w:r>
    </w:p>
    <w:p w14:paraId="6A7D8A19" w14:textId="77777777" w:rsidR="001F7233" w:rsidRDefault="00000000">
      <w:r>
        <w:rPr>
          <w:b/>
        </w:rPr>
        <w:t xml:space="preserve">Referenz: </w:t>
      </w:r>
      <w:r>
        <w:t>Australien: Steuer</w:t>
      </w:r>
    </w:p>
    <w:p w14:paraId="6D27D5E5" w14:textId="77777777" w:rsidR="001F7233" w:rsidRDefault="00000000">
      <w:r>
        <w:rPr>
          <w:b/>
        </w:rPr>
        <w:t>MLS</w:t>
      </w:r>
    </w:p>
    <w:p w14:paraId="2C4592DA" w14:textId="77777777" w:rsidR="001F7233" w:rsidRDefault="00000000">
      <w:r>
        <w:rPr>
          <w:b/>
        </w:rPr>
        <w:t xml:space="preserve">Zweck: </w:t>
      </w:r>
      <w:r>
        <w:t>Medicare Levy Surcharge – Zuschlag für Besserverdiener ohne private Krankenhausversicherung</w:t>
      </w:r>
    </w:p>
    <w:p w14:paraId="041F74F7" w14:textId="77777777" w:rsidR="001F7233" w:rsidRDefault="00000000">
      <w:r>
        <w:rPr>
          <w:b/>
        </w:rPr>
        <w:t xml:space="preserve">Behörde: </w:t>
      </w:r>
      <w:r>
        <w:t>ATO</w:t>
      </w:r>
    </w:p>
    <w:p w14:paraId="45D6CAF2" w14:textId="77777777" w:rsidR="001F7233" w:rsidRDefault="00000000">
      <w:r>
        <w:rPr>
          <w:b/>
        </w:rPr>
        <w:t xml:space="preserve">Referenz: </w:t>
      </w:r>
      <w:r>
        <w:t>Australien: Steuer</w:t>
      </w:r>
    </w:p>
    <w:p w14:paraId="5C348DFD" w14:textId="77777777" w:rsidR="001F7233" w:rsidRDefault="00000000">
      <w:r>
        <w:rPr>
          <w:b/>
        </w:rPr>
        <w:t>OVHC</w:t>
      </w:r>
    </w:p>
    <w:p w14:paraId="67380836" w14:textId="77777777" w:rsidR="001F7233" w:rsidRDefault="00000000">
      <w:r>
        <w:rPr>
          <w:b/>
        </w:rPr>
        <w:t xml:space="preserve">Zweck: </w:t>
      </w:r>
      <w:r>
        <w:t>Overseas Visitor Health Cover – private Krankenversicherung für die meisten befristeten Visa</w:t>
      </w:r>
    </w:p>
    <w:p w14:paraId="6B9FEFA2" w14:textId="77777777" w:rsidR="001F7233" w:rsidRDefault="00000000">
      <w:r>
        <w:rPr>
          <w:b/>
        </w:rPr>
        <w:t xml:space="preserve">Behörde: </w:t>
      </w:r>
      <w:r>
        <w:t>private Versicherer</w:t>
      </w:r>
    </w:p>
    <w:p w14:paraId="71B908E5" w14:textId="77777777" w:rsidR="001F7233" w:rsidRDefault="00000000">
      <w:r>
        <w:rPr>
          <w:b/>
        </w:rPr>
        <w:t xml:space="preserve">Referenz: </w:t>
      </w:r>
      <w:r>
        <w:t>Australien: Gesundheit</w:t>
      </w:r>
    </w:p>
    <w:p w14:paraId="62971A85" w14:textId="77777777" w:rsidR="001F7233" w:rsidRDefault="00000000">
      <w:r>
        <w:rPr>
          <w:b/>
        </w:rPr>
        <w:t>OSHC</w:t>
      </w:r>
    </w:p>
    <w:p w14:paraId="59E15EB8" w14:textId="77777777" w:rsidR="001F7233" w:rsidRDefault="00000000">
      <w:r>
        <w:rPr>
          <w:b/>
        </w:rPr>
        <w:t xml:space="preserve">Zweck: </w:t>
      </w:r>
      <w:r>
        <w:t>Overseas Student Health Cover – Pflichtkrankenversicherung für Studierende (Subclass 500)</w:t>
      </w:r>
    </w:p>
    <w:p w14:paraId="35FBA318" w14:textId="77777777" w:rsidR="001F7233" w:rsidRDefault="00000000">
      <w:r>
        <w:rPr>
          <w:b/>
        </w:rPr>
        <w:t xml:space="preserve">Behörde: </w:t>
      </w:r>
      <w:r>
        <w:t>private Versicherer</w:t>
      </w:r>
    </w:p>
    <w:p w14:paraId="11AC98ED" w14:textId="77777777" w:rsidR="001F7233" w:rsidRDefault="00000000">
      <w:r>
        <w:rPr>
          <w:b/>
        </w:rPr>
        <w:t xml:space="preserve">Referenz: </w:t>
      </w:r>
      <w:r>
        <w:t>Australien: Gesundheit</w:t>
      </w:r>
    </w:p>
    <w:p w14:paraId="25738155" w14:textId="77777777" w:rsidR="001F7233" w:rsidRDefault="00000000">
      <w:r>
        <w:rPr>
          <w:b/>
        </w:rPr>
        <w:t>Superannuation</w:t>
      </w:r>
    </w:p>
    <w:p w14:paraId="5B356D6C" w14:textId="77777777" w:rsidR="001F7233" w:rsidRDefault="00000000">
      <w:r>
        <w:rPr>
          <w:b/>
        </w:rPr>
        <w:t xml:space="preserve">Zweck: </w:t>
      </w:r>
      <w:r>
        <w:t>Betriebliche Pflicht-Altersvorsorge („Super“)</w:t>
      </w:r>
    </w:p>
    <w:p w14:paraId="2BB3B661" w14:textId="77777777" w:rsidR="001F7233" w:rsidRDefault="00000000">
      <w:r>
        <w:rPr>
          <w:b/>
        </w:rPr>
        <w:t xml:space="preserve">Behörde: </w:t>
      </w:r>
      <w:r>
        <w:t>ATO/Fondsanbieter</w:t>
      </w:r>
    </w:p>
    <w:p w14:paraId="28688187" w14:textId="77777777" w:rsidR="001F7233" w:rsidRDefault="00000000">
      <w:r>
        <w:rPr>
          <w:b/>
        </w:rPr>
        <w:t xml:space="preserve">Referenz: </w:t>
      </w:r>
      <w:r>
        <w:t>Australien: Arbeit</w:t>
      </w:r>
    </w:p>
    <w:p w14:paraId="4C3DED29" w14:textId="77777777" w:rsidR="001F7233" w:rsidRDefault="00000000">
      <w:r>
        <w:rPr>
          <w:b/>
        </w:rPr>
        <w:t>FIRB</w:t>
      </w:r>
    </w:p>
    <w:p w14:paraId="7EC024EB" w14:textId="77777777" w:rsidR="001F7233" w:rsidRDefault="00000000">
      <w:r>
        <w:rPr>
          <w:b/>
        </w:rPr>
        <w:t xml:space="preserve">Zweck: </w:t>
      </w:r>
      <w:r>
        <w:t>Foreign Investment Review Board – prüft Immobilienkäufe durch Ausländer</w:t>
      </w:r>
    </w:p>
    <w:p w14:paraId="2C554235" w14:textId="77777777" w:rsidR="001F7233" w:rsidRDefault="00000000">
      <w:r>
        <w:rPr>
          <w:b/>
        </w:rPr>
        <w:t xml:space="preserve">Referenz: </w:t>
      </w:r>
      <w:r>
        <w:t>Australien: Wohnen</w:t>
      </w:r>
    </w:p>
    <w:p w14:paraId="5DD9C863" w14:textId="77777777" w:rsidR="001F7233" w:rsidRDefault="00000000">
      <w:r>
        <w:rPr>
          <w:b/>
        </w:rPr>
        <w:t>SAF-Levy</w:t>
      </w:r>
    </w:p>
    <w:p w14:paraId="06E975B4" w14:textId="77777777" w:rsidR="001F7233" w:rsidRDefault="00000000">
      <w:r>
        <w:rPr>
          <w:b/>
        </w:rPr>
        <w:t xml:space="preserve">Zweck: </w:t>
      </w:r>
      <w:r>
        <w:t>Skilling Australians Fund – Arbeitgeberabgabe bei Sponsoring-Visa (Subclass 482/186)</w:t>
      </w:r>
    </w:p>
    <w:p w14:paraId="455537E8" w14:textId="77777777" w:rsidR="001F7233" w:rsidRDefault="00000000">
      <w:r>
        <w:rPr>
          <w:b/>
        </w:rPr>
        <w:t xml:space="preserve">Behörde: </w:t>
      </w:r>
      <w:r>
        <w:t>Department of Home Affairs</w:t>
      </w:r>
    </w:p>
    <w:p w14:paraId="714E9DFD" w14:textId="77777777" w:rsidR="001F7233" w:rsidRDefault="00000000">
      <w:r>
        <w:rPr>
          <w:b/>
        </w:rPr>
        <w:t xml:space="preserve">Referenz: </w:t>
      </w:r>
      <w:r>
        <w:t>Australien: Arbeit</w:t>
      </w:r>
    </w:p>
    <w:p w14:paraId="700FE386" w14:textId="77777777" w:rsidR="001F7233" w:rsidRDefault="00000000">
      <w:r>
        <w:rPr>
          <w:b/>
        </w:rPr>
        <w:t>Citizenship Test</w:t>
      </w:r>
    </w:p>
    <w:p w14:paraId="2C988C2F" w14:textId="77777777" w:rsidR="001F7233" w:rsidRDefault="00000000">
      <w:r>
        <w:rPr>
          <w:b/>
        </w:rPr>
        <w:t xml:space="preserve">Zweck: </w:t>
      </w:r>
      <w:r>
        <w:t>Staatskundetest vor der Einbürgerung</w:t>
      </w:r>
    </w:p>
    <w:p w14:paraId="7346AE54" w14:textId="77777777" w:rsidR="001F7233" w:rsidRDefault="00000000">
      <w:r>
        <w:rPr>
          <w:b/>
        </w:rPr>
        <w:t xml:space="preserve">Behörde: </w:t>
      </w:r>
      <w:r>
        <w:t>Department of Home Affairs</w:t>
      </w:r>
    </w:p>
    <w:p w14:paraId="799AC2C0" w14:textId="77777777" w:rsidR="001F7233" w:rsidRDefault="00000000">
      <w:r>
        <w:rPr>
          <w:b/>
        </w:rPr>
        <w:t xml:space="preserve">Referenz: </w:t>
      </w:r>
      <w:r>
        <w:t>Australien: Staatsbürgerschaft</w:t>
      </w:r>
    </w:p>
    <w:p w14:paraId="412E31DE" w14:textId="77777777" w:rsidR="001F7233" w:rsidRDefault="001F7233">
      <w:pPr>
        <w:spacing w:line="180" w:lineRule="exact"/>
      </w:pPr>
    </w:p>
    <w:p w14:paraId="243BDD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 Formulare und Abkürzungen</w:t>
      </w:r>
    </w:p>
    <w:p w14:paraId="27B503E1" w14:textId="77777777" w:rsidR="001F7233" w:rsidRDefault="00000000">
      <w:r>
        <w:rPr>
          <w:b/>
        </w:rPr>
        <w:t>IRD-Nummer</w:t>
      </w:r>
    </w:p>
    <w:p w14:paraId="66629F22" w14:textId="77777777" w:rsidR="001F7233" w:rsidRDefault="00000000">
      <w:r>
        <w:rPr>
          <w:b/>
        </w:rPr>
        <w:t xml:space="preserve">Zweck: </w:t>
      </w:r>
      <w:r>
        <w:t>Neuseeländische Steuer-Identifikationsnummer</w:t>
      </w:r>
    </w:p>
    <w:p w14:paraId="707FD7BB" w14:textId="77777777" w:rsidR="001F7233" w:rsidRDefault="00000000">
      <w:r>
        <w:rPr>
          <w:b/>
        </w:rPr>
        <w:t xml:space="preserve">Behörde: </w:t>
      </w:r>
      <w:r>
        <w:t>Inland Revenue Department (IRD)</w:t>
      </w:r>
    </w:p>
    <w:p w14:paraId="73840EDA" w14:textId="77777777" w:rsidR="001F7233" w:rsidRDefault="00000000">
      <w:r>
        <w:rPr>
          <w:b/>
        </w:rPr>
        <w:t xml:space="preserve">Referenz: </w:t>
      </w:r>
      <w:r>
        <w:t>Neuseeland: Steuer</w:t>
      </w:r>
    </w:p>
    <w:p w14:paraId="2C3AAD05" w14:textId="77777777" w:rsidR="001F7233" w:rsidRDefault="00000000">
      <w:r>
        <w:rPr>
          <w:b/>
        </w:rPr>
        <w:t>IR330</w:t>
      </w:r>
    </w:p>
    <w:p w14:paraId="620C5AFA" w14:textId="77777777" w:rsidR="001F7233" w:rsidRDefault="00000000">
      <w:r>
        <w:rPr>
          <w:b/>
        </w:rPr>
        <w:t xml:space="preserve">Zweck: </w:t>
      </w:r>
      <w:r>
        <w:t>Formular zur Angabe des Steuercodes beim Arbeitgeber (Tax Code Declaration)</w:t>
      </w:r>
    </w:p>
    <w:p w14:paraId="0F0B1193" w14:textId="77777777" w:rsidR="001F7233" w:rsidRDefault="00000000">
      <w:r>
        <w:rPr>
          <w:b/>
        </w:rPr>
        <w:t xml:space="preserve">Behörde: </w:t>
      </w:r>
      <w:r>
        <w:t>IRD</w:t>
      </w:r>
    </w:p>
    <w:p w14:paraId="36ADE555" w14:textId="77777777" w:rsidR="001F7233" w:rsidRDefault="00000000">
      <w:r>
        <w:rPr>
          <w:b/>
        </w:rPr>
        <w:t xml:space="preserve">Referenz: </w:t>
      </w:r>
      <w:r>
        <w:t>Neuseeland: Steuer</w:t>
      </w:r>
    </w:p>
    <w:p w14:paraId="4843B8CF" w14:textId="77777777" w:rsidR="001F7233" w:rsidRDefault="00000000">
      <w:r>
        <w:rPr>
          <w:b/>
        </w:rPr>
        <w:t>myIR</w:t>
      </w:r>
    </w:p>
    <w:p w14:paraId="6915A940" w14:textId="77777777" w:rsidR="001F7233" w:rsidRDefault="00000000">
      <w:r>
        <w:rPr>
          <w:b/>
        </w:rPr>
        <w:t xml:space="preserve">Zweck: </w:t>
      </w:r>
      <w:r>
        <w:t>Online-Konto für Steuerangelegenheiten beim IRD</w:t>
      </w:r>
    </w:p>
    <w:p w14:paraId="7F0AE419" w14:textId="77777777" w:rsidR="001F7233" w:rsidRDefault="00000000">
      <w:r>
        <w:rPr>
          <w:b/>
        </w:rPr>
        <w:t xml:space="preserve">Behörde: </w:t>
      </w:r>
      <w:r>
        <w:t>IRD</w:t>
      </w:r>
    </w:p>
    <w:p w14:paraId="5FDD89D7" w14:textId="77777777" w:rsidR="001F7233" w:rsidRDefault="00000000">
      <w:r>
        <w:rPr>
          <w:b/>
        </w:rPr>
        <w:t xml:space="preserve">Referenz: </w:t>
      </w:r>
      <w:r>
        <w:t>Neuseeland: Steuer</w:t>
      </w:r>
    </w:p>
    <w:p w14:paraId="50FDF990" w14:textId="77777777" w:rsidR="001F7233" w:rsidRDefault="00000000">
      <w:r>
        <w:rPr>
          <w:b/>
        </w:rPr>
        <w:t>INZ</w:t>
      </w:r>
    </w:p>
    <w:p w14:paraId="3A5BD7D7" w14:textId="77777777" w:rsidR="001F7233" w:rsidRDefault="00000000">
      <w:r>
        <w:rPr>
          <w:b/>
        </w:rPr>
        <w:t xml:space="preserve">Zweck: </w:t>
      </w:r>
      <w:r>
        <w:t>Immigration New Zealand – neuseeländische Einwanderungsbehörde</w:t>
      </w:r>
    </w:p>
    <w:p w14:paraId="7074145E" w14:textId="77777777" w:rsidR="001F7233" w:rsidRDefault="00000000">
      <w:r>
        <w:rPr>
          <w:b/>
        </w:rPr>
        <w:t xml:space="preserve">Referenz: </w:t>
      </w:r>
      <w:r>
        <w:t>Neuseeland: Einwanderung</w:t>
      </w:r>
    </w:p>
    <w:p w14:paraId="303E3C02" w14:textId="77777777" w:rsidR="001F7233" w:rsidRDefault="00000000">
      <w:r>
        <w:rPr>
          <w:b/>
        </w:rPr>
        <w:t>MBIE</w:t>
      </w:r>
    </w:p>
    <w:p w14:paraId="5E90D4E4" w14:textId="77777777" w:rsidR="001F7233" w:rsidRDefault="00000000">
      <w:r>
        <w:rPr>
          <w:b/>
        </w:rPr>
        <w:t xml:space="preserve">Zweck: </w:t>
      </w:r>
      <w:r>
        <w:t>Ministry of Business, Innovation &amp; Employment – Mutterministerium von INZ</w:t>
      </w:r>
    </w:p>
    <w:p w14:paraId="7544298F" w14:textId="77777777" w:rsidR="001F7233" w:rsidRDefault="00000000">
      <w:r>
        <w:rPr>
          <w:b/>
        </w:rPr>
        <w:t xml:space="preserve">Referenz: </w:t>
      </w:r>
      <w:r>
        <w:t>Neuseeland: Einwanderung</w:t>
      </w:r>
    </w:p>
    <w:p w14:paraId="52FB4105" w14:textId="77777777" w:rsidR="001F7233" w:rsidRDefault="00000000">
      <w:r>
        <w:rPr>
          <w:b/>
        </w:rPr>
        <w:t>AEWV</w:t>
      </w:r>
    </w:p>
    <w:p w14:paraId="0BFA3037" w14:textId="77777777" w:rsidR="001F7233" w:rsidRDefault="00000000">
      <w:r>
        <w:rPr>
          <w:b/>
        </w:rPr>
        <w:t xml:space="preserve">Zweck: </w:t>
      </w:r>
      <w:r>
        <w:t>Accredited Employer Work Visa – befristetes Arbeitsvisum bei akkreditiertem Arbeitgeber</w:t>
      </w:r>
    </w:p>
    <w:p w14:paraId="181867D4" w14:textId="77777777" w:rsidR="001F7233" w:rsidRDefault="00000000">
      <w:r>
        <w:rPr>
          <w:b/>
        </w:rPr>
        <w:t xml:space="preserve">Behörde: </w:t>
      </w:r>
      <w:r>
        <w:t>INZ</w:t>
      </w:r>
    </w:p>
    <w:p w14:paraId="7B53EC2E" w14:textId="77777777" w:rsidR="001F7233" w:rsidRDefault="00000000">
      <w:r>
        <w:rPr>
          <w:b/>
        </w:rPr>
        <w:t xml:space="preserve">Referenz: </w:t>
      </w:r>
      <w:r>
        <w:t>Neuseeland: Arbeit</w:t>
      </w:r>
    </w:p>
    <w:p w14:paraId="5D989B71" w14:textId="77777777" w:rsidR="001F7233" w:rsidRDefault="00000000">
      <w:r>
        <w:rPr>
          <w:b/>
        </w:rPr>
        <w:t>SMC</w:t>
      </w:r>
    </w:p>
    <w:p w14:paraId="42902C45" w14:textId="77777777" w:rsidR="001F7233" w:rsidRDefault="00000000">
      <w:r>
        <w:rPr>
          <w:b/>
        </w:rPr>
        <w:t xml:space="preserve">Zweck: </w:t>
      </w:r>
      <w:r>
        <w:t>Skilled Migrant Category – Punktesystem für den Daueraufenthalt (Resident Visa)</w:t>
      </w:r>
    </w:p>
    <w:p w14:paraId="2FFF3453" w14:textId="77777777" w:rsidR="001F7233" w:rsidRDefault="00000000">
      <w:r>
        <w:rPr>
          <w:b/>
        </w:rPr>
        <w:t xml:space="preserve">Behörde: </w:t>
      </w:r>
      <w:r>
        <w:t>INZ</w:t>
      </w:r>
    </w:p>
    <w:p w14:paraId="6C872526" w14:textId="77777777" w:rsidR="001F7233" w:rsidRDefault="00000000">
      <w:r>
        <w:rPr>
          <w:b/>
        </w:rPr>
        <w:lastRenderedPageBreak/>
        <w:t xml:space="preserve">Referenz: </w:t>
      </w:r>
      <w:r>
        <w:t>Neuseeland: Einwanderung</w:t>
      </w:r>
    </w:p>
    <w:p w14:paraId="17A90A35" w14:textId="77777777" w:rsidR="001F7233" w:rsidRDefault="00000000">
      <w:r>
        <w:rPr>
          <w:b/>
        </w:rPr>
        <w:t>Green List</w:t>
      </w:r>
    </w:p>
    <w:p w14:paraId="4AF96034" w14:textId="77777777" w:rsidR="001F7233" w:rsidRDefault="00000000">
      <w:r>
        <w:rPr>
          <w:b/>
        </w:rPr>
        <w:t xml:space="preserve">Zweck: </w:t>
      </w:r>
      <w:r>
        <w:t>Berufsliste mit direktem oder verkürztem Zugang zur Residency</w:t>
      </w:r>
    </w:p>
    <w:p w14:paraId="5BEC99A2" w14:textId="77777777" w:rsidR="001F7233" w:rsidRDefault="00000000">
      <w:r>
        <w:rPr>
          <w:b/>
        </w:rPr>
        <w:t xml:space="preserve">Behörde: </w:t>
      </w:r>
      <w:r>
        <w:t>INZ</w:t>
      </w:r>
    </w:p>
    <w:p w14:paraId="1ECEC787" w14:textId="77777777" w:rsidR="001F7233" w:rsidRDefault="00000000">
      <w:r>
        <w:rPr>
          <w:b/>
        </w:rPr>
        <w:t xml:space="preserve">Referenz: </w:t>
      </w:r>
      <w:r>
        <w:t>Neuseeland: Arbeit</w:t>
      </w:r>
    </w:p>
    <w:p w14:paraId="7DC93A31" w14:textId="77777777" w:rsidR="001F7233" w:rsidRDefault="00000000">
      <w:r>
        <w:rPr>
          <w:b/>
        </w:rPr>
        <w:t>INZ 1028</w:t>
      </w:r>
    </w:p>
    <w:p w14:paraId="2BCA53D3" w14:textId="77777777" w:rsidR="001F7233" w:rsidRDefault="00000000">
      <w:r>
        <w:rPr>
          <w:b/>
        </w:rPr>
        <w:t xml:space="preserve">Zweck: </w:t>
      </w:r>
      <w:r>
        <w:t>Fees Guide – offizielle Gebührenübersicht für alle Visumkategorien</w:t>
      </w:r>
    </w:p>
    <w:p w14:paraId="0BFEA065" w14:textId="77777777" w:rsidR="001F7233" w:rsidRDefault="00000000">
      <w:r>
        <w:rPr>
          <w:b/>
        </w:rPr>
        <w:t xml:space="preserve">Behörde: </w:t>
      </w:r>
      <w:r>
        <w:t>INZ</w:t>
      </w:r>
    </w:p>
    <w:p w14:paraId="425BF4E5" w14:textId="77777777" w:rsidR="001F7233" w:rsidRDefault="00000000">
      <w:r>
        <w:rPr>
          <w:b/>
        </w:rPr>
        <w:t xml:space="preserve">Referenz: </w:t>
      </w:r>
      <w:r>
        <w:t>Neuseeland: Einwanderung</w:t>
      </w:r>
    </w:p>
    <w:p w14:paraId="5CCEC37D" w14:textId="77777777" w:rsidR="001F7233" w:rsidRDefault="00000000">
      <w:r>
        <w:rPr>
          <w:b/>
        </w:rPr>
        <w:t>Immigration Levy</w:t>
      </w:r>
    </w:p>
    <w:p w14:paraId="032E8B80" w14:textId="77777777" w:rsidR="001F7233" w:rsidRDefault="00000000">
      <w:r>
        <w:rPr>
          <w:b/>
        </w:rPr>
        <w:t xml:space="preserve">Zweck: </w:t>
      </w:r>
      <w:r>
        <w:t>Separater Gebührenaufschlag, der bei den meisten Visa zur Antragsgebühr hinzukommt</w:t>
      </w:r>
    </w:p>
    <w:p w14:paraId="2BAA4EFF" w14:textId="77777777" w:rsidR="001F7233" w:rsidRDefault="00000000">
      <w:r>
        <w:rPr>
          <w:b/>
        </w:rPr>
        <w:t xml:space="preserve">Behörde: </w:t>
      </w:r>
      <w:r>
        <w:t>INZ</w:t>
      </w:r>
    </w:p>
    <w:p w14:paraId="3FA54788" w14:textId="77777777" w:rsidR="001F7233" w:rsidRDefault="00000000">
      <w:r>
        <w:rPr>
          <w:b/>
        </w:rPr>
        <w:t xml:space="preserve">Referenz: </w:t>
      </w:r>
      <w:r>
        <w:t>Neuseeland: Einwanderung</w:t>
      </w:r>
    </w:p>
    <w:p w14:paraId="42B61468" w14:textId="77777777" w:rsidR="001F7233" w:rsidRDefault="00000000">
      <w:r>
        <w:rPr>
          <w:b/>
        </w:rPr>
        <w:t>NZTD</w:t>
      </w:r>
    </w:p>
    <w:p w14:paraId="5E39B81D" w14:textId="77777777" w:rsidR="001F7233" w:rsidRDefault="00000000">
      <w:r>
        <w:rPr>
          <w:b/>
        </w:rPr>
        <w:t xml:space="preserve">Zweck: </w:t>
      </w:r>
      <w:r>
        <w:t>New Zealand Traveller Declaration – digitale Einreiseerklärung vor Abflug</w:t>
      </w:r>
    </w:p>
    <w:p w14:paraId="675924AC" w14:textId="77777777" w:rsidR="001F7233" w:rsidRDefault="00000000">
      <w:r>
        <w:rPr>
          <w:b/>
        </w:rPr>
        <w:t xml:space="preserve">Behörde: </w:t>
      </w:r>
      <w:r>
        <w:t>New Zealand Customs Service</w:t>
      </w:r>
    </w:p>
    <w:p w14:paraId="61E0C927" w14:textId="77777777" w:rsidR="001F7233" w:rsidRDefault="00000000">
      <w:r>
        <w:rPr>
          <w:b/>
        </w:rPr>
        <w:t xml:space="preserve">Referenz: </w:t>
      </w:r>
      <w:r>
        <w:t>Neuseeland: Ankunft</w:t>
      </w:r>
    </w:p>
    <w:p w14:paraId="0791C1E0" w14:textId="77777777" w:rsidR="001F7233" w:rsidRDefault="00000000">
      <w:r>
        <w:rPr>
          <w:b/>
        </w:rPr>
        <w:t>ACC</w:t>
      </w:r>
    </w:p>
    <w:p w14:paraId="7DC766A5" w14:textId="77777777" w:rsidR="001F7233" w:rsidRDefault="00000000">
      <w:r>
        <w:rPr>
          <w:b/>
        </w:rPr>
        <w:t xml:space="preserve">Zweck: </w:t>
      </w:r>
      <w:r>
        <w:t>Accident Compensation Corporation – staatliche Unfallversicherung für jede Person in Neuseeland</w:t>
      </w:r>
    </w:p>
    <w:p w14:paraId="65B9B197" w14:textId="77777777" w:rsidR="001F7233" w:rsidRDefault="00000000">
      <w:r>
        <w:rPr>
          <w:b/>
        </w:rPr>
        <w:t xml:space="preserve">Referenz: </w:t>
      </w:r>
      <w:r>
        <w:t>Neuseeland: Gesundheit</w:t>
      </w:r>
    </w:p>
    <w:p w14:paraId="1FDECC31" w14:textId="77777777" w:rsidR="001F7233" w:rsidRDefault="00000000">
      <w:r>
        <w:rPr>
          <w:b/>
        </w:rPr>
        <w:t>Earner’s Levy</w:t>
      </w:r>
    </w:p>
    <w:p w14:paraId="414C4194" w14:textId="77777777" w:rsidR="001F7233" w:rsidRDefault="00000000">
      <w:r>
        <w:rPr>
          <w:b/>
        </w:rPr>
        <w:t xml:space="preserve">Zweck: </w:t>
      </w:r>
      <w:r>
        <w:t>Arbeitnehmerbeitrag zur Finanzierung der ACC-Unfallversicherung</w:t>
      </w:r>
    </w:p>
    <w:p w14:paraId="257C9313" w14:textId="77777777" w:rsidR="001F7233" w:rsidRDefault="00000000">
      <w:r>
        <w:rPr>
          <w:b/>
        </w:rPr>
        <w:t xml:space="preserve">Behörde: </w:t>
      </w:r>
      <w:r>
        <w:t>ACC</w:t>
      </w:r>
    </w:p>
    <w:p w14:paraId="3722FE3E" w14:textId="77777777" w:rsidR="001F7233" w:rsidRDefault="00000000">
      <w:r>
        <w:rPr>
          <w:b/>
        </w:rPr>
        <w:t xml:space="preserve">Referenz: </w:t>
      </w:r>
      <w:r>
        <w:t>Neuseeland: Steuer</w:t>
      </w:r>
    </w:p>
    <w:p w14:paraId="54806F28" w14:textId="77777777" w:rsidR="001F7233" w:rsidRDefault="00000000">
      <w:r>
        <w:rPr>
          <w:b/>
        </w:rPr>
        <w:t>KiwiSaver</w:t>
      </w:r>
    </w:p>
    <w:p w14:paraId="5E353B2E" w14:textId="77777777" w:rsidR="001F7233" w:rsidRDefault="00000000">
      <w:r>
        <w:rPr>
          <w:b/>
        </w:rPr>
        <w:t xml:space="preserve">Zweck: </w:t>
      </w:r>
      <w:r>
        <w:t>Staatlich gefördertes, freiwilliges Altersvorsorge-Sparsystem</w:t>
      </w:r>
    </w:p>
    <w:p w14:paraId="3B2C31E5" w14:textId="77777777" w:rsidR="001F7233" w:rsidRDefault="00000000">
      <w:r>
        <w:rPr>
          <w:b/>
        </w:rPr>
        <w:t xml:space="preserve">Behörde: </w:t>
      </w:r>
      <w:r>
        <w:t>IRD/Fondsanbieter</w:t>
      </w:r>
    </w:p>
    <w:p w14:paraId="29830465" w14:textId="77777777" w:rsidR="001F7233" w:rsidRDefault="00000000">
      <w:r>
        <w:rPr>
          <w:b/>
        </w:rPr>
        <w:t xml:space="preserve">Referenz: </w:t>
      </w:r>
      <w:r>
        <w:t>Neuseeland: Steuer</w:t>
      </w:r>
    </w:p>
    <w:p w14:paraId="224C673E" w14:textId="77777777" w:rsidR="001F7233" w:rsidRDefault="00000000">
      <w:r>
        <w:rPr>
          <w:b/>
        </w:rPr>
        <w:t>GST</w:t>
      </w:r>
    </w:p>
    <w:p w14:paraId="6821731D" w14:textId="77777777" w:rsidR="001F7233" w:rsidRDefault="00000000">
      <w:r>
        <w:rPr>
          <w:b/>
        </w:rPr>
        <w:lastRenderedPageBreak/>
        <w:t xml:space="preserve">Zweck: </w:t>
      </w:r>
      <w:r>
        <w:t>Goods and Services Tax – neuseeländische Verbrauchsteuer</w:t>
      </w:r>
    </w:p>
    <w:p w14:paraId="664A0536" w14:textId="77777777" w:rsidR="001F7233" w:rsidRDefault="00000000">
      <w:r>
        <w:rPr>
          <w:b/>
        </w:rPr>
        <w:t xml:space="preserve">Behörde: </w:t>
      </w:r>
      <w:r>
        <w:t>IRD</w:t>
      </w:r>
    </w:p>
    <w:p w14:paraId="40B6D51D" w14:textId="77777777" w:rsidR="001F7233" w:rsidRDefault="00000000">
      <w:r>
        <w:rPr>
          <w:b/>
        </w:rPr>
        <w:t xml:space="preserve">Referenz: </w:t>
      </w:r>
      <w:r>
        <w:t>Neuseeland: Steuer</w:t>
      </w:r>
    </w:p>
    <w:p w14:paraId="411A93F9" w14:textId="77777777" w:rsidR="001F7233" w:rsidRDefault="00000000">
      <w:r>
        <w:rPr>
          <w:b/>
        </w:rPr>
        <w:t>PAYE</w:t>
      </w:r>
    </w:p>
    <w:p w14:paraId="33AB9A83" w14:textId="77777777" w:rsidR="001F7233" w:rsidRDefault="00000000">
      <w:r>
        <w:rPr>
          <w:b/>
        </w:rPr>
        <w:t xml:space="preserve">Zweck: </w:t>
      </w:r>
      <w:r>
        <w:t>Pay As You Earn – laufender Lohnsteuerabzug durch den Arbeitgeber</w:t>
      </w:r>
    </w:p>
    <w:p w14:paraId="5953725F" w14:textId="77777777" w:rsidR="001F7233" w:rsidRDefault="00000000">
      <w:r>
        <w:rPr>
          <w:b/>
        </w:rPr>
        <w:t xml:space="preserve">Behörde: </w:t>
      </w:r>
      <w:r>
        <w:t>IRD</w:t>
      </w:r>
    </w:p>
    <w:p w14:paraId="71579E18" w14:textId="77777777" w:rsidR="001F7233" w:rsidRDefault="00000000">
      <w:r>
        <w:rPr>
          <w:b/>
        </w:rPr>
        <w:t xml:space="preserve">Referenz: </w:t>
      </w:r>
      <w:r>
        <w:t>Neuseeland: Steuer</w:t>
      </w:r>
    </w:p>
    <w:p w14:paraId="4958FB06" w14:textId="77777777" w:rsidR="001F7233" w:rsidRDefault="00000000">
      <w:r>
        <w:rPr>
          <w:b/>
        </w:rPr>
        <w:t>DIA</w:t>
      </w:r>
    </w:p>
    <w:p w14:paraId="75A2FC34" w14:textId="77777777" w:rsidR="001F7233" w:rsidRDefault="00000000">
      <w:r>
        <w:rPr>
          <w:b/>
        </w:rPr>
        <w:t xml:space="preserve">Zweck: </w:t>
      </w:r>
      <w:r>
        <w:t>Department of Internal Affairs – zuständig für die Einbürgerung</w:t>
      </w:r>
    </w:p>
    <w:p w14:paraId="08B24DBB" w14:textId="77777777" w:rsidR="001F7233" w:rsidRDefault="00000000">
      <w:r>
        <w:rPr>
          <w:b/>
        </w:rPr>
        <w:t xml:space="preserve">Referenz: </w:t>
      </w:r>
      <w:r>
        <w:t>Neuseeland: Staatsbürgerschaft</w:t>
      </w:r>
    </w:p>
    <w:p w14:paraId="3B5CB5B5" w14:textId="77777777" w:rsidR="001F7233" w:rsidRDefault="00000000">
      <w:r>
        <w:rPr>
          <w:b/>
        </w:rPr>
        <w:t>LINZ</w:t>
      </w:r>
    </w:p>
    <w:p w14:paraId="6EB3B220" w14:textId="77777777" w:rsidR="001F7233" w:rsidRDefault="00000000">
      <w:r>
        <w:rPr>
          <w:b/>
        </w:rPr>
        <w:t xml:space="preserve">Zweck: </w:t>
      </w:r>
      <w:r>
        <w:t>Land Information New Zealand – Grundbuchbehörde, prüft Immobilienkäufe durch Ausländer</w:t>
      </w:r>
    </w:p>
    <w:p w14:paraId="7EC55980" w14:textId="77777777" w:rsidR="001F7233" w:rsidRDefault="00000000">
      <w:r>
        <w:rPr>
          <w:b/>
        </w:rPr>
        <w:t xml:space="preserve">Referenz: </w:t>
      </w:r>
      <w:r>
        <w:t>Neuseeland: Wohnen</w:t>
      </w:r>
    </w:p>
    <w:p w14:paraId="740788A5" w14:textId="77777777" w:rsidR="001F7233" w:rsidRDefault="00000000">
      <w:r>
        <w:rPr>
          <w:b/>
        </w:rPr>
        <w:t>ANZSCO</w:t>
      </w:r>
    </w:p>
    <w:p w14:paraId="6012199A" w14:textId="77777777" w:rsidR="001F7233" w:rsidRDefault="00000000">
      <w:r>
        <w:rPr>
          <w:b/>
        </w:rPr>
        <w:t xml:space="preserve">Zweck: </w:t>
      </w:r>
      <w:r>
        <w:t>Berufsklassifikationscode, maßgeblich für Green List und AEWV-Lohnschwellen</w:t>
      </w:r>
    </w:p>
    <w:p w14:paraId="316D05EF" w14:textId="77777777" w:rsidR="001F7233" w:rsidRDefault="00000000">
      <w:r>
        <w:rPr>
          <w:b/>
        </w:rPr>
        <w:t xml:space="preserve">Behörde: </w:t>
      </w:r>
      <w:r>
        <w:t>INZ/Stats NZ</w:t>
      </w:r>
    </w:p>
    <w:p w14:paraId="3E896543" w14:textId="77777777" w:rsidR="001F7233" w:rsidRDefault="00000000">
      <w:r>
        <w:rPr>
          <w:b/>
        </w:rPr>
        <w:t xml:space="preserve">Referenz: </w:t>
      </w:r>
      <w:r>
        <w:t>Neuseeland: Arbeit</w:t>
      </w:r>
    </w:p>
    <w:p w14:paraId="37FE8119" w14:textId="77777777" w:rsidR="001F7233" w:rsidRDefault="00000000">
      <w:r>
        <w:rPr>
          <w:b/>
        </w:rPr>
        <w:t>Job Check</w:t>
      </w:r>
    </w:p>
    <w:p w14:paraId="39AB7A0B" w14:textId="77777777" w:rsidR="001F7233" w:rsidRDefault="00000000">
      <w:r>
        <w:rPr>
          <w:b/>
        </w:rPr>
        <w:t xml:space="preserve">Zweck: </w:t>
      </w:r>
      <w:r>
        <w:t>Prüfverfahren des Arbeitgebers vor jedem AEWV-Antrag</w:t>
      </w:r>
    </w:p>
    <w:p w14:paraId="0275C94C" w14:textId="77777777" w:rsidR="001F7233" w:rsidRDefault="00000000">
      <w:r>
        <w:rPr>
          <w:b/>
        </w:rPr>
        <w:t xml:space="preserve">Behörde: </w:t>
      </w:r>
      <w:r>
        <w:t>INZ</w:t>
      </w:r>
    </w:p>
    <w:p w14:paraId="7BB81F27" w14:textId="77777777" w:rsidR="001F7233" w:rsidRDefault="00000000">
      <w:r>
        <w:rPr>
          <w:b/>
        </w:rPr>
        <w:t xml:space="preserve">Referenz: </w:t>
      </w:r>
      <w:r>
        <w:t>Neuseeland: Arbeit</w:t>
      </w:r>
    </w:p>
    <w:p w14:paraId="6190245D" w14:textId="77777777" w:rsidR="001F7233" w:rsidRDefault="001F7233">
      <w:pPr>
        <w:spacing w:line="180" w:lineRule="exact"/>
      </w:pPr>
    </w:p>
    <w:p w14:paraId="71CFE4AA" w14:textId="77777777" w:rsidR="001F7233" w:rsidRDefault="00000000">
      <w:r>
        <w:t>• Quellen- und Datenstand: September 2026; Redaktionsschluss: Oktober 2026. Formularnummern, Gebühren und Zuständigkeiten ändern USCIS, DOS und IRS für die USA sowie IRCC, ATO/INZ und die jeweiligen Steuerbehörden für Kanada, Australien und Neuseeland regelmäßig. Prüfe vor jeder Antragstellung die aktuelle Fassung auf der jeweiligen Behördenseite.</w:t>
      </w:r>
    </w:p>
    <w:p w14:paraId="4F8448A4" w14:textId="77777777" w:rsidR="001F7233" w:rsidRDefault="00000000">
      <w:pPr>
        <w:spacing w:line="220" w:lineRule="exact"/>
      </w:pPr>
      <w:r>
        <w:br w:type="page"/>
      </w:r>
    </w:p>
    <w:p w14:paraId="20E39139" w14:textId="77777777" w:rsidR="001F7233" w:rsidRDefault="00000000">
      <w:pPr>
        <w:pStyle w:val="Heading2"/>
        <w:keepNext/>
        <w:spacing w:line="341" w:lineRule="auto"/>
        <w:jc w:val="center"/>
      </w:pPr>
      <w:bookmarkStart w:id="152" w:name="anhang_e"/>
      <w:r>
        <w:lastRenderedPageBreak/>
        <w:t>Anhang E: Dein Monatsbudget</w:t>
      </w:r>
      <w:bookmarkEnd w:id="152"/>
    </w:p>
    <w:p w14:paraId="554702C9" w14:textId="77777777" w:rsidR="001F7233" w:rsidRDefault="00000000">
      <w:r>
        <w:t>Es gibt keine nationale Monatszahl, die dein Einkommen, deinen Wohnort und deinen Haushalt verlässlich abbildet. Fülle für jede konkrete Region dieselben Felder aus. Notiere Währung, Haushaltsgröße, Quelle und Abrufdatum; trenne belegte Beträge von Schätzungen. Die Einnahmenzeile ist Netto nach bereits einbehaltenen Steuern und Pflichtabgaben. In der Zeile „Steuern und Gebühren“ kommen deshalb nur Zahlungen hinzu, die im Nettobetrag noch nicht abgezogen sind. Wenn du mit Brutto rechnest, erstelle stattdessen eine eigene Steuerrechnung und ziehe sie vor den Ausgaben ab. Das ist eine Planungsübersicht, keine Steuer- oder Finanzberatung.</w:t>
      </w:r>
    </w:p>
    <w:p w14:paraId="2042B303" w14:textId="77777777" w:rsidR="001F7233" w:rsidRDefault="00000000">
      <w:r>
        <w:t>USA</w:t>
      </w:r>
    </w:p>
    <w:p w14:paraId="39DA3356" w14:textId="77777777" w:rsidR="001F7233" w:rsidRDefault="00000000">
      <w:r>
        <w:t>Zielort: __________   Währung: __________   Stand/Quelle: __________   Personen: __________</w:t>
      </w:r>
    </w:p>
    <w:p w14:paraId="02F03B65" w14:textId="77777777" w:rsidR="001F7233" w:rsidRDefault="00000000">
      <w:r>
        <w:t>Nettoeinkommen pro Monat: ____________________</w:t>
      </w:r>
    </w:p>
    <w:p w14:paraId="55233A4D" w14:textId="77777777" w:rsidR="001F7233" w:rsidRDefault="00000000">
      <w:r>
        <w:t>Miete oder laufende Wohnkosten: ____________________</w:t>
      </w:r>
    </w:p>
    <w:p w14:paraId="4380870C" w14:textId="77777777" w:rsidR="001F7233" w:rsidRDefault="00000000">
      <w:r>
        <w:t>Strom, Wasser, Heizung/Kühlung und Internet: ____________________</w:t>
      </w:r>
    </w:p>
    <w:p w14:paraId="34C9B77E" w14:textId="77777777" w:rsidR="001F7233" w:rsidRDefault="00000000">
      <w:r>
        <w:t>Lebensmittel und Haushalt: ____________________</w:t>
      </w:r>
    </w:p>
    <w:p w14:paraId="39913856" w14:textId="77777777" w:rsidR="001F7233" w:rsidRDefault="00000000">
      <w:r>
        <w:t>Auto/ÖPNV und Versicherung: ____________________</w:t>
      </w:r>
    </w:p>
    <w:p w14:paraId="132B13BC" w14:textId="77777777" w:rsidR="001F7233" w:rsidRDefault="00000000">
      <w:r>
        <w:t>Gesundheit: Arbeitgeberprämie, Selbstbehalt und mögliche Eigenkosten: ____________________</w:t>
      </w:r>
    </w:p>
    <w:p w14:paraId="76A0DAA0" w14:textId="77777777" w:rsidR="001F7233" w:rsidRDefault="00000000">
      <w:r>
        <w:t>Kinderbetreuung und Schule: ____________________</w:t>
      </w:r>
    </w:p>
    <w:p w14:paraId="13F02955" w14:textId="77777777" w:rsidR="001F7233" w:rsidRDefault="00000000">
      <w:r>
        <w:t>Noch nicht einbehaltene Steuern, Abgaben und laufende Gebühren: ____________________</w:t>
      </w:r>
    </w:p>
    <w:p w14:paraId="7F6E696F" w14:textId="77777777" w:rsidR="001F7233" w:rsidRDefault="00000000">
      <w:r>
        <w:t>Schulden, Vorsorge und regelmäßige Verpflichtungen: ____________________</w:t>
      </w:r>
    </w:p>
    <w:p w14:paraId="49CFB312" w14:textId="77777777" w:rsidR="001F7233" w:rsidRDefault="00000000">
      <w:r>
        <w:t>Reisen nach Deutschland und Rückkehrreserve: ____________________</w:t>
      </w:r>
    </w:p>
    <w:p w14:paraId="40159B2C" w14:textId="77777777" w:rsidR="001F7233" w:rsidRDefault="00000000">
      <w:r>
        <w:t>Sonstiges: ____________________</w:t>
      </w:r>
    </w:p>
    <w:p w14:paraId="17EEB477" w14:textId="77777777" w:rsidR="001F7233" w:rsidRDefault="00000000">
      <w:r>
        <w:t>Gesamtausgaben: ____________________</w:t>
      </w:r>
    </w:p>
    <w:p w14:paraId="3B8DE5AA" w14:textId="77777777" w:rsidR="001F7233" w:rsidRDefault="00000000">
      <w:r>
        <w:t>Rest nach Ausgaben: ____________________</w:t>
      </w:r>
    </w:p>
    <w:p w14:paraId="4DB07995" w14:textId="77777777" w:rsidR="001F7233" w:rsidRDefault="00000000">
      <w:r>
        <w:t>Quelle je örtlicher Schätzung: __________________________________________</w:t>
      </w:r>
    </w:p>
    <w:p w14:paraId="06352645" w14:textId="77777777" w:rsidR="001F7233" w:rsidRDefault="00000000">
      <w:r>
        <w:t>Kanada</w:t>
      </w:r>
    </w:p>
    <w:p w14:paraId="4009D013" w14:textId="77777777" w:rsidR="001F7233" w:rsidRDefault="00000000">
      <w:r>
        <w:lastRenderedPageBreak/>
        <w:t>Zielort: __________   Währung: __________   Stand/Quelle: __________   Personen: __________</w:t>
      </w:r>
    </w:p>
    <w:p w14:paraId="53804CC8" w14:textId="77777777" w:rsidR="001F7233" w:rsidRDefault="00000000">
      <w:r>
        <w:t>Nettoeinkommen pro Monat: ____________________</w:t>
      </w:r>
    </w:p>
    <w:p w14:paraId="7C0E735D" w14:textId="77777777" w:rsidR="001F7233" w:rsidRDefault="00000000">
      <w:r>
        <w:t>Miete oder laufende Wohnkosten: ____________________</w:t>
      </w:r>
    </w:p>
    <w:p w14:paraId="516CA767" w14:textId="77777777" w:rsidR="001F7233" w:rsidRDefault="00000000">
      <w:r>
        <w:t>Strom, Wasser, Heizung/Kühlung und Internet: ____________________</w:t>
      </w:r>
    </w:p>
    <w:p w14:paraId="505EF48E" w14:textId="77777777" w:rsidR="001F7233" w:rsidRDefault="00000000">
      <w:r>
        <w:t>Lebensmittel und Haushalt: ____________________</w:t>
      </w:r>
    </w:p>
    <w:p w14:paraId="65D8D921" w14:textId="77777777" w:rsidR="001F7233" w:rsidRDefault="00000000">
      <w:r>
        <w:t>Auto/ÖPNV und Versicherung: ____________________</w:t>
      </w:r>
    </w:p>
    <w:p w14:paraId="4B0EB642" w14:textId="77777777" w:rsidR="001F7233" w:rsidRDefault="00000000">
      <w:r>
        <w:t>Gesundheit: Provinzdeckung, Wartezeit und private Zusatzkosten: ____________________</w:t>
      </w:r>
    </w:p>
    <w:p w14:paraId="0E72D1B4" w14:textId="77777777" w:rsidR="001F7233" w:rsidRDefault="00000000">
      <w:r>
        <w:t>Kinderbetreuung und Schule: ____________________</w:t>
      </w:r>
    </w:p>
    <w:p w14:paraId="65E3A40E" w14:textId="77777777" w:rsidR="001F7233" w:rsidRDefault="00000000">
      <w:r>
        <w:t>Noch nicht einbehaltene Steuern, Abgaben und laufende Gebühren: ____________________</w:t>
      </w:r>
    </w:p>
    <w:p w14:paraId="691999BB" w14:textId="77777777" w:rsidR="001F7233" w:rsidRDefault="00000000">
      <w:r>
        <w:t>Schulden, Vorsorge und regelmäßige Verpflichtungen: ____________________</w:t>
      </w:r>
    </w:p>
    <w:p w14:paraId="162B8350" w14:textId="77777777" w:rsidR="001F7233" w:rsidRDefault="00000000">
      <w:r>
        <w:t>Reisen nach Deutschland und Rückkehrreserve: ____________________</w:t>
      </w:r>
    </w:p>
    <w:p w14:paraId="1E594884" w14:textId="77777777" w:rsidR="001F7233" w:rsidRDefault="00000000">
      <w:r>
        <w:t>Sonstiges: ____________________</w:t>
      </w:r>
    </w:p>
    <w:p w14:paraId="623FA91F" w14:textId="77777777" w:rsidR="001F7233" w:rsidRDefault="00000000">
      <w:r>
        <w:t>Gesamtausgaben: ____________________</w:t>
      </w:r>
    </w:p>
    <w:p w14:paraId="3F47FACE" w14:textId="77777777" w:rsidR="001F7233" w:rsidRDefault="00000000">
      <w:r>
        <w:t>Rest nach Ausgaben: ____________________</w:t>
      </w:r>
    </w:p>
    <w:p w14:paraId="476D83EE" w14:textId="77777777" w:rsidR="001F7233" w:rsidRDefault="00000000">
      <w:r>
        <w:t>Quelle je örtlicher Schätzung: __________________________________________</w:t>
      </w:r>
    </w:p>
    <w:p w14:paraId="4F6B2C29" w14:textId="77777777" w:rsidR="001F7233" w:rsidRDefault="00000000">
      <w:r>
        <w:t>Australien</w:t>
      </w:r>
    </w:p>
    <w:p w14:paraId="5D89ED8B" w14:textId="77777777" w:rsidR="001F7233" w:rsidRDefault="00000000">
      <w:r>
        <w:t>Zielort: __________   Währung: __________   Stand/Quelle: __________   Personen: __________</w:t>
      </w:r>
    </w:p>
    <w:p w14:paraId="0F6AE6BC" w14:textId="77777777" w:rsidR="001F7233" w:rsidRDefault="00000000">
      <w:r>
        <w:t>Nettoeinkommen pro Monat: ____________________</w:t>
      </w:r>
    </w:p>
    <w:p w14:paraId="132269BB" w14:textId="77777777" w:rsidR="001F7233" w:rsidRDefault="00000000">
      <w:r>
        <w:t>Miete oder laufende Wohnkosten: ____________________</w:t>
      </w:r>
    </w:p>
    <w:p w14:paraId="2A3EDD96" w14:textId="77777777" w:rsidR="001F7233" w:rsidRDefault="00000000">
      <w:r>
        <w:t>Strom, Wasser, Heizung/Kühlung und Internet: ____________________</w:t>
      </w:r>
    </w:p>
    <w:p w14:paraId="48C7953D" w14:textId="77777777" w:rsidR="001F7233" w:rsidRDefault="00000000">
      <w:r>
        <w:t>Lebensmittel und Haushalt: ____________________</w:t>
      </w:r>
    </w:p>
    <w:p w14:paraId="2BB52585" w14:textId="77777777" w:rsidR="001F7233" w:rsidRDefault="00000000">
      <w:r>
        <w:t>Auto/ÖPNV und Versicherung: ____________________</w:t>
      </w:r>
    </w:p>
    <w:p w14:paraId="5F6D296B" w14:textId="77777777" w:rsidR="001F7233" w:rsidRDefault="00000000">
      <w:r>
        <w:t>Gesundheit: Medicare-Berechtigung, Levy und nötige private Deckung: ____________________</w:t>
      </w:r>
    </w:p>
    <w:p w14:paraId="79DAE05C" w14:textId="77777777" w:rsidR="001F7233" w:rsidRDefault="00000000">
      <w:r>
        <w:t>Kinderbetreuung und Schule: ____________________</w:t>
      </w:r>
    </w:p>
    <w:p w14:paraId="5CDE183D" w14:textId="77777777" w:rsidR="001F7233" w:rsidRDefault="00000000">
      <w:r>
        <w:t>Noch nicht einbehaltene Steuern, Abgaben und laufende Gebühren: ____________________</w:t>
      </w:r>
    </w:p>
    <w:p w14:paraId="4F54CEE0" w14:textId="77777777" w:rsidR="001F7233" w:rsidRDefault="00000000">
      <w:r>
        <w:t>Schulden, Vorsorge und regelmäßige Verpflichtungen: ____________________</w:t>
      </w:r>
    </w:p>
    <w:p w14:paraId="039144BD" w14:textId="77777777" w:rsidR="001F7233" w:rsidRDefault="00000000">
      <w:r>
        <w:t>Reisen nach Deutschland und Rückkehrreserve: ____________________</w:t>
      </w:r>
    </w:p>
    <w:p w14:paraId="7706C692" w14:textId="77777777" w:rsidR="001F7233" w:rsidRDefault="00000000">
      <w:r>
        <w:lastRenderedPageBreak/>
        <w:t>Sonstiges: ____________________</w:t>
      </w:r>
    </w:p>
    <w:p w14:paraId="59FCCCEB" w14:textId="77777777" w:rsidR="001F7233" w:rsidRDefault="00000000">
      <w:r>
        <w:t>Gesamtausgaben: ____________________</w:t>
      </w:r>
    </w:p>
    <w:p w14:paraId="524E3334" w14:textId="77777777" w:rsidR="001F7233" w:rsidRDefault="00000000">
      <w:r>
        <w:t>Rest nach Ausgaben: ____________________</w:t>
      </w:r>
    </w:p>
    <w:p w14:paraId="1D0F37F2" w14:textId="77777777" w:rsidR="001F7233" w:rsidRDefault="00000000">
      <w:r>
        <w:t>Quelle je örtlicher Schätzung: __________________________________________</w:t>
      </w:r>
    </w:p>
    <w:p w14:paraId="6BE20186" w14:textId="77777777" w:rsidR="001F7233" w:rsidRDefault="00000000">
      <w:r>
        <w:t>Neuseeland</w:t>
      </w:r>
    </w:p>
    <w:p w14:paraId="58615DE0" w14:textId="77777777" w:rsidR="001F7233" w:rsidRDefault="00000000">
      <w:r>
        <w:t>Zielort: __________   Währung: __________   Stand/Quelle: __________   Personen: __________</w:t>
      </w:r>
    </w:p>
    <w:p w14:paraId="2A5B3F4E" w14:textId="77777777" w:rsidR="001F7233" w:rsidRDefault="00000000">
      <w:r>
        <w:t>Nettoeinkommen pro Monat: ____________________</w:t>
      </w:r>
    </w:p>
    <w:p w14:paraId="09986084" w14:textId="77777777" w:rsidR="001F7233" w:rsidRDefault="00000000">
      <w:r>
        <w:t>Miete oder laufende Wohnkosten: ____________________</w:t>
      </w:r>
    </w:p>
    <w:p w14:paraId="35BB5EE0" w14:textId="77777777" w:rsidR="001F7233" w:rsidRDefault="00000000">
      <w:r>
        <w:t>Strom, Wasser, Heizung/Kühlung und Internet: ____________________</w:t>
      </w:r>
    </w:p>
    <w:p w14:paraId="703396AE" w14:textId="77777777" w:rsidR="001F7233" w:rsidRDefault="00000000">
      <w:r>
        <w:t>Lebensmittel und Haushalt: ____________________</w:t>
      </w:r>
    </w:p>
    <w:p w14:paraId="06289337" w14:textId="77777777" w:rsidR="001F7233" w:rsidRDefault="00000000">
      <w:r>
        <w:t>Auto/ÖPNV und Versicherung: ____________________</w:t>
      </w:r>
    </w:p>
    <w:p w14:paraId="5DA45E26" w14:textId="77777777" w:rsidR="001F7233" w:rsidRDefault="00000000">
      <w:r>
        <w:t>Gesundheit: öffentliche Berechtigung, Übergangsversicherung und ACC: ____________________</w:t>
      </w:r>
    </w:p>
    <w:p w14:paraId="05BCC85A" w14:textId="77777777" w:rsidR="001F7233" w:rsidRDefault="00000000">
      <w:r>
        <w:t>Kinderbetreuung und Schule: ____________________</w:t>
      </w:r>
    </w:p>
    <w:p w14:paraId="365ED16E" w14:textId="77777777" w:rsidR="001F7233" w:rsidRDefault="00000000">
      <w:r>
        <w:t>Noch nicht einbehaltene Steuern, Abgaben und laufende Gebühren: ____________________</w:t>
      </w:r>
    </w:p>
    <w:p w14:paraId="6E952D4B" w14:textId="77777777" w:rsidR="001F7233" w:rsidRDefault="00000000">
      <w:r>
        <w:t>Schulden, Vorsorge und regelmäßige Verpflichtungen: ____________________</w:t>
      </w:r>
    </w:p>
    <w:p w14:paraId="6BF78942" w14:textId="77777777" w:rsidR="001F7233" w:rsidRDefault="00000000">
      <w:r>
        <w:t>Reisen nach Deutschland und Rückkehrreserve: ____________________</w:t>
      </w:r>
    </w:p>
    <w:p w14:paraId="1259A24A" w14:textId="77777777" w:rsidR="001F7233" w:rsidRDefault="00000000">
      <w:r>
        <w:t>Sonstiges: ____________________</w:t>
      </w:r>
    </w:p>
    <w:p w14:paraId="13B3A75C" w14:textId="77777777" w:rsidR="001F7233" w:rsidRDefault="00000000">
      <w:r>
        <w:t>Gesamtausgaben: ____________________</w:t>
      </w:r>
    </w:p>
    <w:p w14:paraId="6E2829EB" w14:textId="77777777" w:rsidR="001F7233" w:rsidRDefault="00000000">
      <w:r>
        <w:t>Rest nach Ausgaben: ____________________</w:t>
      </w:r>
    </w:p>
    <w:p w14:paraId="15DD10BD" w14:textId="77777777" w:rsidR="001F7233" w:rsidRDefault="00000000">
      <w:r>
        <w:t>Quelle je örtlicher Schätzung: __________________________________________</w:t>
      </w:r>
      <w:r>
        <w:br w:type="page"/>
      </w:r>
    </w:p>
    <w:p w14:paraId="5CD7D995" w14:textId="77777777" w:rsidR="001F7233" w:rsidRDefault="00000000">
      <w:pPr>
        <w:pStyle w:val="Heading2"/>
        <w:keepNext/>
        <w:spacing w:line="341" w:lineRule="auto"/>
        <w:jc w:val="center"/>
      </w:pPr>
      <w:bookmarkStart w:id="153" w:name="anhang_f"/>
      <w:r>
        <w:rPr>
          <w:rFonts w:ascii="Amazon Ember" w:eastAsia="Amazon Ember" w:hAnsi="Amazon Ember" w:cs="Amazon Ember"/>
          <w:color w:val="0000FF"/>
          <w:sz w:val="36"/>
          <w:szCs w:val="36"/>
        </w:rPr>
        <w:lastRenderedPageBreak/>
        <w:t>Anhang F: Offizielle Quellen und Adressen</w:t>
      </w:r>
      <w:bookmarkEnd w:id="153"/>
    </w:p>
    <w:p w14:paraId="5FC30870" w14:textId="77777777" w:rsidR="001F7233" w:rsidRDefault="00000000">
      <w:pPr>
        <w:spacing w:after="140"/>
      </w:pPr>
      <w:r>
        <w:t>Diese Liste bündelt die offiziellen und seriösen Adressen aus allen Kapiteln der vier Länderteile — USA, Kanada, Australien, Neuseeland — an einem Ort, dedupliziert und nach Land und Themenbereich geordnet. Für die USA zeigt die Spalte „Kapitel“, wo eine Quelle im Buch vertieft erklärt wird. Bei Kanada, Australien und Neuseeland steht dort statt einer Kapitelzahl eine kurze Referenz auf den Themenbereich (z. B. „Kanada: Einwanderung“). Das liegt daran, dass die Kapitelzählung dieser drei Länderteile eigenständig ist. Die ausführliche Quellenliste mit Kontext steht zusätzlich am Ende jedes Kapitels. Kurzadressen stehen ohne „.</w:t>
      </w:r>
      <w:r>
        <w:br w:type="page"/>
      </w:r>
    </w:p>
    <w:p w14:paraId="58278C53" w14:textId="77777777" w:rsidR="001F7233" w:rsidRDefault="00000000">
      <w:pPr>
        <w:pStyle w:val="Heading2"/>
        <w:keepNext/>
        <w:spacing w:line="341" w:lineRule="auto"/>
        <w:jc w:val="center"/>
      </w:pPr>
      <w:bookmarkStart w:id="154" w:name="s110"/>
      <w:r>
        <w:rPr>
          <w:rFonts w:ascii="Amazon Ember" w:eastAsia="Amazon Ember" w:hAnsi="Amazon Ember" w:cs="Amazon Ember"/>
          <w:color w:val="0000FF"/>
          <w:sz w:val="36"/>
          <w:szCs w:val="36"/>
        </w:rPr>
        <w:lastRenderedPageBreak/>
        <w:t>Quellen USA</w:t>
      </w:r>
      <w:bookmarkEnd w:id="154"/>
    </w:p>
    <w:p w14:paraId="003F2B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US-Einwanderungsbehörden</w:t>
      </w:r>
    </w:p>
    <w:p w14:paraId="1278E940" w14:textId="77777777" w:rsidR="001F7233" w:rsidRDefault="00000000">
      <w:r>
        <w:rPr>
          <w:b/>
        </w:rPr>
        <w:t>ceac.state.gov/genniv</w:t>
      </w:r>
    </w:p>
    <w:p w14:paraId="4398ED1B" w14:textId="77777777" w:rsidR="001F7233" w:rsidRDefault="00000000">
      <w:r>
        <w:rPr>
          <w:b/>
        </w:rPr>
        <w:t xml:space="preserve">Behörde / Thema: </w:t>
      </w:r>
      <w:r>
        <w:t>DS-160 ausfüllen, Statusabfrage</w:t>
      </w:r>
    </w:p>
    <w:p w14:paraId="5CCCF722" w14:textId="77777777" w:rsidR="001F7233" w:rsidRDefault="00000000">
      <w:r>
        <w:rPr>
          <w:b/>
        </w:rPr>
        <w:t xml:space="preserve">Kapitel: </w:t>
      </w:r>
      <w:hyperlink w:anchor="k11">
        <w:r w:rsidR="001F7233">
          <w:rPr>
            <w:rStyle w:val="Hyperlink"/>
          </w:rPr>
          <w:t>Kapitel 11</w:t>
        </w:r>
      </w:hyperlink>
    </w:p>
    <w:p w14:paraId="3E31CCF6" w14:textId="77777777" w:rsidR="001F7233" w:rsidRDefault="00000000">
      <w:r>
        <w:rPr>
          <w:b/>
        </w:rPr>
        <w:t>cbp.gov/travel (auch esta.cbp.dhs.gov, cbp.gov/travel/international-visitors/visa-waiver-program)</w:t>
      </w:r>
    </w:p>
    <w:p w14:paraId="1790CBA4" w14:textId="77777777" w:rsidR="001F7233" w:rsidRDefault="00000000">
      <w:r>
        <w:rPr>
          <w:b/>
        </w:rPr>
        <w:t xml:space="preserve">Behörde / Thema: </w:t>
      </w:r>
      <w:r>
        <w:t>ESTA und Visa Waiver Program</w:t>
      </w:r>
    </w:p>
    <w:p w14:paraId="28E116FD" w14:textId="77777777" w:rsidR="001F7233" w:rsidRDefault="00000000">
      <w:r>
        <w:rPr>
          <w:b/>
        </w:rPr>
        <w:t xml:space="preserve">Kapitel: </w:t>
      </w:r>
      <w:hyperlink w:anchor="k4">
        <w:r w:rsidR="001F7233">
          <w:rPr>
            <w:rStyle w:val="Hyperlink"/>
          </w:rPr>
          <w:t>Kapitel 4</w:t>
        </w:r>
      </w:hyperlink>
      <w:r>
        <w:t>, 9</w:t>
      </w:r>
    </w:p>
    <w:p w14:paraId="5E3BBB87" w14:textId="77777777" w:rsidR="001F7233" w:rsidRDefault="00000000">
      <w:r>
        <w:rPr>
          <w:b/>
        </w:rPr>
        <w:t>cbp.gov/travel/international-visitors/i-94 (auch i94.cbp.dhs.gov)</w:t>
      </w:r>
    </w:p>
    <w:p w14:paraId="34961F28" w14:textId="77777777" w:rsidR="001F7233" w:rsidRDefault="00000000">
      <w:r>
        <w:rPr>
          <w:b/>
        </w:rPr>
        <w:t xml:space="preserve">Behörde / Thema: </w:t>
      </w:r>
      <w:r>
        <w:t>Einreisenachweis I-94, elektronischer Abruf</w:t>
      </w:r>
    </w:p>
    <w:p w14:paraId="7E3617B2" w14:textId="77777777" w:rsidR="001F7233" w:rsidRDefault="00000000">
      <w:r>
        <w:rPr>
          <w:b/>
        </w:rPr>
        <w:t xml:space="preserve">Kapitel: </w:t>
      </w:r>
      <w:hyperlink w:anchor="k10">
        <w:r w:rsidR="001F7233">
          <w:rPr>
            <w:rStyle w:val="Hyperlink"/>
          </w:rPr>
          <w:t>Kapitel 10</w:t>
        </w:r>
      </w:hyperlink>
      <w:r>
        <w:t>, 23</w:t>
      </w:r>
    </w:p>
    <w:p w14:paraId="7C380384" w14:textId="77777777" w:rsidR="001F7233" w:rsidRDefault="00000000">
      <w:r>
        <w:rPr>
          <w:b/>
        </w:rPr>
        <w:t>cbp.gov/document/forms/form-3299-declaration-free-entry-unaccompanied-articles (auch cbp.gov, Suche „household effects“)</w:t>
      </w:r>
    </w:p>
    <w:p w14:paraId="0BEBE8E6" w14:textId="77777777" w:rsidR="001F7233" w:rsidRDefault="00000000">
      <w:r>
        <w:rPr>
          <w:b/>
        </w:rPr>
        <w:t xml:space="preserve">Behörde / Thema: </w:t>
      </w:r>
      <w:r>
        <w:t>Zollerklärung für Umzugsgut, Form 3299</w:t>
      </w:r>
    </w:p>
    <w:p w14:paraId="74528276" w14:textId="77777777" w:rsidR="001F7233" w:rsidRDefault="00000000">
      <w:r>
        <w:rPr>
          <w:b/>
        </w:rPr>
        <w:t xml:space="preserve">Kapitel: </w:t>
      </w:r>
      <w:hyperlink w:anchor="k20">
        <w:r w:rsidR="001F7233">
          <w:rPr>
            <w:rStyle w:val="Hyperlink"/>
          </w:rPr>
          <w:t>Kapitel 20</w:t>
        </w:r>
      </w:hyperlink>
      <w:r>
        <w:t>, 21</w:t>
      </w:r>
    </w:p>
    <w:p w14:paraId="1C63F0F1" w14:textId="77777777" w:rsidR="001F7233" w:rsidRDefault="00000000">
      <w:r>
        <w:rPr>
          <w:b/>
        </w:rPr>
        <w:t>cbp.gov/trade/basic-import-export/importing-car</w:t>
      </w:r>
    </w:p>
    <w:p w14:paraId="411EFBA2" w14:textId="77777777" w:rsidR="001F7233" w:rsidRDefault="00000000">
      <w:r>
        <w:rPr>
          <w:b/>
        </w:rPr>
        <w:t xml:space="preserve">Behörde / Thema: </w:t>
      </w:r>
      <w:r>
        <w:t>Fahrzeuge in die USA einführen</w:t>
      </w:r>
    </w:p>
    <w:p w14:paraId="5CA84486" w14:textId="77777777" w:rsidR="001F7233" w:rsidRDefault="00000000">
      <w:r>
        <w:rPr>
          <w:b/>
        </w:rPr>
        <w:t xml:space="preserve">Kapitel: </w:t>
      </w:r>
      <w:hyperlink w:anchor="k27">
        <w:r w:rsidR="001F7233">
          <w:rPr>
            <w:rStyle w:val="Hyperlink"/>
          </w:rPr>
          <w:t>Kapitel 27</w:t>
        </w:r>
      </w:hyperlink>
    </w:p>
    <w:p w14:paraId="3E59BE3E" w14:textId="77777777" w:rsidR="001F7233" w:rsidRDefault="00000000">
      <w:r>
        <w:rPr>
          <w:b/>
        </w:rPr>
        <w:t>cbp.gov</w:t>
      </w:r>
    </w:p>
    <w:p w14:paraId="13E42A24" w14:textId="77777777" w:rsidR="001F7233" w:rsidRDefault="00000000">
      <w:r>
        <w:rPr>
          <w:b/>
        </w:rPr>
        <w:t xml:space="preserve">Behörde / Thema: </w:t>
      </w:r>
      <w:r>
        <w:t>Einfuhr von Lebensmitteln (Suche: prohibited and restricted items), Reisen mit Medikamenten</w:t>
      </w:r>
    </w:p>
    <w:p w14:paraId="333163D9" w14:textId="77777777" w:rsidR="001F7233" w:rsidRDefault="00000000">
      <w:r>
        <w:rPr>
          <w:b/>
        </w:rPr>
        <w:t xml:space="preserve">Kapitel: </w:t>
      </w:r>
      <w:hyperlink w:anchor="k18">
        <w:r w:rsidR="001F7233">
          <w:rPr>
            <w:rStyle w:val="Hyperlink"/>
          </w:rPr>
          <w:t>Kapitel 18</w:t>
        </w:r>
      </w:hyperlink>
      <w:r>
        <w:t>, 35</w:t>
      </w:r>
    </w:p>
    <w:p w14:paraId="08D03B3A" w14:textId="77777777" w:rsidR="001F7233" w:rsidRDefault="00000000">
      <w:r>
        <w:rPr>
          <w:b/>
        </w:rPr>
        <w:t>de.usembassy.gov/visas</w:t>
      </w:r>
    </w:p>
    <w:p w14:paraId="377CC6CF" w14:textId="77777777" w:rsidR="001F7233" w:rsidRDefault="00000000">
      <w:r>
        <w:rPr>
          <w:b/>
        </w:rPr>
        <w:t xml:space="preserve">Behörde / Thema: </w:t>
      </w:r>
      <w:r>
        <w:t>US-Botschaft und Konsulate in Deutschland, Visaverfahren und Terminportal</w:t>
      </w:r>
    </w:p>
    <w:p w14:paraId="48E3C984" w14:textId="77777777" w:rsidR="001F7233" w:rsidRDefault="00000000">
      <w:r>
        <w:rPr>
          <w:b/>
        </w:rPr>
        <w:t xml:space="preserve">Kapitel: </w:t>
      </w:r>
      <w:hyperlink w:anchor="k5">
        <w:r w:rsidR="001F7233">
          <w:rPr>
            <w:rStyle w:val="Hyperlink"/>
          </w:rPr>
          <w:t>Kapitel 5</w:t>
        </w:r>
      </w:hyperlink>
      <w:r>
        <w:t>, 6, 9, 11</w:t>
      </w:r>
    </w:p>
    <w:p w14:paraId="65B6B062" w14:textId="77777777" w:rsidR="001F7233" w:rsidRDefault="00000000">
      <w:r>
        <w:rPr>
          <w:b/>
        </w:rPr>
        <w:t>dol.gov/agencies/eta/foreign-labor/programs/h-1b</w:t>
      </w:r>
    </w:p>
    <w:p w14:paraId="2C997ADE" w14:textId="77777777" w:rsidR="001F7233" w:rsidRDefault="00000000">
      <w:r>
        <w:rPr>
          <w:b/>
        </w:rPr>
        <w:t xml:space="preserve">Behörde / Thema: </w:t>
      </w:r>
      <w:r>
        <w:t>H-1B, Lohnbescheid (LCA) und Prevailing Wage</w:t>
      </w:r>
    </w:p>
    <w:p w14:paraId="170B5345" w14:textId="77777777" w:rsidR="001F7233" w:rsidRDefault="00000000">
      <w:r>
        <w:rPr>
          <w:b/>
        </w:rPr>
        <w:lastRenderedPageBreak/>
        <w:t xml:space="preserve">Kapitel: </w:t>
      </w:r>
      <w:hyperlink w:anchor="k5">
        <w:r w:rsidR="001F7233">
          <w:rPr>
            <w:rStyle w:val="Hyperlink"/>
          </w:rPr>
          <w:t>Kapitel 5</w:t>
        </w:r>
      </w:hyperlink>
      <w:r>
        <w:t>, 29, 30</w:t>
      </w:r>
    </w:p>
    <w:p w14:paraId="28862F85" w14:textId="77777777" w:rsidR="001F7233" w:rsidRDefault="00000000">
      <w:r>
        <w:rPr>
          <w:b/>
        </w:rPr>
        <w:t>dol.gov/agencies/whd/immigration/h1b/projectfirewall</w:t>
      </w:r>
    </w:p>
    <w:p w14:paraId="3ED9D6A9" w14:textId="77777777" w:rsidR="001F7233" w:rsidRDefault="00000000">
      <w:r>
        <w:rPr>
          <w:b/>
        </w:rPr>
        <w:t xml:space="preserve">Behörde / Thema: </w:t>
      </w:r>
      <w:r>
        <w:t>Project Firewall, H-1B-Kontrollen</w:t>
      </w:r>
    </w:p>
    <w:p w14:paraId="460CE6F6" w14:textId="77777777" w:rsidR="001F7233" w:rsidRDefault="00000000">
      <w:r>
        <w:rPr>
          <w:b/>
        </w:rPr>
        <w:t xml:space="preserve">Kapitel: </w:t>
      </w:r>
      <w:hyperlink w:anchor="k5">
        <w:r w:rsidR="001F7233">
          <w:rPr>
            <w:rStyle w:val="Hyperlink"/>
          </w:rPr>
          <w:t>Kapitel 5</w:t>
        </w:r>
      </w:hyperlink>
    </w:p>
    <w:p w14:paraId="780555D6" w14:textId="77777777" w:rsidR="001F7233" w:rsidRDefault="00000000">
      <w:r>
        <w:rPr>
          <w:b/>
        </w:rPr>
        <w:t>dvprogram.state.gov</w:t>
      </w:r>
    </w:p>
    <w:p w14:paraId="7FBAF736" w14:textId="77777777" w:rsidR="001F7233" w:rsidRDefault="00000000">
      <w:r>
        <w:rPr>
          <w:b/>
        </w:rPr>
        <w:t xml:space="preserve">Behörde / Thema: </w:t>
      </w:r>
      <w:r>
        <w:t>Anmeldung zur Green-Card-Lotterie</w:t>
      </w:r>
    </w:p>
    <w:p w14:paraId="42AAD837" w14:textId="77777777" w:rsidR="001F7233" w:rsidRDefault="00000000">
      <w:r>
        <w:rPr>
          <w:b/>
        </w:rPr>
        <w:t xml:space="preserve">Kapitel: </w:t>
      </w:r>
      <w:hyperlink w:anchor="k9">
        <w:r w:rsidR="001F7233">
          <w:rPr>
            <w:rStyle w:val="Hyperlink"/>
          </w:rPr>
          <w:t>Kapitel 9</w:t>
        </w:r>
      </w:hyperlink>
    </w:p>
    <w:p w14:paraId="2F358ABA" w14:textId="77777777" w:rsidR="001F7233" w:rsidRDefault="00000000">
      <w:r>
        <w:rPr>
          <w:b/>
        </w:rPr>
        <w:t>ecfr.gov (Suche „20 CFR 656.12“)</w:t>
      </w:r>
    </w:p>
    <w:p w14:paraId="3417C5C2" w14:textId="77777777" w:rsidR="001F7233" w:rsidRDefault="00000000">
      <w:r>
        <w:rPr>
          <w:b/>
        </w:rPr>
        <w:t xml:space="preserve">Behörde / Thema: </w:t>
      </w:r>
      <w:r>
        <w:t>Kosten der Arbeitserlaubnis-Zertifizierung (PERM)</w:t>
      </w:r>
    </w:p>
    <w:p w14:paraId="0F0A6232" w14:textId="77777777" w:rsidR="001F7233" w:rsidRDefault="00000000">
      <w:r>
        <w:rPr>
          <w:b/>
        </w:rPr>
        <w:t xml:space="preserve">Kapitel: </w:t>
      </w:r>
      <w:hyperlink w:anchor="k7">
        <w:r w:rsidR="001F7233">
          <w:rPr>
            <w:rStyle w:val="Hyperlink"/>
          </w:rPr>
          <w:t>Kapitel 7</w:t>
        </w:r>
      </w:hyperlink>
    </w:p>
    <w:p w14:paraId="1C65CCEB" w14:textId="77777777" w:rsidR="001F7233" w:rsidRDefault="00000000">
      <w:r>
        <w:rPr>
          <w:b/>
        </w:rPr>
        <w:t>exchanges.state.gov</w:t>
      </w:r>
    </w:p>
    <w:p w14:paraId="0873020E" w14:textId="77777777" w:rsidR="001F7233" w:rsidRDefault="00000000">
      <w:r>
        <w:rPr>
          <w:b/>
        </w:rPr>
        <w:t xml:space="preserve">Behörde / Thema: </w:t>
      </w:r>
      <w:r>
        <w:t>J-1-Austauschprogramme</w:t>
      </w:r>
    </w:p>
    <w:p w14:paraId="3F228CC8" w14:textId="77777777" w:rsidR="001F7233" w:rsidRDefault="00000000">
      <w:r>
        <w:rPr>
          <w:b/>
        </w:rPr>
        <w:t xml:space="preserve">Kapitel: </w:t>
      </w:r>
      <w:hyperlink w:anchor="k9">
        <w:r w:rsidR="001F7233">
          <w:rPr>
            <w:rStyle w:val="Hyperlink"/>
          </w:rPr>
          <w:t>Kapitel 9</w:t>
        </w:r>
      </w:hyperlink>
    </w:p>
    <w:p w14:paraId="2B7FA940" w14:textId="77777777" w:rsidR="001F7233" w:rsidRDefault="00000000">
      <w:r>
        <w:rPr>
          <w:b/>
        </w:rPr>
        <w:t>federalregister.gov</w:t>
      </w:r>
    </w:p>
    <w:p w14:paraId="5B8CD8DC" w14:textId="77777777" w:rsidR="001F7233" w:rsidRDefault="00000000">
      <w:r>
        <w:rPr>
          <w:b/>
        </w:rPr>
        <w:t>Behörde / Thema: Regelentwürfe und Endregeln: H-1B, Public Charge, Biometrie bei Ein- und Ausreise, 60-Tage-Frist, Section-232-Zölle auf Holzprodukte u. a.</w:t>
      </w:r>
    </w:p>
    <w:p w14:paraId="45685D3E" w14:textId="77777777" w:rsidR="001F7233" w:rsidRDefault="00000000">
      <w:r>
        <w:rPr>
          <w:b/>
        </w:rPr>
        <w:t xml:space="preserve">Kapitel: </w:t>
      </w:r>
      <w:hyperlink w:anchor="k5">
        <w:r w:rsidR="001F7233">
          <w:rPr>
            <w:rStyle w:val="Hyperlink"/>
          </w:rPr>
          <w:t>Kapitel 5</w:t>
        </w:r>
      </w:hyperlink>
      <w:r>
        <w:t>, 6, 7, 10, 21, 23, 30</w:t>
      </w:r>
    </w:p>
    <w:p w14:paraId="4FCDEDE3" w14:textId="77777777" w:rsidR="001F7233" w:rsidRDefault="00000000">
      <w:r>
        <w:rPr>
          <w:b/>
        </w:rPr>
        <w:t>flag.dol.gov/processingtimes</w:t>
      </w:r>
    </w:p>
    <w:p w14:paraId="2A2BF98E" w14:textId="77777777" w:rsidR="001F7233" w:rsidRDefault="00000000">
      <w:r>
        <w:rPr>
          <w:b/>
        </w:rPr>
        <w:t xml:space="preserve">Behörde / Thema: </w:t>
      </w:r>
      <w:r>
        <w:t>Bearbeitungszeiten für Lohnbescheid und PERM</w:t>
      </w:r>
    </w:p>
    <w:p w14:paraId="74117920" w14:textId="77777777" w:rsidR="001F7233" w:rsidRDefault="00000000">
      <w:r>
        <w:rPr>
          <w:b/>
        </w:rPr>
        <w:t xml:space="preserve">Kapitel: </w:t>
      </w:r>
      <w:hyperlink w:anchor="k6">
        <w:r w:rsidR="001F7233">
          <w:rPr>
            <w:rStyle w:val="Hyperlink"/>
          </w:rPr>
          <w:t>Kapitel 6</w:t>
        </w:r>
      </w:hyperlink>
      <w:r>
        <w:t>, 7</w:t>
      </w:r>
    </w:p>
    <w:p w14:paraId="5D60B7D6" w14:textId="77777777" w:rsidR="001F7233" w:rsidRDefault="00000000">
      <w:r>
        <w:rPr>
          <w:b/>
        </w:rPr>
        <w:t>ice.gov/sevis (auch /sevis/i901)</w:t>
      </w:r>
    </w:p>
    <w:p w14:paraId="62796648" w14:textId="77777777" w:rsidR="001F7233" w:rsidRDefault="00000000">
      <w:r>
        <w:rPr>
          <w:b/>
        </w:rPr>
        <w:t xml:space="preserve">Behörde / Thema: </w:t>
      </w:r>
      <w:r>
        <w:t>SEVIS-Gebühr (Form I-901) und Studierendenstatus</w:t>
      </w:r>
    </w:p>
    <w:p w14:paraId="6655B451" w14:textId="77777777" w:rsidR="001F7233" w:rsidRDefault="00000000">
      <w:r>
        <w:rPr>
          <w:b/>
        </w:rPr>
        <w:t xml:space="preserve">Kapitel: </w:t>
      </w:r>
      <w:hyperlink w:anchor="k4">
        <w:r w:rsidR="001F7233">
          <w:rPr>
            <w:rStyle w:val="Hyperlink"/>
          </w:rPr>
          <w:t>Kapitel 4</w:t>
        </w:r>
      </w:hyperlink>
      <w:r>
        <w:t>, 8</w:t>
      </w:r>
    </w:p>
    <w:p w14:paraId="00F3714E" w14:textId="77777777" w:rsidR="001F7233" w:rsidRDefault="00000000">
      <w:r>
        <w:rPr>
          <w:b/>
        </w:rPr>
        <w:t>j1visa.state.gov/programs/au-pair</w:t>
      </w:r>
    </w:p>
    <w:p w14:paraId="164E63B4" w14:textId="77777777" w:rsidR="001F7233" w:rsidRDefault="00000000">
      <w:r>
        <w:rPr>
          <w:b/>
        </w:rPr>
        <w:t xml:space="preserve">Behörde / Thema: </w:t>
      </w:r>
      <w:r>
        <w:t>Au-pair-Programm</w:t>
      </w:r>
    </w:p>
    <w:p w14:paraId="5853A3DE" w14:textId="77777777" w:rsidR="001F7233" w:rsidRDefault="00000000">
      <w:r>
        <w:rPr>
          <w:b/>
        </w:rPr>
        <w:t xml:space="preserve">Kapitel: </w:t>
      </w:r>
      <w:hyperlink w:anchor="k38">
        <w:r w:rsidR="001F7233">
          <w:rPr>
            <w:rStyle w:val="Hyperlink"/>
          </w:rPr>
          <w:t>Kapitel 38</w:t>
        </w:r>
      </w:hyperlink>
    </w:p>
    <w:p w14:paraId="1BC258D3" w14:textId="77777777" w:rsidR="001F7233" w:rsidRDefault="00000000">
      <w:r>
        <w:rPr>
          <w:b/>
        </w:rPr>
        <w:t>law.cornell.edu/cfr/text/8/103.2</w:t>
      </w:r>
    </w:p>
    <w:p w14:paraId="09D6584B" w14:textId="77777777" w:rsidR="001F7233" w:rsidRDefault="00000000">
      <w:r>
        <w:rPr>
          <w:b/>
        </w:rPr>
        <w:t xml:space="preserve">Behörde / Thema: </w:t>
      </w:r>
      <w:r>
        <w:t>Übersetzungen und Nachweise (8 CFR 103.2)</w:t>
      </w:r>
    </w:p>
    <w:p w14:paraId="7F05ED37" w14:textId="77777777" w:rsidR="001F7233" w:rsidRDefault="00000000">
      <w:r>
        <w:rPr>
          <w:b/>
        </w:rPr>
        <w:t xml:space="preserve">Kapitel: </w:t>
      </w:r>
      <w:hyperlink w:anchor="k19">
        <w:r w:rsidR="001F7233">
          <w:rPr>
            <w:rStyle w:val="Hyperlink"/>
          </w:rPr>
          <w:t>Kapitel 19</w:t>
        </w:r>
      </w:hyperlink>
    </w:p>
    <w:p w14:paraId="216A4B1F" w14:textId="77777777" w:rsidR="001F7233" w:rsidRDefault="00000000">
      <w:r>
        <w:rPr>
          <w:b/>
        </w:rPr>
        <w:t>reginfo.gov</w:t>
      </w:r>
    </w:p>
    <w:p w14:paraId="05D0ACB9" w14:textId="77777777" w:rsidR="001F7233" w:rsidRDefault="00000000">
      <w:r>
        <w:rPr>
          <w:b/>
        </w:rPr>
        <w:t xml:space="preserve">Behörde / Thema: </w:t>
      </w:r>
      <w:r>
        <w:t>Regelungsagenda der US-Regierung</w:t>
      </w:r>
    </w:p>
    <w:p w14:paraId="317EDB1F" w14:textId="77777777" w:rsidR="001F7233" w:rsidRDefault="00000000">
      <w:r>
        <w:rPr>
          <w:b/>
        </w:rPr>
        <w:t xml:space="preserve">Kapitel: </w:t>
      </w:r>
      <w:hyperlink w:anchor="k10">
        <w:r w:rsidR="001F7233">
          <w:rPr>
            <w:rStyle w:val="Hyperlink"/>
          </w:rPr>
          <w:t>Kapitel 10</w:t>
        </w:r>
      </w:hyperlink>
    </w:p>
    <w:p w14:paraId="6AA90AA7" w14:textId="77777777" w:rsidR="001F7233" w:rsidRDefault="00000000">
      <w:r>
        <w:rPr>
          <w:b/>
        </w:rPr>
        <w:lastRenderedPageBreak/>
        <w:t>sss.gov</w:t>
      </w:r>
    </w:p>
    <w:p w14:paraId="720A9310" w14:textId="77777777" w:rsidR="001F7233" w:rsidRDefault="00000000">
      <w:r>
        <w:rPr>
          <w:b/>
        </w:rPr>
        <w:t xml:space="preserve">Behörde / Thema: </w:t>
      </w:r>
      <w:r>
        <w:t>Selective Service, Registrierungspflicht</w:t>
      </w:r>
    </w:p>
    <w:p w14:paraId="1AB8CA52" w14:textId="77777777" w:rsidR="001F7233" w:rsidRDefault="00000000">
      <w:r>
        <w:rPr>
          <w:b/>
        </w:rPr>
        <w:t xml:space="preserve">Kapitel: </w:t>
      </w:r>
      <w:hyperlink w:anchor="k6">
        <w:r w:rsidR="001F7233">
          <w:rPr>
            <w:rStyle w:val="Hyperlink"/>
          </w:rPr>
          <w:t>Kapitel 6</w:t>
        </w:r>
      </w:hyperlink>
      <w:r>
        <w:t>, 40</w:t>
      </w:r>
    </w:p>
    <w:p w14:paraId="3E3668DB" w14:textId="77777777" w:rsidR="001F7233" w:rsidRDefault="00000000">
      <w:r>
        <w:rPr>
          <w:b/>
        </w:rPr>
        <w:t>studyinthestates.dhs.gov</w:t>
      </w:r>
    </w:p>
    <w:p w14:paraId="486174D2" w14:textId="77777777" w:rsidR="001F7233" w:rsidRDefault="00000000">
      <w:r>
        <w:rPr>
          <w:b/>
        </w:rPr>
        <w:t xml:space="preserve">Behörde / Thema: </w:t>
      </w:r>
      <w:r>
        <w:t>F-1, CPT, OPT, Cap-Gap</w:t>
      </w:r>
    </w:p>
    <w:p w14:paraId="5DCB7F45" w14:textId="77777777" w:rsidR="001F7233" w:rsidRDefault="00000000">
      <w:r>
        <w:rPr>
          <w:b/>
        </w:rPr>
        <w:t xml:space="preserve">Kapitel: </w:t>
      </w:r>
      <w:hyperlink w:anchor="k8">
        <w:r w:rsidR="001F7233">
          <w:rPr>
            <w:rStyle w:val="Hyperlink"/>
          </w:rPr>
          <w:t>Kapitel 8</w:t>
        </w:r>
      </w:hyperlink>
    </w:p>
    <w:p w14:paraId="62DE51E1" w14:textId="77777777" w:rsidR="001F7233" w:rsidRDefault="00000000">
      <w:r>
        <w:rPr>
          <w:b/>
        </w:rPr>
        <w:t>supremecourt.gov/opinions/25pdf/25-365_4hdj.pdf</w:t>
      </w:r>
    </w:p>
    <w:p w14:paraId="05F82073" w14:textId="77777777" w:rsidR="001F7233" w:rsidRDefault="00000000">
      <w:r>
        <w:t>Behörde / Thema: Staatsangehörigkeit bei Geburt, Supreme-Court-Entscheidung Nr. 25-365</w:t>
      </w:r>
    </w:p>
    <w:p w14:paraId="1B018AFC" w14:textId="77777777" w:rsidR="001F7233" w:rsidRDefault="00000000">
      <w:r>
        <w:rPr>
          <w:b/>
        </w:rPr>
        <w:t xml:space="preserve">Kapitel: </w:t>
      </w:r>
      <w:hyperlink w:anchor="k38">
        <w:r w:rsidR="001F7233">
          <w:rPr>
            <w:rStyle w:val="Hyperlink"/>
          </w:rPr>
          <w:t>Kapitel 38</w:t>
        </w:r>
      </w:hyperlink>
      <w:r>
        <w:t>, 41</w:t>
      </w:r>
    </w:p>
    <w:p w14:paraId="253DA9A9" w14:textId="77777777" w:rsidR="001F7233" w:rsidRDefault="00000000">
      <w:r>
        <w:rPr>
          <w:b/>
        </w:rPr>
        <w:t>travel.state.gov (auch /visa)</w:t>
      </w:r>
    </w:p>
    <w:p w14:paraId="49A27024" w14:textId="77777777" w:rsidR="001F7233" w:rsidRDefault="00000000">
      <w:r>
        <w:rPr>
          <w:b/>
        </w:rPr>
        <w:t xml:space="preserve">Behörde / Thema: </w:t>
      </w:r>
      <w:r>
        <w:t>Visakategorien, Gebühren, Wartezeiten</w:t>
      </w:r>
    </w:p>
    <w:p w14:paraId="77B4F44F" w14:textId="77777777" w:rsidR="001F7233" w:rsidRDefault="00000000">
      <w:r>
        <w:rPr>
          <w:b/>
        </w:rPr>
        <w:t xml:space="preserve">Kapitel: </w:t>
      </w:r>
      <w:hyperlink w:anchor="k4">
        <w:r w:rsidR="001F7233">
          <w:rPr>
            <w:rStyle w:val="Hyperlink"/>
          </w:rPr>
          <w:t>Kapitel 4</w:t>
        </w:r>
      </w:hyperlink>
      <w:r>
        <w:t>, 5, 9, 11, 15, 41</w:t>
      </w:r>
    </w:p>
    <w:p w14:paraId="740D75BB" w14:textId="77777777" w:rsidR="001F7233" w:rsidRDefault="00000000">
      <w:r>
        <w:rPr>
          <w:b/>
        </w:rPr>
        <w:t>travel.state.gov/visa-bulletin</w:t>
      </w:r>
    </w:p>
    <w:p w14:paraId="436A6AAA" w14:textId="77777777" w:rsidR="001F7233" w:rsidRDefault="00000000">
      <w:r>
        <w:rPr>
          <w:b/>
        </w:rPr>
        <w:t xml:space="preserve">Behörde / Thema: </w:t>
      </w:r>
      <w:r>
        <w:t>Stichtage für die Green Card</w:t>
      </w:r>
    </w:p>
    <w:p w14:paraId="648ACC9B" w14:textId="77777777" w:rsidR="001F7233" w:rsidRDefault="00000000">
      <w:r>
        <w:rPr>
          <w:b/>
        </w:rPr>
        <w:t xml:space="preserve">Kapitel: </w:t>
      </w:r>
      <w:hyperlink w:anchor="k4">
        <w:r w:rsidR="001F7233">
          <w:rPr>
            <w:rStyle w:val="Hyperlink"/>
          </w:rPr>
          <w:t>Kapitel 4</w:t>
        </w:r>
      </w:hyperlink>
      <w:r>
        <w:t>, 6, 7</w:t>
      </w:r>
    </w:p>
    <w:p w14:paraId="3BD82FC6" w14:textId="77777777" w:rsidR="001F7233" w:rsidRDefault="00000000">
      <w:r>
        <w:rPr>
          <w:b/>
        </w:rPr>
        <w:t>uscis.gov</w:t>
      </w:r>
    </w:p>
    <w:p w14:paraId="6FAD941F" w14:textId="77777777" w:rsidR="001F7233" w:rsidRDefault="00000000">
      <w:r>
        <w:rPr>
          <w:b/>
        </w:rPr>
        <w:t xml:space="preserve">Behörde / Thema: </w:t>
      </w:r>
      <w:r>
        <w:t>Formulare, Statusfragen; Suchbegriffe für Spezialthemen: „H-4 employment authorization“ (Arbeitserlaubnis für H-4-Ehepartner), „marijuana“ im Policy Manual (Cannabis und Einwanderungsrecht)</w:t>
      </w:r>
    </w:p>
    <w:p w14:paraId="71185741" w14:textId="77777777" w:rsidR="001F7233" w:rsidRDefault="00000000">
      <w:r>
        <w:rPr>
          <w:b/>
        </w:rPr>
        <w:t xml:space="preserve">Kapitel: </w:t>
      </w:r>
      <w:hyperlink w:anchor="k2">
        <w:r w:rsidR="001F7233">
          <w:rPr>
            <w:rStyle w:val="Hyperlink"/>
          </w:rPr>
          <w:t>Kapitel 2</w:t>
        </w:r>
      </w:hyperlink>
      <w:r>
        <w:t>, 11, 31, 32</w:t>
      </w:r>
    </w:p>
    <w:p w14:paraId="4DD84B54" w14:textId="77777777" w:rsidR="001F7233" w:rsidRDefault="00000000">
      <w:r>
        <w:rPr>
          <w:b/>
        </w:rPr>
        <w:t>uscis.gov/alienregistration</w:t>
      </w:r>
    </w:p>
    <w:p w14:paraId="7DCEB2F3" w14:textId="77777777" w:rsidR="001F7233" w:rsidRDefault="00000000">
      <w:r>
        <w:rPr>
          <w:b/>
        </w:rPr>
        <w:t xml:space="preserve">Behörde / Thema: </w:t>
      </w:r>
      <w:r>
        <w:t>Registrierungspflicht, Mitführen von Dokumenten</w:t>
      </w:r>
    </w:p>
    <w:p w14:paraId="7DB40185" w14:textId="77777777" w:rsidR="001F7233" w:rsidRDefault="00000000">
      <w:r>
        <w:rPr>
          <w:b/>
        </w:rPr>
        <w:t xml:space="preserve">Kapitel: </w:t>
      </w:r>
      <w:hyperlink w:anchor="k40">
        <w:r w:rsidR="001F7233">
          <w:rPr>
            <w:rStyle w:val="Hyperlink"/>
          </w:rPr>
          <w:t>Kapitel 40</w:t>
        </w:r>
      </w:hyperlink>
    </w:p>
    <w:p w14:paraId="7DAB4539" w14:textId="77777777" w:rsidR="001F7233" w:rsidRDefault="00000000">
      <w:r>
        <w:rPr>
          <w:b/>
        </w:rPr>
        <w:t>uscis.gov/ar-11</w:t>
      </w:r>
    </w:p>
    <w:p w14:paraId="2E8B89EE" w14:textId="77777777" w:rsidR="001F7233" w:rsidRDefault="00000000">
      <w:r>
        <w:rPr>
          <w:b/>
        </w:rPr>
        <w:t xml:space="preserve">Behörde / Thema: </w:t>
      </w:r>
      <w:r>
        <w:t>Adressänderung melden</w:t>
      </w:r>
    </w:p>
    <w:p w14:paraId="3A372A6E" w14:textId="77777777" w:rsidR="001F7233" w:rsidRDefault="00000000">
      <w:r>
        <w:rPr>
          <w:b/>
        </w:rPr>
        <w:t xml:space="preserve">Kapitel: </w:t>
      </w:r>
      <w:hyperlink w:anchor="k30">
        <w:r w:rsidR="001F7233">
          <w:rPr>
            <w:rStyle w:val="Hyperlink"/>
          </w:rPr>
          <w:t>Kapitel 30</w:t>
        </w:r>
      </w:hyperlink>
      <w:r>
        <w:t>, 40</w:t>
      </w:r>
    </w:p>
    <w:p w14:paraId="716395ED" w14:textId="77777777" w:rsidR="001F7233" w:rsidRDefault="00000000">
      <w:r>
        <w:rPr>
          <w:b/>
        </w:rPr>
        <w:t>uscis.gov/avoid-scams</w:t>
      </w:r>
    </w:p>
    <w:p w14:paraId="147B8861" w14:textId="77777777" w:rsidR="001F7233" w:rsidRDefault="00000000">
      <w:r>
        <w:rPr>
          <w:b/>
        </w:rPr>
        <w:t xml:space="preserve">Behörde / Thema: </w:t>
      </w:r>
      <w:r>
        <w:t>Betrug erkennen und vermeiden</w:t>
      </w:r>
    </w:p>
    <w:p w14:paraId="622BBEA3" w14:textId="77777777" w:rsidR="001F7233" w:rsidRDefault="00000000">
      <w:r>
        <w:rPr>
          <w:b/>
        </w:rPr>
        <w:t xml:space="preserve">Kapitel: </w:t>
      </w:r>
      <w:hyperlink w:anchor="k11">
        <w:r w:rsidR="001F7233">
          <w:rPr>
            <w:rStyle w:val="Hyperlink"/>
          </w:rPr>
          <w:t>Kapitel 11</w:t>
        </w:r>
      </w:hyperlink>
    </w:p>
    <w:p w14:paraId="433D6568" w14:textId="77777777" w:rsidR="001F7233" w:rsidRDefault="00000000">
      <w:r>
        <w:rPr>
          <w:b/>
        </w:rPr>
        <w:t>uscis.gov/citizenship (auch /n-400)</w:t>
      </w:r>
    </w:p>
    <w:p w14:paraId="256819BB" w14:textId="77777777" w:rsidR="001F7233" w:rsidRDefault="00000000">
      <w:r>
        <w:rPr>
          <w:b/>
        </w:rPr>
        <w:t xml:space="preserve">Behörde / Thema: </w:t>
      </w:r>
      <w:r>
        <w:t>Einbürgerung, Staatskundetest</w:t>
      </w:r>
    </w:p>
    <w:p w14:paraId="25AFD155" w14:textId="77777777" w:rsidR="001F7233" w:rsidRDefault="00000000">
      <w:r>
        <w:rPr>
          <w:b/>
        </w:rPr>
        <w:t xml:space="preserve">Kapitel: </w:t>
      </w:r>
      <w:hyperlink w:anchor="k41">
        <w:r w:rsidR="001F7233">
          <w:rPr>
            <w:rStyle w:val="Hyperlink"/>
          </w:rPr>
          <w:t>Kapitel 41</w:t>
        </w:r>
      </w:hyperlink>
    </w:p>
    <w:p w14:paraId="64FE7EC5" w14:textId="77777777" w:rsidR="001F7233" w:rsidRDefault="00000000">
      <w:r>
        <w:rPr>
          <w:b/>
        </w:rPr>
        <w:lastRenderedPageBreak/>
        <w:t>uscis.gov/g-1055</w:t>
      </w:r>
    </w:p>
    <w:p w14:paraId="1252440E" w14:textId="77777777" w:rsidR="001F7233" w:rsidRDefault="00000000">
      <w:r>
        <w:rPr>
          <w:b/>
        </w:rPr>
        <w:t xml:space="preserve">Behörde / Thema: </w:t>
      </w:r>
      <w:r>
        <w:t>Gebührenverzeichnis aller Formulare</w:t>
      </w:r>
    </w:p>
    <w:p w14:paraId="7909838E" w14:textId="77777777" w:rsidR="001F7233" w:rsidRDefault="00000000">
      <w:r>
        <w:rPr>
          <w:b/>
        </w:rPr>
        <w:t xml:space="preserve">Kapitel: </w:t>
      </w:r>
      <w:hyperlink w:anchor="k5">
        <w:r w:rsidR="001F7233">
          <w:rPr>
            <w:rStyle w:val="Hyperlink"/>
          </w:rPr>
          <w:t>Kapitel 5</w:t>
        </w:r>
      </w:hyperlink>
      <w:r>
        <w:t>–11, 30, 41</w:t>
      </w:r>
    </w:p>
    <w:p w14:paraId="7D08E0CF" w14:textId="77777777" w:rsidR="001F7233" w:rsidRDefault="00000000">
      <w:r>
        <w:rPr>
          <w:b/>
        </w:rPr>
        <w:t>uscis.gov/green-card</w:t>
      </w:r>
    </w:p>
    <w:p w14:paraId="58A559B6" w14:textId="77777777" w:rsidR="001F7233" w:rsidRDefault="00000000">
      <w:r>
        <w:rPr>
          <w:b/>
        </w:rPr>
        <w:t xml:space="preserve">Behörde / Thema: </w:t>
      </w:r>
      <w:r>
        <w:t>Green Card: Wege, Kategorien, Formular I-485</w:t>
      </w:r>
    </w:p>
    <w:p w14:paraId="5A6F8657" w14:textId="77777777" w:rsidR="001F7233" w:rsidRDefault="00000000">
      <w:r>
        <w:rPr>
          <w:b/>
        </w:rPr>
        <w:t xml:space="preserve">Kapitel: </w:t>
      </w:r>
      <w:hyperlink w:anchor="k4">
        <w:r w:rsidR="001F7233">
          <w:rPr>
            <w:rStyle w:val="Hyperlink"/>
          </w:rPr>
          <w:t>Kapitel 4</w:t>
        </w:r>
      </w:hyperlink>
      <w:r>
        <w:t>, 6, 42</w:t>
      </w:r>
    </w:p>
    <w:p w14:paraId="03818EAD" w14:textId="77777777" w:rsidR="001F7233" w:rsidRDefault="00000000">
      <w:r>
        <w:rPr>
          <w:b/>
        </w:rPr>
        <w:t>uscis.gov/i-131</w:t>
      </w:r>
    </w:p>
    <w:p w14:paraId="1C4B38E0" w14:textId="77777777" w:rsidR="001F7233" w:rsidRDefault="00000000">
      <w:r>
        <w:rPr>
          <w:b/>
        </w:rPr>
        <w:t xml:space="preserve">Behörde / Thema: </w:t>
      </w:r>
      <w:r>
        <w:t>Wiedereinreisegenehmigung</w:t>
      </w:r>
    </w:p>
    <w:p w14:paraId="0CD19B6E" w14:textId="77777777" w:rsidR="001F7233" w:rsidRDefault="00000000">
      <w:r>
        <w:rPr>
          <w:b/>
        </w:rPr>
        <w:t xml:space="preserve">Kapitel: </w:t>
      </w:r>
      <w:hyperlink w:anchor="k42">
        <w:r w:rsidR="001F7233">
          <w:rPr>
            <w:rStyle w:val="Hyperlink"/>
          </w:rPr>
          <w:t>Kapitel 42</w:t>
        </w:r>
      </w:hyperlink>
    </w:p>
    <w:p w14:paraId="60448B53" w14:textId="77777777" w:rsidR="001F7233" w:rsidRDefault="00000000">
      <w:r>
        <w:rPr>
          <w:b/>
        </w:rPr>
        <w:t>uscis.gov/i-765</w:t>
      </w:r>
    </w:p>
    <w:p w14:paraId="40A1CA1E" w14:textId="77777777" w:rsidR="001F7233" w:rsidRDefault="00000000">
      <w:r>
        <w:rPr>
          <w:b/>
        </w:rPr>
        <w:t xml:space="preserve">Behörde / Thema: </w:t>
      </w:r>
      <w:r>
        <w:t>Arbeitserlaubnis (Form I-765)</w:t>
      </w:r>
    </w:p>
    <w:p w14:paraId="19D3A802" w14:textId="77777777" w:rsidR="001F7233" w:rsidRDefault="00000000">
      <w:r>
        <w:rPr>
          <w:b/>
        </w:rPr>
        <w:t xml:space="preserve">Kapitel: </w:t>
      </w:r>
      <w:hyperlink w:anchor="k10">
        <w:r w:rsidR="001F7233">
          <w:rPr>
            <w:rStyle w:val="Hyperlink"/>
          </w:rPr>
          <w:t>Kapitel 10</w:t>
        </w:r>
      </w:hyperlink>
    </w:p>
    <w:p w14:paraId="67E116A9" w14:textId="77777777" w:rsidR="001F7233" w:rsidRDefault="00000000">
      <w:r>
        <w:rPr>
          <w:b/>
        </w:rPr>
        <w:t>uscis.gov/i-9</w:t>
      </w:r>
    </w:p>
    <w:p w14:paraId="412F4B9A" w14:textId="77777777" w:rsidR="001F7233" w:rsidRDefault="00000000">
      <w:r>
        <w:rPr>
          <w:b/>
        </w:rPr>
        <w:t xml:space="preserve">Behörde / Thema: </w:t>
      </w:r>
      <w:r>
        <w:t>Form I-9, Beschäftigungsnachweis</w:t>
      </w:r>
    </w:p>
    <w:p w14:paraId="4E743699" w14:textId="77777777" w:rsidR="001F7233" w:rsidRDefault="00000000">
      <w:r>
        <w:rPr>
          <w:b/>
        </w:rPr>
        <w:t xml:space="preserve">Kapitel: </w:t>
      </w:r>
      <w:hyperlink w:anchor="k23">
        <w:r w:rsidR="001F7233">
          <w:rPr>
            <w:rStyle w:val="Hyperlink"/>
          </w:rPr>
          <w:t>Kapitel 23</w:t>
        </w:r>
      </w:hyperlink>
    </w:p>
    <w:p w14:paraId="5B5F7BC0" w14:textId="77777777" w:rsidR="001F7233" w:rsidRDefault="00000000">
      <w:r>
        <w:rPr>
          <w:b/>
        </w:rPr>
        <w:t>uscis.gov/policy-manual/volume-6-part-b-chapter-6 (auch .../volume-7-part-a-chapter-7, .../volume-7-part-e-chapter-5)</w:t>
      </w:r>
    </w:p>
    <w:p w14:paraId="791B4B5D" w14:textId="77777777" w:rsidR="001F7233" w:rsidRDefault="00000000">
      <w:r>
        <w:rPr>
          <w:b/>
        </w:rPr>
        <w:t xml:space="preserve">Behörde / Thema: </w:t>
      </w:r>
      <w:r>
        <w:t>Ehe und Ehepartner, Child Status Protection Act, Job-Portabilität (AC21)</w:t>
      </w:r>
    </w:p>
    <w:p w14:paraId="27272E17" w14:textId="77777777" w:rsidR="001F7233" w:rsidRDefault="00000000">
      <w:r>
        <w:rPr>
          <w:b/>
        </w:rPr>
        <w:t xml:space="preserve">Kapitel: </w:t>
      </w:r>
      <w:hyperlink w:anchor="k10">
        <w:r w:rsidR="001F7233">
          <w:rPr>
            <w:rStyle w:val="Hyperlink"/>
          </w:rPr>
          <w:t>Kapitel 10</w:t>
        </w:r>
      </w:hyperlink>
      <w:r>
        <w:t>, 30</w:t>
      </w:r>
    </w:p>
    <w:p w14:paraId="251FF336" w14:textId="77777777" w:rsidR="001F7233" w:rsidRDefault="00000000">
      <w:r>
        <w:rPr>
          <w:b/>
        </w:rPr>
        <w:t>uscis.gov/processing-times (auch egov.uscis.gov/processing-times)</w:t>
      </w:r>
    </w:p>
    <w:p w14:paraId="55C223B3" w14:textId="77777777" w:rsidR="001F7233" w:rsidRDefault="00000000">
      <w:r>
        <w:rPr>
          <w:b/>
        </w:rPr>
        <w:t xml:space="preserve">Behörde / Thema: </w:t>
      </w:r>
      <w:r>
        <w:t>Bearbeitungszeiten</w:t>
      </w:r>
    </w:p>
    <w:p w14:paraId="13E07601" w14:textId="77777777" w:rsidR="001F7233" w:rsidRDefault="00000000">
      <w:r>
        <w:rPr>
          <w:b/>
        </w:rPr>
        <w:t xml:space="preserve">Kapitel: </w:t>
      </w:r>
      <w:hyperlink w:anchor="k11">
        <w:r w:rsidR="001F7233">
          <w:rPr>
            <w:rStyle w:val="Hyperlink"/>
          </w:rPr>
          <w:t>Kapitel 11</w:t>
        </w:r>
      </w:hyperlink>
      <w:r>
        <w:t>, 15, 41</w:t>
      </w:r>
    </w:p>
    <w:p w14:paraId="251BAE06" w14:textId="77777777" w:rsidR="001F7233" w:rsidRDefault="00000000">
      <w:r>
        <w:rPr>
          <w:b/>
        </w:rPr>
        <w:t>uscis.gov/working-in-the-united-states</w:t>
      </w:r>
    </w:p>
    <w:p w14:paraId="31EFF5B8" w14:textId="77777777" w:rsidR="001F7233" w:rsidRDefault="00000000">
      <w:r>
        <w:rPr>
          <w:b/>
        </w:rPr>
        <w:t xml:space="preserve">Behörde / Thema: </w:t>
      </w:r>
      <w:r>
        <w:t>Arbeitsvisa im Überblick</w:t>
      </w:r>
    </w:p>
    <w:p w14:paraId="5DB27001" w14:textId="77777777" w:rsidR="001F7233" w:rsidRDefault="00000000">
      <w:r>
        <w:rPr>
          <w:b/>
        </w:rPr>
        <w:t xml:space="preserve">Kapitel: </w:t>
      </w:r>
      <w:hyperlink w:anchor="k1">
        <w:r w:rsidR="001F7233">
          <w:rPr>
            <w:rStyle w:val="Hyperlink"/>
          </w:rPr>
          <w:t>Kapitel 1</w:t>
        </w:r>
      </w:hyperlink>
      <w:r>
        <w:t>, 4</w:t>
      </w:r>
    </w:p>
    <w:p w14:paraId="217FC03D" w14:textId="77777777" w:rsidR="001F7233" w:rsidRDefault="00000000">
      <w:r>
        <w:rPr>
          <w:b/>
        </w:rPr>
        <w:t>uscis.gov/working-in-the-united-states/h-1b-specialty-occupations</w:t>
      </w:r>
    </w:p>
    <w:p w14:paraId="3CFEB0E3" w14:textId="77777777" w:rsidR="001F7233" w:rsidRDefault="00000000">
      <w:r>
        <w:rPr>
          <w:b/>
        </w:rPr>
        <w:t xml:space="preserve">Behörde / Thema: </w:t>
      </w:r>
      <w:r>
        <w:t>H-1B, Specialty Occupations, aktuelle FAQ zur Zahlungspflicht</w:t>
      </w:r>
    </w:p>
    <w:p w14:paraId="11D4CE4F" w14:textId="77777777" w:rsidR="001F7233" w:rsidRDefault="00000000">
      <w:r>
        <w:rPr>
          <w:b/>
        </w:rPr>
        <w:t xml:space="preserve">Kapitel: </w:t>
      </w:r>
      <w:hyperlink w:anchor="k5">
        <w:r w:rsidR="001F7233">
          <w:rPr>
            <w:rStyle w:val="Hyperlink"/>
          </w:rPr>
          <w:t>Kapitel 5</w:t>
        </w:r>
      </w:hyperlink>
      <w:r>
        <w:t>, 11, 15, 30</w:t>
      </w:r>
    </w:p>
    <w:p w14:paraId="2BFB5802" w14:textId="77777777" w:rsidR="001F7233" w:rsidRDefault="00000000">
      <w:r>
        <w:rPr>
          <w:b/>
        </w:rPr>
        <w:t>uscis.gov/working-in-the-united-states/international-entrepreneur-rule</w:t>
      </w:r>
    </w:p>
    <w:p w14:paraId="646C1E1D" w14:textId="77777777" w:rsidR="001F7233" w:rsidRDefault="00000000">
      <w:r>
        <w:rPr>
          <w:b/>
        </w:rPr>
        <w:t xml:space="preserve">Behörde / Thema: </w:t>
      </w:r>
      <w:r>
        <w:t>Gründervisum</w:t>
      </w:r>
    </w:p>
    <w:p w14:paraId="22CC3320" w14:textId="77777777" w:rsidR="001F7233" w:rsidRDefault="00000000">
      <w:r>
        <w:rPr>
          <w:b/>
        </w:rPr>
        <w:lastRenderedPageBreak/>
        <w:t xml:space="preserve">Kapitel: </w:t>
      </w:r>
      <w:hyperlink w:anchor="k9">
        <w:r w:rsidR="001F7233">
          <w:rPr>
            <w:rStyle w:val="Hyperlink"/>
          </w:rPr>
          <w:t>Kapitel 9</w:t>
        </w:r>
      </w:hyperlink>
    </w:p>
    <w:p w14:paraId="0ED21E61" w14:textId="77777777" w:rsidR="001F7233" w:rsidRDefault="00000000">
      <w:r>
        <w:rPr>
          <w:b/>
        </w:rPr>
        <w:t>uscis.gov/working-in-the-united-states/students-and-exchange-visitors</w:t>
      </w:r>
    </w:p>
    <w:p w14:paraId="2DE43B38" w14:textId="77777777" w:rsidR="001F7233" w:rsidRDefault="00000000">
      <w:r>
        <w:rPr>
          <w:b/>
        </w:rPr>
        <w:t xml:space="preserve">Behörde / Thema: </w:t>
      </w:r>
      <w:r>
        <w:t>OPT, STEM-OPT, Statuswechsel</w:t>
      </w:r>
    </w:p>
    <w:p w14:paraId="27C08DDD" w14:textId="77777777" w:rsidR="001F7233" w:rsidRDefault="00000000">
      <w:r>
        <w:rPr>
          <w:b/>
        </w:rPr>
        <w:t xml:space="preserve">Kapitel: </w:t>
      </w:r>
      <w:hyperlink w:anchor="k8">
        <w:r w:rsidR="001F7233">
          <w:rPr>
            <w:rStyle w:val="Hyperlink"/>
          </w:rPr>
          <w:t>Kapitel 8</w:t>
        </w:r>
      </w:hyperlink>
    </w:p>
    <w:p w14:paraId="210F2BCE" w14:textId="77777777" w:rsidR="001F7233" w:rsidRDefault="00000000">
      <w:r>
        <w:rPr>
          <w:b/>
        </w:rPr>
        <w:t>uscis.gov/working-in-the-united-states/temporary-workers (auch .../l-1a-intracompany-transferee-executive-or-manager)</w:t>
      </w:r>
    </w:p>
    <w:p w14:paraId="5E10537A" w14:textId="77777777" w:rsidR="001F7233" w:rsidRDefault="00000000">
      <w:r>
        <w:rPr>
          <w:b/>
        </w:rPr>
        <w:t xml:space="preserve">Behörde / Thema: </w:t>
      </w:r>
      <w:r>
        <w:t>L-1, O-1, E-1/E-2, Arbeitserlaubnis der L-2-Ehepartner</w:t>
      </w:r>
    </w:p>
    <w:p w14:paraId="335F60C3" w14:textId="77777777" w:rsidR="001F7233" w:rsidRDefault="00000000">
      <w:r>
        <w:rPr>
          <w:b/>
        </w:rPr>
        <w:t xml:space="preserve">Kapitel: </w:t>
      </w:r>
      <w:hyperlink w:anchor="k9">
        <w:r w:rsidR="001F7233">
          <w:rPr>
            <w:rStyle w:val="Hyperlink"/>
          </w:rPr>
          <w:t>Kapitel 9</w:t>
        </w:r>
      </w:hyperlink>
      <w:r>
        <w:t>, 10</w:t>
      </w:r>
    </w:p>
    <w:p w14:paraId="6D0FF2D4" w14:textId="77777777" w:rsidR="001F7233" w:rsidRDefault="001F7233">
      <w:pPr>
        <w:spacing w:line="180" w:lineRule="exact"/>
      </w:pPr>
    </w:p>
    <w:p w14:paraId="17E38E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und Sozialversicherung</w:t>
      </w:r>
    </w:p>
    <w:p w14:paraId="0FE36147" w14:textId="77777777" w:rsidR="001F7233" w:rsidRDefault="00000000">
      <w:r>
        <w:rPr>
          <w:b/>
        </w:rPr>
        <w:t>irs.gov</w:t>
      </w:r>
    </w:p>
    <w:p w14:paraId="21178968" w14:textId="77777777" w:rsidR="001F7233" w:rsidRDefault="00000000">
      <w:r>
        <w:rPr>
          <w:b/>
        </w:rPr>
        <w:t xml:space="preserve">Behörde / Thema: </w:t>
      </w:r>
      <w:r>
        <w:t>Steuersätze, Standardabzug, Startseite</w:t>
      </w:r>
    </w:p>
    <w:p w14:paraId="1EFF1F7E" w14:textId="77777777" w:rsidR="001F7233" w:rsidRDefault="00000000">
      <w:r>
        <w:rPr>
          <w:b/>
        </w:rPr>
        <w:t xml:space="preserve">Kapitel: </w:t>
      </w:r>
      <w:hyperlink w:anchor="k1">
        <w:r w:rsidR="001F7233">
          <w:rPr>
            <w:rStyle w:val="Hyperlink"/>
          </w:rPr>
          <w:t>Kapitel 1</w:t>
        </w:r>
      </w:hyperlink>
    </w:p>
    <w:p w14:paraId="3C67EDE7" w14:textId="77777777" w:rsidR="001F7233" w:rsidRDefault="00000000">
      <w:r>
        <w:rPr>
          <w:b/>
        </w:rPr>
        <w:t>irs.gov/individuals/tax-withholding-estimator</w:t>
      </w:r>
    </w:p>
    <w:p w14:paraId="7A1E9B8B" w14:textId="77777777" w:rsidR="001F7233" w:rsidRDefault="00000000">
      <w:r>
        <w:rPr>
          <w:b/>
        </w:rPr>
        <w:t xml:space="preserve">Behörde / Thema: </w:t>
      </w:r>
      <w:r>
        <w:t>Tax Withholding Estimator</w:t>
      </w:r>
    </w:p>
    <w:p w14:paraId="03422188" w14:textId="77777777" w:rsidR="001F7233" w:rsidRDefault="00000000">
      <w:r>
        <w:rPr>
          <w:b/>
        </w:rPr>
        <w:t xml:space="preserve">Kapitel: </w:t>
      </w:r>
      <w:hyperlink w:anchor="k3">
        <w:r w:rsidR="001F7233">
          <w:rPr>
            <w:rStyle w:val="Hyperlink"/>
          </w:rPr>
          <w:t>Kapitel 3</w:t>
        </w:r>
      </w:hyperlink>
    </w:p>
    <w:p w14:paraId="1B0CFF9A" w14:textId="77777777" w:rsidR="001F7233" w:rsidRDefault="00000000">
      <w:r>
        <w:rPr>
          <w:b/>
        </w:rPr>
        <w:t>irs.gov/pub/irs-trty/germany.pdf</w:t>
      </w:r>
    </w:p>
    <w:p w14:paraId="5CB67C54" w14:textId="77777777" w:rsidR="001F7233" w:rsidRDefault="00000000">
      <w:r>
        <w:rPr>
          <w:b/>
        </w:rPr>
        <w:t xml:space="preserve">Behörde / Thema: </w:t>
      </w:r>
      <w:r>
        <w:t>Doppelbesteuerungsabkommen Deutschland–USA</w:t>
      </w:r>
    </w:p>
    <w:p w14:paraId="5FCC9B00" w14:textId="77777777" w:rsidR="001F7233" w:rsidRDefault="00000000">
      <w:r>
        <w:rPr>
          <w:b/>
        </w:rPr>
        <w:t xml:space="preserve">Kapitel: </w:t>
      </w:r>
      <w:hyperlink w:anchor="k2">
        <w:r w:rsidR="001F7233">
          <w:rPr>
            <w:rStyle w:val="Hyperlink"/>
          </w:rPr>
          <w:t>Kapitel 2</w:t>
        </w:r>
      </w:hyperlink>
      <w:r>
        <w:t>, 17, 28</w:t>
      </w:r>
    </w:p>
    <w:p w14:paraId="47632BD6" w14:textId="77777777" w:rsidR="001F7233" w:rsidRDefault="00000000">
      <w:r>
        <w:rPr>
          <w:b/>
        </w:rPr>
        <w:t>irs.gov/businesses/comparison-of-form-8938-and-fbar-requirements</w:t>
      </w:r>
    </w:p>
    <w:p w14:paraId="42958C9B" w14:textId="77777777" w:rsidR="001F7233" w:rsidRDefault="00000000">
      <w:r>
        <w:rPr>
          <w:b/>
        </w:rPr>
        <w:t xml:space="preserve">Behörde / Thema: </w:t>
      </w:r>
      <w:r>
        <w:t>Vergleich Form 8938 und FBAR</w:t>
      </w:r>
    </w:p>
    <w:p w14:paraId="7E3FE44E" w14:textId="77777777" w:rsidR="001F7233" w:rsidRDefault="00000000">
      <w:r>
        <w:rPr>
          <w:b/>
        </w:rPr>
        <w:t xml:space="preserve">Kapitel: </w:t>
      </w:r>
      <w:hyperlink w:anchor="k2">
        <w:r w:rsidR="001F7233">
          <w:rPr>
            <w:rStyle w:val="Hyperlink"/>
          </w:rPr>
          <w:t>Kapitel 2</w:t>
        </w:r>
      </w:hyperlink>
      <w:r>
        <w:t>, 28</w:t>
      </w:r>
    </w:p>
    <w:p w14:paraId="742687E8" w14:textId="77777777" w:rsidR="001F7233" w:rsidRDefault="00000000">
      <w:r>
        <w:rPr>
          <w:b/>
        </w:rPr>
        <w:t>irs.gov/businesses/small-businesses-self-employed/report-of-foreign-bank-and-financial-accounts-fbar</w:t>
      </w:r>
    </w:p>
    <w:p w14:paraId="0538CDFD" w14:textId="77777777" w:rsidR="001F7233" w:rsidRDefault="00000000">
      <w:r>
        <w:rPr>
          <w:b/>
        </w:rPr>
        <w:t xml:space="preserve">Behörde / Thema: </w:t>
      </w:r>
      <w:r>
        <w:t>FBAR, Meldepflicht für Auslandskonten</w:t>
      </w:r>
    </w:p>
    <w:p w14:paraId="6F431C61" w14:textId="77777777" w:rsidR="001F7233" w:rsidRDefault="00000000">
      <w:r>
        <w:rPr>
          <w:b/>
        </w:rPr>
        <w:t xml:space="preserve">Kapitel: </w:t>
      </w:r>
      <w:hyperlink w:anchor="k28">
        <w:r w:rsidR="001F7233">
          <w:rPr>
            <w:rStyle w:val="Hyperlink"/>
          </w:rPr>
          <w:t>Kapitel 28</w:t>
        </w:r>
      </w:hyperlink>
    </w:p>
    <w:p w14:paraId="7CA49B4A" w14:textId="77777777" w:rsidR="001F7233" w:rsidRDefault="00000000">
      <w:r>
        <w:rPr>
          <w:b/>
        </w:rPr>
        <w:t>irs.gov/individuals/international-taxpayers</w:t>
      </w:r>
    </w:p>
    <w:p w14:paraId="51E64F02" w14:textId="77777777" w:rsidR="001F7233" w:rsidRDefault="00000000">
      <w:r>
        <w:rPr>
          <w:b/>
        </w:rPr>
        <w:t xml:space="preserve">Behörde / Thema: </w:t>
      </w:r>
      <w:r>
        <w:t>Steuerpflicht für Auslandsansässige, Exit Tax</w:t>
      </w:r>
    </w:p>
    <w:p w14:paraId="0B71D393" w14:textId="77777777" w:rsidR="001F7233" w:rsidRDefault="00000000">
      <w:r>
        <w:rPr>
          <w:b/>
        </w:rPr>
        <w:t xml:space="preserve">Kapitel: </w:t>
      </w:r>
      <w:hyperlink w:anchor="k6">
        <w:r w:rsidR="001F7233">
          <w:rPr>
            <w:rStyle w:val="Hyperlink"/>
          </w:rPr>
          <w:t>Kapitel 6</w:t>
        </w:r>
      </w:hyperlink>
      <w:r>
        <w:t>, 8</w:t>
      </w:r>
    </w:p>
    <w:p w14:paraId="28CE6BB2" w14:textId="77777777" w:rsidR="001F7233" w:rsidRDefault="00000000">
      <w:r>
        <w:rPr>
          <w:b/>
        </w:rPr>
        <w:lastRenderedPageBreak/>
        <w:t>irs.gov/individuals/international-taxpayers/taxation-of-nonresident-aliens</w:t>
      </w:r>
    </w:p>
    <w:p w14:paraId="12065579" w14:textId="77777777" w:rsidR="001F7233" w:rsidRDefault="00000000">
      <w:r>
        <w:rPr>
          <w:b/>
        </w:rPr>
        <w:t xml:space="preserve">Behörde / Thema: </w:t>
      </w:r>
      <w:r>
        <w:t>Besteuerung von Nichtansässigen</w:t>
      </w:r>
    </w:p>
    <w:p w14:paraId="1809B337" w14:textId="77777777" w:rsidR="001F7233" w:rsidRDefault="00000000">
      <w:r>
        <w:rPr>
          <w:b/>
        </w:rPr>
        <w:t xml:space="preserve">Kapitel: </w:t>
      </w:r>
      <w:hyperlink w:anchor="k28">
        <w:r w:rsidR="001F7233">
          <w:rPr>
            <w:rStyle w:val="Hyperlink"/>
          </w:rPr>
          <w:t>Kapitel 28</w:t>
        </w:r>
      </w:hyperlink>
    </w:p>
    <w:p w14:paraId="472CF78F" w14:textId="77777777" w:rsidR="001F7233" w:rsidRDefault="00000000">
      <w:r>
        <w:rPr>
          <w:b/>
        </w:rPr>
        <w:t>irs.gov/publications/p519</w:t>
      </w:r>
    </w:p>
    <w:p w14:paraId="2321F3BB" w14:textId="77777777" w:rsidR="001F7233" w:rsidRDefault="00000000">
      <w:r>
        <w:rPr>
          <w:b/>
        </w:rPr>
        <w:t xml:space="preserve">Behörde / Thema: </w:t>
      </w:r>
      <w:r>
        <w:t>Publication 519, Steuerleitfaden für Ausländer</w:t>
      </w:r>
    </w:p>
    <w:p w14:paraId="68900B0C" w14:textId="77777777" w:rsidR="001F7233" w:rsidRDefault="00000000">
      <w:r>
        <w:rPr>
          <w:b/>
        </w:rPr>
        <w:t xml:space="preserve">Kapitel: </w:t>
      </w:r>
      <w:hyperlink w:anchor="k28">
        <w:r w:rsidR="001F7233">
          <w:rPr>
            <w:rStyle w:val="Hyperlink"/>
          </w:rPr>
          <w:t>Kapitel 28</w:t>
        </w:r>
      </w:hyperlink>
    </w:p>
    <w:p w14:paraId="7904BB73" w14:textId="77777777" w:rsidR="001F7233" w:rsidRDefault="00000000">
      <w:r>
        <w:rPr>
          <w:b/>
        </w:rPr>
        <w:t>irs.gov/credits-deductions/individuals/child-tax-credit</w:t>
      </w:r>
    </w:p>
    <w:p w14:paraId="459820CA" w14:textId="77777777" w:rsidR="001F7233" w:rsidRDefault="00000000">
      <w:r>
        <w:rPr>
          <w:b/>
        </w:rPr>
        <w:t xml:space="preserve">Behörde / Thema: </w:t>
      </w:r>
      <w:r>
        <w:t>Child Tax Credit</w:t>
      </w:r>
    </w:p>
    <w:p w14:paraId="782EC284" w14:textId="77777777" w:rsidR="001F7233" w:rsidRDefault="00000000">
      <w:r>
        <w:rPr>
          <w:b/>
        </w:rPr>
        <w:t xml:space="preserve">Kapitel: </w:t>
      </w:r>
      <w:hyperlink w:anchor="k28">
        <w:r w:rsidR="001F7233">
          <w:rPr>
            <w:rStyle w:val="Hyperlink"/>
          </w:rPr>
          <w:t>Kapitel 28</w:t>
        </w:r>
      </w:hyperlink>
    </w:p>
    <w:p w14:paraId="34E939B1" w14:textId="77777777" w:rsidR="001F7233" w:rsidRDefault="00000000">
      <w:r>
        <w:rPr>
          <w:b/>
        </w:rPr>
        <w:t>irs.gov/payments/failure-to-file-penalty</w:t>
      </w:r>
    </w:p>
    <w:p w14:paraId="7256F8F7" w14:textId="77777777" w:rsidR="001F7233" w:rsidRDefault="00000000">
      <w:r>
        <w:rPr>
          <w:b/>
        </w:rPr>
        <w:t xml:space="preserve">Behörde / Thema: </w:t>
      </w:r>
      <w:r>
        <w:t>Strafen bei verspäteter Erklärung</w:t>
      </w:r>
    </w:p>
    <w:p w14:paraId="0D9A0861" w14:textId="77777777" w:rsidR="001F7233" w:rsidRDefault="00000000">
      <w:r>
        <w:rPr>
          <w:b/>
        </w:rPr>
        <w:t xml:space="preserve">Kapitel: </w:t>
      </w:r>
      <w:hyperlink w:anchor="k28">
        <w:r w:rsidR="001F7233">
          <w:rPr>
            <w:rStyle w:val="Hyperlink"/>
          </w:rPr>
          <w:t>Kapitel 28</w:t>
        </w:r>
      </w:hyperlink>
    </w:p>
    <w:p w14:paraId="69403366" w14:textId="77777777" w:rsidR="001F7233" w:rsidRDefault="00000000">
      <w:r>
        <w:rPr>
          <w:b/>
        </w:rPr>
        <w:t>irs.gov/tax-professionals/choosing-a-tax-professional (auch /newsroom/tax-scams-consumer-alerts)</w:t>
      </w:r>
    </w:p>
    <w:p w14:paraId="5F00B8CE" w14:textId="77777777" w:rsidR="001F7233" w:rsidRDefault="00000000">
      <w:r>
        <w:rPr>
          <w:b/>
        </w:rPr>
        <w:t xml:space="preserve">Behörde / Thema: </w:t>
      </w:r>
      <w:r>
        <w:t>Steuerberater finden, Betrugswarnungen</w:t>
      </w:r>
    </w:p>
    <w:p w14:paraId="39BE8E21" w14:textId="77777777" w:rsidR="001F7233" w:rsidRDefault="00000000">
      <w:r>
        <w:rPr>
          <w:b/>
        </w:rPr>
        <w:t xml:space="preserve">Kapitel: </w:t>
      </w:r>
      <w:hyperlink w:anchor="k28">
        <w:r w:rsidR="001F7233">
          <w:rPr>
            <w:rStyle w:val="Hyperlink"/>
          </w:rPr>
          <w:t>Kapitel 28</w:t>
        </w:r>
      </w:hyperlink>
    </w:p>
    <w:p w14:paraId="5E5F52EA" w14:textId="77777777" w:rsidR="001F7233" w:rsidRDefault="00000000">
      <w:r>
        <w:rPr>
          <w:b/>
        </w:rPr>
        <w:t>irs.gov/retirement-plans/401k-plans</w:t>
      </w:r>
    </w:p>
    <w:p w14:paraId="09FCCD6D" w14:textId="77777777" w:rsidR="001F7233" w:rsidRDefault="00000000">
      <w:r>
        <w:rPr>
          <w:b/>
        </w:rPr>
        <w:t xml:space="preserve">Behörde / Thema: </w:t>
      </w:r>
      <w:r>
        <w:t>401(k)-Pläne und Grenzen</w:t>
      </w:r>
    </w:p>
    <w:p w14:paraId="42619016" w14:textId="77777777" w:rsidR="001F7233" w:rsidRDefault="00000000">
      <w:r>
        <w:rPr>
          <w:b/>
        </w:rPr>
        <w:t xml:space="preserve">Kapitel: </w:t>
      </w:r>
      <w:hyperlink w:anchor="k29">
        <w:r w:rsidR="001F7233">
          <w:rPr>
            <w:rStyle w:val="Hyperlink"/>
          </w:rPr>
          <w:t>Kapitel 29</w:t>
        </w:r>
      </w:hyperlink>
    </w:p>
    <w:p w14:paraId="33E16C64" w14:textId="77777777" w:rsidR="001F7233" w:rsidRDefault="00000000">
      <w:r>
        <w:rPr>
          <w:b/>
        </w:rPr>
        <w:t>irs.gov/instructions/i8621</w:t>
      </w:r>
    </w:p>
    <w:p w14:paraId="6A080E58" w14:textId="77777777" w:rsidR="001F7233" w:rsidRDefault="00000000">
      <w:r>
        <w:rPr>
          <w:b/>
        </w:rPr>
        <w:t xml:space="preserve">Behörde / Thema: </w:t>
      </w:r>
      <w:r>
        <w:t>Formular 8621, PFIC</w:t>
      </w:r>
    </w:p>
    <w:p w14:paraId="521B33E3" w14:textId="77777777" w:rsidR="001F7233" w:rsidRDefault="00000000">
      <w:r>
        <w:rPr>
          <w:b/>
        </w:rPr>
        <w:t xml:space="preserve">Kapitel: </w:t>
      </w:r>
      <w:hyperlink w:anchor="k17">
        <w:r w:rsidR="001F7233">
          <w:rPr>
            <w:rStyle w:val="Hyperlink"/>
          </w:rPr>
          <w:t>Kapitel 17</w:t>
        </w:r>
      </w:hyperlink>
    </w:p>
    <w:p w14:paraId="78A27735" w14:textId="77777777" w:rsidR="001F7233" w:rsidRDefault="00000000">
      <w:r>
        <w:rPr>
          <w:b/>
        </w:rPr>
        <w:t>irs.gov/publications/p936 (auch /taxtopics/tc701)</w:t>
      </w:r>
    </w:p>
    <w:p w14:paraId="0BC4341A" w14:textId="77777777" w:rsidR="001F7233" w:rsidRDefault="00000000">
      <w:r>
        <w:rPr>
          <w:b/>
        </w:rPr>
        <w:t xml:space="preserve">Behörde / Thema: </w:t>
      </w:r>
      <w:r>
        <w:t>Hypothekenzinsen und Hausverkauf</w:t>
      </w:r>
    </w:p>
    <w:p w14:paraId="010F8910" w14:textId="77777777" w:rsidR="001F7233" w:rsidRDefault="00000000">
      <w:r>
        <w:rPr>
          <w:b/>
        </w:rPr>
        <w:t xml:space="preserve">Kapitel: </w:t>
      </w:r>
      <w:hyperlink w:anchor="k14">
        <w:r w:rsidR="001F7233">
          <w:rPr>
            <w:rStyle w:val="Hyperlink"/>
          </w:rPr>
          <w:t>Kapitel 14</w:t>
        </w:r>
      </w:hyperlink>
    </w:p>
    <w:p w14:paraId="4C09E674" w14:textId="77777777" w:rsidR="001F7233" w:rsidRDefault="00000000">
      <w:r>
        <w:rPr>
          <w:b/>
        </w:rPr>
        <w:t>irs.gov/individuals/how-do-i-apply-for-an-itin</w:t>
      </w:r>
    </w:p>
    <w:p w14:paraId="32DAE076" w14:textId="77777777" w:rsidR="001F7233" w:rsidRDefault="00000000">
      <w:r>
        <w:rPr>
          <w:b/>
        </w:rPr>
        <w:t xml:space="preserve">Behörde / Thema: </w:t>
      </w:r>
      <w:r>
        <w:t>ITIN beantragen</w:t>
      </w:r>
    </w:p>
    <w:p w14:paraId="11E1D886" w14:textId="77777777" w:rsidR="001F7233" w:rsidRDefault="00000000">
      <w:r>
        <w:rPr>
          <w:b/>
        </w:rPr>
        <w:t xml:space="preserve">Kapitel: </w:t>
      </w:r>
      <w:hyperlink w:anchor="k24">
        <w:r w:rsidR="001F7233">
          <w:rPr>
            <w:rStyle w:val="Hyperlink"/>
          </w:rPr>
          <w:t>Kapitel 24</w:t>
        </w:r>
      </w:hyperlink>
    </w:p>
    <w:p w14:paraId="203C555D" w14:textId="77777777" w:rsidR="001F7233" w:rsidRDefault="00000000">
      <w:r>
        <w:rPr>
          <w:b/>
        </w:rPr>
        <w:t>irs.gov/identity-theft-fraud-scams/get-an-identity-protection-pin</w:t>
      </w:r>
    </w:p>
    <w:p w14:paraId="45A38B9B" w14:textId="77777777" w:rsidR="001F7233" w:rsidRDefault="00000000">
      <w:r>
        <w:rPr>
          <w:b/>
        </w:rPr>
        <w:t xml:space="preserve">Behörde / Thema: </w:t>
      </w:r>
      <w:r>
        <w:t>Identity Protection PIN</w:t>
      </w:r>
    </w:p>
    <w:p w14:paraId="2E2F8357" w14:textId="77777777" w:rsidR="001F7233" w:rsidRDefault="00000000">
      <w:r>
        <w:rPr>
          <w:b/>
        </w:rPr>
        <w:t xml:space="preserve">Kapitel: </w:t>
      </w:r>
      <w:hyperlink w:anchor="k24">
        <w:r w:rsidR="001F7233">
          <w:rPr>
            <w:rStyle w:val="Hyperlink"/>
          </w:rPr>
          <w:t>Kapitel 24</w:t>
        </w:r>
      </w:hyperlink>
      <w:r>
        <w:t>, 25</w:t>
      </w:r>
    </w:p>
    <w:p w14:paraId="6FCE65C3" w14:textId="77777777" w:rsidR="001F7233" w:rsidRDefault="00000000">
      <w:r>
        <w:rPr>
          <w:b/>
        </w:rPr>
        <w:t>irs.gov/forms-pubs/about-form-w-4</w:t>
      </w:r>
    </w:p>
    <w:p w14:paraId="5C22DCC7" w14:textId="77777777" w:rsidR="001F7233" w:rsidRDefault="00000000">
      <w:r>
        <w:rPr>
          <w:b/>
        </w:rPr>
        <w:t xml:space="preserve">Behörde / Thema: </w:t>
      </w:r>
      <w:r>
        <w:t>Form W-4, Lohnsteuerabzug</w:t>
      </w:r>
    </w:p>
    <w:p w14:paraId="407CB0B5" w14:textId="77777777" w:rsidR="001F7233" w:rsidRDefault="00000000">
      <w:r>
        <w:rPr>
          <w:b/>
        </w:rPr>
        <w:lastRenderedPageBreak/>
        <w:t xml:space="preserve">Kapitel: </w:t>
      </w:r>
      <w:hyperlink w:anchor="k23">
        <w:r w:rsidR="001F7233">
          <w:rPr>
            <w:rStyle w:val="Hyperlink"/>
          </w:rPr>
          <w:t>Kapitel 23</w:t>
        </w:r>
      </w:hyperlink>
    </w:p>
    <w:p w14:paraId="0A93F79C" w14:textId="77777777" w:rsidR="001F7233" w:rsidRDefault="00000000">
      <w:r>
        <w:rPr>
          <w:b/>
        </w:rPr>
        <w:t>irs.gov/businesses/small-businesses-self-employed/whats-new-estate-and-gift-tax</w:t>
      </w:r>
    </w:p>
    <w:p w14:paraId="698EC5B4" w14:textId="77777777" w:rsidR="001F7233" w:rsidRDefault="00000000">
      <w:r>
        <w:rPr>
          <w:b/>
        </w:rPr>
        <w:t xml:space="preserve">Behörde / Thema: </w:t>
      </w:r>
      <w:r>
        <w:t>Nachlass- und Schenkungsteuer</w:t>
      </w:r>
    </w:p>
    <w:p w14:paraId="254386C6" w14:textId="77777777" w:rsidR="001F7233" w:rsidRDefault="00000000">
      <w:r>
        <w:rPr>
          <w:b/>
        </w:rPr>
        <w:t xml:space="preserve">Kapitel: </w:t>
      </w:r>
      <w:hyperlink w:anchor="k39">
        <w:r w:rsidR="001F7233">
          <w:rPr>
            <w:rStyle w:val="Hyperlink"/>
          </w:rPr>
          <w:t>Kapitel 39</w:t>
        </w:r>
      </w:hyperlink>
    </w:p>
    <w:p w14:paraId="2A96217D" w14:textId="77777777" w:rsidR="001F7233" w:rsidRDefault="00000000">
      <w:r>
        <w:rPr>
          <w:b/>
        </w:rPr>
        <w:t>irs.gov/instructions/i3520</w:t>
      </w:r>
    </w:p>
    <w:p w14:paraId="5C8F7DCB" w14:textId="77777777" w:rsidR="001F7233" w:rsidRDefault="00000000">
      <w:r>
        <w:rPr>
          <w:b/>
        </w:rPr>
        <w:t xml:space="preserve">Behörde / Thema: </w:t>
      </w:r>
      <w:r>
        <w:t>Formular 3520, Meldepflicht bei Erbschaften und Schenkungen aus dem Ausland</w:t>
      </w:r>
    </w:p>
    <w:p w14:paraId="07D9B63B" w14:textId="77777777" w:rsidR="001F7233" w:rsidRDefault="00000000">
      <w:r>
        <w:rPr>
          <w:b/>
        </w:rPr>
        <w:t xml:space="preserve">Kapitel: </w:t>
      </w:r>
      <w:hyperlink w:anchor="k39">
        <w:r w:rsidR="001F7233">
          <w:rPr>
            <w:rStyle w:val="Hyperlink"/>
          </w:rPr>
          <w:t>Kapitel 39</w:t>
        </w:r>
      </w:hyperlink>
    </w:p>
    <w:p w14:paraId="4630B4F9" w14:textId="77777777" w:rsidR="001F7233" w:rsidRDefault="00000000">
      <w:r>
        <w:rPr>
          <w:b/>
        </w:rPr>
        <w:t>irs.gov/individuals/international-taxpayers/expatriation-tax</w:t>
      </w:r>
    </w:p>
    <w:p w14:paraId="559B8F7E" w14:textId="77777777" w:rsidR="001F7233" w:rsidRDefault="00000000">
      <w:r>
        <w:rPr>
          <w:b/>
        </w:rPr>
        <w:t xml:space="preserve">Behörde / Thema: </w:t>
      </w:r>
      <w:r>
        <w:t>Expatriation Tax</w:t>
      </w:r>
    </w:p>
    <w:p w14:paraId="4BDCC936" w14:textId="77777777" w:rsidR="001F7233" w:rsidRDefault="00000000">
      <w:r>
        <w:rPr>
          <w:b/>
        </w:rPr>
        <w:t xml:space="preserve">Kapitel: </w:t>
      </w:r>
      <w:hyperlink w:anchor="k41">
        <w:r w:rsidR="001F7233">
          <w:rPr>
            <w:rStyle w:val="Hyperlink"/>
          </w:rPr>
          <w:t>Kapitel 41</w:t>
        </w:r>
      </w:hyperlink>
      <w:r>
        <w:t>, 42</w:t>
      </w:r>
    </w:p>
    <w:p w14:paraId="702000CB" w14:textId="77777777" w:rsidR="001F7233" w:rsidRDefault="00000000">
      <w:r>
        <w:rPr>
          <w:b/>
        </w:rPr>
        <w:t>irs.gov/individuals/international-taxpayers/firpta-withholding</w:t>
      </w:r>
    </w:p>
    <w:p w14:paraId="16CB6655" w14:textId="77777777" w:rsidR="001F7233" w:rsidRDefault="00000000">
      <w:r>
        <w:rPr>
          <w:b/>
        </w:rPr>
        <w:t xml:space="preserve">Behörde / Thema: </w:t>
      </w:r>
      <w:r>
        <w:t>FIRPTA Withholding beim Immobilienverkauf</w:t>
      </w:r>
    </w:p>
    <w:p w14:paraId="142184A7" w14:textId="77777777" w:rsidR="001F7233" w:rsidRDefault="00000000">
      <w:r>
        <w:rPr>
          <w:b/>
        </w:rPr>
        <w:t xml:space="preserve">Kapitel: </w:t>
      </w:r>
      <w:hyperlink w:anchor="k42">
        <w:r w:rsidR="001F7233">
          <w:rPr>
            <w:rStyle w:val="Hyperlink"/>
          </w:rPr>
          <w:t>Kapitel 42</w:t>
        </w:r>
      </w:hyperlink>
    </w:p>
    <w:p w14:paraId="64EAAFDD" w14:textId="77777777" w:rsidR="001F7233" w:rsidRDefault="00000000">
      <w:r>
        <w:rPr>
          <w:b/>
        </w:rPr>
        <w:t>ssa.gov/forms/ss-5.pdf</w:t>
      </w:r>
    </w:p>
    <w:p w14:paraId="1A69B024" w14:textId="77777777" w:rsidR="001F7233" w:rsidRDefault="00000000">
      <w:r>
        <w:rPr>
          <w:b/>
        </w:rPr>
        <w:t xml:space="preserve">Behörde / Thema: </w:t>
      </w:r>
      <w:r>
        <w:t>Formular SS-5, Antrag auf die SSN</w:t>
      </w:r>
    </w:p>
    <w:p w14:paraId="63971C68" w14:textId="77777777" w:rsidR="001F7233" w:rsidRDefault="00000000">
      <w:r>
        <w:rPr>
          <w:b/>
        </w:rPr>
        <w:t xml:space="preserve">Kapitel: </w:t>
      </w:r>
      <w:hyperlink w:anchor="k24">
        <w:r w:rsidR="001F7233">
          <w:rPr>
            <w:rStyle w:val="Hyperlink"/>
          </w:rPr>
          <w:t>Kapitel 24</w:t>
        </w:r>
      </w:hyperlink>
    </w:p>
    <w:p w14:paraId="3729BEFD" w14:textId="77777777" w:rsidR="001F7233" w:rsidRDefault="00000000">
      <w:r>
        <w:rPr>
          <w:b/>
        </w:rPr>
        <w:t>ssa.gov/international/Agreement_Pamphlets/germany.html</w:t>
      </w:r>
    </w:p>
    <w:p w14:paraId="5790B764" w14:textId="77777777" w:rsidR="001F7233" w:rsidRDefault="00000000">
      <w:r>
        <w:rPr>
          <w:b/>
        </w:rPr>
        <w:t xml:space="preserve">Behörde / Thema: </w:t>
      </w:r>
      <w:r>
        <w:t>Sozialversicherungsabkommen Deutschland–USA</w:t>
      </w:r>
    </w:p>
    <w:p w14:paraId="65D85C1B" w14:textId="77777777" w:rsidR="001F7233" w:rsidRDefault="00000000">
      <w:r>
        <w:rPr>
          <w:b/>
        </w:rPr>
        <w:t xml:space="preserve">Kapitel: </w:t>
      </w:r>
      <w:hyperlink w:anchor="k24">
        <w:r w:rsidR="001F7233">
          <w:rPr>
            <w:rStyle w:val="Hyperlink"/>
          </w:rPr>
          <w:t>Kapitel 24</w:t>
        </w:r>
      </w:hyperlink>
      <w:r>
        <w:t>, 39</w:t>
      </w:r>
    </w:p>
    <w:p w14:paraId="38525D6A" w14:textId="77777777" w:rsidR="001F7233" w:rsidRDefault="00000000">
      <w:r>
        <w:rPr>
          <w:b/>
        </w:rPr>
        <w:t>ssa.gov/number-card</w:t>
      </w:r>
    </w:p>
    <w:p w14:paraId="4AD66AAC" w14:textId="77777777" w:rsidR="001F7233" w:rsidRDefault="00000000">
      <w:r>
        <w:rPr>
          <w:b/>
        </w:rPr>
        <w:t xml:space="preserve">Behörde / Thema: </w:t>
      </w:r>
      <w:r>
        <w:t>Social Security Number und Karte</w:t>
      </w:r>
    </w:p>
    <w:p w14:paraId="1EC7270C" w14:textId="77777777" w:rsidR="001F7233" w:rsidRDefault="00000000">
      <w:r>
        <w:rPr>
          <w:b/>
        </w:rPr>
        <w:t xml:space="preserve">Kapitel: </w:t>
      </w:r>
      <w:hyperlink w:anchor="k24">
        <w:r w:rsidR="001F7233">
          <w:rPr>
            <w:rStyle w:val="Hyperlink"/>
          </w:rPr>
          <w:t>Kapitel 24</w:t>
        </w:r>
      </w:hyperlink>
    </w:p>
    <w:p w14:paraId="5931B3AD" w14:textId="77777777" w:rsidR="001F7233" w:rsidRDefault="00000000">
      <w:r>
        <w:rPr>
          <w:b/>
        </w:rPr>
        <w:t>ssa.gov/benefits/retirement/social-security-fairness-act.html</w:t>
      </w:r>
    </w:p>
    <w:p w14:paraId="62C6D627" w14:textId="77777777" w:rsidR="001F7233" w:rsidRDefault="00000000">
      <w:r>
        <w:rPr>
          <w:b/>
        </w:rPr>
        <w:t xml:space="preserve">Behörde / Thema: </w:t>
      </w:r>
      <w:r>
        <w:t>Social Security Fairness Act (Abschaffung von WEP/GPO)</w:t>
      </w:r>
    </w:p>
    <w:p w14:paraId="01127C00" w14:textId="77777777" w:rsidR="001F7233" w:rsidRDefault="00000000">
      <w:r>
        <w:rPr>
          <w:b/>
        </w:rPr>
        <w:t xml:space="preserve">Kapitel: </w:t>
      </w:r>
      <w:hyperlink w:anchor="k39">
        <w:r w:rsidR="001F7233">
          <w:rPr>
            <w:rStyle w:val="Hyperlink"/>
          </w:rPr>
          <w:t>Kapitel 39</w:t>
        </w:r>
      </w:hyperlink>
    </w:p>
    <w:p w14:paraId="3D2BB9B5" w14:textId="77777777" w:rsidR="001F7233" w:rsidRDefault="001F7233">
      <w:pPr>
        <w:spacing w:line="180" w:lineRule="exact"/>
      </w:pPr>
    </w:p>
    <w:p w14:paraId="518026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US-Gesundheit</w:t>
      </w:r>
    </w:p>
    <w:p w14:paraId="3C63278C" w14:textId="77777777" w:rsidR="001F7233" w:rsidRDefault="00000000">
      <w:r>
        <w:rPr>
          <w:b/>
        </w:rPr>
        <w:t>healthcare.gov</w:t>
      </w:r>
    </w:p>
    <w:p w14:paraId="42F0F595" w14:textId="77777777" w:rsidR="001F7233" w:rsidRDefault="00000000">
      <w:r>
        <w:rPr>
          <w:b/>
        </w:rPr>
        <w:lastRenderedPageBreak/>
        <w:t xml:space="preserve">Behörde / Thema: </w:t>
      </w:r>
      <w:r>
        <w:t>Marktplatz, Plantypen, Sonderfenster, Einwanderungsstatus</w:t>
      </w:r>
    </w:p>
    <w:p w14:paraId="310A3929" w14:textId="77777777" w:rsidR="001F7233" w:rsidRDefault="00000000">
      <w:r>
        <w:rPr>
          <w:b/>
        </w:rPr>
        <w:t xml:space="preserve">Kapitel: </w:t>
      </w:r>
      <w:hyperlink w:anchor="k1">
        <w:r w:rsidR="001F7233">
          <w:rPr>
            <w:rStyle w:val="Hyperlink"/>
          </w:rPr>
          <w:t>Kapitel 1</w:t>
        </w:r>
      </w:hyperlink>
      <w:r>
        <w:t>, 26</w:t>
      </w:r>
    </w:p>
    <w:p w14:paraId="703FA02D" w14:textId="77777777" w:rsidR="001F7233" w:rsidRDefault="00000000">
      <w:r>
        <w:rPr>
          <w:b/>
        </w:rPr>
        <w:t>cms.gov/nosurprises/consumers</w:t>
      </w:r>
    </w:p>
    <w:p w14:paraId="53F0C6B9" w14:textId="77777777" w:rsidR="001F7233" w:rsidRDefault="00000000">
      <w:r>
        <w:rPr>
          <w:b/>
        </w:rPr>
        <w:t xml:space="preserve">Behörde / Thema: </w:t>
      </w:r>
      <w:r>
        <w:t>No Surprises Act, Kostenvoranschlag, Beschwerdestelle</w:t>
      </w:r>
    </w:p>
    <w:p w14:paraId="57048218" w14:textId="77777777" w:rsidR="001F7233" w:rsidRDefault="00000000">
      <w:r>
        <w:rPr>
          <w:b/>
        </w:rPr>
        <w:t xml:space="preserve">Kapitel: </w:t>
      </w:r>
      <w:hyperlink w:anchor="k26">
        <w:r w:rsidR="001F7233">
          <w:rPr>
            <w:rStyle w:val="Hyperlink"/>
          </w:rPr>
          <w:t>Kapitel 26</w:t>
        </w:r>
      </w:hyperlink>
    </w:p>
    <w:p w14:paraId="62FFB938" w14:textId="77777777" w:rsidR="001F7233" w:rsidRDefault="00000000">
      <w:r>
        <w:rPr>
          <w:b/>
        </w:rPr>
        <w:t>irs.gov/publications/p969</w:t>
      </w:r>
    </w:p>
    <w:p w14:paraId="077185C5" w14:textId="77777777" w:rsidR="001F7233" w:rsidRDefault="00000000">
      <w:r>
        <w:rPr>
          <w:b/>
        </w:rPr>
        <w:t xml:space="preserve">Behörde / Thema: </w:t>
      </w:r>
      <w:r>
        <w:t>HSA und HDHP, jährliche Grenzwerte</w:t>
      </w:r>
    </w:p>
    <w:p w14:paraId="292583AD" w14:textId="77777777" w:rsidR="001F7233" w:rsidRDefault="00000000">
      <w:r>
        <w:rPr>
          <w:b/>
        </w:rPr>
        <w:t xml:space="preserve">Kapitel: </w:t>
      </w:r>
      <w:hyperlink w:anchor="k26">
        <w:r w:rsidR="001F7233">
          <w:rPr>
            <w:rStyle w:val="Hyperlink"/>
          </w:rPr>
          <w:t>Kapitel 26</w:t>
        </w:r>
      </w:hyperlink>
    </w:p>
    <w:p w14:paraId="1F3944AA" w14:textId="77777777" w:rsidR="001F7233" w:rsidRDefault="00000000">
      <w:r>
        <w:rPr>
          <w:b/>
        </w:rPr>
        <w:t>dol.gov/agencies/ebsa (auch dol.gov/general/topic/health-plans/cobra)</w:t>
      </w:r>
    </w:p>
    <w:p w14:paraId="730BE5CD" w14:textId="77777777" w:rsidR="001F7233" w:rsidRDefault="00000000">
      <w:r>
        <w:rPr>
          <w:b/>
        </w:rPr>
        <w:t xml:space="preserve">Behörde / Thema: </w:t>
      </w:r>
      <w:r>
        <w:t>COBRA, Wartefristen, Newborns’ Act</w:t>
      </w:r>
    </w:p>
    <w:p w14:paraId="2A7BE495" w14:textId="77777777" w:rsidR="001F7233" w:rsidRDefault="00000000">
      <w:r>
        <w:rPr>
          <w:b/>
        </w:rPr>
        <w:t xml:space="preserve">Kapitel: </w:t>
      </w:r>
      <w:hyperlink w:anchor="k26">
        <w:r w:rsidR="001F7233">
          <w:rPr>
            <w:rStyle w:val="Hyperlink"/>
          </w:rPr>
          <w:t>Kapitel 26</w:t>
        </w:r>
      </w:hyperlink>
      <w:r>
        <w:t>, 30</w:t>
      </w:r>
    </w:p>
    <w:p w14:paraId="6DFCEC63" w14:textId="77777777" w:rsidR="001F7233" w:rsidRDefault="00000000">
      <w:r>
        <w:rPr>
          <w:b/>
        </w:rPr>
        <w:t>cdc.gov/vaccines</w:t>
      </w:r>
    </w:p>
    <w:p w14:paraId="1B057E04" w14:textId="77777777" w:rsidR="001F7233" w:rsidRDefault="00000000">
      <w:r>
        <w:rPr>
          <w:b/>
        </w:rPr>
        <w:t xml:space="preserve">Behörde / Thema: </w:t>
      </w:r>
      <w:r>
        <w:t>Empfohlener Impfplan für Kinder</w:t>
      </w:r>
    </w:p>
    <w:p w14:paraId="3CC0103B" w14:textId="77777777" w:rsidR="001F7233" w:rsidRDefault="00000000">
      <w:r>
        <w:rPr>
          <w:b/>
        </w:rPr>
        <w:t xml:space="preserve">Kapitel: </w:t>
      </w:r>
      <w:hyperlink w:anchor="k18">
        <w:r w:rsidR="001F7233">
          <w:rPr>
            <w:rStyle w:val="Hyperlink"/>
          </w:rPr>
          <w:t>Kapitel 18</w:t>
        </w:r>
      </w:hyperlink>
    </w:p>
    <w:p w14:paraId="2F3B8ACA" w14:textId="77777777" w:rsidR="001F7233" w:rsidRDefault="00000000">
      <w:r>
        <w:rPr>
          <w:b/>
        </w:rPr>
        <w:t>cdc.gov/importation</w:t>
      </w:r>
    </w:p>
    <w:p w14:paraId="1A483BAE" w14:textId="77777777" w:rsidR="001F7233" w:rsidRDefault="00000000">
      <w:r>
        <w:rPr>
          <w:b/>
        </w:rPr>
        <w:t xml:space="preserve">Behörde / Thema: </w:t>
      </w:r>
      <w:r>
        <w:t>Einfuhr von Hunden und Katzen, Dog Import Form</w:t>
      </w:r>
    </w:p>
    <w:p w14:paraId="602642F3" w14:textId="77777777" w:rsidR="001F7233" w:rsidRDefault="00000000">
      <w:r>
        <w:rPr>
          <w:b/>
        </w:rPr>
        <w:t xml:space="preserve">Kapitel: </w:t>
      </w:r>
      <w:hyperlink w:anchor="k22">
        <w:r w:rsidR="001F7233">
          <w:rPr>
            <w:rStyle w:val="Hyperlink"/>
          </w:rPr>
          <w:t>Kapitel 22</w:t>
        </w:r>
      </w:hyperlink>
    </w:p>
    <w:p w14:paraId="36E33BB8" w14:textId="77777777" w:rsidR="001F7233" w:rsidRDefault="00000000">
      <w:r>
        <w:rPr>
          <w:b/>
        </w:rPr>
        <w:t>kff.org/health-costs</w:t>
      </w:r>
    </w:p>
    <w:p w14:paraId="4676DAB5" w14:textId="77777777" w:rsidR="001F7233" w:rsidRDefault="00000000">
      <w:r>
        <w:rPr>
          <w:b/>
        </w:rPr>
        <w:t xml:space="preserve">Behörde / Thema: </w:t>
      </w:r>
      <w:r>
        <w:t>Employer Health Benefits Survey: Prämien, Selbstbehalte, Wartefristen</w:t>
      </w:r>
    </w:p>
    <w:p w14:paraId="58B13BED" w14:textId="77777777" w:rsidR="001F7233" w:rsidRDefault="00000000">
      <w:r>
        <w:rPr>
          <w:b/>
        </w:rPr>
        <w:t xml:space="preserve">Kapitel: </w:t>
      </w:r>
      <w:hyperlink w:anchor="k3">
        <w:r w:rsidR="001F7233">
          <w:rPr>
            <w:rStyle w:val="Hyperlink"/>
          </w:rPr>
          <w:t>Kapitel 3</w:t>
        </w:r>
      </w:hyperlink>
      <w:r>
        <w:t>, 18, 26</w:t>
      </w:r>
    </w:p>
    <w:p w14:paraId="2254DBB3" w14:textId="77777777" w:rsidR="001F7233" w:rsidRDefault="00000000">
      <w:r>
        <w:rPr>
          <w:b/>
        </w:rPr>
        <w:t>medicare.gov/basics/costs</w:t>
      </w:r>
    </w:p>
    <w:p w14:paraId="2C7D2B62" w14:textId="77777777" w:rsidR="001F7233" w:rsidRDefault="00000000">
      <w:r>
        <w:rPr>
          <w:b/>
        </w:rPr>
        <w:t xml:space="preserve">Behörde / Thema: </w:t>
      </w:r>
      <w:r>
        <w:t>Kosten und Anspruchsvoraussetzungen</w:t>
      </w:r>
    </w:p>
    <w:p w14:paraId="58F621C5" w14:textId="77777777" w:rsidR="001F7233" w:rsidRDefault="00000000">
      <w:r>
        <w:rPr>
          <w:b/>
        </w:rPr>
        <w:t xml:space="preserve">Kapitel: </w:t>
      </w:r>
      <w:hyperlink w:anchor="k39">
        <w:r w:rsidR="001F7233">
          <w:rPr>
            <w:rStyle w:val="Hyperlink"/>
          </w:rPr>
          <w:t>Kapitel 39</w:t>
        </w:r>
      </w:hyperlink>
    </w:p>
    <w:p w14:paraId="757A743B" w14:textId="77777777" w:rsidR="001F7233" w:rsidRDefault="00000000">
      <w:r>
        <w:rPr>
          <w:b/>
        </w:rPr>
        <w:t>988lifeline.org</w:t>
      </w:r>
    </w:p>
    <w:p w14:paraId="75C9EA53" w14:textId="77777777" w:rsidR="001F7233" w:rsidRDefault="00000000">
      <w:r>
        <w:rPr>
          <w:b/>
        </w:rPr>
        <w:t xml:space="preserve">Behörde / Thema: </w:t>
      </w:r>
      <w:r>
        <w:t>Krisenhilfe rund um die Uhr</w:t>
      </w:r>
    </w:p>
    <w:p w14:paraId="5E2F6BC2" w14:textId="77777777" w:rsidR="001F7233" w:rsidRDefault="00000000">
      <w:r>
        <w:rPr>
          <w:b/>
        </w:rPr>
        <w:t xml:space="preserve">Kapitel: </w:t>
      </w:r>
      <w:hyperlink w:anchor="k26">
        <w:r w:rsidR="001F7233">
          <w:rPr>
            <w:rStyle w:val="Hyperlink"/>
          </w:rPr>
          <w:t>Kapitel 26</w:t>
        </w:r>
      </w:hyperlink>
      <w:r>
        <w:t>, 33</w:t>
      </w:r>
    </w:p>
    <w:p w14:paraId="5C45EA2F" w14:textId="77777777" w:rsidR="001F7233" w:rsidRDefault="00000000">
      <w:r>
        <w:rPr>
          <w:b/>
        </w:rPr>
        <w:t>samhsa.gov/mental-health/988/faqs</w:t>
      </w:r>
    </w:p>
    <w:p w14:paraId="0135FED2" w14:textId="77777777" w:rsidR="001F7233" w:rsidRDefault="00000000">
      <w:r>
        <w:rPr>
          <w:b/>
        </w:rPr>
        <w:t xml:space="preserve">Behörde / Thema: </w:t>
      </w:r>
      <w:r>
        <w:t>Häufige Fragen zu 988</w:t>
      </w:r>
    </w:p>
    <w:p w14:paraId="0F7D676E" w14:textId="77777777" w:rsidR="001F7233" w:rsidRDefault="00000000">
      <w:r>
        <w:rPr>
          <w:b/>
        </w:rPr>
        <w:t xml:space="preserve">Kapitel: </w:t>
      </w:r>
      <w:hyperlink w:anchor="k33">
        <w:r w:rsidR="001F7233">
          <w:rPr>
            <w:rStyle w:val="Hyperlink"/>
          </w:rPr>
          <w:t>Kapitel 33</w:t>
        </w:r>
      </w:hyperlink>
    </w:p>
    <w:p w14:paraId="58F58FB9" w14:textId="77777777" w:rsidR="001F7233" w:rsidRDefault="00000000">
      <w:r>
        <w:rPr>
          <w:b/>
        </w:rPr>
        <w:t>findtreatment.gov</w:t>
      </w:r>
    </w:p>
    <w:p w14:paraId="5F978A5A" w14:textId="77777777" w:rsidR="001F7233" w:rsidRDefault="00000000">
      <w:r>
        <w:rPr>
          <w:b/>
        </w:rPr>
        <w:lastRenderedPageBreak/>
        <w:t xml:space="preserve">Behörde / Thema: </w:t>
      </w:r>
      <w:r>
        <w:t>Therapeutensuche der Bundesbehörde SAMHSA</w:t>
      </w:r>
    </w:p>
    <w:p w14:paraId="53A394A2" w14:textId="77777777" w:rsidR="001F7233" w:rsidRDefault="00000000">
      <w:r>
        <w:rPr>
          <w:b/>
        </w:rPr>
        <w:t xml:space="preserve">Kapitel: </w:t>
      </w:r>
      <w:hyperlink w:anchor="k26">
        <w:r w:rsidR="001F7233">
          <w:rPr>
            <w:rStyle w:val="Hyperlink"/>
          </w:rPr>
          <w:t>Kapitel 26</w:t>
        </w:r>
      </w:hyperlink>
      <w:r>
        <w:t>, 33</w:t>
      </w:r>
    </w:p>
    <w:p w14:paraId="4589E0F2" w14:textId="77777777" w:rsidR="001F7233" w:rsidRDefault="00000000">
      <w:r>
        <w:rPr>
          <w:b/>
        </w:rPr>
        <w:t>psychologytoday.com/us/therapists/german</w:t>
      </w:r>
    </w:p>
    <w:p w14:paraId="55877270" w14:textId="77777777" w:rsidR="001F7233" w:rsidRDefault="00000000">
      <w:r>
        <w:rPr>
          <w:b/>
        </w:rPr>
        <w:t xml:space="preserve">Behörde / Thema: </w:t>
      </w:r>
      <w:r>
        <w:t>deutschsprachige Therapeutensuche</w:t>
      </w:r>
    </w:p>
    <w:p w14:paraId="483E1A50" w14:textId="77777777" w:rsidR="001F7233" w:rsidRDefault="00000000">
      <w:r>
        <w:rPr>
          <w:b/>
        </w:rPr>
        <w:t xml:space="preserve">Kapitel: </w:t>
      </w:r>
      <w:hyperlink w:anchor="k33">
        <w:r w:rsidR="001F7233">
          <w:rPr>
            <w:rStyle w:val="Hyperlink"/>
          </w:rPr>
          <w:t>Kapitel 33</w:t>
        </w:r>
      </w:hyperlink>
    </w:p>
    <w:p w14:paraId="118450EC" w14:textId="77777777" w:rsidR="001F7233" w:rsidRDefault="00000000">
      <w:r>
        <w:rPr>
          <w:b/>
        </w:rPr>
        <w:t>openpathcollective.org</w:t>
      </w:r>
    </w:p>
    <w:p w14:paraId="1C2129C1" w14:textId="77777777" w:rsidR="001F7233" w:rsidRDefault="00000000">
      <w:r>
        <w:rPr>
          <w:b/>
        </w:rPr>
        <w:t xml:space="preserve">Behörde / Thema: </w:t>
      </w:r>
      <w:r>
        <w:t>reduzierte Therapiepreise</w:t>
      </w:r>
    </w:p>
    <w:p w14:paraId="3F4B978C" w14:textId="77777777" w:rsidR="001F7233" w:rsidRDefault="00000000">
      <w:r>
        <w:rPr>
          <w:b/>
        </w:rPr>
        <w:t xml:space="preserve">Kapitel: </w:t>
      </w:r>
      <w:hyperlink w:anchor="k33">
        <w:r w:rsidR="001F7233">
          <w:rPr>
            <w:rStyle w:val="Hyperlink"/>
          </w:rPr>
          <w:t>Kapitel 33</w:t>
        </w:r>
      </w:hyperlink>
    </w:p>
    <w:p w14:paraId="5201A5CF" w14:textId="77777777" w:rsidR="001F7233" w:rsidRDefault="001F7233">
      <w:pPr>
        <w:spacing w:line="180" w:lineRule="exact"/>
      </w:pPr>
    </w:p>
    <w:p w14:paraId="2442C8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US-Wohnen und Finanzen</w:t>
      </w:r>
    </w:p>
    <w:p w14:paraId="311D0DDA" w14:textId="77777777" w:rsidR="001F7233" w:rsidRDefault="00000000">
      <w:r>
        <w:rPr>
          <w:b/>
        </w:rPr>
        <w:t>consumerfinance.gov</w:t>
      </w:r>
    </w:p>
    <w:p w14:paraId="42A92755" w14:textId="77777777" w:rsidR="001F7233" w:rsidRDefault="00000000">
      <w:r>
        <w:rPr>
          <w:b/>
        </w:rPr>
        <w:t xml:space="preserve">Behörde / Thema: </w:t>
      </w:r>
      <w:r>
        <w:t>CFPB: Credit Score, Kredite, Loan Estimate, Rate Lock, PMI, Hauskauf</w:t>
      </w:r>
    </w:p>
    <w:p w14:paraId="6E56B820" w14:textId="77777777" w:rsidR="001F7233" w:rsidRDefault="00000000">
      <w:r>
        <w:rPr>
          <w:b/>
        </w:rPr>
        <w:t xml:space="preserve">Kapitel: </w:t>
      </w:r>
      <w:hyperlink w:anchor="k2">
        <w:r w:rsidR="001F7233">
          <w:rPr>
            <w:rStyle w:val="Hyperlink"/>
          </w:rPr>
          <w:t>Kapitel 2</w:t>
        </w:r>
      </w:hyperlink>
      <w:r>
        <w:t>, 14</w:t>
      </w:r>
    </w:p>
    <w:p w14:paraId="0FE29213" w14:textId="77777777" w:rsidR="001F7233" w:rsidRDefault="00000000">
      <w:r>
        <w:rPr>
          <w:b/>
        </w:rPr>
        <w:t>hud.gov/fairhousing</w:t>
      </w:r>
    </w:p>
    <w:p w14:paraId="020A8C7E" w14:textId="77777777" w:rsidR="001F7233" w:rsidRDefault="00000000">
      <w:r>
        <w:rPr>
          <w:b/>
        </w:rPr>
        <w:t xml:space="preserve">Behörde / Thema: </w:t>
      </w:r>
      <w:r>
        <w:t>Fair Housing Act, Diskriminierung melden</w:t>
      </w:r>
    </w:p>
    <w:p w14:paraId="69BC69FB" w14:textId="77777777" w:rsidR="001F7233" w:rsidRDefault="00000000">
      <w:r>
        <w:rPr>
          <w:b/>
        </w:rPr>
        <w:t xml:space="preserve">Kapitel: </w:t>
      </w:r>
      <w:hyperlink w:anchor="k13">
        <w:r w:rsidR="001F7233">
          <w:rPr>
            <w:rStyle w:val="Hyperlink"/>
          </w:rPr>
          <w:t>Kapitel 13</w:t>
        </w:r>
      </w:hyperlink>
    </w:p>
    <w:p w14:paraId="7C3AA277" w14:textId="77777777" w:rsidR="001F7233" w:rsidRDefault="00000000">
      <w:r>
        <w:rPr>
          <w:b/>
        </w:rPr>
        <w:t>hud.gov/sites/default/files/OCHCO/documents/2025-09hsgml.pdf</w:t>
      </w:r>
    </w:p>
    <w:p w14:paraId="7077AFBB" w14:textId="77777777" w:rsidR="001F7233" w:rsidRDefault="00000000">
      <w:r>
        <w:rPr>
          <w:b/>
        </w:rPr>
        <w:t xml:space="preserve">Behörde / Thema: </w:t>
      </w:r>
      <w:r>
        <w:t>FHA-Regel für Nicht-Daueraufenthaltsberechtigte</w:t>
      </w:r>
    </w:p>
    <w:p w14:paraId="3A9D868E" w14:textId="77777777" w:rsidR="001F7233" w:rsidRDefault="00000000">
      <w:r>
        <w:rPr>
          <w:b/>
        </w:rPr>
        <w:t xml:space="preserve">Kapitel: </w:t>
      </w:r>
      <w:hyperlink w:anchor="k14">
        <w:r w:rsidR="001F7233">
          <w:rPr>
            <w:rStyle w:val="Hyperlink"/>
          </w:rPr>
          <w:t>Kapitel 14</w:t>
        </w:r>
      </w:hyperlink>
    </w:p>
    <w:p w14:paraId="483FC589" w14:textId="77777777" w:rsidR="001F7233" w:rsidRDefault="00000000">
      <w:r>
        <w:rPr>
          <w:b/>
        </w:rPr>
        <w:t>annualcreditreport.com</w:t>
      </w:r>
    </w:p>
    <w:p w14:paraId="5189EB57" w14:textId="77777777" w:rsidR="001F7233" w:rsidRDefault="00000000">
      <w:r>
        <w:rPr>
          <w:b/>
        </w:rPr>
        <w:t xml:space="preserve">Behörde / Thema: </w:t>
      </w:r>
      <w:r>
        <w:t>kostenlose Kreditauskunft aller drei Bureaus</w:t>
      </w:r>
    </w:p>
    <w:p w14:paraId="331648E4" w14:textId="77777777" w:rsidR="001F7233" w:rsidRDefault="00000000">
      <w:r>
        <w:rPr>
          <w:b/>
        </w:rPr>
        <w:t xml:space="preserve">Kapitel: </w:t>
      </w:r>
      <w:hyperlink w:anchor="k25">
        <w:r w:rsidR="001F7233">
          <w:rPr>
            <w:rStyle w:val="Hyperlink"/>
          </w:rPr>
          <w:t>Kapitel 25</w:t>
        </w:r>
      </w:hyperlink>
    </w:p>
    <w:p w14:paraId="78F715F6" w14:textId="77777777" w:rsidR="001F7233" w:rsidRDefault="00000000">
      <w:r>
        <w:rPr>
          <w:b/>
        </w:rPr>
        <w:t>myfico.com</w:t>
      </w:r>
    </w:p>
    <w:p w14:paraId="3A1274FB" w14:textId="77777777" w:rsidR="001F7233" w:rsidRDefault="00000000">
      <w:r>
        <w:rPr>
          <w:b/>
        </w:rPr>
        <w:t xml:space="preserve">Behörde / Thema: </w:t>
      </w:r>
      <w:r>
        <w:t>Aufbau und Faktoren des FICO-Scores</w:t>
      </w:r>
    </w:p>
    <w:p w14:paraId="711E8956" w14:textId="77777777" w:rsidR="001F7233" w:rsidRDefault="00000000">
      <w:r>
        <w:rPr>
          <w:b/>
        </w:rPr>
        <w:t xml:space="preserve">Kapitel: </w:t>
      </w:r>
      <w:hyperlink w:anchor="k25">
        <w:r w:rsidR="001F7233">
          <w:rPr>
            <w:rStyle w:val="Hyperlink"/>
          </w:rPr>
          <w:t>Kapitel 25</w:t>
        </w:r>
      </w:hyperlink>
    </w:p>
    <w:p w14:paraId="3B87A55F" w14:textId="77777777" w:rsidR="001F7233" w:rsidRDefault="00000000">
      <w:r>
        <w:rPr>
          <w:b/>
        </w:rPr>
        <w:t>federalreserve.gov/releases/g19</w:t>
      </w:r>
    </w:p>
    <w:p w14:paraId="5DE01489" w14:textId="77777777" w:rsidR="001F7233" w:rsidRDefault="00000000">
      <w:r>
        <w:rPr>
          <w:b/>
        </w:rPr>
        <w:t xml:space="preserve">Behörde / Thema: </w:t>
      </w:r>
      <w:r>
        <w:t>offizielle Statistik zu Kreditkartenzinsen</w:t>
      </w:r>
    </w:p>
    <w:p w14:paraId="7880C29A" w14:textId="77777777" w:rsidR="001F7233" w:rsidRDefault="00000000">
      <w:r>
        <w:rPr>
          <w:b/>
        </w:rPr>
        <w:t xml:space="preserve">Kapitel: </w:t>
      </w:r>
      <w:hyperlink w:anchor="k25">
        <w:r w:rsidR="001F7233">
          <w:rPr>
            <w:rStyle w:val="Hyperlink"/>
          </w:rPr>
          <w:t>Kapitel 25</w:t>
        </w:r>
      </w:hyperlink>
    </w:p>
    <w:p w14:paraId="7EB6914B" w14:textId="77777777" w:rsidR="001F7233" w:rsidRDefault="00000000">
      <w:r>
        <w:rPr>
          <w:b/>
        </w:rPr>
        <w:t>novacredit.com/credit-passport</w:t>
      </w:r>
    </w:p>
    <w:p w14:paraId="3CF0D41F" w14:textId="77777777" w:rsidR="001F7233" w:rsidRDefault="00000000">
      <w:r>
        <w:rPr>
          <w:b/>
        </w:rPr>
        <w:t xml:space="preserve">Behörde / Thema: </w:t>
      </w:r>
      <w:r>
        <w:t>ausländische Kredithistorie übertragen</w:t>
      </w:r>
    </w:p>
    <w:p w14:paraId="7E06760F" w14:textId="77777777" w:rsidR="001F7233" w:rsidRDefault="00000000">
      <w:r>
        <w:rPr>
          <w:b/>
        </w:rPr>
        <w:lastRenderedPageBreak/>
        <w:t xml:space="preserve">Kapitel: </w:t>
      </w:r>
      <w:hyperlink w:anchor="k25">
        <w:r w:rsidR="001F7233">
          <w:rPr>
            <w:rStyle w:val="Hyperlink"/>
          </w:rPr>
          <w:t>Kapitel 25</w:t>
        </w:r>
      </w:hyperlink>
    </w:p>
    <w:p w14:paraId="58EC249E" w14:textId="77777777" w:rsidR="001F7233" w:rsidRDefault="00000000">
      <w:r>
        <w:rPr>
          <w:b/>
        </w:rPr>
        <w:t>freddiemac.com/pmms</w:t>
      </w:r>
    </w:p>
    <w:p w14:paraId="7645B54F" w14:textId="77777777" w:rsidR="001F7233" w:rsidRDefault="00000000">
      <w:r>
        <w:rPr>
          <w:b/>
        </w:rPr>
        <w:t xml:space="preserve">Behörde / Thema: </w:t>
      </w:r>
      <w:r>
        <w:t>wöchentliche Hypothekenzins-Umfrage</w:t>
      </w:r>
    </w:p>
    <w:p w14:paraId="6B4997D3" w14:textId="77777777" w:rsidR="001F7233" w:rsidRDefault="00000000">
      <w:r>
        <w:rPr>
          <w:b/>
        </w:rPr>
        <w:t xml:space="preserve">Kapitel: </w:t>
      </w:r>
      <w:hyperlink w:anchor="k1">
        <w:r w:rsidR="001F7233">
          <w:rPr>
            <w:rStyle w:val="Hyperlink"/>
          </w:rPr>
          <w:t>Kapitel 1</w:t>
        </w:r>
      </w:hyperlink>
      <w:r>
        <w:t>, 14</w:t>
      </w:r>
    </w:p>
    <w:p w14:paraId="01526AE0" w14:textId="77777777" w:rsidR="001F7233" w:rsidRDefault="00000000">
      <w:r>
        <w:rPr>
          <w:b/>
        </w:rPr>
        <w:t>selling-guide.fanniemae.com</w:t>
      </w:r>
    </w:p>
    <w:p w14:paraId="51DAB22B" w14:textId="77777777" w:rsidR="001F7233" w:rsidRDefault="00000000">
      <w:r>
        <w:rPr>
          <w:b/>
        </w:rPr>
        <w:t xml:space="preserve">Behörde / Thema: </w:t>
      </w:r>
      <w:r>
        <w:t>Selling Guide zu Nicht-US-Bürgern und Kredithistorie</w:t>
      </w:r>
    </w:p>
    <w:p w14:paraId="4DF20E90" w14:textId="77777777" w:rsidR="001F7233" w:rsidRDefault="00000000">
      <w:r>
        <w:rPr>
          <w:b/>
        </w:rPr>
        <w:t xml:space="preserve">Kapitel: </w:t>
      </w:r>
      <w:hyperlink w:anchor="k14">
        <w:r w:rsidR="001F7233">
          <w:rPr>
            <w:rStyle w:val="Hyperlink"/>
          </w:rPr>
          <w:t>Kapitel 14</w:t>
        </w:r>
      </w:hyperlink>
    </w:p>
    <w:p w14:paraId="5A2581AD" w14:textId="77777777" w:rsidR="001F7233" w:rsidRDefault="00000000">
      <w:r>
        <w:rPr>
          <w:b/>
        </w:rPr>
        <w:t>fhfa.gov</w:t>
      </w:r>
    </w:p>
    <w:p w14:paraId="6BECC21B" w14:textId="77777777" w:rsidR="001F7233" w:rsidRDefault="00000000">
      <w:r>
        <w:rPr>
          <w:b/>
        </w:rPr>
        <w:t xml:space="preserve">Behörde / Thema: </w:t>
      </w:r>
      <w:r>
        <w:t>Conforming Loan Limits</w:t>
      </w:r>
    </w:p>
    <w:p w14:paraId="74DF741A" w14:textId="77777777" w:rsidR="001F7233" w:rsidRDefault="00000000">
      <w:r>
        <w:rPr>
          <w:b/>
        </w:rPr>
        <w:t xml:space="preserve">Kapitel: </w:t>
      </w:r>
      <w:hyperlink w:anchor="k14">
        <w:r w:rsidR="001F7233">
          <w:rPr>
            <w:rStyle w:val="Hyperlink"/>
          </w:rPr>
          <w:t>Kapitel 14</w:t>
        </w:r>
      </w:hyperlink>
    </w:p>
    <w:p w14:paraId="3B75F1AC" w14:textId="77777777" w:rsidR="001F7233" w:rsidRDefault="00000000">
      <w:r>
        <w:rPr>
          <w:b/>
        </w:rPr>
        <w:t>fema.gov/flood-maps</w:t>
      </w:r>
    </w:p>
    <w:p w14:paraId="36C52070" w14:textId="77777777" w:rsidR="001F7233" w:rsidRDefault="00000000">
      <w:r>
        <w:rPr>
          <w:b/>
        </w:rPr>
        <w:t xml:space="preserve">Behörde / Thema: </w:t>
      </w:r>
      <w:r>
        <w:t>Flutkarten</w:t>
      </w:r>
    </w:p>
    <w:p w14:paraId="437A3111" w14:textId="77777777" w:rsidR="001F7233" w:rsidRDefault="00000000">
      <w:r>
        <w:rPr>
          <w:b/>
        </w:rPr>
        <w:t xml:space="preserve">Kapitel: </w:t>
      </w:r>
      <w:hyperlink w:anchor="k14">
        <w:r w:rsidR="001F7233">
          <w:rPr>
            <w:rStyle w:val="Hyperlink"/>
          </w:rPr>
          <w:t>Kapitel 14</w:t>
        </w:r>
      </w:hyperlink>
    </w:p>
    <w:p w14:paraId="41B944D9" w14:textId="77777777" w:rsidR="001F7233" w:rsidRDefault="00000000">
      <w:r>
        <w:rPr>
          <w:b/>
        </w:rPr>
        <w:t>nar.realtor</w:t>
      </w:r>
    </w:p>
    <w:p w14:paraId="7B931358" w14:textId="77777777" w:rsidR="001F7233" w:rsidRDefault="00000000">
      <w:r>
        <w:rPr>
          <w:b/>
        </w:rPr>
        <w:t xml:space="preserve">Behörde / Thema: </w:t>
      </w:r>
      <w:r>
        <w:t>Metro-Kaufpreise</w:t>
      </w:r>
    </w:p>
    <w:p w14:paraId="545A00FE" w14:textId="77777777" w:rsidR="001F7233" w:rsidRDefault="00000000">
      <w:r>
        <w:rPr>
          <w:b/>
        </w:rPr>
        <w:t xml:space="preserve">Kapitel: </w:t>
      </w:r>
      <w:hyperlink w:anchor="k12">
        <w:r w:rsidR="001F7233">
          <w:rPr>
            <w:rStyle w:val="Hyperlink"/>
          </w:rPr>
          <w:t>Kapitel 12</w:t>
        </w:r>
      </w:hyperlink>
    </w:p>
    <w:p w14:paraId="1BE4EB04" w14:textId="77777777" w:rsidR="001F7233" w:rsidRDefault="00000000">
      <w:r>
        <w:rPr>
          <w:b/>
        </w:rPr>
        <w:t>zumper.com/rent-research</w:t>
      </w:r>
    </w:p>
    <w:p w14:paraId="3818AAA8" w14:textId="77777777" w:rsidR="001F7233" w:rsidRDefault="00000000">
      <w:r>
        <w:rPr>
          <w:b/>
        </w:rPr>
        <w:t xml:space="preserve">Behörde / Thema: </w:t>
      </w:r>
      <w:r>
        <w:t>Zumper National Rent Report</w:t>
      </w:r>
    </w:p>
    <w:p w14:paraId="2557BD55" w14:textId="77777777" w:rsidR="001F7233" w:rsidRDefault="00000000">
      <w:r>
        <w:rPr>
          <w:b/>
        </w:rPr>
        <w:t xml:space="preserve">Kapitel: </w:t>
      </w:r>
      <w:hyperlink w:anchor="k12">
        <w:r w:rsidR="001F7233">
          <w:rPr>
            <w:rStyle w:val="Hyperlink"/>
          </w:rPr>
          <w:t>Kapitel 12</w:t>
        </w:r>
      </w:hyperlink>
    </w:p>
    <w:p w14:paraId="3207389A" w14:textId="77777777" w:rsidR="001F7233" w:rsidRDefault="00000000">
      <w:r>
        <w:rPr>
          <w:b/>
        </w:rPr>
        <w:t>taxfoundation.org</w:t>
      </w:r>
    </w:p>
    <w:p w14:paraId="5A1333CD" w14:textId="77777777" w:rsidR="001F7233" w:rsidRDefault="00000000">
      <w:r>
        <w:rPr>
          <w:b/>
        </w:rPr>
        <w:t xml:space="preserve">Behörde / Thema: </w:t>
      </w:r>
      <w:r>
        <w:t>Steuerlast im Bundesstaatenvergleich</w:t>
      </w:r>
    </w:p>
    <w:p w14:paraId="2DB720BB" w14:textId="77777777" w:rsidR="001F7233" w:rsidRDefault="00000000">
      <w:r>
        <w:rPr>
          <w:b/>
        </w:rPr>
        <w:t xml:space="preserve">Kapitel: </w:t>
      </w:r>
      <w:hyperlink w:anchor="k12">
        <w:r w:rsidR="001F7233">
          <w:rPr>
            <w:rStyle w:val="Hyperlink"/>
          </w:rPr>
          <w:t>Kapitel 12</w:t>
        </w:r>
      </w:hyperlink>
    </w:p>
    <w:p w14:paraId="656F76EE" w14:textId="77777777" w:rsidR="001F7233" w:rsidRDefault="00000000">
      <w:r>
        <w:rPr>
          <w:b/>
        </w:rPr>
        <w:t>nyc.gov/site/dca/about/FAQ-Broker-Fees.page</w:t>
      </w:r>
    </w:p>
    <w:p w14:paraId="00326FDE" w14:textId="77777777" w:rsidR="001F7233" w:rsidRDefault="00000000">
      <w:r>
        <w:rPr>
          <w:b/>
        </w:rPr>
        <w:t xml:space="preserve">Behörde / Thema: </w:t>
      </w:r>
      <w:r>
        <w:t>FARE Act, Maklergebühren in New York City</w:t>
      </w:r>
    </w:p>
    <w:p w14:paraId="29FA3E3D" w14:textId="77777777" w:rsidR="001F7233" w:rsidRDefault="00000000">
      <w:r>
        <w:rPr>
          <w:b/>
        </w:rPr>
        <w:t xml:space="preserve">Kapitel: </w:t>
      </w:r>
      <w:hyperlink w:anchor="k13">
        <w:r w:rsidR="001F7233">
          <w:rPr>
            <w:rStyle w:val="Hyperlink"/>
          </w:rPr>
          <w:t>Kapitel 13</w:t>
        </w:r>
      </w:hyperlink>
    </w:p>
    <w:p w14:paraId="0032728C" w14:textId="77777777" w:rsidR="001F7233" w:rsidRDefault="00000000">
      <w:r>
        <w:rPr>
          <w:b/>
        </w:rPr>
        <w:t>seattle.gov/rentinginseattle</w:t>
      </w:r>
    </w:p>
    <w:p w14:paraId="2A611231" w14:textId="77777777" w:rsidR="001F7233" w:rsidRDefault="00000000">
      <w:r>
        <w:rPr>
          <w:b/>
        </w:rPr>
        <w:t xml:space="preserve">Behörde / Thema: </w:t>
      </w:r>
      <w:r>
        <w:t>Kaution, Einzugsgebühren, Mieterrechte Seattle</w:t>
      </w:r>
    </w:p>
    <w:p w14:paraId="6903B785" w14:textId="77777777" w:rsidR="001F7233" w:rsidRDefault="00000000">
      <w:r>
        <w:rPr>
          <w:b/>
        </w:rPr>
        <w:t xml:space="preserve">Kapitel: </w:t>
      </w:r>
      <w:hyperlink w:anchor="k13">
        <w:r w:rsidR="001F7233">
          <w:rPr>
            <w:rStyle w:val="Hyperlink"/>
          </w:rPr>
          <w:t>Kapitel 13</w:t>
        </w:r>
      </w:hyperlink>
    </w:p>
    <w:p w14:paraId="4EA449C0" w14:textId="77777777" w:rsidR="001F7233" w:rsidRDefault="00000000">
      <w:r>
        <w:rPr>
          <w:b/>
        </w:rPr>
        <w:t>michiganlegalhelp.org</w:t>
      </w:r>
    </w:p>
    <w:p w14:paraId="0FAE1BD3" w14:textId="77777777" w:rsidR="001F7233" w:rsidRDefault="00000000">
      <w:r>
        <w:rPr>
          <w:b/>
        </w:rPr>
        <w:t xml:space="preserve">Behörde / Thema: </w:t>
      </w:r>
      <w:r>
        <w:t>Kaution und Mietrückstand in Michigan</w:t>
      </w:r>
    </w:p>
    <w:p w14:paraId="256E35A9" w14:textId="77777777" w:rsidR="001F7233" w:rsidRDefault="00000000">
      <w:r>
        <w:rPr>
          <w:b/>
        </w:rPr>
        <w:t xml:space="preserve">Kapitel: </w:t>
      </w:r>
      <w:hyperlink w:anchor="k13">
        <w:r w:rsidR="001F7233">
          <w:rPr>
            <w:rStyle w:val="Hyperlink"/>
          </w:rPr>
          <w:t>Kapitel 13</w:t>
        </w:r>
      </w:hyperlink>
    </w:p>
    <w:p w14:paraId="100D5D3A" w14:textId="77777777" w:rsidR="001F7233" w:rsidRDefault="00000000">
      <w:r>
        <w:rPr>
          <w:b/>
        </w:rPr>
        <w:t>commerce.wa.gov/housing-policy/hb1217-landlord-resource-center</w:t>
      </w:r>
    </w:p>
    <w:p w14:paraId="6BBE42D3" w14:textId="77777777" w:rsidR="001F7233" w:rsidRDefault="00000000">
      <w:r>
        <w:rPr>
          <w:b/>
        </w:rPr>
        <w:t xml:space="preserve">Behörde / Thema: </w:t>
      </w:r>
      <w:r>
        <w:t>Mieterhöhungen in Washington State</w:t>
      </w:r>
    </w:p>
    <w:p w14:paraId="7D1680CD" w14:textId="77777777" w:rsidR="001F7233" w:rsidRDefault="00000000">
      <w:r>
        <w:rPr>
          <w:b/>
        </w:rPr>
        <w:lastRenderedPageBreak/>
        <w:t xml:space="preserve">Kapitel: </w:t>
      </w:r>
      <w:hyperlink w:anchor="k13">
        <w:r w:rsidR="001F7233">
          <w:rPr>
            <w:rStyle w:val="Hyperlink"/>
          </w:rPr>
          <w:t>Kapitel 13</w:t>
        </w:r>
      </w:hyperlink>
    </w:p>
    <w:p w14:paraId="635824E4" w14:textId="77777777" w:rsidR="001F7233" w:rsidRDefault="00000000">
      <w:r>
        <w:rPr>
          <w:b/>
        </w:rPr>
        <w:t>letsmakeaplan.org</w:t>
      </w:r>
    </w:p>
    <w:p w14:paraId="478C38BC" w14:textId="77777777" w:rsidR="001F7233" w:rsidRDefault="00000000">
      <w:r>
        <w:rPr>
          <w:b/>
        </w:rPr>
        <w:t xml:space="preserve">Behörde / Thema: </w:t>
      </w:r>
      <w:r>
        <w:t>Verzeichnis gebührenbasierter Finanzplaner (CFP Board)</w:t>
      </w:r>
    </w:p>
    <w:p w14:paraId="69697270" w14:textId="77777777" w:rsidR="001F7233" w:rsidRDefault="00000000">
      <w:r>
        <w:rPr>
          <w:b/>
        </w:rPr>
        <w:t xml:space="preserve">Kapitel: </w:t>
      </w:r>
      <w:hyperlink w:anchor="k39">
        <w:r w:rsidR="001F7233">
          <w:rPr>
            <w:rStyle w:val="Hyperlink"/>
          </w:rPr>
          <w:t>Kapitel 39</w:t>
        </w:r>
      </w:hyperlink>
    </w:p>
    <w:p w14:paraId="0D583358" w14:textId="77777777" w:rsidR="001F7233" w:rsidRDefault="00000000">
      <w:r>
        <w:rPr>
          <w:b/>
        </w:rPr>
        <w:t>wise.com</w:t>
      </w:r>
    </w:p>
    <w:p w14:paraId="0BB665BA" w14:textId="77777777" w:rsidR="001F7233" w:rsidRDefault="00000000">
      <w:r>
        <w:rPr>
          <w:b/>
        </w:rPr>
        <w:t xml:space="preserve">Behörde / Thema: </w:t>
      </w:r>
      <w:r>
        <w:t>Beispiel für einen Fintech-Anbieter für Auslandsüberweisungen</w:t>
      </w:r>
    </w:p>
    <w:p w14:paraId="6F69513B" w14:textId="77777777" w:rsidR="001F7233" w:rsidRDefault="00000000">
      <w:r>
        <w:rPr>
          <w:b/>
        </w:rPr>
        <w:t xml:space="preserve">Kapitel: </w:t>
      </w:r>
      <w:hyperlink w:anchor="k25">
        <w:r w:rsidR="001F7233">
          <w:rPr>
            <w:rStyle w:val="Hyperlink"/>
          </w:rPr>
          <w:t>Kapitel 25</w:t>
        </w:r>
      </w:hyperlink>
    </w:p>
    <w:p w14:paraId="365E3B45" w14:textId="77777777" w:rsidR="001F7233" w:rsidRDefault="001F7233">
      <w:pPr>
        <w:spacing w:line="180" w:lineRule="exact"/>
      </w:pPr>
    </w:p>
    <w:p w14:paraId="5814A3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US-Bildung</w:t>
      </w:r>
    </w:p>
    <w:p w14:paraId="2AC5D344" w14:textId="77777777" w:rsidR="001F7233" w:rsidRDefault="00000000">
      <w:r>
        <w:rPr>
          <w:b/>
        </w:rPr>
        <w:t>ed.gov</w:t>
      </w:r>
    </w:p>
    <w:p w14:paraId="02469539" w14:textId="77777777" w:rsidR="001F7233" w:rsidRDefault="00000000">
      <w:r>
        <w:rPr>
          <w:b/>
        </w:rPr>
        <w:t xml:space="preserve">Behörde / Thema: </w:t>
      </w:r>
      <w:r>
        <w:t>Schulrecht, IDEA, Office for Civil Rights, English Learners, Title III</w:t>
      </w:r>
    </w:p>
    <w:p w14:paraId="68D7640D" w14:textId="77777777" w:rsidR="001F7233" w:rsidRDefault="00000000">
      <w:r>
        <w:rPr>
          <w:b/>
        </w:rPr>
        <w:t xml:space="preserve">Kapitel: </w:t>
      </w:r>
      <w:hyperlink w:anchor="k36">
        <w:r w:rsidR="001F7233">
          <w:rPr>
            <w:rStyle w:val="Hyperlink"/>
          </w:rPr>
          <w:t>Kapitel 36</w:t>
        </w:r>
      </w:hyperlink>
      <w:r>
        <w:t>, 37</w:t>
      </w:r>
    </w:p>
    <w:p w14:paraId="2A263758" w14:textId="77777777" w:rsidR="001F7233" w:rsidRDefault="00000000">
      <w:r>
        <w:rPr>
          <w:b/>
        </w:rPr>
        <w:t>nces.ed.gov/fastfacts</w:t>
      </w:r>
    </w:p>
    <w:p w14:paraId="1725F5AD" w14:textId="77777777" w:rsidR="001F7233" w:rsidRDefault="00000000">
      <w:r>
        <w:rPr>
          <w:b/>
        </w:rPr>
        <w:t xml:space="preserve">Behörde / Thema: </w:t>
      </w:r>
      <w:r>
        <w:t>Schüler, Schulfinanzen, Charter-Schulen, Sicherheit, Schuluniformen</w:t>
      </w:r>
    </w:p>
    <w:p w14:paraId="264EA4FF" w14:textId="77777777" w:rsidR="001F7233" w:rsidRDefault="00000000">
      <w:r>
        <w:rPr>
          <w:b/>
        </w:rPr>
        <w:t xml:space="preserve">Kapitel: </w:t>
      </w:r>
      <w:hyperlink w:anchor="kapitel34_kleidung">
        <w:r w:rsidR="001F7233">
          <w:rPr>
            <w:rStyle w:val="Hyperlink"/>
          </w:rPr>
          <w:t>Kapitel 34</w:t>
        </w:r>
      </w:hyperlink>
      <w:r>
        <w:t>, 36</w:t>
      </w:r>
    </w:p>
    <w:p w14:paraId="321C987D" w14:textId="77777777" w:rsidR="001F7233" w:rsidRDefault="00000000">
      <w:r>
        <w:rPr>
          <w:b/>
        </w:rPr>
        <w:t>nces.ed.gov/programs/digest</w:t>
      </w:r>
    </w:p>
    <w:p w14:paraId="0E12C2B0" w14:textId="77777777" w:rsidR="001F7233" w:rsidRDefault="00000000">
      <w:r>
        <w:rPr>
          <w:b/>
        </w:rPr>
        <w:t xml:space="preserve">Behörde / Thema: </w:t>
      </w:r>
      <w:r>
        <w:t>Digest of Education Statistics: Sicherheitsübungen, Privatschulen</w:t>
      </w:r>
    </w:p>
    <w:p w14:paraId="00C39429" w14:textId="77777777" w:rsidR="001F7233" w:rsidRDefault="00000000">
      <w:r>
        <w:rPr>
          <w:b/>
        </w:rPr>
        <w:t xml:space="preserve">Kapitel: </w:t>
      </w:r>
      <w:hyperlink w:anchor="k36">
        <w:r w:rsidR="001F7233">
          <w:rPr>
            <w:rStyle w:val="Hyperlink"/>
          </w:rPr>
          <w:t>Kapitel 36</w:t>
        </w:r>
      </w:hyperlink>
    </w:p>
    <w:p w14:paraId="6A17A18A" w14:textId="77777777" w:rsidR="001F7233" w:rsidRDefault="00000000">
      <w:r>
        <w:rPr>
          <w:b/>
        </w:rPr>
        <w:t>greatschools.org/gk/ratings</w:t>
      </w:r>
    </w:p>
    <w:p w14:paraId="279D1143" w14:textId="77777777" w:rsidR="001F7233" w:rsidRDefault="00000000">
      <w:r>
        <w:rPr>
          <w:b/>
        </w:rPr>
        <w:t xml:space="preserve">Behörde / Thema: </w:t>
      </w:r>
      <w:r>
        <w:t>Methodik der Schulbewertungen</w:t>
      </w:r>
    </w:p>
    <w:p w14:paraId="4FAC0C62" w14:textId="77777777" w:rsidR="001F7233" w:rsidRDefault="00000000">
      <w:r>
        <w:rPr>
          <w:b/>
        </w:rPr>
        <w:t xml:space="preserve">Kapitel: </w:t>
      </w:r>
      <w:hyperlink w:anchor="k36">
        <w:r w:rsidR="001F7233">
          <w:rPr>
            <w:rStyle w:val="Hyperlink"/>
          </w:rPr>
          <w:t>Kapitel 36</w:t>
        </w:r>
      </w:hyperlink>
    </w:p>
    <w:p w14:paraId="1663EBAA" w14:textId="77777777" w:rsidR="001F7233" w:rsidRDefault="00000000">
      <w:r>
        <w:rPr>
          <w:b/>
        </w:rPr>
        <w:t>mischooldata.org</w:t>
      </w:r>
    </w:p>
    <w:p w14:paraId="125486FE" w14:textId="77777777" w:rsidR="001F7233" w:rsidRDefault="00000000">
      <w:r>
        <w:rPr>
          <w:b/>
        </w:rPr>
        <w:t xml:space="preserve">Behörde / Thema: </w:t>
      </w:r>
      <w:r>
        <w:t>Schulberichte am Beispiel Michigan</w:t>
      </w:r>
    </w:p>
    <w:p w14:paraId="4FCB7485" w14:textId="77777777" w:rsidR="001F7233" w:rsidRDefault="00000000">
      <w:r>
        <w:rPr>
          <w:b/>
        </w:rPr>
        <w:t xml:space="preserve">Kapitel: </w:t>
      </w:r>
      <w:hyperlink w:anchor="k36">
        <w:r w:rsidR="001F7233">
          <w:rPr>
            <w:rStyle w:val="Hyperlink"/>
          </w:rPr>
          <w:t>Kapitel 36</w:t>
        </w:r>
      </w:hyperlink>
    </w:p>
    <w:p w14:paraId="4B41FFA3" w14:textId="77777777" w:rsidR="001F7233" w:rsidRDefault="00000000">
      <w:r>
        <w:rPr>
          <w:b/>
        </w:rPr>
        <w:t>collegeboard.org (auch research.collegeboard.org/trends/college-pricing)</w:t>
      </w:r>
    </w:p>
    <w:p w14:paraId="3DF8EA94" w14:textId="77777777" w:rsidR="001F7233" w:rsidRDefault="00000000">
      <w:r>
        <w:rPr>
          <w:b/>
        </w:rPr>
        <w:t xml:space="preserve">Behörde / Thema: </w:t>
      </w:r>
      <w:r>
        <w:t>SAT, AP, Studienplanung, Entwicklung der College-Kosten</w:t>
      </w:r>
    </w:p>
    <w:p w14:paraId="114C0BDB" w14:textId="77777777" w:rsidR="001F7233" w:rsidRDefault="00000000">
      <w:r>
        <w:rPr>
          <w:b/>
        </w:rPr>
        <w:lastRenderedPageBreak/>
        <w:t xml:space="preserve">Kapitel: </w:t>
      </w:r>
      <w:hyperlink w:anchor="k36">
        <w:r w:rsidR="001F7233">
          <w:rPr>
            <w:rStyle w:val="Hyperlink"/>
          </w:rPr>
          <w:t>Kapitel 36</w:t>
        </w:r>
      </w:hyperlink>
      <w:r>
        <w:t>, 38</w:t>
      </w:r>
    </w:p>
    <w:p w14:paraId="2D6F8D1A" w14:textId="77777777" w:rsidR="001F7233" w:rsidRDefault="00000000">
      <w:r>
        <w:rPr>
          <w:b/>
        </w:rPr>
        <w:t>studentaid.gov</w:t>
      </w:r>
    </w:p>
    <w:p w14:paraId="2B84EF4B" w14:textId="77777777" w:rsidR="001F7233" w:rsidRDefault="00000000">
      <w:r>
        <w:rPr>
          <w:b/>
        </w:rPr>
        <w:t xml:space="preserve">Behörde / Thema: </w:t>
      </w:r>
      <w:r>
        <w:t>Federal Student Aid, Berechtigung für Bundeshilfe</w:t>
      </w:r>
    </w:p>
    <w:p w14:paraId="25DCE9B6" w14:textId="77777777" w:rsidR="001F7233" w:rsidRDefault="00000000">
      <w:r>
        <w:rPr>
          <w:b/>
        </w:rPr>
        <w:t xml:space="preserve">Kapitel: </w:t>
      </w:r>
      <w:hyperlink w:anchor="k38">
        <w:r w:rsidR="001F7233">
          <w:rPr>
            <w:rStyle w:val="Hyperlink"/>
          </w:rPr>
          <w:t>Kapitel 38</w:t>
        </w:r>
      </w:hyperlink>
    </w:p>
    <w:p w14:paraId="26FEC050" w14:textId="77777777" w:rsidR="001F7233" w:rsidRDefault="00000000">
      <w:r>
        <w:rPr>
          <w:b/>
        </w:rPr>
        <w:t>wida.wisc.edu/assess/screener</w:t>
      </w:r>
    </w:p>
    <w:p w14:paraId="162484B2" w14:textId="77777777" w:rsidR="001F7233" w:rsidRDefault="00000000">
      <w:r>
        <w:rPr>
          <w:b/>
        </w:rPr>
        <w:t xml:space="preserve">Behörde / Thema: </w:t>
      </w:r>
      <w:r>
        <w:t>WIDA Screener und ACCESS for ELLs</w:t>
      </w:r>
    </w:p>
    <w:p w14:paraId="12036D05" w14:textId="77777777" w:rsidR="001F7233" w:rsidRDefault="00000000">
      <w:r>
        <w:rPr>
          <w:b/>
        </w:rPr>
        <w:t xml:space="preserve">Kapitel: </w:t>
      </w:r>
      <w:hyperlink w:anchor="k37">
        <w:r w:rsidR="001F7233">
          <w:rPr>
            <w:rStyle w:val="Hyperlink"/>
          </w:rPr>
          <w:t>Kapitel 37</w:t>
        </w:r>
      </w:hyperlink>
    </w:p>
    <w:p w14:paraId="287A0FD1" w14:textId="77777777" w:rsidR="001F7233" w:rsidRDefault="00000000">
      <w:r>
        <w:rPr>
          <w:b/>
        </w:rPr>
        <w:t>law.cornell.edu/uscode/text/20/6312</w:t>
      </w:r>
    </w:p>
    <w:p w14:paraId="6DBD84D6" w14:textId="77777777" w:rsidR="001F7233" w:rsidRDefault="00000000">
      <w:r>
        <w:rPr>
          <w:b/>
        </w:rPr>
        <w:t xml:space="preserve">Behörde / Thema: </w:t>
      </w:r>
      <w:r>
        <w:t>Elternbenachrichtigung und Umstufung, 20 U.S.C. § 6312</w:t>
      </w:r>
    </w:p>
    <w:p w14:paraId="1A9E03A0" w14:textId="77777777" w:rsidR="001F7233" w:rsidRDefault="00000000">
      <w:r>
        <w:rPr>
          <w:b/>
        </w:rPr>
        <w:t xml:space="preserve">Kapitel: </w:t>
      </w:r>
      <w:hyperlink w:anchor="k37">
        <w:r w:rsidR="001F7233">
          <w:rPr>
            <w:rStyle w:val="Hyperlink"/>
          </w:rPr>
          <w:t>Kapitel 37</w:t>
        </w:r>
      </w:hyperlink>
    </w:p>
    <w:p w14:paraId="3AFDCA98" w14:textId="77777777" w:rsidR="001F7233" w:rsidRDefault="00000000">
      <w:r>
        <w:rPr>
          <w:b/>
        </w:rPr>
        <w:t>aefla.ed.gov</w:t>
      </w:r>
    </w:p>
    <w:p w14:paraId="35520F46" w14:textId="77777777" w:rsidR="001F7233" w:rsidRDefault="00000000">
      <w:r>
        <w:rPr>
          <w:b/>
        </w:rPr>
        <w:t xml:space="preserve">Behörde / Thema: </w:t>
      </w:r>
      <w:r>
        <w:t>Adult Education and Family Literacy Act, Erwachsenenbildung und ESL</w:t>
      </w:r>
    </w:p>
    <w:p w14:paraId="2820B30B" w14:textId="77777777" w:rsidR="001F7233" w:rsidRDefault="00000000">
      <w:r>
        <w:rPr>
          <w:b/>
        </w:rPr>
        <w:t xml:space="preserve">Kapitel: </w:t>
      </w:r>
      <w:hyperlink w:anchor="k37">
        <w:r w:rsidR="001F7233">
          <w:rPr>
            <w:rStyle w:val="Hyperlink"/>
          </w:rPr>
          <w:t>Kapitel 37</w:t>
        </w:r>
      </w:hyperlink>
    </w:p>
    <w:p w14:paraId="098172D5" w14:textId="77777777" w:rsidR="001F7233" w:rsidRDefault="00000000">
      <w:r>
        <w:rPr>
          <w:b/>
        </w:rPr>
        <w:t>ets.org/toefl (auch ielts.org)</w:t>
      </w:r>
    </w:p>
    <w:p w14:paraId="461F13F2" w14:textId="77777777" w:rsidR="001F7233" w:rsidRDefault="00000000">
      <w:r>
        <w:rPr>
          <w:b/>
        </w:rPr>
        <w:t xml:space="preserve">Behörde / Thema: </w:t>
      </w:r>
      <w:r>
        <w:t>TOEFL und IELTS, Termine und Gebühren</w:t>
      </w:r>
    </w:p>
    <w:p w14:paraId="314CF817" w14:textId="77777777" w:rsidR="001F7233" w:rsidRDefault="00000000">
      <w:r>
        <w:rPr>
          <w:b/>
        </w:rPr>
        <w:t xml:space="preserve">Kapitel: </w:t>
      </w:r>
      <w:hyperlink w:anchor="k37">
        <w:r w:rsidR="001F7233">
          <w:rPr>
            <w:rStyle w:val="Hyperlink"/>
          </w:rPr>
          <w:t>Kapitel 37</w:t>
        </w:r>
      </w:hyperlink>
    </w:p>
    <w:p w14:paraId="70D667A3" w14:textId="77777777" w:rsidR="001F7233" w:rsidRDefault="00000000">
      <w:r>
        <w:rPr>
          <w:b/>
        </w:rPr>
        <w:t>opendoorsdata.org</w:t>
      </w:r>
    </w:p>
    <w:p w14:paraId="6C52DDE2" w14:textId="77777777" w:rsidR="001F7233" w:rsidRDefault="00000000">
      <w:r>
        <w:rPr>
          <w:b/>
        </w:rPr>
        <w:t xml:space="preserve">Behörde / Thema: </w:t>
      </w:r>
      <w:r>
        <w:t>Zahlen internationaler Studierender (Open Doors, IIE)</w:t>
      </w:r>
    </w:p>
    <w:p w14:paraId="4217291A" w14:textId="77777777" w:rsidR="001F7233" w:rsidRDefault="00000000">
      <w:r>
        <w:rPr>
          <w:b/>
        </w:rPr>
        <w:t xml:space="preserve">Kapitel: </w:t>
      </w:r>
      <w:hyperlink w:anchor="k8">
        <w:r w:rsidR="001F7233">
          <w:rPr>
            <w:rStyle w:val="Hyperlink"/>
          </w:rPr>
          <w:t>Kapitel 8</w:t>
        </w:r>
      </w:hyperlink>
    </w:p>
    <w:p w14:paraId="0D90A9FB" w14:textId="77777777" w:rsidR="001F7233" w:rsidRDefault="001F7233">
      <w:pPr>
        <w:spacing w:line="180" w:lineRule="exact"/>
      </w:pPr>
    </w:p>
    <w:p w14:paraId="01D5CC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Behörden</w:t>
      </w:r>
    </w:p>
    <w:p w14:paraId="020DDEE2" w14:textId="77777777" w:rsidR="001F7233" w:rsidRDefault="00000000">
      <w:r>
        <w:rPr>
          <w:b/>
        </w:rPr>
        <w:t>gesetze-im-internet.de</w:t>
      </w:r>
    </w:p>
    <w:p w14:paraId="692C4870" w14:textId="77777777" w:rsidR="001F7233" w:rsidRDefault="00000000">
      <w:r>
        <w:rPr>
          <w:b/>
        </w:rPr>
        <w:t>Behörde / Thema: Gesetzestexte: BGB, SGB V, EStG, AStG, AO, ErbStG, AufenthG, Bundesmeldegesetz, TKG, VVG, Wehrpflichtgesetz u. a.</w:t>
      </w:r>
    </w:p>
    <w:p w14:paraId="62E3D456" w14:textId="77777777" w:rsidR="001F7233" w:rsidRDefault="00000000">
      <w:r>
        <w:rPr>
          <w:b/>
        </w:rPr>
        <w:t xml:space="preserve">Kapitel: </w:t>
      </w:r>
      <w:hyperlink w:anchor="k7">
        <w:r w:rsidR="001F7233">
          <w:rPr>
            <w:rStyle w:val="Hyperlink"/>
          </w:rPr>
          <w:t>Kapitel 7</w:t>
        </w:r>
      </w:hyperlink>
      <w:r>
        <w:t>, 13, 14, 16, 17, 18, 39, 42</w:t>
      </w:r>
    </w:p>
    <w:p w14:paraId="5955CFC4" w14:textId="77777777" w:rsidR="001F7233" w:rsidRDefault="00000000">
      <w:r>
        <w:rPr>
          <w:b/>
        </w:rPr>
        <w:t>deutsche-rentenversicherung.de</w:t>
      </w:r>
    </w:p>
    <w:p w14:paraId="4C107AF4" w14:textId="77777777" w:rsidR="001F7233" w:rsidRDefault="00000000">
      <w:r>
        <w:rPr>
          <w:b/>
        </w:rPr>
        <w:t>Behörde / Thema: Beratung vor dem Umzug, Broschüre „Arbeit und Rente in Deutschland und in den USA“.</w:t>
      </w:r>
    </w:p>
    <w:p w14:paraId="2F49B9EF" w14:textId="77777777" w:rsidR="001F7233" w:rsidRDefault="00000000">
      <w:r>
        <w:rPr>
          <w:b/>
        </w:rPr>
        <w:lastRenderedPageBreak/>
        <w:t xml:space="preserve">Kapitel: </w:t>
      </w:r>
      <w:hyperlink w:anchor="k15">
        <w:r w:rsidR="001F7233">
          <w:rPr>
            <w:rStyle w:val="Hyperlink"/>
          </w:rPr>
          <w:t>Kapitel 15</w:t>
        </w:r>
      </w:hyperlink>
      <w:r>
        <w:t>, 17, 39, 42</w:t>
      </w:r>
    </w:p>
    <w:p w14:paraId="3A6ED0C1" w14:textId="77777777" w:rsidR="001F7233" w:rsidRDefault="00000000">
      <w:r>
        <w:rPr>
          <w:b/>
        </w:rPr>
        <w:t>bundesfinanzministerium.de</w:t>
      </w:r>
    </w:p>
    <w:p w14:paraId="484B482A" w14:textId="77777777" w:rsidR="001F7233" w:rsidRDefault="00000000">
      <w:r>
        <w:rPr>
          <w:b/>
        </w:rPr>
        <w:t xml:space="preserve">Behörde / Thema: </w:t>
      </w:r>
      <w:r>
        <w:t>FAQ zur Reform der privaten Altersvorsorge</w:t>
      </w:r>
    </w:p>
    <w:p w14:paraId="0B1C5B1D" w14:textId="77777777" w:rsidR="001F7233" w:rsidRDefault="00000000">
      <w:r>
        <w:rPr>
          <w:b/>
        </w:rPr>
        <w:t xml:space="preserve">Kapitel: </w:t>
      </w:r>
      <w:hyperlink w:anchor="k2">
        <w:r w:rsidR="001F7233">
          <w:rPr>
            <w:rStyle w:val="Hyperlink"/>
          </w:rPr>
          <w:t>Kapitel 2</w:t>
        </w:r>
      </w:hyperlink>
      <w:r>
        <w:t>, 17</w:t>
      </w:r>
    </w:p>
    <w:p w14:paraId="59E01192" w14:textId="77777777" w:rsidR="001F7233" w:rsidRDefault="00000000">
      <w:r>
        <w:rPr>
          <w:b/>
        </w:rPr>
        <w:t>bzst.de</w:t>
      </w:r>
    </w:p>
    <w:p w14:paraId="040EE410" w14:textId="77777777" w:rsidR="001F7233" w:rsidRDefault="00000000">
      <w:r>
        <w:rPr>
          <w:b/>
        </w:rPr>
        <w:t xml:space="preserve">Behörde / Thema: </w:t>
      </w:r>
      <w:r>
        <w:t>FATCA und Erstattung der Kapitalertragsteuer</w:t>
      </w:r>
    </w:p>
    <w:p w14:paraId="4A4FDB01" w14:textId="77777777" w:rsidR="001F7233" w:rsidRDefault="00000000">
      <w:r>
        <w:rPr>
          <w:b/>
        </w:rPr>
        <w:t xml:space="preserve">Kapitel: </w:t>
      </w:r>
      <w:hyperlink w:anchor="k17">
        <w:r w:rsidR="001F7233">
          <w:rPr>
            <w:rStyle w:val="Hyperlink"/>
          </w:rPr>
          <w:t>Kapitel 17</w:t>
        </w:r>
      </w:hyperlink>
    </w:p>
    <w:p w14:paraId="7491A11B" w14:textId="77777777" w:rsidR="001F7233" w:rsidRDefault="00000000">
      <w:r>
        <w:rPr>
          <w:b/>
        </w:rPr>
        <w:t>auswaertiges-amt.de</w:t>
      </w:r>
    </w:p>
    <w:p w14:paraId="11DE90A8" w14:textId="77777777" w:rsidR="001F7233" w:rsidRDefault="00000000">
      <w:r>
        <w:rPr>
          <w:b/>
        </w:rPr>
        <w:t xml:space="preserve">Behörde / Thema: </w:t>
      </w:r>
      <w:r>
        <w:t>Reise- und Sicherheitshinweise USA, Krisenvorsorgeliste</w:t>
      </w:r>
    </w:p>
    <w:p w14:paraId="22603CA6" w14:textId="77777777" w:rsidR="001F7233" w:rsidRDefault="00000000">
      <w:r>
        <w:rPr>
          <w:b/>
        </w:rPr>
        <w:t xml:space="preserve">Kapitel: </w:t>
      </w:r>
      <w:hyperlink w:anchor="k16">
        <w:r w:rsidR="001F7233">
          <w:rPr>
            <w:rStyle w:val="Hyperlink"/>
          </w:rPr>
          <w:t>Kapitel 16</w:t>
        </w:r>
      </w:hyperlink>
    </w:p>
    <w:p w14:paraId="610367F2" w14:textId="77777777" w:rsidR="001F7233" w:rsidRDefault="00000000">
      <w:r>
        <w:rPr>
          <w:b/>
        </w:rPr>
        <w:t>familienportal.de</w:t>
      </w:r>
    </w:p>
    <w:p w14:paraId="5AB79F3B" w14:textId="77777777" w:rsidR="001F7233" w:rsidRDefault="00000000">
      <w:r>
        <w:rPr>
          <w:b/>
        </w:rPr>
        <w:t xml:space="preserve">Behörde / Thema: </w:t>
      </w:r>
      <w:r>
        <w:t>Kindergeld und Elterngeld</w:t>
      </w:r>
    </w:p>
    <w:p w14:paraId="51647EFD" w14:textId="77777777" w:rsidR="001F7233" w:rsidRDefault="00000000">
      <w:r>
        <w:rPr>
          <w:b/>
        </w:rPr>
        <w:t xml:space="preserve">Kapitel: </w:t>
      </w:r>
      <w:hyperlink w:anchor="k3">
        <w:r w:rsidR="001F7233">
          <w:rPr>
            <w:rStyle w:val="Hyperlink"/>
          </w:rPr>
          <w:t>Kapitel 3</w:t>
        </w:r>
      </w:hyperlink>
      <w:r>
        <w:t>, 16</w:t>
      </w:r>
    </w:p>
    <w:p w14:paraId="1768809C" w14:textId="77777777" w:rsidR="001F7233" w:rsidRDefault="00000000">
      <w:r>
        <w:rPr>
          <w:b/>
        </w:rPr>
        <w:t>arbeitsagentur.de</w:t>
      </w:r>
    </w:p>
    <w:p w14:paraId="1F1AAC34" w14:textId="77777777" w:rsidR="001F7233" w:rsidRDefault="00000000">
      <w:r>
        <w:rPr>
          <w:b/>
        </w:rPr>
        <w:t xml:space="preserve">Behörde / Thema: </w:t>
      </w:r>
      <w:r>
        <w:t>Familienkasse, Kindergeld</w:t>
      </w:r>
    </w:p>
    <w:p w14:paraId="5D4CFDF6" w14:textId="77777777" w:rsidR="001F7233" w:rsidRDefault="00000000">
      <w:r>
        <w:rPr>
          <w:b/>
        </w:rPr>
        <w:t xml:space="preserve">Kapitel: </w:t>
      </w:r>
      <w:hyperlink w:anchor="k16">
        <w:r w:rsidR="001F7233">
          <w:rPr>
            <w:rStyle w:val="Hyperlink"/>
          </w:rPr>
          <w:t>Kapitel 16</w:t>
        </w:r>
      </w:hyperlink>
    </w:p>
    <w:p w14:paraId="6DB7B39C" w14:textId="77777777" w:rsidR="001F7233" w:rsidRDefault="00000000">
      <w:r>
        <w:rPr>
          <w:b/>
        </w:rPr>
        <w:t>rundfunkbeitrag.de</w:t>
      </w:r>
    </w:p>
    <w:p w14:paraId="3B72616E" w14:textId="77777777" w:rsidR="001F7233" w:rsidRDefault="00000000">
      <w:r>
        <w:rPr>
          <w:b/>
        </w:rPr>
        <w:t xml:space="preserve">Behörde / Thema: </w:t>
      </w:r>
      <w:r>
        <w:t>Rundfunkbeitrag, Abmeldung einer Wohnung</w:t>
      </w:r>
    </w:p>
    <w:p w14:paraId="2E10993F" w14:textId="77777777" w:rsidR="001F7233" w:rsidRDefault="00000000">
      <w:r>
        <w:rPr>
          <w:b/>
        </w:rPr>
        <w:t xml:space="preserve">Kapitel: </w:t>
      </w:r>
      <w:hyperlink w:anchor="k16">
        <w:r w:rsidR="001F7233">
          <w:rPr>
            <w:rStyle w:val="Hyperlink"/>
          </w:rPr>
          <w:t>Kapitel 16</w:t>
        </w:r>
      </w:hyperlink>
    </w:p>
    <w:p w14:paraId="4DD3C906" w14:textId="77777777" w:rsidR="001F7233" w:rsidRDefault="00000000">
      <w:r>
        <w:rPr>
          <w:b/>
        </w:rPr>
        <w:t>deutschepost.de/de/n/nachsendeservice.html</w:t>
      </w:r>
    </w:p>
    <w:p w14:paraId="50D3BB6D" w14:textId="77777777" w:rsidR="001F7233" w:rsidRDefault="00000000">
      <w:r>
        <w:rPr>
          <w:b/>
        </w:rPr>
        <w:t xml:space="preserve">Behörde / Thema: </w:t>
      </w:r>
      <w:r>
        <w:t>Nachsendeservice</w:t>
      </w:r>
    </w:p>
    <w:p w14:paraId="65CA330A" w14:textId="77777777" w:rsidR="001F7233" w:rsidRDefault="00000000">
      <w:r>
        <w:rPr>
          <w:b/>
        </w:rPr>
        <w:t xml:space="preserve">Kapitel: </w:t>
      </w:r>
      <w:hyperlink w:anchor="k16">
        <w:r w:rsidR="001F7233">
          <w:rPr>
            <w:rStyle w:val="Hyperlink"/>
          </w:rPr>
          <w:t>Kapitel 16</w:t>
        </w:r>
      </w:hyperlink>
    </w:p>
    <w:p w14:paraId="1914FCCC" w14:textId="77777777" w:rsidR="001F7233" w:rsidRDefault="00000000">
      <w:r>
        <w:rPr>
          <w:b/>
        </w:rPr>
        <w:t>vorsorgeregister.de</w:t>
      </w:r>
    </w:p>
    <w:p w14:paraId="5532E2BE" w14:textId="77777777" w:rsidR="001F7233" w:rsidRDefault="00000000">
      <w:r>
        <w:rPr>
          <w:b/>
        </w:rPr>
        <w:t xml:space="preserve">Behörde / Thema: </w:t>
      </w:r>
      <w:r>
        <w:t>Zentrales Vorsorgeregister der Bundesnotarkammer</w:t>
      </w:r>
    </w:p>
    <w:p w14:paraId="1C317B8D" w14:textId="77777777" w:rsidR="001F7233" w:rsidRDefault="00000000">
      <w:r>
        <w:rPr>
          <w:b/>
        </w:rPr>
        <w:t xml:space="preserve">Kapitel: </w:t>
      </w:r>
      <w:hyperlink w:anchor="k16">
        <w:r w:rsidR="001F7233">
          <w:rPr>
            <w:rStyle w:val="Hyperlink"/>
          </w:rPr>
          <w:t>Kapitel 16</w:t>
        </w:r>
      </w:hyperlink>
    </w:p>
    <w:p w14:paraId="315D929C" w14:textId="77777777" w:rsidR="001F7233" w:rsidRDefault="00000000">
      <w:r>
        <w:rPr>
          <w:b/>
        </w:rPr>
        <w:t>bmvg.de</w:t>
      </w:r>
    </w:p>
    <w:p w14:paraId="6DCE41F6" w14:textId="77777777" w:rsidR="001F7233" w:rsidRDefault="00000000">
      <w:r>
        <w:rPr>
          <w:b/>
        </w:rPr>
        <w:t xml:space="preserve">Behörde / Thema: </w:t>
      </w:r>
      <w:r>
        <w:t>Wehrdienst und Auslandsaufenthalt</w:t>
      </w:r>
    </w:p>
    <w:p w14:paraId="1CC56BA9" w14:textId="77777777" w:rsidR="001F7233" w:rsidRDefault="00000000">
      <w:r>
        <w:rPr>
          <w:b/>
        </w:rPr>
        <w:t xml:space="preserve">Kapitel: </w:t>
      </w:r>
      <w:hyperlink w:anchor="k16">
        <w:r w:rsidR="001F7233">
          <w:rPr>
            <w:rStyle w:val="Hyperlink"/>
          </w:rPr>
          <w:t>Kapitel 16</w:t>
        </w:r>
      </w:hyperlink>
    </w:p>
    <w:p w14:paraId="5CBFFE72" w14:textId="77777777" w:rsidR="001F7233" w:rsidRDefault="00000000">
      <w:r>
        <w:rPr>
          <w:b/>
        </w:rPr>
        <w:t>bfaa.diplo.de</w:t>
      </w:r>
    </w:p>
    <w:p w14:paraId="4C914344" w14:textId="77777777" w:rsidR="001F7233" w:rsidRDefault="00000000">
      <w:r>
        <w:rPr>
          <w:b/>
        </w:rPr>
        <w:t xml:space="preserve">Behörde / Thema: </w:t>
      </w:r>
      <w:r>
        <w:t>Apostillen für Bundesbehörden</w:t>
      </w:r>
    </w:p>
    <w:p w14:paraId="7BCE5819" w14:textId="77777777" w:rsidR="001F7233" w:rsidRDefault="00000000">
      <w:r>
        <w:rPr>
          <w:b/>
        </w:rPr>
        <w:t xml:space="preserve">Kapitel: </w:t>
      </w:r>
      <w:hyperlink w:anchor="k19">
        <w:r w:rsidR="001F7233">
          <w:rPr>
            <w:rStyle w:val="Hyperlink"/>
          </w:rPr>
          <w:t>Kapitel 19</w:t>
        </w:r>
      </w:hyperlink>
    </w:p>
    <w:p w14:paraId="3616B377" w14:textId="77777777" w:rsidR="001F7233" w:rsidRDefault="00000000">
      <w:r>
        <w:rPr>
          <w:b/>
        </w:rPr>
        <w:t>bundesjustizamt.de</w:t>
      </w:r>
    </w:p>
    <w:p w14:paraId="1FEFA3CA" w14:textId="77777777" w:rsidR="001F7233" w:rsidRDefault="00000000">
      <w:r>
        <w:rPr>
          <w:b/>
        </w:rPr>
        <w:t xml:space="preserve">Behörde / Thema: </w:t>
      </w:r>
      <w:r>
        <w:t>Führungszeugnis, Antrag aus dem Ausland</w:t>
      </w:r>
    </w:p>
    <w:p w14:paraId="476B41C4" w14:textId="77777777" w:rsidR="001F7233" w:rsidRDefault="00000000">
      <w:r>
        <w:rPr>
          <w:b/>
        </w:rPr>
        <w:lastRenderedPageBreak/>
        <w:t xml:space="preserve">Kapitel: </w:t>
      </w:r>
      <w:hyperlink w:anchor="k19">
        <w:r w:rsidR="001F7233">
          <w:rPr>
            <w:rStyle w:val="Hyperlink"/>
          </w:rPr>
          <w:t>Kapitel 19</w:t>
        </w:r>
      </w:hyperlink>
    </w:p>
    <w:p w14:paraId="78C6DDAF" w14:textId="77777777" w:rsidR="001F7233" w:rsidRDefault="00000000">
      <w:r>
        <w:rPr>
          <w:b/>
        </w:rPr>
        <w:t>deutsche-rentenversicherung.de</w:t>
      </w:r>
    </w:p>
    <w:p w14:paraId="0033687B" w14:textId="77777777" w:rsidR="001F7233" w:rsidRDefault="00000000">
      <w:r>
        <w:rPr>
          <w:b/>
        </w:rPr>
        <w:t xml:space="preserve">Behörde / Thema: </w:t>
      </w:r>
      <w:r>
        <w:t>Abkommensländer, Beratung vor dem Wegzug, für jedes Zielland einzeln</w:t>
      </w:r>
    </w:p>
    <w:p w14:paraId="4F3BEB5C" w14:textId="77777777" w:rsidR="001F7233" w:rsidRDefault="00000000">
      <w:r>
        <w:rPr>
          <w:b/>
        </w:rPr>
        <w:t xml:space="preserve">Kapitel: </w:t>
      </w:r>
      <w:r>
        <w:t>Deutschland vor dem Abflug</w:t>
      </w:r>
    </w:p>
    <w:p w14:paraId="48C0F680" w14:textId="77777777" w:rsidR="001F7233" w:rsidRDefault="00000000">
      <w:r>
        <w:rPr>
          <w:b/>
        </w:rPr>
        <w:t>zoll.de</w:t>
      </w:r>
    </w:p>
    <w:p w14:paraId="2DBD58B4" w14:textId="77777777" w:rsidR="001F7233" w:rsidRDefault="00000000">
      <w:r>
        <w:rPr>
          <w:b/>
        </w:rPr>
        <w:t xml:space="preserve">Behörde / Thema: </w:t>
      </w:r>
      <w:r>
        <w:t>Bargeld und Ausfuhr, Umzugsgut, Heimtiere, Übersiedlungsgut</w:t>
      </w:r>
    </w:p>
    <w:p w14:paraId="5400C0D0" w14:textId="77777777" w:rsidR="001F7233" w:rsidRDefault="00000000">
      <w:r>
        <w:rPr>
          <w:b/>
        </w:rPr>
        <w:t xml:space="preserve">Kapitel: </w:t>
      </w:r>
      <w:hyperlink w:anchor="k20">
        <w:r w:rsidR="001F7233">
          <w:rPr>
            <w:rStyle w:val="Hyperlink"/>
          </w:rPr>
          <w:t>Kapitel 20</w:t>
        </w:r>
      </w:hyperlink>
      <w:r>
        <w:t>, 21, 22, 42</w:t>
      </w:r>
    </w:p>
    <w:p w14:paraId="3BF1DA15" w14:textId="77777777" w:rsidR="001F7233" w:rsidRDefault="00000000">
      <w:r>
        <w:rPr>
          <w:b/>
        </w:rPr>
        <w:t>destatis.de</w:t>
      </w:r>
    </w:p>
    <w:p w14:paraId="48482E65" w14:textId="77777777" w:rsidR="001F7233" w:rsidRDefault="00000000">
      <w:r>
        <w:rPr>
          <w:b/>
        </w:rPr>
        <w:t xml:space="preserve">Behörde / Thema: </w:t>
      </w:r>
      <w:r>
        <w:t>Statistisches Bundesamt, Wohnen und Mieten in Deutschland</w:t>
      </w:r>
    </w:p>
    <w:p w14:paraId="1428BF92" w14:textId="77777777" w:rsidR="001F7233" w:rsidRDefault="00000000">
      <w:r>
        <w:rPr>
          <w:b/>
        </w:rPr>
        <w:t xml:space="preserve">Kapitel: </w:t>
      </w:r>
      <w:hyperlink w:anchor="k3">
        <w:r w:rsidR="001F7233">
          <w:rPr>
            <w:rStyle w:val="Hyperlink"/>
          </w:rPr>
          <w:t>Kapitel 3</w:t>
        </w:r>
      </w:hyperlink>
    </w:p>
    <w:p w14:paraId="7A4A0692" w14:textId="77777777" w:rsidR="001F7233" w:rsidRDefault="00000000">
      <w:r>
        <w:rPr>
          <w:b/>
        </w:rPr>
        <w:t>bva.bund.de</w:t>
      </w:r>
    </w:p>
    <w:p w14:paraId="04EB1AA2" w14:textId="77777777" w:rsidR="001F7233" w:rsidRDefault="00000000">
      <w:r>
        <w:rPr>
          <w:b/>
        </w:rPr>
        <w:t xml:space="preserve">Behörde / Thema: </w:t>
      </w:r>
      <w:r>
        <w:t>Bundesverwaltungsamt, Mehrstaatigkeit und Beibehaltung</w:t>
      </w:r>
    </w:p>
    <w:p w14:paraId="4A697B9D" w14:textId="77777777" w:rsidR="001F7233" w:rsidRDefault="00000000">
      <w:r>
        <w:rPr>
          <w:b/>
        </w:rPr>
        <w:t xml:space="preserve">Kapitel: </w:t>
      </w:r>
      <w:hyperlink w:anchor="k41">
        <w:r w:rsidR="001F7233">
          <w:rPr>
            <w:rStyle w:val="Hyperlink"/>
          </w:rPr>
          <w:t>Kapitel 41</w:t>
        </w:r>
      </w:hyperlink>
    </w:p>
    <w:p w14:paraId="4BB809CE" w14:textId="77777777" w:rsidR="001F7233" w:rsidRDefault="00000000">
      <w:r>
        <w:rPr>
          <w:b/>
        </w:rPr>
        <w:t>bundeswahlleiterin.de</w:t>
      </w:r>
    </w:p>
    <w:p w14:paraId="6E5D0085" w14:textId="77777777" w:rsidR="001F7233" w:rsidRDefault="00000000">
      <w:r>
        <w:rPr>
          <w:b/>
        </w:rPr>
        <w:t xml:space="preserve">Behörde / Thema: </w:t>
      </w:r>
      <w:r>
        <w:t>Wählen aus dem Ausland</w:t>
      </w:r>
    </w:p>
    <w:p w14:paraId="00E9E29C" w14:textId="77777777" w:rsidR="001F7233" w:rsidRDefault="00000000">
      <w:r>
        <w:rPr>
          <w:b/>
        </w:rPr>
        <w:t xml:space="preserve">Kapitel: </w:t>
      </w:r>
      <w:hyperlink w:anchor="k41">
        <w:r w:rsidR="001F7233">
          <w:rPr>
            <w:rStyle w:val="Hyperlink"/>
          </w:rPr>
          <w:t>Kapitel 41</w:t>
        </w:r>
      </w:hyperlink>
    </w:p>
    <w:p w14:paraId="27A72A8E" w14:textId="77777777" w:rsidR="001F7233" w:rsidRDefault="00000000">
      <w:r>
        <w:rPr>
          <w:b/>
        </w:rPr>
        <w:t>auslandsschulwesen.de</w:t>
      </w:r>
    </w:p>
    <w:p w14:paraId="53183FAF" w14:textId="77777777" w:rsidR="001F7233" w:rsidRDefault="00000000">
      <w:r>
        <w:rPr>
          <w:b/>
        </w:rPr>
        <w:t xml:space="preserve">Behörde / Thema: </w:t>
      </w:r>
      <w:r>
        <w:t>Zentralstelle für das Auslandsschulwesen, deutsche Schulen im Ausland</w:t>
      </w:r>
    </w:p>
    <w:p w14:paraId="64500775" w14:textId="77777777" w:rsidR="001F7233" w:rsidRDefault="00000000">
      <w:r>
        <w:rPr>
          <w:b/>
        </w:rPr>
        <w:t xml:space="preserve">Kapitel: </w:t>
      </w:r>
      <w:hyperlink w:anchor="k36">
        <w:r w:rsidR="001F7233">
          <w:rPr>
            <w:rStyle w:val="Hyperlink"/>
          </w:rPr>
          <w:t>Kapitel 36</w:t>
        </w:r>
      </w:hyperlink>
    </w:p>
    <w:p w14:paraId="6D3B04CB" w14:textId="77777777" w:rsidR="001F7233" w:rsidRDefault="001F7233">
      <w:pPr>
        <w:spacing w:line="180" w:lineRule="exact"/>
      </w:pPr>
    </w:p>
    <w:p w14:paraId="0C33D2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Auslandsvertretungen in den USA</w:t>
      </w:r>
    </w:p>
    <w:p w14:paraId="3B1256D2" w14:textId="77777777" w:rsidR="001F7233" w:rsidRDefault="00000000">
      <w:pPr>
        <w:spacing w:after="140"/>
      </w:pPr>
      <w:r>
        <w:t>Die deutsche Botschaft sitzt in Washington, D. C. Für die übrigen Bundesstaaten sind mehrere Generalkonsulate zuständig. germany.info führt zur passenden Vertretung und bündelt Formulare und Terminbuchung.</w:t>
      </w:r>
    </w:p>
    <w:p w14:paraId="49998DA8" w14:textId="77777777" w:rsidR="001F7233" w:rsidRDefault="00000000">
      <w:r>
        <w:rPr>
          <w:b/>
        </w:rPr>
        <w:lastRenderedPageBreak/>
        <w:t>germany.info</w:t>
      </w:r>
    </w:p>
    <w:p w14:paraId="22DC37EE" w14:textId="77777777" w:rsidR="001F7233" w:rsidRDefault="00000000">
      <w:r>
        <w:rPr>
          <w:b/>
        </w:rPr>
        <w:t xml:space="preserve">Leistung: </w:t>
      </w:r>
      <w:r>
        <w:t>Auslandsvertretungen weltweit finden, Startseite</w:t>
      </w:r>
    </w:p>
    <w:p w14:paraId="755A6D64" w14:textId="77777777" w:rsidR="001F7233" w:rsidRDefault="00000000">
      <w:r>
        <w:rPr>
          <w:b/>
        </w:rPr>
        <w:t xml:space="preserve">Kapitel: </w:t>
      </w:r>
      <w:hyperlink w:anchor="k23">
        <w:r w:rsidR="001F7233">
          <w:rPr>
            <w:rStyle w:val="Hyperlink"/>
          </w:rPr>
          <w:t>Kapitel 23</w:t>
        </w:r>
      </w:hyperlink>
      <w:r>
        <w:t>, 38</w:t>
      </w:r>
    </w:p>
    <w:p w14:paraId="29237D8E" w14:textId="77777777" w:rsidR="001F7233" w:rsidRDefault="00000000">
      <w:r>
        <w:rPr>
          <w:b/>
        </w:rPr>
        <w:t>germany.info/us-en/service (auch /us-de/service)</w:t>
      </w:r>
    </w:p>
    <w:p w14:paraId="51947D89" w14:textId="77777777" w:rsidR="001F7233" w:rsidRDefault="00000000">
      <w:r>
        <w:rPr>
          <w:b/>
        </w:rPr>
        <w:t xml:space="preserve">Leistung: </w:t>
      </w:r>
      <w:r>
        <w:t>Beglaubigungen, Pässe, Führungszeugnis, Staatsangehörigkeit, Wahlen</w:t>
      </w:r>
    </w:p>
    <w:p w14:paraId="48A0DF83" w14:textId="77777777" w:rsidR="001F7233" w:rsidRDefault="00000000">
      <w:r>
        <w:rPr>
          <w:b/>
        </w:rPr>
        <w:t xml:space="preserve">Kapitel: </w:t>
      </w:r>
      <w:hyperlink w:anchor="k16">
        <w:r w:rsidR="001F7233">
          <w:rPr>
            <w:rStyle w:val="Hyperlink"/>
          </w:rPr>
          <w:t>Kapitel 16</w:t>
        </w:r>
      </w:hyperlink>
      <w:r>
        <w:t>, 19, 41</w:t>
      </w:r>
    </w:p>
    <w:p w14:paraId="5EAB9043" w14:textId="77777777" w:rsidR="001F7233" w:rsidRDefault="00000000">
      <w:r>
        <w:rPr>
          <w:b/>
        </w:rPr>
        <w:t>germany.info/us-de/service/hilfe</w:t>
      </w:r>
    </w:p>
    <w:p w14:paraId="76CA34DA" w14:textId="77777777" w:rsidR="001F7233" w:rsidRDefault="00000000">
      <w:r>
        <w:rPr>
          <w:b/>
        </w:rPr>
        <w:t xml:space="preserve">Leistung: </w:t>
      </w:r>
      <w:r>
        <w:t>Nothilfe für Deutsche in den USA</w:t>
      </w:r>
    </w:p>
    <w:p w14:paraId="465A7938" w14:textId="77777777" w:rsidR="001F7233" w:rsidRDefault="00000000">
      <w:r>
        <w:rPr>
          <w:b/>
        </w:rPr>
        <w:t xml:space="preserve">Kapitel: </w:t>
      </w:r>
      <w:hyperlink w:anchor="k40">
        <w:r w:rsidR="001F7233">
          <w:rPr>
            <w:rStyle w:val="Hyperlink"/>
          </w:rPr>
          <w:t>Kapitel 40</w:t>
        </w:r>
      </w:hyperlink>
    </w:p>
    <w:p w14:paraId="17E93416" w14:textId="77777777" w:rsidR="001F7233" w:rsidRDefault="001F7233">
      <w:pPr>
        <w:spacing w:line="180" w:lineRule="exact"/>
      </w:pPr>
    </w:p>
    <w:p w14:paraId="687FE23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Sonstige nützliche Adressen</w:t>
      </w:r>
    </w:p>
    <w:p w14:paraId="0D15667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Statistik, Verbraucherschutz und Betrug melden</w:t>
      </w:r>
    </w:p>
    <w:p w14:paraId="0908B5F4" w14:textId="77777777" w:rsidR="001F7233" w:rsidRDefault="00000000">
      <w:r>
        <w:rPr>
          <w:b/>
        </w:rPr>
        <w:t>data.worldbank.org (Suche „intentional homicides“)</w:t>
      </w:r>
    </w:p>
    <w:p w14:paraId="2E391980" w14:textId="77777777" w:rsidR="001F7233" w:rsidRDefault="00000000">
      <w:r>
        <w:rPr>
          <w:b/>
        </w:rPr>
        <w:t xml:space="preserve">Behörde / Thema: </w:t>
      </w:r>
      <w:r>
        <w:t>Kriminalstatistik im Ländervergleich (Weltbank/UNODC)</w:t>
      </w:r>
    </w:p>
    <w:p w14:paraId="5F93FE64" w14:textId="77777777" w:rsidR="001F7233" w:rsidRDefault="00000000">
      <w:r>
        <w:t>bka.de (Suche: Dunkelfeldforschung und Viktimisierungssurvey)</w:t>
      </w:r>
    </w:p>
    <w:p w14:paraId="4B9339B0" w14:textId="77777777" w:rsidR="001F7233" w:rsidRDefault="00000000">
      <w:r>
        <w:t>Behörde / Thema: Kriminalstatistik, Anzeigeverhalten und Opferbefragungen (BKA)</w:t>
      </w:r>
    </w:p>
    <w:p w14:paraId="6A18FC56" w14:textId="77777777" w:rsidR="001F7233" w:rsidRDefault="00000000">
      <w:r>
        <w:t>Kapitel: Kapitel 1; Kapitel 40</w:t>
      </w:r>
    </w:p>
    <w:p w14:paraId="5B95628E" w14:textId="77777777" w:rsidR="001F7233" w:rsidRDefault="00000000">
      <w:r>
        <w:rPr>
          <w:b/>
        </w:rPr>
        <w:t xml:space="preserve">Kapitel: </w:t>
      </w:r>
      <w:hyperlink w:anchor="k1">
        <w:r w:rsidR="001F7233">
          <w:rPr>
            <w:rStyle w:val="Hyperlink"/>
          </w:rPr>
          <w:t>Kapitel 1</w:t>
        </w:r>
      </w:hyperlink>
    </w:p>
    <w:p w14:paraId="0CF2D055" w14:textId="77777777" w:rsidR="001F7233" w:rsidRDefault="00000000">
      <w:r>
        <w:rPr>
          <w:b/>
        </w:rPr>
        <w:t>bls.gov/oes</w:t>
      </w:r>
    </w:p>
    <w:p w14:paraId="5A2F1230" w14:textId="77777777" w:rsidR="001F7233" w:rsidRDefault="00000000">
      <w:r>
        <w:rPr>
          <w:b/>
        </w:rPr>
        <w:t xml:space="preserve">Behörde / Thema: </w:t>
      </w:r>
      <w:r>
        <w:t>Gehälter und Berufsausblick</w:t>
      </w:r>
    </w:p>
    <w:p w14:paraId="5AD995F3" w14:textId="77777777" w:rsidR="001F7233" w:rsidRDefault="00000000">
      <w:r>
        <w:rPr>
          <w:b/>
        </w:rPr>
        <w:t xml:space="preserve">Kapitel: </w:t>
      </w:r>
      <w:hyperlink w:anchor="k1">
        <w:r w:rsidR="001F7233">
          <w:rPr>
            <w:rStyle w:val="Hyperlink"/>
          </w:rPr>
          <w:t>Kapitel 1</w:t>
        </w:r>
      </w:hyperlink>
      <w:r>
        <w:t>, 12</w:t>
      </w:r>
    </w:p>
    <w:p w14:paraId="685A754C" w14:textId="77777777" w:rsidR="001F7233" w:rsidRDefault="00000000">
      <w:r>
        <w:rPr>
          <w:b/>
        </w:rPr>
        <w:t>bls.gov/ebs</w:t>
      </w:r>
    </w:p>
    <w:p w14:paraId="7152E5A2" w14:textId="77777777" w:rsidR="001F7233" w:rsidRDefault="00000000">
      <w:r>
        <w:rPr>
          <w:b/>
        </w:rPr>
        <w:t xml:space="preserve">Behörde / Thema: </w:t>
      </w:r>
      <w:r>
        <w:t>Urlaub, Krankheit, Altersvorsorge (Employee Benefits)</w:t>
      </w:r>
    </w:p>
    <w:p w14:paraId="14406FD1" w14:textId="77777777" w:rsidR="001F7233" w:rsidRDefault="00000000">
      <w:r>
        <w:rPr>
          <w:b/>
        </w:rPr>
        <w:t xml:space="preserve">Kapitel: </w:t>
      </w:r>
      <w:hyperlink w:anchor="k29">
        <w:r w:rsidR="001F7233">
          <w:rPr>
            <w:rStyle w:val="Hyperlink"/>
          </w:rPr>
          <w:t>Kapitel 29</w:t>
        </w:r>
      </w:hyperlink>
    </w:p>
    <w:p w14:paraId="070E5110" w14:textId="77777777" w:rsidR="001F7233" w:rsidRDefault="00000000">
      <w:r>
        <w:rPr>
          <w:b/>
        </w:rPr>
        <w:t>bls.gov (Suche „average retail food and energy prices“)</w:t>
      </w:r>
    </w:p>
    <w:p w14:paraId="4B4885C3" w14:textId="77777777" w:rsidR="001F7233" w:rsidRDefault="00000000">
      <w:r>
        <w:rPr>
          <w:b/>
        </w:rPr>
        <w:lastRenderedPageBreak/>
        <w:t xml:space="preserve">Behörde / Thema: </w:t>
      </w:r>
      <w:r>
        <w:t>Durchschnittspreise für Lebensmittel</w:t>
      </w:r>
    </w:p>
    <w:p w14:paraId="38407776" w14:textId="77777777" w:rsidR="001F7233" w:rsidRDefault="00000000">
      <w:r>
        <w:rPr>
          <w:b/>
        </w:rPr>
        <w:t xml:space="preserve">Kapitel: </w:t>
      </w:r>
      <w:hyperlink w:anchor="k35">
        <w:r w:rsidR="001F7233">
          <w:rPr>
            <w:rStyle w:val="Hyperlink"/>
          </w:rPr>
          <w:t>Kapitel 35</w:t>
        </w:r>
      </w:hyperlink>
    </w:p>
    <w:p w14:paraId="1C33B9BE" w14:textId="77777777" w:rsidR="001F7233" w:rsidRDefault="00000000">
      <w:r>
        <w:rPr>
          <w:b/>
        </w:rPr>
        <w:t>census.gov (u. a. /topics/population/migration, /library/publications/2026/demo/p60-291.html)</w:t>
      </w:r>
    </w:p>
    <w:p w14:paraId="076979A1" w14:textId="77777777" w:rsidR="001F7233" w:rsidRDefault="00000000">
      <w:r>
        <w:rPr>
          <w:b/>
        </w:rPr>
        <w:t xml:space="preserve">Behörde / Thema: </w:t>
      </w:r>
      <w:r>
        <w:t>Bevölkerungs-, Wanderungs- und Versichertenstatistik</w:t>
      </w:r>
    </w:p>
    <w:p w14:paraId="746BD387" w14:textId="77777777" w:rsidR="001F7233" w:rsidRDefault="00000000">
      <w:r>
        <w:rPr>
          <w:b/>
        </w:rPr>
        <w:t xml:space="preserve">Kapitel: </w:t>
      </w:r>
      <w:hyperlink w:anchor="k12">
        <w:r w:rsidR="001F7233">
          <w:rPr>
            <w:rStyle w:val="Hyperlink"/>
          </w:rPr>
          <w:t>Kapitel 12</w:t>
        </w:r>
      </w:hyperlink>
      <w:r>
        <w:t>, 26, 32</w:t>
      </w:r>
    </w:p>
    <w:p w14:paraId="679ECB2A" w14:textId="77777777" w:rsidR="001F7233" w:rsidRDefault="00000000">
      <w:r>
        <w:rPr>
          <w:b/>
        </w:rPr>
        <w:t>ftc.gov</w:t>
      </w:r>
    </w:p>
    <w:p w14:paraId="51E50477" w14:textId="77777777" w:rsidR="001F7233" w:rsidRDefault="00000000">
      <w:r>
        <w:rPr>
          <w:b/>
        </w:rPr>
        <w:t xml:space="preserve">Behörde / Thema: </w:t>
      </w:r>
      <w:r>
        <w:t>Wettbewerbsverbote (Suche: noncompete), versteckte Gebühren (Suche: unfair or deceptive fees), Pflegekennzeichnung Kleidung (Suche: care labeling rule)</w:t>
      </w:r>
    </w:p>
    <w:p w14:paraId="59E92CE2" w14:textId="77777777" w:rsidR="001F7233" w:rsidRDefault="00000000">
      <w:r>
        <w:rPr>
          <w:b/>
        </w:rPr>
        <w:t xml:space="preserve">Kapitel: </w:t>
      </w:r>
      <w:hyperlink w:anchor="k29">
        <w:r w:rsidR="001F7233">
          <w:rPr>
            <w:rStyle w:val="Hyperlink"/>
          </w:rPr>
          <w:t>Kapitel 29</w:t>
        </w:r>
      </w:hyperlink>
      <w:r>
        <w:t>, 31, 34</w:t>
      </w:r>
    </w:p>
    <w:p w14:paraId="616BCA44" w14:textId="77777777" w:rsidR="001F7233" w:rsidRDefault="00000000">
      <w:r>
        <w:rPr>
          <w:b/>
        </w:rPr>
        <w:t>consumer.ftc.gov (auch /articles/what-know-about-credit-freezes-fraud-alerts)</w:t>
      </w:r>
    </w:p>
    <w:p w14:paraId="7F3B8FAE" w14:textId="77777777" w:rsidR="001F7233" w:rsidRDefault="00000000">
      <w:r>
        <w:rPr>
          <w:b/>
        </w:rPr>
        <w:t xml:space="preserve">Behörde / Thema: </w:t>
      </w:r>
      <w:r>
        <w:t>Mietbetrug-Warnungen, Credit Freeze und Fraud Alert</w:t>
      </w:r>
    </w:p>
    <w:p w14:paraId="2B040584" w14:textId="77777777" w:rsidR="001F7233" w:rsidRDefault="00000000">
      <w:r>
        <w:rPr>
          <w:b/>
        </w:rPr>
        <w:t xml:space="preserve">Kapitel: </w:t>
      </w:r>
      <w:hyperlink w:anchor="k13">
        <w:r w:rsidR="001F7233">
          <w:rPr>
            <w:rStyle w:val="Hyperlink"/>
          </w:rPr>
          <w:t>Kapitel 13</w:t>
        </w:r>
      </w:hyperlink>
      <w:r>
        <w:t>, 24, 25</w:t>
      </w:r>
    </w:p>
    <w:p w14:paraId="545463CE" w14:textId="77777777" w:rsidR="001F7233" w:rsidRDefault="00000000">
      <w:r>
        <w:rPr>
          <w:b/>
        </w:rPr>
        <w:t>reportfraud.ftc.gov</w:t>
      </w:r>
    </w:p>
    <w:p w14:paraId="4485C148" w14:textId="77777777" w:rsidR="001F7233" w:rsidRDefault="00000000">
      <w:r>
        <w:rPr>
          <w:b/>
        </w:rPr>
        <w:t xml:space="preserve">Behörde / Thema: </w:t>
      </w:r>
      <w:r>
        <w:t>Betrug bei der Bundesbehörde FTC melden</w:t>
      </w:r>
    </w:p>
    <w:p w14:paraId="5A54D320" w14:textId="77777777" w:rsidR="001F7233" w:rsidRDefault="00000000">
      <w:r>
        <w:rPr>
          <w:b/>
        </w:rPr>
        <w:t xml:space="preserve">Kapitel: </w:t>
      </w:r>
      <w:hyperlink w:anchor="k11">
        <w:r w:rsidR="001F7233">
          <w:rPr>
            <w:rStyle w:val="Hyperlink"/>
          </w:rPr>
          <w:t>Kapitel 11</w:t>
        </w:r>
      </w:hyperlink>
      <w:r>
        <w:t>, 13, 23, 40</w:t>
      </w:r>
    </w:p>
    <w:p w14:paraId="03346904" w14:textId="77777777" w:rsidR="001F7233" w:rsidRDefault="00000000">
      <w:r>
        <w:rPr>
          <w:b/>
        </w:rPr>
        <w:t>identitytheft.gov</w:t>
      </w:r>
    </w:p>
    <w:p w14:paraId="0CAD71A2" w14:textId="77777777" w:rsidR="001F7233" w:rsidRDefault="00000000">
      <w:r>
        <w:rPr>
          <w:b/>
        </w:rPr>
        <w:t xml:space="preserve">Behörde / Thema: </w:t>
      </w:r>
      <w:r>
        <w:t>Hilfe nach Identitätsdiebstahl</w:t>
      </w:r>
    </w:p>
    <w:p w14:paraId="74ED09A6" w14:textId="77777777" w:rsidR="001F7233" w:rsidRDefault="00000000">
      <w:r>
        <w:rPr>
          <w:b/>
        </w:rPr>
        <w:t xml:space="preserve">Kapitel: </w:t>
      </w:r>
      <w:hyperlink w:anchor="k24">
        <w:r w:rsidR="001F7233">
          <w:rPr>
            <w:rStyle w:val="Hyperlink"/>
          </w:rPr>
          <w:t>Kapitel 24</w:t>
        </w:r>
      </w:hyperlink>
      <w:r>
        <w:t>, 40</w:t>
      </w:r>
    </w:p>
    <w:p w14:paraId="4498262C" w14:textId="77777777" w:rsidR="001F7233" w:rsidRDefault="001F7233">
      <w:pPr>
        <w:spacing w:line="180" w:lineRule="exact"/>
      </w:pPr>
    </w:p>
    <w:p w14:paraId="1BFD40E0"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Arbeitsrecht und Arbeitsmarkt (allgemein)</w:t>
      </w:r>
    </w:p>
    <w:p w14:paraId="5DAE9183" w14:textId="77777777" w:rsidR="001F7233" w:rsidRDefault="00000000">
      <w:r>
        <w:rPr>
          <w:b/>
        </w:rPr>
        <w:t>dol.gov/agencies/whd (auch /fmla, /flsa)</w:t>
      </w:r>
    </w:p>
    <w:p w14:paraId="0D113B04" w14:textId="77777777" w:rsidR="001F7233" w:rsidRDefault="00000000">
      <w:r>
        <w:rPr>
          <w:b/>
        </w:rPr>
        <w:t>Behörde / Thema: Wage and Hour Division: FMLA, Mindestlohn und Überstunden (FLSA), Mindestlohn für Trinkgeldempfänger (Suche: tipped employees).</w:t>
      </w:r>
    </w:p>
    <w:p w14:paraId="6911B58F" w14:textId="77777777" w:rsidR="001F7233" w:rsidRDefault="00000000">
      <w:r>
        <w:rPr>
          <w:b/>
        </w:rPr>
        <w:t xml:space="preserve">Kapitel: </w:t>
      </w:r>
      <w:hyperlink w:anchor="k29">
        <w:r w:rsidR="001F7233">
          <w:rPr>
            <w:rStyle w:val="Hyperlink"/>
          </w:rPr>
          <w:t>Kapitel 29</w:t>
        </w:r>
      </w:hyperlink>
      <w:r>
        <w:t>, 31, 38</w:t>
      </w:r>
    </w:p>
    <w:p w14:paraId="676F1620" w14:textId="77777777" w:rsidR="001F7233" w:rsidRDefault="00000000">
      <w:r>
        <w:rPr>
          <w:b/>
        </w:rPr>
        <w:t>dol.gov/agencies/eta/layoffs/warn</w:t>
      </w:r>
    </w:p>
    <w:p w14:paraId="2BB0A809" w14:textId="77777777" w:rsidR="001F7233" w:rsidRDefault="00000000">
      <w:r>
        <w:rPr>
          <w:b/>
        </w:rPr>
        <w:lastRenderedPageBreak/>
        <w:t xml:space="preserve">Behörde / Thema: </w:t>
      </w:r>
      <w:r>
        <w:t>WARN Act, Ankündigungsfrist bei Massenentlassungen</w:t>
      </w:r>
    </w:p>
    <w:p w14:paraId="332B3604" w14:textId="77777777" w:rsidR="001F7233" w:rsidRDefault="00000000">
      <w:r>
        <w:rPr>
          <w:b/>
        </w:rPr>
        <w:t xml:space="preserve">Kapitel: </w:t>
      </w:r>
      <w:hyperlink w:anchor="k30">
        <w:r w:rsidR="001F7233">
          <w:rPr>
            <w:rStyle w:val="Hyperlink"/>
          </w:rPr>
          <w:t>Kapitel 30</w:t>
        </w:r>
      </w:hyperlink>
    </w:p>
    <w:p w14:paraId="1BC3FBA4" w14:textId="77777777" w:rsidR="001F7233" w:rsidRDefault="00000000">
      <w:r>
        <w:rPr>
          <w:b/>
        </w:rPr>
        <w:t>eeoc.gov</w:t>
      </w:r>
    </w:p>
    <w:p w14:paraId="4899814B" w14:textId="77777777" w:rsidR="001F7233" w:rsidRDefault="00000000">
      <w:r>
        <w:rPr>
          <w:b/>
        </w:rPr>
        <w:t xml:space="preserve">Behörde / Thema: </w:t>
      </w:r>
      <w:r>
        <w:t>Gleichbehandlungsbehörde, Diskriminierung und Beschwerden</w:t>
      </w:r>
    </w:p>
    <w:p w14:paraId="4401F55C" w14:textId="77777777" w:rsidR="001F7233" w:rsidRDefault="00000000">
      <w:r>
        <w:rPr>
          <w:b/>
        </w:rPr>
        <w:t xml:space="preserve">Kapitel: </w:t>
      </w:r>
      <w:hyperlink w:anchor="k29">
        <w:r w:rsidR="001F7233">
          <w:rPr>
            <w:rStyle w:val="Hyperlink"/>
          </w:rPr>
          <w:t>Kapitel 29</w:t>
        </w:r>
      </w:hyperlink>
    </w:p>
    <w:p w14:paraId="1A2E9F78" w14:textId="77777777" w:rsidR="001F7233" w:rsidRDefault="00000000">
      <w:r>
        <w:rPr>
          <w:b/>
        </w:rPr>
        <w:t>opm.gov/policy-data-oversight/pay-leave/federal-holidays</w:t>
      </w:r>
    </w:p>
    <w:p w14:paraId="09A8784B" w14:textId="77777777" w:rsidR="001F7233" w:rsidRDefault="00000000">
      <w:r>
        <w:rPr>
          <w:b/>
        </w:rPr>
        <w:t xml:space="preserve">Behörde / Thema: </w:t>
      </w:r>
      <w:r>
        <w:t>Bundesfeiertage</w:t>
      </w:r>
    </w:p>
    <w:p w14:paraId="1F1B837B" w14:textId="77777777" w:rsidR="001F7233" w:rsidRDefault="00000000">
      <w:r>
        <w:rPr>
          <w:b/>
        </w:rPr>
        <w:t xml:space="preserve">Kapitel: </w:t>
      </w:r>
      <w:hyperlink w:anchor="k31">
        <w:r w:rsidR="001F7233">
          <w:rPr>
            <w:rStyle w:val="Hyperlink"/>
          </w:rPr>
          <w:t>Kapitel 31</w:t>
        </w:r>
      </w:hyperlink>
    </w:p>
    <w:p w14:paraId="7D8FBBEE" w14:textId="77777777" w:rsidR="001F7233" w:rsidRDefault="001F7233">
      <w:pPr>
        <w:spacing w:line="180" w:lineRule="exact"/>
      </w:pPr>
    </w:p>
    <w:p w14:paraId="0E2986C9"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Umzug, Zoll und Haustiere</w:t>
      </w:r>
    </w:p>
    <w:p w14:paraId="6A248118" w14:textId="77777777" w:rsidR="001F7233" w:rsidRDefault="00000000">
      <w:r>
        <w:rPr>
          <w:b/>
        </w:rPr>
        <w:t>ecfr.gov (Suche „19 CFR 148.52“)</w:t>
      </w:r>
    </w:p>
    <w:p w14:paraId="157958C7" w14:textId="77777777" w:rsidR="001F7233" w:rsidRDefault="00000000">
      <w:r>
        <w:rPr>
          <w:b/>
        </w:rPr>
        <w:t xml:space="preserve">Behörde / Thema: </w:t>
      </w:r>
      <w:r>
        <w:t>zollfreies Umzugsgut, Haushalts- und persönliche Gegenstände</w:t>
      </w:r>
    </w:p>
    <w:p w14:paraId="6B4F82B6" w14:textId="77777777" w:rsidR="001F7233" w:rsidRDefault="00000000">
      <w:r>
        <w:rPr>
          <w:b/>
        </w:rPr>
        <w:t xml:space="preserve">Kapitel: </w:t>
      </w:r>
      <w:hyperlink w:anchor="k20">
        <w:r w:rsidR="001F7233">
          <w:rPr>
            <w:rStyle w:val="Hyperlink"/>
          </w:rPr>
          <w:t>Kapitel 20</w:t>
        </w:r>
      </w:hyperlink>
      <w:r>
        <w:t>, 21</w:t>
      </w:r>
    </w:p>
    <w:p w14:paraId="645677B3" w14:textId="77777777" w:rsidR="001F7233" w:rsidRDefault="00000000">
      <w:r>
        <w:rPr>
          <w:b/>
        </w:rPr>
        <w:t>aphis.usda.gov</w:t>
      </w:r>
    </w:p>
    <w:p w14:paraId="643B0A55" w14:textId="77777777" w:rsidR="001F7233" w:rsidRDefault="00000000">
      <w:r>
        <w:rPr>
          <w:b/>
        </w:rPr>
        <w:t xml:space="preserve">Behörde / Thema: </w:t>
      </w:r>
      <w:r>
        <w:t>Einfuhrregeln für Pflanzen, Erde und Lebensmittel</w:t>
      </w:r>
    </w:p>
    <w:p w14:paraId="480845D5" w14:textId="77777777" w:rsidR="001F7233" w:rsidRDefault="00000000">
      <w:r>
        <w:rPr>
          <w:b/>
        </w:rPr>
        <w:t xml:space="preserve">Kapitel: </w:t>
      </w:r>
      <w:hyperlink w:anchor="k20">
        <w:r w:rsidR="001F7233">
          <w:rPr>
            <w:rStyle w:val="Hyperlink"/>
          </w:rPr>
          <w:t>Kapitel 20</w:t>
        </w:r>
      </w:hyperlink>
    </w:p>
    <w:p w14:paraId="006BC5E3" w14:textId="77777777" w:rsidR="001F7233" w:rsidRDefault="00000000">
      <w:r>
        <w:rPr>
          <w:b/>
        </w:rPr>
        <w:t>aphis.usda.gov/pet-travel</w:t>
      </w:r>
    </w:p>
    <w:p w14:paraId="41935035" w14:textId="77777777" w:rsidR="001F7233" w:rsidRDefault="00000000">
      <w:r>
        <w:rPr>
          <w:b/>
        </w:rPr>
        <w:t xml:space="preserve">Behörde / Thema: </w:t>
      </w:r>
      <w:r>
        <w:t>Reisen mit Haustieren, Rückreise in die EU</w:t>
      </w:r>
    </w:p>
    <w:p w14:paraId="4B78EAAE" w14:textId="77777777" w:rsidR="001F7233" w:rsidRDefault="00000000">
      <w:r>
        <w:rPr>
          <w:b/>
        </w:rPr>
        <w:t xml:space="preserve">Kapitel: </w:t>
      </w:r>
      <w:hyperlink w:anchor="k22">
        <w:r w:rsidR="001F7233">
          <w:rPr>
            <w:rStyle w:val="Hyperlink"/>
          </w:rPr>
          <w:t>Kapitel 22</w:t>
        </w:r>
      </w:hyperlink>
    </w:p>
    <w:p w14:paraId="78CFE9F4" w14:textId="77777777" w:rsidR="001F7233" w:rsidRDefault="00000000">
      <w:r>
        <w:rPr>
          <w:b/>
        </w:rPr>
        <w:t>irs.gov/pub/irs-pdf/p15b.pdf</w:t>
      </w:r>
    </w:p>
    <w:p w14:paraId="5B4F2030" w14:textId="77777777" w:rsidR="001F7233" w:rsidRDefault="00000000">
      <w:r>
        <w:rPr>
          <w:b/>
        </w:rPr>
        <w:t xml:space="preserve">Behörde / Thema: </w:t>
      </w:r>
      <w:r>
        <w:t>Publication 15-B, steuerliche Behandlung von Arbeitgeberleistungen beim Umzug</w:t>
      </w:r>
    </w:p>
    <w:p w14:paraId="0592B6AB" w14:textId="77777777" w:rsidR="001F7233" w:rsidRDefault="00000000">
      <w:r>
        <w:rPr>
          <w:b/>
        </w:rPr>
        <w:t xml:space="preserve">Kapitel: </w:t>
      </w:r>
      <w:hyperlink w:anchor="k20">
        <w:r w:rsidR="001F7233">
          <w:rPr>
            <w:rStyle w:val="Hyperlink"/>
          </w:rPr>
          <w:t>Kapitel 20</w:t>
        </w:r>
      </w:hyperlink>
    </w:p>
    <w:p w14:paraId="687680CE" w14:textId="77777777" w:rsidR="001F7233" w:rsidRDefault="00000000">
      <w:r>
        <w:rPr>
          <w:b/>
        </w:rPr>
        <w:t>fidi.org</w:t>
      </w:r>
    </w:p>
    <w:p w14:paraId="25385201" w14:textId="77777777" w:rsidR="001F7233" w:rsidRDefault="00000000">
      <w:r>
        <w:rPr>
          <w:b/>
        </w:rPr>
        <w:t xml:space="preserve">Behörde / Thema: </w:t>
      </w:r>
      <w:r>
        <w:t>Mitgliederliste zertifizierter Umzugsunternehmen</w:t>
      </w:r>
    </w:p>
    <w:p w14:paraId="7CAEAACE" w14:textId="77777777" w:rsidR="001F7233" w:rsidRDefault="00000000">
      <w:r>
        <w:rPr>
          <w:b/>
        </w:rPr>
        <w:t xml:space="preserve">Kapitel: </w:t>
      </w:r>
      <w:hyperlink w:anchor="k20">
        <w:r w:rsidR="001F7233">
          <w:rPr>
            <w:rStyle w:val="Hyperlink"/>
          </w:rPr>
          <w:t>Kapitel 20</w:t>
        </w:r>
      </w:hyperlink>
    </w:p>
    <w:p w14:paraId="53DB94C0" w14:textId="77777777" w:rsidR="001F7233" w:rsidRDefault="00000000">
      <w:r>
        <w:rPr>
          <w:b/>
        </w:rPr>
        <w:t>fmcsa.dot.gov</w:t>
      </w:r>
    </w:p>
    <w:p w14:paraId="29E66397" w14:textId="77777777" w:rsidR="001F7233" w:rsidRDefault="00000000">
      <w:r>
        <w:rPr>
          <w:b/>
        </w:rPr>
        <w:lastRenderedPageBreak/>
        <w:t xml:space="preserve">Behörde / Thema: </w:t>
      </w:r>
      <w:r>
        <w:t>Registrierung von Frachtführern (USDOT- und MC-Nummer)</w:t>
      </w:r>
    </w:p>
    <w:p w14:paraId="06876988" w14:textId="77777777" w:rsidR="001F7233" w:rsidRDefault="00000000">
      <w:r>
        <w:rPr>
          <w:b/>
        </w:rPr>
        <w:t xml:space="preserve">Kapitel: </w:t>
      </w:r>
      <w:hyperlink w:anchor="k20">
        <w:r w:rsidR="001F7233">
          <w:rPr>
            <w:rStyle w:val="Hyperlink"/>
          </w:rPr>
          <w:t>Kapitel 20</w:t>
        </w:r>
      </w:hyperlink>
    </w:p>
    <w:p w14:paraId="13E8396F" w14:textId="77777777" w:rsidR="001F7233" w:rsidRDefault="00000000">
      <w:r>
        <w:rPr>
          <w:b/>
        </w:rPr>
        <w:t>nhtsa.gov/vehicle-safety/car-seats-and-booster-seats</w:t>
      </w:r>
    </w:p>
    <w:p w14:paraId="4EF0258C" w14:textId="77777777" w:rsidR="001F7233" w:rsidRDefault="00000000">
      <w:r>
        <w:rPr>
          <w:b/>
        </w:rPr>
        <w:t xml:space="preserve">Behörde / Thema: </w:t>
      </w:r>
      <w:r>
        <w:t>Kindersitze in den USA</w:t>
      </w:r>
    </w:p>
    <w:p w14:paraId="6DDD5DF9" w14:textId="77777777" w:rsidR="001F7233" w:rsidRDefault="00000000">
      <w:r>
        <w:rPr>
          <w:b/>
        </w:rPr>
        <w:t xml:space="preserve">Kapitel: </w:t>
      </w:r>
      <w:hyperlink w:anchor="k21">
        <w:r w:rsidR="001F7233">
          <w:rPr>
            <w:rStyle w:val="Hyperlink"/>
          </w:rPr>
          <w:t>Kapitel 21</w:t>
        </w:r>
      </w:hyperlink>
    </w:p>
    <w:p w14:paraId="606B0BCC" w14:textId="77777777" w:rsidR="001F7233" w:rsidRDefault="00000000">
      <w:r>
        <w:rPr>
          <w:b/>
        </w:rPr>
        <w:t>cpsc.gov/recalls (auch Suche „children’s sleepwear“)</w:t>
      </w:r>
    </w:p>
    <w:p w14:paraId="05B07225" w14:textId="77777777" w:rsidR="001F7233" w:rsidRDefault="00000000">
      <w:r>
        <w:rPr>
          <w:b/>
        </w:rPr>
        <w:t xml:space="preserve">Behörde / Thema: </w:t>
      </w:r>
      <w:r>
        <w:t>Produktrückrufe, Kinderschlafkleidung</w:t>
      </w:r>
    </w:p>
    <w:p w14:paraId="5D17B188" w14:textId="77777777" w:rsidR="001F7233" w:rsidRDefault="00000000">
      <w:r>
        <w:rPr>
          <w:b/>
        </w:rPr>
        <w:t xml:space="preserve">Kapitel: </w:t>
      </w:r>
      <w:hyperlink w:anchor="k21">
        <w:r w:rsidR="001F7233">
          <w:rPr>
            <w:rStyle w:val="Hyperlink"/>
          </w:rPr>
          <w:t>Kapitel 21</w:t>
        </w:r>
      </w:hyperlink>
      <w:r>
        <w:t>, 34</w:t>
      </w:r>
    </w:p>
    <w:p w14:paraId="7102A22B" w14:textId="77777777" w:rsidR="001F7233" w:rsidRDefault="00000000">
      <w:r>
        <w:rPr>
          <w:b/>
        </w:rPr>
        <w:t>iec.ch/world-plugs</w:t>
      </w:r>
    </w:p>
    <w:p w14:paraId="0D143DD1" w14:textId="77777777" w:rsidR="001F7233" w:rsidRDefault="00000000">
      <w:r>
        <w:rPr>
          <w:b/>
        </w:rPr>
        <w:t xml:space="preserve">Behörde / Thema: </w:t>
      </w:r>
      <w:r>
        <w:t>Steckertypen und Netzspannung nach Land</w:t>
      </w:r>
    </w:p>
    <w:p w14:paraId="5C942782" w14:textId="77777777" w:rsidR="001F7233" w:rsidRDefault="00000000">
      <w:r>
        <w:rPr>
          <w:b/>
        </w:rPr>
        <w:t xml:space="preserve">Kapitel: </w:t>
      </w:r>
      <w:hyperlink w:anchor="k21">
        <w:r w:rsidR="001F7233">
          <w:rPr>
            <w:rStyle w:val="Hyperlink"/>
          </w:rPr>
          <w:t>Kapitel 21</w:t>
        </w:r>
      </w:hyperlink>
    </w:p>
    <w:p w14:paraId="3ABC82FD" w14:textId="77777777" w:rsidR="001F7233" w:rsidRDefault="00000000">
      <w:r>
        <w:rPr>
          <w:b/>
        </w:rPr>
        <w:t>dab.hawaii.gov/ai</w:t>
      </w:r>
    </w:p>
    <w:p w14:paraId="6CF9F8CD" w14:textId="77777777" w:rsidR="001F7233" w:rsidRDefault="00000000">
      <w:r>
        <w:rPr>
          <w:b/>
        </w:rPr>
        <w:t xml:space="preserve">Behörde / Thema: </w:t>
      </w:r>
      <w:r>
        <w:t>Quarantäneprogramm für Tiere in Hawaii</w:t>
      </w:r>
    </w:p>
    <w:p w14:paraId="4CCAC8F5" w14:textId="77777777" w:rsidR="001F7233" w:rsidRDefault="00000000">
      <w:r>
        <w:rPr>
          <w:b/>
        </w:rPr>
        <w:t xml:space="preserve">Kapitel: </w:t>
      </w:r>
      <w:hyperlink w:anchor="k22">
        <w:r w:rsidR="001F7233">
          <w:rPr>
            <w:rStyle w:val="Hyperlink"/>
          </w:rPr>
          <w:t>Kapitel 22</w:t>
        </w:r>
      </w:hyperlink>
    </w:p>
    <w:p w14:paraId="1A8C3BD8" w14:textId="77777777" w:rsidR="001F7233" w:rsidRDefault="00000000">
      <w:r>
        <w:rPr>
          <w:b/>
        </w:rPr>
        <w:t>maricopa.gov/226/Dog-License</w:t>
      </w:r>
    </w:p>
    <w:p w14:paraId="10E082F9" w14:textId="77777777" w:rsidR="001F7233" w:rsidRDefault="00000000">
      <w:r>
        <w:rPr>
          <w:b/>
        </w:rPr>
        <w:t xml:space="preserve">Behörde / Thema: </w:t>
      </w:r>
      <w:r>
        <w:t>Hundelizenz, Beispiel eines Landkreises</w:t>
      </w:r>
    </w:p>
    <w:p w14:paraId="100D3219" w14:textId="77777777" w:rsidR="001F7233" w:rsidRDefault="00000000">
      <w:r>
        <w:rPr>
          <w:b/>
        </w:rPr>
        <w:t xml:space="preserve">Kapitel: </w:t>
      </w:r>
      <w:hyperlink w:anchor="k22">
        <w:r w:rsidR="001F7233">
          <w:rPr>
            <w:rStyle w:val="Hyperlink"/>
          </w:rPr>
          <w:t>Kapitel 22</w:t>
        </w:r>
      </w:hyperlink>
    </w:p>
    <w:p w14:paraId="65479FED" w14:textId="77777777" w:rsidR="001F7233" w:rsidRDefault="00000000">
      <w:r>
        <w:rPr>
          <w:b/>
        </w:rPr>
        <w:t>fws.gov</w:t>
      </w:r>
    </w:p>
    <w:p w14:paraId="07CF45CE" w14:textId="77777777" w:rsidR="001F7233" w:rsidRDefault="00000000">
      <w:r>
        <w:rPr>
          <w:b/>
        </w:rPr>
        <w:t xml:space="preserve">Behörde / Thema: </w:t>
      </w:r>
      <w:r>
        <w:t>Einfuhr geschützter Arten</w:t>
      </w:r>
    </w:p>
    <w:p w14:paraId="35B5A93B" w14:textId="77777777" w:rsidR="001F7233" w:rsidRDefault="00000000">
      <w:r>
        <w:rPr>
          <w:b/>
        </w:rPr>
        <w:t xml:space="preserve">Kapitel: </w:t>
      </w:r>
      <w:hyperlink w:anchor="k22">
        <w:r w:rsidR="001F7233">
          <w:rPr>
            <w:rStyle w:val="Hyperlink"/>
          </w:rPr>
          <w:t>Kapitel 22</w:t>
        </w:r>
      </w:hyperlink>
    </w:p>
    <w:p w14:paraId="152A1B85" w14:textId="77777777" w:rsidR="001F7233" w:rsidRDefault="001F7233">
      <w:pPr>
        <w:spacing w:line="180" w:lineRule="exact"/>
      </w:pPr>
    </w:p>
    <w:p w14:paraId="0B6E840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Führerschein, Fahrzeug und Verkehr</w:t>
      </w:r>
    </w:p>
    <w:p w14:paraId="29CCAC2F" w14:textId="77777777" w:rsidR="001F7233" w:rsidRDefault="00000000">
      <w:r>
        <w:rPr>
          <w:b/>
        </w:rPr>
        <w:t>dmv.ca.gov, dmv.ny.gov, dps.texas.gov, dol.wa.gov, dmv.colorado.gov, ncdot.gov/dmv, flhsmv.gov, oregon.gov/odot/dmv, dld.utah.gov</w:t>
      </w:r>
    </w:p>
    <w:p w14:paraId="2BF6492A" w14:textId="77777777" w:rsidR="001F7233" w:rsidRDefault="00000000">
      <w:r>
        <w:rPr>
          <w:b/>
        </w:rPr>
        <w:t xml:space="preserve">Behörde / Thema: </w:t>
      </w:r>
      <w:r>
        <w:t>Führerscheinbehörden ausgewählter Bundesstaaten (Beispiele)</w:t>
      </w:r>
    </w:p>
    <w:p w14:paraId="22618BAE" w14:textId="77777777" w:rsidR="001F7233" w:rsidRDefault="00000000">
      <w:r>
        <w:rPr>
          <w:b/>
        </w:rPr>
        <w:t xml:space="preserve">Kapitel: </w:t>
      </w:r>
      <w:hyperlink w:anchor="k27">
        <w:r w:rsidR="001F7233">
          <w:rPr>
            <w:rStyle w:val="Hyperlink"/>
          </w:rPr>
          <w:t>Kapitel 27</w:t>
        </w:r>
      </w:hyperlink>
    </w:p>
    <w:p w14:paraId="13384743" w14:textId="77777777" w:rsidR="001F7233" w:rsidRDefault="00000000">
      <w:r>
        <w:rPr>
          <w:b/>
        </w:rPr>
        <w:t>tsa.gov/real-id</w:t>
      </w:r>
    </w:p>
    <w:p w14:paraId="71129FE4" w14:textId="77777777" w:rsidR="001F7233" w:rsidRDefault="00000000">
      <w:r>
        <w:rPr>
          <w:b/>
        </w:rPr>
        <w:t xml:space="preserve">Behörde / Thema: </w:t>
      </w:r>
      <w:r>
        <w:t>REAL ID und ConfirmID</w:t>
      </w:r>
    </w:p>
    <w:p w14:paraId="728CE3C3" w14:textId="77777777" w:rsidR="001F7233" w:rsidRDefault="00000000">
      <w:r>
        <w:rPr>
          <w:b/>
        </w:rPr>
        <w:t xml:space="preserve">Kapitel: </w:t>
      </w:r>
      <w:hyperlink w:anchor="k27">
        <w:r w:rsidR="001F7233">
          <w:rPr>
            <w:rStyle w:val="Hyperlink"/>
          </w:rPr>
          <w:t>Kapitel 27</w:t>
        </w:r>
      </w:hyperlink>
    </w:p>
    <w:p w14:paraId="220AAC73" w14:textId="77777777" w:rsidR="001F7233" w:rsidRDefault="00000000">
      <w:r>
        <w:rPr>
          <w:b/>
        </w:rPr>
        <w:t>eia.gov/petroleum/gasdiesel</w:t>
      </w:r>
    </w:p>
    <w:p w14:paraId="0E866DF4" w14:textId="77777777" w:rsidR="001F7233" w:rsidRDefault="00000000">
      <w:r>
        <w:rPr>
          <w:b/>
        </w:rPr>
        <w:lastRenderedPageBreak/>
        <w:t xml:space="preserve">Behörde / Thema: </w:t>
      </w:r>
      <w:r>
        <w:t>Benzinpreise</w:t>
      </w:r>
    </w:p>
    <w:p w14:paraId="5634E9A1" w14:textId="77777777" w:rsidR="001F7233" w:rsidRDefault="00000000">
      <w:r>
        <w:rPr>
          <w:b/>
        </w:rPr>
        <w:t xml:space="preserve">Kapitel: </w:t>
      </w:r>
      <w:hyperlink w:anchor="k27">
        <w:r w:rsidR="001F7233">
          <w:rPr>
            <w:rStyle w:val="Hyperlink"/>
          </w:rPr>
          <w:t>Kapitel 27</w:t>
        </w:r>
      </w:hyperlink>
    </w:p>
    <w:p w14:paraId="46F3A3F9" w14:textId="77777777" w:rsidR="001F7233" w:rsidRDefault="001F7233">
      <w:pPr>
        <w:spacing w:line="180" w:lineRule="exact"/>
      </w:pPr>
    </w:p>
    <w:p w14:paraId="0BE6632C"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Anerkennung von Abschlüssen und Qualifikationen</w:t>
      </w:r>
    </w:p>
    <w:p w14:paraId="20774F0D" w14:textId="77777777" w:rsidR="001F7233" w:rsidRDefault="00000000">
      <w:r>
        <w:rPr>
          <w:b/>
        </w:rPr>
        <w:t>wes.org/evaluations (auch ece.org)</w:t>
      </w:r>
    </w:p>
    <w:p w14:paraId="1C2064D1" w14:textId="77777777" w:rsidR="001F7233" w:rsidRDefault="00000000">
      <w:r>
        <w:rPr>
          <w:b/>
        </w:rPr>
        <w:t xml:space="preserve">Behörde / Thema: </w:t>
      </w:r>
      <w:r>
        <w:t>Zeugnisbewertung</w:t>
      </w:r>
    </w:p>
    <w:p w14:paraId="21C85728" w14:textId="77777777" w:rsidR="001F7233" w:rsidRDefault="00000000">
      <w:r>
        <w:rPr>
          <w:b/>
        </w:rPr>
        <w:t xml:space="preserve">Kapitel: </w:t>
      </w:r>
      <w:hyperlink w:anchor="k19">
        <w:r w:rsidR="001F7233">
          <w:rPr>
            <w:rStyle w:val="Hyperlink"/>
          </w:rPr>
          <w:t>Kapitel 19</w:t>
        </w:r>
      </w:hyperlink>
    </w:p>
    <w:p w14:paraId="1DC459F9" w14:textId="77777777" w:rsidR="001F7233" w:rsidRDefault="00000000">
      <w:r>
        <w:rPr>
          <w:b/>
        </w:rPr>
        <w:t>naces.org/members</w:t>
      </w:r>
    </w:p>
    <w:p w14:paraId="10BC6107" w14:textId="77777777" w:rsidR="001F7233" w:rsidRDefault="00000000">
      <w:r>
        <w:rPr>
          <w:b/>
        </w:rPr>
        <w:t xml:space="preserve">Behörde / Thema: </w:t>
      </w:r>
      <w:r>
        <w:t>Mitgliederliste anerkannter Bewertungsstellen (NACES)</w:t>
      </w:r>
    </w:p>
    <w:p w14:paraId="25E30C88" w14:textId="77777777" w:rsidR="001F7233" w:rsidRDefault="00000000">
      <w:r>
        <w:rPr>
          <w:b/>
        </w:rPr>
        <w:t xml:space="preserve">Kapitel: </w:t>
      </w:r>
      <w:hyperlink w:anchor="k19">
        <w:r w:rsidR="001F7233">
          <w:rPr>
            <w:rStyle w:val="Hyperlink"/>
          </w:rPr>
          <w:t>Kapitel 19</w:t>
        </w:r>
      </w:hyperlink>
    </w:p>
    <w:p w14:paraId="12647FB9" w14:textId="77777777" w:rsidR="001F7233" w:rsidRDefault="00000000">
      <w:r>
        <w:rPr>
          <w:b/>
        </w:rPr>
        <w:t>ncees.org/engineering/pe</w:t>
      </w:r>
    </w:p>
    <w:p w14:paraId="3484862B" w14:textId="77777777" w:rsidR="001F7233" w:rsidRDefault="00000000">
      <w:r>
        <w:rPr>
          <w:b/>
        </w:rPr>
        <w:t xml:space="preserve">Behörde / Thema: </w:t>
      </w:r>
      <w:r>
        <w:t>Zulassung für Ingenieure</w:t>
      </w:r>
    </w:p>
    <w:p w14:paraId="5B1BEEAB" w14:textId="77777777" w:rsidR="001F7233" w:rsidRDefault="00000000">
      <w:r>
        <w:rPr>
          <w:b/>
        </w:rPr>
        <w:t xml:space="preserve">Kapitel: </w:t>
      </w:r>
      <w:hyperlink w:anchor="k19">
        <w:r w:rsidR="001F7233">
          <w:rPr>
            <w:rStyle w:val="Hyperlink"/>
          </w:rPr>
          <w:t>Kapitel 19</w:t>
        </w:r>
      </w:hyperlink>
    </w:p>
    <w:p w14:paraId="59A00829" w14:textId="77777777" w:rsidR="001F7233" w:rsidRDefault="00000000">
      <w:r>
        <w:rPr>
          <w:b/>
        </w:rPr>
        <w:t>ecfmg.org/certification-pathways</w:t>
      </w:r>
    </w:p>
    <w:p w14:paraId="6B65F844" w14:textId="77777777" w:rsidR="001F7233" w:rsidRDefault="00000000">
      <w:r>
        <w:rPr>
          <w:b/>
        </w:rPr>
        <w:t xml:space="preserve">Behörde / Thema: </w:t>
      </w:r>
      <w:r>
        <w:t>Zertifizierungswege für Ärzte</w:t>
      </w:r>
    </w:p>
    <w:p w14:paraId="41F22DB5" w14:textId="77777777" w:rsidR="001F7233" w:rsidRDefault="00000000">
      <w:r>
        <w:rPr>
          <w:b/>
        </w:rPr>
        <w:t xml:space="preserve">Kapitel: </w:t>
      </w:r>
      <w:hyperlink w:anchor="k19">
        <w:r w:rsidR="001F7233">
          <w:rPr>
            <w:rStyle w:val="Hyperlink"/>
          </w:rPr>
          <w:t>Kapitel 19</w:t>
        </w:r>
      </w:hyperlink>
    </w:p>
    <w:p w14:paraId="02D04CE7" w14:textId="77777777" w:rsidR="001F7233" w:rsidRDefault="00000000">
      <w:r>
        <w:rPr>
          <w:b/>
        </w:rPr>
        <w:t>trumerit.org</w:t>
      </w:r>
    </w:p>
    <w:p w14:paraId="0C22ECB9" w14:textId="77777777" w:rsidR="001F7233" w:rsidRDefault="00000000">
      <w:r>
        <w:rPr>
          <w:b/>
        </w:rPr>
        <w:t xml:space="preserve">Behörde / Thema: </w:t>
      </w:r>
      <w:r>
        <w:t>Zertifizierung für Pflegekräfte</w:t>
      </w:r>
    </w:p>
    <w:p w14:paraId="32E02E88" w14:textId="77777777" w:rsidR="001F7233" w:rsidRDefault="00000000">
      <w:r>
        <w:rPr>
          <w:b/>
        </w:rPr>
        <w:t xml:space="preserve">Kapitel: </w:t>
      </w:r>
      <w:hyperlink w:anchor="k19">
        <w:r w:rsidR="001F7233">
          <w:rPr>
            <w:rStyle w:val="Hyperlink"/>
          </w:rPr>
          <w:t>Kapitel 19</w:t>
        </w:r>
      </w:hyperlink>
    </w:p>
    <w:p w14:paraId="5D65E027" w14:textId="77777777" w:rsidR="001F7233" w:rsidRDefault="00000000">
      <w:r>
        <w:rPr>
          <w:b/>
        </w:rPr>
        <w:t>nclex.com</w:t>
      </w:r>
    </w:p>
    <w:p w14:paraId="28551112" w14:textId="77777777" w:rsidR="001F7233" w:rsidRDefault="00000000">
      <w:r>
        <w:rPr>
          <w:b/>
        </w:rPr>
        <w:t xml:space="preserve">Behörde / Thema: </w:t>
      </w:r>
      <w:r>
        <w:t>Prüfung für Pflegekräfte (NCLEX)</w:t>
      </w:r>
    </w:p>
    <w:p w14:paraId="627CBA0D" w14:textId="77777777" w:rsidR="001F7233" w:rsidRDefault="00000000">
      <w:r>
        <w:rPr>
          <w:b/>
        </w:rPr>
        <w:t xml:space="preserve">Kapitel: </w:t>
      </w:r>
      <w:hyperlink w:anchor="k19">
        <w:r w:rsidR="001F7233">
          <w:rPr>
            <w:rStyle w:val="Hyperlink"/>
          </w:rPr>
          <w:t>Kapitel 19</w:t>
        </w:r>
      </w:hyperlink>
    </w:p>
    <w:p w14:paraId="65FA6EBF" w14:textId="77777777" w:rsidR="001F7233" w:rsidRDefault="00000000">
      <w:r>
        <w:rPr>
          <w:b/>
        </w:rPr>
        <w:t>daad.de (auch daad.org)</w:t>
      </w:r>
    </w:p>
    <w:p w14:paraId="5377700D" w14:textId="77777777" w:rsidR="001F7233" w:rsidRDefault="00000000">
      <w:r>
        <w:rPr>
          <w:b/>
        </w:rPr>
        <w:t xml:space="preserve">Behörde / Thema: </w:t>
      </w:r>
      <w:r>
        <w:t>Stipendien, Anerkennung von US-Abschlüssen</w:t>
      </w:r>
    </w:p>
    <w:p w14:paraId="28127452" w14:textId="77777777" w:rsidR="001F7233" w:rsidRDefault="00000000">
      <w:r>
        <w:rPr>
          <w:b/>
        </w:rPr>
        <w:t xml:space="preserve">Kapitel: </w:t>
      </w:r>
      <w:hyperlink w:anchor="k8">
        <w:r w:rsidR="001F7233">
          <w:rPr>
            <w:rStyle w:val="Hyperlink"/>
          </w:rPr>
          <w:t>Kapitel 8</w:t>
        </w:r>
      </w:hyperlink>
      <w:r>
        <w:t>, 38, 42</w:t>
      </w:r>
    </w:p>
    <w:p w14:paraId="67054035" w14:textId="77777777" w:rsidR="001F7233" w:rsidRDefault="00000000">
      <w:r>
        <w:rPr>
          <w:b/>
        </w:rPr>
        <w:t>fulbright.de</w:t>
      </w:r>
    </w:p>
    <w:p w14:paraId="4F7D29F6" w14:textId="77777777" w:rsidR="001F7233" w:rsidRDefault="00000000">
      <w:r>
        <w:rPr>
          <w:b/>
        </w:rPr>
        <w:t xml:space="preserve">Behörde / Thema: </w:t>
      </w:r>
      <w:r>
        <w:t>Stipendien für ein Auslandsstudium</w:t>
      </w:r>
    </w:p>
    <w:p w14:paraId="0FBFB41D" w14:textId="77777777" w:rsidR="001F7233" w:rsidRDefault="00000000">
      <w:r>
        <w:rPr>
          <w:b/>
        </w:rPr>
        <w:t xml:space="preserve">Kapitel: </w:t>
      </w:r>
      <w:hyperlink w:anchor="k8">
        <w:r w:rsidR="001F7233">
          <w:rPr>
            <w:rStyle w:val="Hyperlink"/>
          </w:rPr>
          <w:t>Kapitel 8</w:t>
        </w:r>
      </w:hyperlink>
    </w:p>
    <w:p w14:paraId="486D65AC" w14:textId="77777777" w:rsidR="001F7233" w:rsidRDefault="001F7233">
      <w:pPr>
        <w:spacing w:line="180" w:lineRule="exact"/>
      </w:pPr>
    </w:p>
    <w:p w14:paraId="27E2469C"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Alltag, Kultur, Sicherheit und Integration</w:t>
      </w:r>
    </w:p>
    <w:p w14:paraId="2EBBA152" w14:textId="77777777" w:rsidR="001F7233" w:rsidRDefault="00000000">
      <w:r>
        <w:rPr>
          <w:b/>
        </w:rPr>
        <w:t>dea.gov/marijuana-rescheduling-regulatory-actions</w:t>
      </w:r>
    </w:p>
    <w:p w14:paraId="6F2887AD" w14:textId="77777777" w:rsidR="001F7233" w:rsidRDefault="00000000">
      <w:r>
        <w:rPr>
          <w:b/>
        </w:rPr>
        <w:t xml:space="preserve">Behörde / Thema: </w:t>
      </w:r>
      <w:r>
        <w:t>Stand der Cannabis-Umstufung</w:t>
      </w:r>
    </w:p>
    <w:p w14:paraId="00E9DD3B" w14:textId="77777777" w:rsidR="001F7233" w:rsidRDefault="00000000">
      <w:r>
        <w:rPr>
          <w:b/>
        </w:rPr>
        <w:t xml:space="preserve">Kapitel: </w:t>
      </w:r>
      <w:hyperlink w:anchor="k31">
        <w:r w:rsidR="001F7233">
          <w:rPr>
            <w:rStyle w:val="Hyperlink"/>
          </w:rPr>
          <w:t>Kapitel 31</w:t>
        </w:r>
      </w:hyperlink>
      <w:r>
        <w:t>, 40</w:t>
      </w:r>
    </w:p>
    <w:p w14:paraId="26D8CAC5" w14:textId="77777777" w:rsidR="001F7233" w:rsidRDefault="00000000">
      <w:r>
        <w:rPr>
          <w:b/>
        </w:rPr>
        <w:t>law.cornell.edu/uscode/text/18/922</w:t>
      </w:r>
    </w:p>
    <w:p w14:paraId="65E7B318" w14:textId="77777777" w:rsidR="001F7233" w:rsidRDefault="00000000">
      <w:r>
        <w:rPr>
          <w:b/>
        </w:rPr>
        <w:t xml:space="preserve">Behörde / Thema: </w:t>
      </w:r>
      <w:r>
        <w:t>Waffenrecht für Nichteinwanderer, 18 U.S.C. § 922</w:t>
      </w:r>
    </w:p>
    <w:p w14:paraId="04CE88A9" w14:textId="77777777" w:rsidR="001F7233" w:rsidRDefault="00000000">
      <w:r>
        <w:rPr>
          <w:b/>
        </w:rPr>
        <w:t xml:space="preserve">Kapitel: </w:t>
      </w:r>
      <w:hyperlink w:anchor="k40">
        <w:r w:rsidR="001F7233">
          <w:rPr>
            <w:rStyle w:val="Hyperlink"/>
          </w:rPr>
          <w:t>Kapitel 40</w:t>
        </w:r>
      </w:hyperlink>
    </w:p>
    <w:p w14:paraId="025D6A9A" w14:textId="77777777" w:rsidR="001F7233" w:rsidRDefault="00000000">
      <w:r>
        <w:rPr>
          <w:b/>
        </w:rPr>
        <w:t>alcoholpolicy.niaaa.nih.gov</w:t>
      </w:r>
    </w:p>
    <w:p w14:paraId="54CF5A0E" w14:textId="77777777" w:rsidR="001F7233" w:rsidRDefault="00000000">
      <w:r>
        <w:rPr>
          <w:b/>
        </w:rPr>
        <w:t xml:space="preserve">Behörde / Thema: </w:t>
      </w:r>
      <w:r>
        <w:t>Alkoholgesetze der Bundesstaaten</w:t>
      </w:r>
    </w:p>
    <w:p w14:paraId="31BEA933" w14:textId="77777777" w:rsidR="001F7233" w:rsidRDefault="00000000">
      <w:r>
        <w:rPr>
          <w:b/>
        </w:rPr>
        <w:t xml:space="preserve">Kapitel: </w:t>
      </w:r>
      <w:hyperlink w:anchor="k31">
        <w:r w:rsidR="001F7233">
          <w:rPr>
            <w:rStyle w:val="Hyperlink"/>
          </w:rPr>
          <w:t>Kapitel 31</w:t>
        </w:r>
      </w:hyperlink>
      <w:r>
        <w:t>, 35</w:t>
      </w:r>
    </w:p>
    <w:p w14:paraId="7A6DD966" w14:textId="77777777" w:rsidR="001F7233" w:rsidRDefault="00000000">
      <w:r>
        <w:rPr>
          <w:b/>
        </w:rPr>
        <w:t>fec.gov (Suche „foreign nationals“)</w:t>
      </w:r>
    </w:p>
    <w:p w14:paraId="633A1005" w14:textId="77777777" w:rsidR="001F7233" w:rsidRDefault="00000000">
      <w:r>
        <w:rPr>
          <w:b/>
        </w:rPr>
        <w:t xml:space="preserve">Behörde / Thema: </w:t>
      </w:r>
      <w:r>
        <w:t>Wahlspenden von Ausländern</w:t>
      </w:r>
    </w:p>
    <w:p w14:paraId="4585744C" w14:textId="77777777" w:rsidR="001F7233" w:rsidRDefault="00000000">
      <w:r>
        <w:rPr>
          <w:b/>
        </w:rPr>
        <w:t xml:space="preserve">Kapitel: </w:t>
      </w:r>
      <w:hyperlink w:anchor="k31">
        <w:r w:rsidR="001F7233">
          <w:rPr>
            <w:rStyle w:val="Hyperlink"/>
          </w:rPr>
          <w:t>Kapitel 31</w:t>
        </w:r>
      </w:hyperlink>
    </w:p>
    <w:p w14:paraId="2BCB5157" w14:textId="77777777" w:rsidR="001F7233" w:rsidRDefault="00000000">
      <w:r>
        <w:rPr>
          <w:b/>
        </w:rPr>
        <w:t>pewresearch.org</w:t>
      </w:r>
    </w:p>
    <w:p w14:paraId="31FC4641" w14:textId="77777777" w:rsidR="001F7233" w:rsidRDefault="00000000">
      <w:r>
        <w:rPr>
          <w:b/>
        </w:rPr>
        <w:t xml:space="preserve">Behörde / Thema: </w:t>
      </w:r>
      <w:r>
        <w:t>Religion und Waffenbesitz in den USA</w:t>
      </w:r>
    </w:p>
    <w:p w14:paraId="362008AD" w14:textId="77777777" w:rsidR="001F7233" w:rsidRDefault="00000000">
      <w:r>
        <w:rPr>
          <w:b/>
        </w:rPr>
        <w:t xml:space="preserve">Kapitel: </w:t>
      </w:r>
      <w:hyperlink w:anchor="k31">
        <w:r w:rsidR="001F7233">
          <w:rPr>
            <w:rStyle w:val="Hyperlink"/>
          </w:rPr>
          <w:t>Kapitel 31</w:t>
        </w:r>
      </w:hyperlink>
    </w:p>
    <w:p w14:paraId="05F99F41" w14:textId="77777777" w:rsidR="001F7233" w:rsidRDefault="00000000">
      <w:r>
        <w:rPr>
          <w:b/>
        </w:rPr>
        <w:t>ready.gov (auch weather.gov/safety)</w:t>
      </w:r>
    </w:p>
    <w:p w14:paraId="545F4240" w14:textId="77777777" w:rsidR="001F7233" w:rsidRDefault="00000000">
      <w:r>
        <w:rPr>
          <w:b/>
        </w:rPr>
        <w:t xml:space="preserve">Behörde / Thema: </w:t>
      </w:r>
      <w:r>
        <w:t>Katastrophenvorsorge, Warnungen, Windchill</w:t>
      </w:r>
    </w:p>
    <w:p w14:paraId="657D6F95" w14:textId="77777777" w:rsidR="001F7233" w:rsidRDefault="00000000">
      <w:r>
        <w:rPr>
          <w:b/>
        </w:rPr>
        <w:t xml:space="preserve">Kapitel: </w:t>
      </w:r>
      <w:hyperlink w:anchor="kapitel34_kleidung">
        <w:r w:rsidR="001F7233">
          <w:rPr>
            <w:rStyle w:val="Hyperlink"/>
          </w:rPr>
          <w:t>Kapitel 34</w:t>
        </w:r>
      </w:hyperlink>
      <w:r>
        <w:t>, 40</w:t>
      </w:r>
    </w:p>
    <w:p w14:paraId="182E9B45" w14:textId="77777777" w:rsidR="001F7233" w:rsidRDefault="00000000">
      <w:r>
        <w:rPr>
          <w:b/>
        </w:rPr>
        <w:t>opm.gov (Suche „employee assistance program“)</w:t>
      </w:r>
    </w:p>
    <w:p w14:paraId="4F076E5F" w14:textId="77777777" w:rsidR="001F7233" w:rsidRDefault="00000000">
      <w:r>
        <w:rPr>
          <w:b/>
        </w:rPr>
        <w:t xml:space="preserve">Behörde / Thema: </w:t>
      </w:r>
      <w:r>
        <w:t>betriebliche Beratungsangebote (EAP)</w:t>
      </w:r>
    </w:p>
    <w:p w14:paraId="6B221737" w14:textId="77777777" w:rsidR="001F7233" w:rsidRDefault="00000000">
      <w:r>
        <w:rPr>
          <w:b/>
        </w:rPr>
        <w:t xml:space="preserve">Kapitel: </w:t>
      </w:r>
      <w:hyperlink w:anchor="k33">
        <w:r w:rsidR="001F7233">
          <w:rPr>
            <w:rStyle w:val="Hyperlink"/>
          </w:rPr>
          <w:t>Kapitel 33</w:t>
        </w:r>
      </w:hyperlink>
    </w:p>
    <w:p w14:paraId="15E1779E" w14:textId="77777777" w:rsidR="001F7233" w:rsidRDefault="00000000">
      <w:r>
        <w:rPr>
          <w:b/>
        </w:rPr>
        <w:t>news.ku.edu (Suche „hours to make a friend“)</w:t>
      </w:r>
    </w:p>
    <w:p w14:paraId="05B6ABC3" w14:textId="77777777" w:rsidR="001F7233" w:rsidRDefault="00000000">
      <w:r>
        <w:rPr>
          <w:b/>
        </w:rPr>
        <w:t xml:space="preserve">Behörde / Thema: </w:t>
      </w:r>
      <w:r>
        <w:t>Studie zur Zeit, die Freundschaft braucht</w:t>
      </w:r>
    </w:p>
    <w:p w14:paraId="4BE816A1" w14:textId="77777777" w:rsidR="001F7233" w:rsidRDefault="00000000">
      <w:r>
        <w:rPr>
          <w:b/>
        </w:rPr>
        <w:t xml:space="preserve">Kapitel: </w:t>
      </w:r>
      <w:hyperlink w:anchor="k32">
        <w:r w:rsidR="001F7233">
          <w:rPr>
            <w:rStyle w:val="Hyperlink"/>
          </w:rPr>
          <w:t>Kapitel 32</w:t>
        </w:r>
      </w:hyperlink>
    </w:p>
    <w:p w14:paraId="21B90092" w14:textId="77777777" w:rsidR="001F7233" w:rsidRDefault="00000000">
      <w:r>
        <w:rPr>
          <w:b/>
        </w:rPr>
        <w:t>ekd.de/auslandsgemeinden-amerika-47196.htm</w:t>
      </w:r>
    </w:p>
    <w:p w14:paraId="5157B1F6" w14:textId="77777777" w:rsidR="001F7233" w:rsidRDefault="00000000">
      <w:r>
        <w:rPr>
          <w:b/>
        </w:rPr>
        <w:t xml:space="preserve">Behörde / Thema: </w:t>
      </w:r>
      <w:r>
        <w:t>deutschsprachige Auslandsgemeinden in Amerika</w:t>
      </w:r>
    </w:p>
    <w:p w14:paraId="2C530ACD" w14:textId="77777777" w:rsidR="001F7233" w:rsidRDefault="00000000">
      <w:r>
        <w:rPr>
          <w:b/>
        </w:rPr>
        <w:t xml:space="preserve">Kapitel: </w:t>
      </w:r>
      <w:hyperlink w:anchor="k32">
        <w:r w:rsidR="001F7233">
          <w:rPr>
            <w:rStyle w:val="Hyperlink"/>
          </w:rPr>
          <w:t>Kapitel 32</w:t>
        </w:r>
      </w:hyperlink>
    </w:p>
    <w:p w14:paraId="08D22B8C" w14:textId="77777777" w:rsidR="001F7233" w:rsidRDefault="00000000">
      <w:r>
        <w:rPr>
          <w:b/>
        </w:rPr>
        <w:t>goethe.de/ins/us</w:t>
      </w:r>
    </w:p>
    <w:p w14:paraId="01DD61DF" w14:textId="77777777" w:rsidR="001F7233" w:rsidRDefault="00000000">
      <w:r>
        <w:rPr>
          <w:b/>
        </w:rPr>
        <w:lastRenderedPageBreak/>
        <w:t xml:space="preserve">Behörde / Thema: </w:t>
      </w:r>
      <w:r>
        <w:t>Goethe-Institut USA, Standorte und Sprachprüfungen</w:t>
      </w:r>
    </w:p>
    <w:p w14:paraId="25004A7B" w14:textId="77777777" w:rsidR="001F7233" w:rsidRDefault="00000000">
      <w:r>
        <w:rPr>
          <w:b/>
        </w:rPr>
        <w:t xml:space="preserve">Kapitel: </w:t>
      </w:r>
      <w:hyperlink w:anchor="k32">
        <w:r w:rsidR="001F7233">
          <w:rPr>
            <w:rStyle w:val="Hyperlink"/>
          </w:rPr>
          <w:t>Kapitel 32</w:t>
        </w:r>
      </w:hyperlink>
      <w:r>
        <w:t>, 37</w:t>
      </w:r>
    </w:p>
    <w:p w14:paraId="17361972" w14:textId="77777777" w:rsidR="001F7233" w:rsidRDefault="00000000">
      <w:r>
        <w:rPr>
          <w:b/>
        </w:rPr>
        <w:t>idealist.org</w:t>
      </w:r>
    </w:p>
    <w:p w14:paraId="117ADCD8" w14:textId="77777777" w:rsidR="001F7233" w:rsidRDefault="00000000">
      <w:r>
        <w:rPr>
          <w:b/>
        </w:rPr>
        <w:t xml:space="preserve">Behörde / Thema: </w:t>
      </w:r>
      <w:r>
        <w:t>Freiwilligenarbeit finden</w:t>
      </w:r>
    </w:p>
    <w:p w14:paraId="31770750" w14:textId="77777777" w:rsidR="001F7233" w:rsidRDefault="00000000">
      <w:r>
        <w:rPr>
          <w:b/>
        </w:rPr>
        <w:t xml:space="preserve">Kapitel: </w:t>
      </w:r>
      <w:hyperlink w:anchor="k32">
        <w:r w:rsidR="001F7233">
          <w:rPr>
            <w:rStyle w:val="Hyperlink"/>
          </w:rPr>
          <w:t>Kapitel 32</w:t>
        </w:r>
      </w:hyperlink>
    </w:p>
    <w:p w14:paraId="3E604E6C" w14:textId="77777777" w:rsidR="001F7233" w:rsidRDefault="00000000">
      <w:r>
        <w:rPr>
          <w:b/>
        </w:rPr>
        <w:t>help.meetup.com</w:t>
      </w:r>
    </w:p>
    <w:p w14:paraId="0FAD4E38" w14:textId="77777777" w:rsidR="001F7233" w:rsidRDefault="00000000">
      <w:r>
        <w:rPr>
          <w:b/>
        </w:rPr>
        <w:t xml:space="preserve">Behörde / Thema: </w:t>
      </w:r>
      <w:r>
        <w:t>Meetup, Hilfebereich zu Gebühren und Abos</w:t>
      </w:r>
    </w:p>
    <w:p w14:paraId="069E6AAD" w14:textId="77777777" w:rsidR="001F7233" w:rsidRDefault="00000000">
      <w:r>
        <w:rPr>
          <w:b/>
        </w:rPr>
        <w:t xml:space="preserve">Kapitel: </w:t>
      </w:r>
      <w:hyperlink w:anchor="k32">
        <w:r w:rsidR="001F7233">
          <w:rPr>
            <w:rStyle w:val="Hyperlink"/>
          </w:rPr>
          <w:t>Kapitel 32</w:t>
        </w:r>
      </w:hyperlink>
    </w:p>
    <w:p w14:paraId="066F2865" w14:textId="77777777" w:rsidR="001F7233" w:rsidRDefault="00000000">
      <w:r>
        <w:rPr>
          <w:b/>
        </w:rPr>
        <w:t>aad.org</w:t>
      </w:r>
    </w:p>
    <w:p w14:paraId="716D7159" w14:textId="77777777" w:rsidR="001F7233" w:rsidRDefault="00000000">
      <w:r>
        <w:rPr>
          <w:b/>
        </w:rPr>
        <w:t xml:space="preserve">Behörde / Thema: </w:t>
      </w:r>
      <w:r>
        <w:t>American Academy of Dermatology, Sonnenschutz</w:t>
      </w:r>
    </w:p>
    <w:p w14:paraId="0EA24830" w14:textId="77777777" w:rsidR="001F7233" w:rsidRDefault="00000000">
      <w:r>
        <w:rPr>
          <w:b/>
        </w:rPr>
        <w:t xml:space="preserve">Kapitel: </w:t>
      </w:r>
      <w:hyperlink w:anchor="kapitel34_kleidung">
        <w:r w:rsidR="001F7233">
          <w:rPr>
            <w:rStyle w:val="Hyperlink"/>
          </w:rPr>
          <w:t>Kapitel 34</w:t>
        </w:r>
      </w:hyperlink>
    </w:p>
    <w:p w14:paraId="02B81FCD" w14:textId="77777777" w:rsidR="001F7233" w:rsidRDefault="00000000">
      <w:r>
        <w:rPr>
          <w:b/>
        </w:rPr>
        <w:t>tax.ny.gov, revenue.pa.gov</w:t>
      </w:r>
    </w:p>
    <w:p w14:paraId="6CA89E16" w14:textId="77777777" w:rsidR="001F7233" w:rsidRDefault="00000000">
      <w:r>
        <w:rPr>
          <w:b/>
        </w:rPr>
        <w:t xml:space="preserve">Behörde / Thema: </w:t>
      </w:r>
      <w:r>
        <w:t>Verkaufssteuer auf Kleidung, Beispiele einzelner Bundesstaaten</w:t>
      </w:r>
    </w:p>
    <w:p w14:paraId="1BC5AF0D" w14:textId="77777777" w:rsidR="001F7233" w:rsidRDefault="00000000">
      <w:r>
        <w:rPr>
          <w:b/>
        </w:rPr>
        <w:t xml:space="preserve">Kapitel: </w:t>
      </w:r>
      <w:hyperlink w:anchor="kapitel34_kleidung">
        <w:r w:rsidR="001F7233">
          <w:rPr>
            <w:rStyle w:val="Hyperlink"/>
          </w:rPr>
          <w:t>Kapitel 34</w:t>
        </w:r>
      </w:hyperlink>
    </w:p>
    <w:p w14:paraId="09D95646" w14:textId="77777777" w:rsidR="001F7233" w:rsidRDefault="00000000">
      <w:r>
        <w:rPr>
          <w:b/>
        </w:rPr>
        <w:t>fna.usda.gov/research/cnpp/usda-food-plans (auch /nslp)</w:t>
      </w:r>
    </w:p>
    <w:p w14:paraId="71CF7905" w14:textId="77777777" w:rsidR="001F7233" w:rsidRDefault="00000000">
      <w:r>
        <w:rPr>
          <w:b/>
        </w:rPr>
        <w:t xml:space="preserve">Behörde / Thema: </w:t>
      </w:r>
      <w:r>
        <w:t>Richtwerte für Lebensmittelkosten, Schulmahlzeiten</w:t>
      </w:r>
    </w:p>
    <w:p w14:paraId="3F629A7F" w14:textId="77777777" w:rsidR="001F7233" w:rsidRDefault="00000000">
      <w:r>
        <w:rPr>
          <w:b/>
        </w:rPr>
        <w:t xml:space="preserve">Kapitel: </w:t>
      </w:r>
      <w:hyperlink w:anchor="k35">
        <w:r w:rsidR="001F7233">
          <w:rPr>
            <w:rStyle w:val="Hyperlink"/>
          </w:rPr>
          <w:t>Kapitel 35</w:t>
        </w:r>
      </w:hyperlink>
    </w:p>
    <w:p w14:paraId="44CDC058" w14:textId="77777777" w:rsidR="001F7233" w:rsidRDefault="00000000">
      <w:r>
        <w:rPr>
          <w:b/>
        </w:rPr>
        <w:t>usda.gov/topics/organic</w:t>
      </w:r>
    </w:p>
    <w:p w14:paraId="2458D161" w14:textId="77777777" w:rsidR="001F7233" w:rsidRDefault="00000000">
      <w:r>
        <w:rPr>
          <w:b/>
        </w:rPr>
        <w:t xml:space="preserve">Behörde / Thema: </w:t>
      </w:r>
      <w:r>
        <w:t>Bio-Kennzeichnung</w:t>
      </w:r>
    </w:p>
    <w:p w14:paraId="7E652ECE" w14:textId="77777777" w:rsidR="001F7233" w:rsidRDefault="00000000">
      <w:r>
        <w:rPr>
          <w:b/>
        </w:rPr>
        <w:t xml:space="preserve">Kapitel: </w:t>
      </w:r>
      <w:hyperlink w:anchor="k35">
        <w:r w:rsidR="001F7233">
          <w:rPr>
            <w:rStyle w:val="Hyperlink"/>
          </w:rPr>
          <w:t>Kapitel 35</w:t>
        </w:r>
      </w:hyperlink>
    </w:p>
    <w:p w14:paraId="0AC19A5D" w14:textId="77777777" w:rsidR="001F7233" w:rsidRDefault="00000000">
      <w:r>
        <w:rPr>
          <w:b/>
        </w:rPr>
        <w:t>fda.gov/food (Suche „Red No. 3“)</w:t>
      </w:r>
    </w:p>
    <w:p w14:paraId="404B8946" w14:textId="77777777" w:rsidR="001F7233" w:rsidRDefault="00000000">
      <w:r>
        <w:rPr>
          <w:b/>
        </w:rPr>
        <w:t xml:space="preserve">Behörde / Thema: </w:t>
      </w:r>
      <w:r>
        <w:t>Farbstoffe und Zusatzstoffe</w:t>
      </w:r>
    </w:p>
    <w:p w14:paraId="2CDE11B5" w14:textId="77777777" w:rsidR="001F7233" w:rsidRDefault="00000000">
      <w:r>
        <w:rPr>
          <w:b/>
        </w:rPr>
        <w:t xml:space="preserve">Kapitel: </w:t>
      </w:r>
      <w:hyperlink w:anchor="k35">
        <w:r w:rsidR="001F7233">
          <w:rPr>
            <w:rStyle w:val="Hyperlink"/>
          </w:rPr>
          <w:t>Kapitel 35</w:t>
        </w:r>
      </w:hyperlink>
    </w:p>
    <w:p w14:paraId="5E5A06F9" w14:textId="77777777" w:rsidR="001F7233" w:rsidRDefault="00000000">
      <w:r>
        <w:rPr>
          <w:b/>
        </w:rPr>
        <w:t>epa.gov/ground-water-and-drinking-water</w:t>
      </w:r>
    </w:p>
    <w:p w14:paraId="3ECA5D77" w14:textId="77777777" w:rsidR="001F7233" w:rsidRDefault="00000000">
      <w:r>
        <w:rPr>
          <w:b/>
        </w:rPr>
        <w:t xml:space="preserve">Behörde / Thema: </w:t>
      </w:r>
      <w:r>
        <w:t>Trinkwasser, Blei, Wasserqualitätsbericht</w:t>
      </w:r>
    </w:p>
    <w:p w14:paraId="7470845B" w14:textId="77777777" w:rsidR="001F7233" w:rsidRDefault="00000000">
      <w:r>
        <w:rPr>
          <w:b/>
        </w:rPr>
        <w:t xml:space="preserve">Kapitel: </w:t>
      </w:r>
      <w:hyperlink w:anchor="k35">
        <w:r w:rsidR="001F7233">
          <w:rPr>
            <w:rStyle w:val="Hyperlink"/>
          </w:rPr>
          <w:t>Kapitel 35</w:t>
        </w:r>
      </w:hyperlink>
    </w:p>
    <w:p w14:paraId="1B928701" w14:textId="77777777" w:rsidR="001F7233" w:rsidRDefault="001F7233">
      <w:pPr>
        <w:spacing w:line="180" w:lineRule="exact"/>
      </w:pPr>
    </w:p>
    <w:p w14:paraId="5F51F339" w14:textId="77777777" w:rsidR="001F7233" w:rsidRDefault="00000000">
      <w:pPr>
        <w:spacing w:after="140"/>
      </w:pPr>
      <w:r>
        <w:t>Bundesagentur für Arbeit — Kindergeld im Ausland (arbeitsagentur.de/familie-und-kinder/infos-rund-um-kindergeld/kindergeld-ausland)</w:t>
      </w:r>
    </w:p>
    <w:p w14:paraId="65ECC4F2" w14:textId="77777777" w:rsidR="001F7233" w:rsidRDefault="00000000">
      <w:pPr>
        <w:spacing w:after="140"/>
      </w:pPr>
      <w:r>
        <w:lastRenderedPageBreak/>
        <w:t>Bundesgesundheitsministerium / DVKA — Kranken- und Pflegeversicherung bei Auslandsaufenthalten (bundesgesundheitsministerium.de/service/buergertelefon/kranken-und-pflegeversicherung-bei-auslandsaufenthalten)</w:t>
      </w:r>
    </w:p>
    <w:p w14:paraId="474C5FB1" w14:textId="77777777" w:rsidR="001F7233" w:rsidRDefault="00000000">
      <w:pPr>
        <w:spacing w:after="140"/>
      </w:pPr>
      <w:r>
        <w:t>IRS — Publication 926, Household Employer’s Tax Guide 2026 (irs.gov/publications/p926)</w:t>
      </w:r>
    </w:p>
    <w:p w14:paraId="57FFD2BB" w14:textId="77777777" w:rsidR="001F7233" w:rsidRDefault="00000000">
      <w:pPr>
        <w:spacing w:after="140"/>
      </w:pPr>
      <w:r>
        <w:t>Federal Trade Commission — Buying a Used Car From a Dealer. Auto Repair Basics (consumer.ftc.gov).</w:t>
      </w:r>
    </w:p>
    <w:p w14:paraId="0C442A13" w14:textId="77777777" w:rsidR="001F7233" w:rsidRDefault="00000000">
      <w:pPr>
        <w:spacing w:after="140"/>
      </w:pPr>
      <w:r>
        <w:t>National Highway Traffic Safety Administration — Recall Lookup (nhtsa.gov/recalls)</w:t>
      </w:r>
    </w:p>
    <w:p w14:paraId="2E0EE216" w14:textId="77777777" w:rsidR="001F7233" w:rsidRDefault="00000000">
      <w:pPr>
        <w:spacing w:after="140"/>
      </w:pPr>
      <w:r>
        <w:t>Centers for Medicare &amp; Medicaid Services — Long-Term Care Coverage (medicare.gov/coverage/long-term-care). Medicaid Nursing Facilities (medicaid.gov).</w:t>
      </w:r>
    </w:p>
    <w:p w14:paraId="0C042EE7" w14:textId="77777777" w:rsidR="001F7233" w:rsidRDefault="00000000">
      <w:pPr>
        <w:spacing w:after="140"/>
      </w:pPr>
      <w:r>
        <w:t>New Zealand Work and Income — Residential Care Subsidy (workandincome.govt.nz/products/a-z-benefits/residential-care-subsidy.html)</w:t>
      </w:r>
    </w:p>
    <w:p w14:paraId="1787FD48" w14:textId="77777777" w:rsidR="001F7233" w:rsidRDefault="00000000">
      <w:pPr>
        <w:spacing w:after="140"/>
      </w:pPr>
      <w:r>
        <w:t>Australian Government — Aged-care costs and fees (myagedcare.gov.au/aged-care-home-costs-and-fees). Migration (Skilled Visa Income Thresholds Amendment Regulations 2026, legislation.gov.au/F2026L00874).</w:t>
      </w:r>
    </w:p>
    <w:p w14:paraId="570C70D2" w14:textId="77777777" w:rsidR="001F7233" w:rsidRDefault="00000000">
      <w:pPr>
        <w:spacing w:after="140"/>
      </w:pPr>
      <w:r>
        <w:t>Immigration New Zealand — Employees of Relocating Business Resident Visa (immigration.govt.nz/visas/employees-of-relocating-business-resident-visa/)</w:t>
      </w:r>
      <w:r>
        <w:br w:type="page"/>
      </w:r>
    </w:p>
    <w:p w14:paraId="135114F0" w14:textId="77777777" w:rsidR="001F7233" w:rsidRDefault="00000000">
      <w:pPr>
        <w:pStyle w:val="Heading2"/>
        <w:keepNext/>
        <w:spacing w:line="341" w:lineRule="auto"/>
        <w:jc w:val="center"/>
      </w:pPr>
      <w:bookmarkStart w:id="155" w:name="s111"/>
      <w:r>
        <w:rPr>
          <w:rFonts w:ascii="Amazon Ember" w:eastAsia="Amazon Ember" w:hAnsi="Amazon Ember" w:cs="Amazon Ember"/>
          <w:color w:val="0000FF"/>
          <w:sz w:val="36"/>
          <w:szCs w:val="36"/>
        </w:rPr>
        <w:lastRenderedPageBreak/>
        <w:t>Quellen Kanada</w:t>
      </w:r>
      <w:bookmarkEnd w:id="155"/>
    </w:p>
    <w:p w14:paraId="289CFD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Einwanderungsbehörden</w:t>
      </w:r>
    </w:p>
    <w:p w14:paraId="29AA6858" w14:textId="77777777" w:rsidR="001F7233" w:rsidRDefault="00000000">
      <w:r>
        <w:t>• ircc.canada.ca/english/information/fees (auch /fees.asp)</w:t>
      </w:r>
    </w:p>
    <w:p w14:paraId="0971B125" w14:textId="77777777" w:rsidR="001F7233" w:rsidRDefault="00000000">
      <w:r>
        <w:rPr>
          <w:b/>
        </w:rPr>
        <w:t>ircc.canada.ca/english/information/fees (auch /fees.asp)</w:t>
      </w:r>
    </w:p>
    <w:p w14:paraId="69A57C41" w14:textId="77777777" w:rsidR="001F7233" w:rsidRDefault="00000000">
      <w:r>
        <w:rPr>
          <w:b/>
        </w:rPr>
        <w:t xml:space="preserve">Behörde / Thema: </w:t>
      </w:r>
      <w:r>
        <w:t>Gebühren für Permanent Residence, Arbeitsvisum, Visa und Biometrie</w:t>
      </w:r>
    </w:p>
    <w:p w14:paraId="0C9CC313" w14:textId="77777777" w:rsidR="001F7233" w:rsidRDefault="00000000">
      <w:r>
        <w:rPr>
          <w:b/>
        </w:rPr>
        <w:t xml:space="preserve">Referenz: </w:t>
      </w:r>
      <w:r>
        <w:t>Kanada: Einwanderung</w:t>
      </w:r>
    </w:p>
    <w:p w14:paraId="74F4743C" w14:textId="77777777" w:rsidR="001F7233" w:rsidRDefault="00000000">
      <w:r>
        <w:rPr>
          <w:b/>
        </w:rPr>
        <w:t>canada.ca/en/immigration-refugees-citizenship</w:t>
      </w:r>
    </w:p>
    <w:p w14:paraId="611C14CF" w14:textId="77777777" w:rsidR="001F7233" w:rsidRDefault="00000000">
      <w:r>
        <w:rPr>
          <w:b/>
        </w:rPr>
        <w:t xml:space="preserve">Behörde / Thema: </w:t>
      </w:r>
      <w:r>
        <w:t>Express Entry, CRS und Einladungsrunden</w:t>
      </w:r>
    </w:p>
    <w:p w14:paraId="0D574283" w14:textId="77777777" w:rsidR="001F7233" w:rsidRDefault="00000000">
      <w:r>
        <w:rPr>
          <w:b/>
        </w:rPr>
        <w:t xml:space="preserve">Referenz: </w:t>
      </w:r>
      <w:r>
        <w:t>Kanada: Einwanderung</w:t>
      </w:r>
    </w:p>
    <w:p w14:paraId="679F51FC" w14:textId="77777777" w:rsidR="001F7233" w:rsidRDefault="00000000">
      <w:r>
        <w:rPr>
          <w:b/>
        </w:rPr>
        <w:t>canada.ca (Suche: comprehensive-ranking-system)</w:t>
      </w:r>
    </w:p>
    <w:p w14:paraId="66192BCD" w14:textId="77777777" w:rsidR="001F7233" w:rsidRDefault="00000000">
      <w:r>
        <w:rPr>
          <w:b/>
        </w:rPr>
        <w:t xml:space="preserve">Behörde / Thema: </w:t>
      </w:r>
      <w:r>
        <w:t>CRS-Kriterien und Punkteberechnung</w:t>
      </w:r>
    </w:p>
    <w:p w14:paraId="6EB24FF4" w14:textId="77777777" w:rsidR="001F7233" w:rsidRDefault="00000000">
      <w:r>
        <w:rPr>
          <w:b/>
        </w:rPr>
        <w:t xml:space="preserve">Referenz: </w:t>
      </w:r>
      <w:r>
        <w:t>Kanada: Einwanderung</w:t>
      </w:r>
    </w:p>
    <w:p w14:paraId="49B246D7" w14:textId="77777777" w:rsidR="001F7233" w:rsidRDefault="00000000">
      <w:r>
        <w:rPr>
          <w:b/>
        </w:rPr>
        <w:t>canada.ca (Suche: federal-skilled-workers)</w:t>
      </w:r>
    </w:p>
    <w:p w14:paraId="5754820B" w14:textId="77777777" w:rsidR="001F7233" w:rsidRDefault="00000000">
      <w:r>
        <w:rPr>
          <w:b/>
        </w:rPr>
        <w:t xml:space="preserve">Behörde / Thema: </w:t>
      </w:r>
      <w:r>
        <w:t>Federal Skilled Worker Program</w:t>
      </w:r>
    </w:p>
    <w:p w14:paraId="600DB4F7" w14:textId="77777777" w:rsidR="001F7233" w:rsidRDefault="00000000">
      <w:r>
        <w:rPr>
          <w:b/>
        </w:rPr>
        <w:t xml:space="preserve">Referenz: </w:t>
      </w:r>
      <w:r>
        <w:t>Kanada: Einwanderung</w:t>
      </w:r>
    </w:p>
    <w:p w14:paraId="08E440D3" w14:textId="77777777" w:rsidR="001F7233" w:rsidRDefault="00000000">
      <w:r>
        <w:rPr>
          <w:b/>
        </w:rPr>
        <w:t>canada.ca (Suche: provincial-nominees)</w:t>
      </w:r>
    </w:p>
    <w:p w14:paraId="37979101" w14:textId="77777777" w:rsidR="001F7233" w:rsidRDefault="00000000">
      <w:r>
        <w:rPr>
          <w:b/>
        </w:rPr>
        <w:t xml:space="preserve">Behörde / Thema: </w:t>
      </w:r>
      <w:r>
        <w:t>Provincial Nominee Program, Übersicht je Provinz</w:t>
      </w:r>
    </w:p>
    <w:p w14:paraId="4CA2AF99" w14:textId="77777777" w:rsidR="001F7233" w:rsidRDefault="00000000">
      <w:r>
        <w:rPr>
          <w:b/>
        </w:rPr>
        <w:t xml:space="preserve">Referenz: </w:t>
      </w:r>
      <w:r>
        <w:t>Kanada: Einwanderung</w:t>
      </w:r>
    </w:p>
    <w:p w14:paraId="1837716D" w14:textId="77777777" w:rsidR="001F7233" w:rsidRDefault="00000000">
      <w:r>
        <w:rPr>
          <w:b/>
        </w:rPr>
        <w:t>ontario.ca/page/ontario-immigrant-nominee-program</w:t>
      </w:r>
    </w:p>
    <w:p w14:paraId="22072B35" w14:textId="77777777" w:rsidR="001F7233" w:rsidRDefault="00000000">
      <w:r>
        <w:rPr>
          <w:b/>
        </w:rPr>
        <w:t xml:space="preserve">Behörde / Thema: </w:t>
      </w:r>
      <w:r>
        <w:t>Ontario Immigrant Nominee Program (OINP)</w:t>
      </w:r>
    </w:p>
    <w:p w14:paraId="0811441C" w14:textId="77777777" w:rsidR="001F7233" w:rsidRDefault="00000000">
      <w:r>
        <w:rPr>
          <w:b/>
        </w:rPr>
        <w:t xml:space="preserve">Referenz: </w:t>
      </w:r>
      <w:r>
        <w:t>Kanada: Einwanderung</w:t>
      </w:r>
    </w:p>
    <w:p w14:paraId="196E8DF6" w14:textId="77777777" w:rsidR="001F7233" w:rsidRDefault="00000000">
      <w:r>
        <w:rPr>
          <w:b/>
        </w:rPr>
        <w:t>welcomebc.ca/immigrate-to-b-c/about-the-bc-pnp</w:t>
      </w:r>
    </w:p>
    <w:p w14:paraId="4148DB27" w14:textId="77777777" w:rsidR="001F7233" w:rsidRDefault="00000000">
      <w:r>
        <w:rPr>
          <w:b/>
        </w:rPr>
        <w:t xml:space="preserve">Behörde / Thema: </w:t>
      </w:r>
      <w:r>
        <w:t>British Columbia Provincial Nominee Program</w:t>
      </w:r>
    </w:p>
    <w:p w14:paraId="230C3745" w14:textId="77777777" w:rsidR="001F7233" w:rsidRDefault="00000000">
      <w:r>
        <w:rPr>
          <w:b/>
        </w:rPr>
        <w:t xml:space="preserve">Referenz: </w:t>
      </w:r>
      <w:r>
        <w:t>Kanada: Einwanderung</w:t>
      </w:r>
    </w:p>
    <w:p w14:paraId="26B10C36" w14:textId="77777777" w:rsidR="001F7233" w:rsidRDefault="00000000">
      <w:r>
        <w:rPr>
          <w:b/>
        </w:rPr>
        <w:t>canada.ca/en/employment-social-development (auch /services/foreign-workers)</w:t>
      </w:r>
    </w:p>
    <w:p w14:paraId="712E4BA8" w14:textId="77777777" w:rsidR="001F7233" w:rsidRDefault="00000000">
      <w:r>
        <w:rPr>
          <w:b/>
        </w:rPr>
        <w:t xml:space="preserve">Behörde / Thema: </w:t>
      </w:r>
      <w:r>
        <w:t>ESDC: Labour Market Impact Assessment (LMIA), Gebühren und Bearbeitungszeiten</w:t>
      </w:r>
    </w:p>
    <w:p w14:paraId="18195648" w14:textId="77777777" w:rsidR="001F7233" w:rsidRDefault="00000000">
      <w:r>
        <w:rPr>
          <w:b/>
        </w:rPr>
        <w:t xml:space="preserve">Referenz: </w:t>
      </w:r>
      <w:r>
        <w:t>Kanada: Einwanderung</w:t>
      </w:r>
    </w:p>
    <w:p w14:paraId="1F0FD183" w14:textId="77777777" w:rsidR="001F7233" w:rsidRDefault="00000000">
      <w:r>
        <w:rPr>
          <w:b/>
        </w:rPr>
        <w:lastRenderedPageBreak/>
        <w:t>canada.ca (Suche: study-permit, post-graduation-work-permit)</w:t>
      </w:r>
    </w:p>
    <w:p w14:paraId="3CE561C3" w14:textId="77777777" w:rsidR="001F7233" w:rsidRDefault="00000000">
      <w:r>
        <w:rPr>
          <w:b/>
        </w:rPr>
        <w:t xml:space="preserve">Behörde / Thema: </w:t>
      </w:r>
      <w:r>
        <w:t>Study Permit und Post-Graduation Work Permit</w:t>
      </w:r>
    </w:p>
    <w:p w14:paraId="46E44125" w14:textId="77777777" w:rsidR="001F7233" w:rsidRDefault="00000000">
      <w:r>
        <w:rPr>
          <w:b/>
        </w:rPr>
        <w:t xml:space="preserve">Referenz: </w:t>
      </w:r>
      <w:r>
        <w:t>Kanada: Einwanderung</w:t>
      </w:r>
    </w:p>
    <w:p w14:paraId="3DA3F0F9" w14:textId="77777777" w:rsidR="001F7233" w:rsidRDefault="00000000">
      <w:r>
        <w:rPr>
          <w:b/>
        </w:rPr>
        <w:t>canada.ca (Suche: start-visa)</w:t>
      </w:r>
    </w:p>
    <w:p w14:paraId="556053B4" w14:textId="77777777" w:rsidR="001F7233" w:rsidRDefault="00000000">
      <w:r>
        <w:rPr>
          <w:b/>
        </w:rPr>
        <w:t xml:space="preserve">Behörde / Thema: </w:t>
      </w:r>
      <w:r>
        <w:t>Start-up Visa Program, Zulässigkeit und designierte Organisationen</w:t>
      </w:r>
    </w:p>
    <w:p w14:paraId="6B77F2A9" w14:textId="77777777" w:rsidR="001F7233" w:rsidRDefault="00000000">
      <w:r>
        <w:rPr>
          <w:b/>
        </w:rPr>
        <w:t xml:space="preserve">Referenz: </w:t>
      </w:r>
      <w:r>
        <w:t>Kanada: Einwanderung</w:t>
      </w:r>
    </w:p>
    <w:p w14:paraId="73A5282A" w14:textId="77777777" w:rsidR="001F7233" w:rsidRDefault="00000000">
      <w:r>
        <w:rPr>
          <w:b/>
        </w:rPr>
        <w:t>canada.ca (Suche: sponsor-spouse-partner-child)</w:t>
      </w:r>
    </w:p>
    <w:p w14:paraId="2202CD51" w14:textId="77777777" w:rsidR="001F7233" w:rsidRDefault="00000000">
      <w:r>
        <w:rPr>
          <w:b/>
        </w:rPr>
        <w:t xml:space="preserve">Behörde / Thema: </w:t>
      </w:r>
      <w:r>
        <w:t>Ehepartner- und Lebenspartner-Sponsoring</w:t>
      </w:r>
    </w:p>
    <w:p w14:paraId="608B7238" w14:textId="77777777" w:rsidR="001F7233" w:rsidRDefault="00000000">
      <w:r>
        <w:rPr>
          <w:b/>
        </w:rPr>
        <w:t xml:space="preserve">Referenz: </w:t>
      </w:r>
      <w:r>
        <w:t>Kanada: Einwanderung</w:t>
      </w:r>
    </w:p>
    <w:p w14:paraId="60A9A75B" w14:textId="77777777" w:rsidR="001F7233" w:rsidRDefault="00000000">
      <w:r>
        <w:rPr>
          <w:b/>
        </w:rPr>
        <w:t>canada.ca (Suche: sponsor-parents-grandparents)</w:t>
      </w:r>
    </w:p>
    <w:p w14:paraId="6786462B" w14:textId="77777777" w:rsidR="001F7233" w:rsidRDefault="00000000">
      <w:r>
        <w:rPr>
          <w:b/>
        </w:rPr>
        <w:t xml:space="preserve">Behörde / Thema: </w:t>
      </w:r>
      <w:r>
        <w:t>Eltern- und Großeltern-Programm, Einkommensvoraussetzungen</w:t>
      </w:r>
    </w:p>
    <w:p w14:paraId="253EBFFB" w14:textId="77777777" w:rsidR="001F7233" w:rsidRDefault="00000000">
      <w:r>
        <w:rPr>
          <w:b/>
        </w:rPr>
        <w:t xml:space="preserve">Referenz: </w:t>
      </w:r>
      <w:r>
        <w:t>Kanada: Einwanderung</w:t>
      </w:r>
    </w:p>
    <w:p w14:paraId="7357CA49" w14:textId="77777777" w:rsidR="001F7233" w:rsidRDefault="00000000">
      <w:r>
        <w:rPr>
          <w:b/>
        </w:rPr>
        <w:t>canada.ca (Suche: super-visa)</w:t>
      </w:r>
    </w:p>
    <w:p w14:paraId="09F84503" w14:textId="77777777" w:rsidR="001F7233" w:rsidRDefault="00000000">
      <w:r>
        <w:rPr>
          <w:b/>
        </w:rPr>
        <w:t xml:space="preserve">Behörde / Thema: </w:t>
      </w:r>
      <w:r>
        <w:t>Super Visa für Eltern und Großeltern</w:t>
      </w:r>
    </w:p>
    <w:p w14:paraId="147C4C8C" w14:textId="77777777" w:rsidR="001F7233" w:rsidRDefault="00000000">
      <w:r>
        <w:rPr>
          <w:b/>
        </w:rPr>
        <w:t xml:space="preserve">Referenz: </w:t>
      </w:r>
      <w:r>
        <w:t>Kanada: Einwanderung</w:t>
      </w:r>
    </w:p>
    <w:p w14:paraId="7F916322" w14:textId="77777777" w:rsidR="001F7233" w:rsidRDefault="00000000">
      <w:r>
        <w:rPr>
          <w:b/>
        </w:rPr>
        <w:t>canada.ca (Suche: check-processing-times)</w:t>
      </w:r>
    </w:p>
    <w:p w14:paraId="07950C1C" w14:textId="77777777" w:rsidR="001F7233" w:rsidRDefault="00000000">
      <w:r>
        <w:rPr>
          <w:b/>
        </w:rPr>
        <w:t xml:space="preserve">Behörde / Thema: </w:t>
      </w:r>
      <w:r>
        <w:t>Bearbeitungszeiten für Anträge</w:t>
      </w:r>
    </w:p>
    <w:p w14:paraId="7BFE5247" w14:textId="77777777" w:rsidR="001F7233" w:rsidRDefault="00000000">
      <w:r>
        <w:rPr>
          <w:b/>
        </w:rPr>
        <w:t xml:space="preserve">Referenz: </w:t>
      </w:r>
      <w:r>
        <w:t>Kanada: Einwanderung</w:t>
      </w:r>
    </w:p>
    <w:p w14:paraId="66A77244" w14:textId="77777777" w:rsidR="001F7233" w:rsidRDefault="00000000">
      <w:r>
        <w:rPr>
          <w:b/>
        </w:rPr>
        <w:t>canada.ca (Suche: panel-physicians)</w:t>
      </w:r>
    </w:p>
    <w:p w14:paraId="40D779F0" w14:textId="77777777" w:rsidR="001F7233" w:rsidRDefault="00000000">
      <w:r>
        <w:rPr>
          <w:b/>
        </w:rPr>
        <w:t xml:space="preserve">Behörde / Thema: </w:t>
      </w:r>
      <w:r>
        <w:t>Ärztliche Untersuchung, Panel Physicians</w:t>
      </w:r>
    </w:p>
    <w:p w14:paraId="256DC0DC" w14:textId="77777777" w:rsidR="001F7233" w:rsidRDefault="00000000">
      <w:r>
        <w:rPr>
          <w:b/>
        </w:rPr>
        <w:t xml:space="preserve">Referenz: </w:t>
      </w:r>
      <w:r>
        <w:t>Kanada: Einwanderung</w:t>
      </w:r>
    </w:p>
    <w:p w14:paraId="7E8C7523" w14:textId="77777777" w:rsidR="001F7233" w:rsidRDefault="00000000">
      <w:r>
        <w:rPr>
          <w:b/>
        </w:rPr>
        <w:t>canada.ca (Suche: police-certificates germany)</w:t>
      </w:r>
    </w:p>
    <w:p w14:paraId="6D76A8E9" w14:textId="77777777" w:rsidR="001F7233" w:rsidRDefault="00000000">
      <w:r>
        <w:rPr>
          <w:b/>
        </w:rPr>
        <w:t xml:space="preserve">Behörde / Thema: </w:t>
      </w:r>
      <w:r>
        <w:t>Polizeiliches Führungszeugnis aus Deutschland beibringen</w:t>
      </w:r>
    </w:p>
    <w:p w14:paraId="7C3AF3BE" w14:textId="77777777" w:rsidR="001F7233" w:rsidRDefault="00000000">
      <w:r>
        <w:rPr>
          <w:b/>
        </w:rPr>
        <w:t xml:space="preserve">Referenz: </w:t>
      </w:r>
      <w:r>
        <w:t>Kanada: Einwanderung</w:t>
      </w:r>
    </w:p>
    <w:p w14:paraId="7CA5BF06" w14:textId="77777777" w:rsidR="001F7233" w:rsidRDefault="00000000">
      <w:r>
        <w:rPr>
          <w:b/>
        </w:rPr>
        <w:t>college-ic.ca</w:t>
      </w:r>
    </w:p>
    <w:p w14:paraId="7D9E44E2" w14:textId="77777777" w:rsidR="001F7233" w:rsidRDefault="00000000">
      <w:r>
        <w:rPr>
          <w:b/>
        </w:rPr>
        <w:t xml:space="preserve">Behörde / Thema: </w:t>
      </w:r>
      <w:r>
        <w:t>College of Immigration and Citizenship Consultants, Register zugelassener Berater</w:t>
      </w:r>
    </w:p>
    <w:p w14:paraId="3BC58E1C" w14:textId="77777777" w:rsidR="001F7233" w:rsidRDefault="00000000">
      <w:r>
        <w:rPr>
          <w:b/>
        </w:rPr>
        <w:t xml:space="preserve">Referenz: </w:t>
      </w:r>
      <w:r>
        <w:t>Kanada: Einwanderung</w:t>
      </w:r>
    </w:p>
    <w:p w14:paraId="24E99354" w14:textId="77777777" w:rsidR="001F7233" w:rsidRDefault="00000000">
      <w:r>
        <w:rPr>
          <w:b/>
        </w:rPr>
        <w:t>visa.vfsglobal.com/deu/de/can</w:t>
      </w:r>
    </w:p>
    <w:p w14:paraId="2FC5B81C" w14:textId="77777777" w:rsidR="001F7233" w:rsidRDefault="00000000">
      <w:r>
        <w:rPr>
          <w:b/>
        </w:rPr>
        <w:t xml:space="preserve">Behörde / Thema: </w:t>
      </w:r>
      <w:r>
        <w:t>Visa Application Centre Berlin</w:t>
      </w:r>
    </w:p>
    <w:p w14:paraId="4F34E5A9" w14:textId="77777777" w:rsidR="001F7233" w:rsidRDefault="00000000">
      <w:r>
        <w:rPr>
          <w:b/>
        </w:rPr>
        <w:t xml:space="preserve">Referenz: </w:t>
      </w:r>
      <w:r>
        <w:t>Kanada: Einwanderung</w:t>
      </w:r>
    </w:p>
    <w:p w14:paraId="3B5B55EB" w14:textId="77777777" w:rsidR="001F7233" w:rsidRDefault="00000000">
      <w:r>
        <w:rPr>
          <w:b/>
        </w:rPr>
        <w:t>cbsa-asfc.gc.ca</w:t>
      </w:r>
    </w:p>
    <w:p w14:paraId="39FBE3D3" w14:textId="77777777" w:rsidR="001F7233" w:rsidRDefault="00000000">
      <w:r>
        <w:rPr>
          <w:b/>
        </w:rPr>
        <w:lastRenderedPageBreak/>
        <w:t xml:space="preserve">Behörde / Thema: </w:t>
      </w:r>
      <w:r>
        <w:t>Canada Border Services Agency, Einreise</w:t>
      </w:r>
    </w:p>
    <w:p w14:paraId="0F5FEC1F" w14:textId="77777777" w:rsidR="001F7233" w:rsidRDefault="00000000">
      <w:r>
        <w:rPr>
          <w:b/>
        </w:rPr>
        <w:t xml:space="preserve">Referenz: </w:t>
      </w:r>
      <w:r>
        <w:t>Kanada: Ankunft</w:t>
      </w:r>
    </w:p>
    <w:p w14:paraId="6DF22C43" w14:textId="77777777" w:rsidR="001F7233" w:rsidRDefault="00000000">
      <w:r>
        <w:rPr>
          <w:b/>
        </w:rPr>
        <w:t>inspection.canada.ca/en/importing-food-plants-animals/pets</w:t>
      </w:r>
    </w:p>
    <w:p w14:paraId="7E98FFB8" w14:textId="77777777" w:rsidR="001F7233" w:rsidRDefault="00000000">
      <w:r>
        <w:rPr>
          <w:b/>
        </w:rPr>
        <w:t xml:space="preserve">Behörde / Thema: </w:t>
      </w:r>
      <w:r>
        <w:t>CFIA, Einfuhr von Hunden und Katzen</w:t>
      </w:r>
    </w:p>
    <w:p w14:paraId="4E973FF0" w14:textId="77777777" w:rsidR="001F7233" w:rsidRDefault="00000000">
      <w:r>
        <w:rPr>
          <w:b/>
        </w:rPr>
        <w:t xml:space="preserve">Referenz: </w:t>
      </w:r>
      <w:r>
        <w:t>Kanada: Ankunft</w:t>
      </w:r>
    </w:p>
    <w:p w14:paraId="1B7CAB0A" w14:textId="77777777" w:rsidR="001F7233" w:rsidRDefault="00000000">
      <w:r>
        <w:rPr>
          <w:b/>
        </w:rPr>
        <w:t>canada.ca/en/employment-social-development/services/sin.html</w:t>
      </w:r>
    </w:p>
    <w:p w14:paraId="18BA51BD" w14:textId="77777777" w:rsidR="001F7233" w:rsidRDefault="00000000">
      <w:r>
        <w:rPr>
          <w:b/>
        </w:rPr>
        <w:t xml:space="preserve">Behörde / Thema: </w:t>
      </w:r>
      <w:r>
        <w:t>Social Insurance Number (SIN) beantragen</w:t>
      </w:r>
    </w:p>
    <w:p w14:paraId="3EDE6E7E" w14:textId="77777777" w:rsidR="001F7233" w:rsidRDefault="00000000">
      <w:r>
        <w:rPr>
          <w:b/>
        </w:rPr>
        <w:t xml:space="preserve">Referenz: </w:t>
      </w:r>
      <w:r>
        <w:t>Kanada: Ankunft</w:t>
      </w:r>
    </w:p>
    <w:p w14:paraId="76419F67" w14:textId="77777777" w:rsidR="001F7233" w:rsidRDefault="00000000">
      <w:r>
        <w:rPr>
          <w:b/>
        </w:rPr>
        <w:t>canada.ca/en/immigration-refugees-citizenship/services/work-canada</w:t>
      </w:r>
    </w:p>
    <w:p w14:paraId="4E8D2522" w14:textId="77777777" w:rsidR="001F7233" w:rsidRDefault="00000000">
      <w:r>
        <w:rPr>
          <w:b/>
        </w:rPr>
        <w:t xml:space="preserve">Behörde / Thema: </w:t>
      </w:r>
      <w:r>
        <w:t>Work Permit, Arbeitgeberwechsel, Bridging Open Work Permit</w:t>
      </w:r>
    </w:p>
    <w:p w14:paraId="17D666CA" w14:textId="77777777" w:rsidR="001F7233" w:rsidRDefault="00000000">
      <w:r>
        <w:rPr>
          <w:b/>
        </w:rPr>
        <w:t xml:space="preserve">Referenz: </w:t>
      </w:r>
      <w:r>
        <w:t>Kanada: Arbeitswelt</w:t>
      </w:r>
    </w:p>
    <w:p w14:paraId="17321A45" w14:textId="77777777" w:rsidR="001F7233" w:rsidRDefault="00000000">
      <w:r>
        <w:rPr>
          <w:b/>
        </w:rPr>
        <w:t>canada.ca/en/immigration-refugees-citizenship/services/work-canada/permit/temporary/vulnerable-workers.html</w:t>
      </w:r>
    </w:p>
    <w:p w14:paraId="78267618" w14:textId="77777777" w:rsidR="001F7233" w:rsidRDefault="00000000">
      <w:r>
        <w:rPr>
          <w:b/>
        </w:rPr>
        <w:t xml:space="preserve">Behörde / Thema: </w:t>
      </w:r>
      <w:r>
        <w:t>Offenes Arbeitsvisum für gefährdete Arbeitnehmer</w:t>
      </w:r>
    </w:p>
    <w:p w14:paraId="768D7D49" w14:textId="77777777" w:rsidR="001F7233" w:rsidRDefault="00000000">
      <w:r>
        <w:rPr>
          <w:b/>
        </w:rPr>
        <w:t xml:space="preserve">Referenz: </w:t>
      </w:r>
      <w:r>
        <w:t>Kanada: Arbeitswelt</w:t>
      </w:r>
    </w:p>
    <w:p w14:paraId="2D0C626A" w14:textId="77777777" w:rsidR="001F7233" w:rsidRDefault="00000000">
      <w:r>
        <w:rPr>
          <w:b/>
        </w:rPr>
        <w:t>canada.ca (Citizenship: physical presence calculator, requirements, fees)</w:t>
      </w:r>
    </w:p>
    <w:p w14:paraId="4F2850F4" w14:textId="77777777" w:rsidR="001F7233" w:rsidRDefault="00000000">
      <w:r>
        <w:rPr>
          <w:b/>
        </w:rPr>
        <w:t xml:space="preserve">Behörde / Thema: </w:t>
      </w:r>
      <w:r>
        <w:t>Einbürgerung: Aufenthaltsrechner, Voraussetzungen, Gebühren</w:t>
      </w:r>
    </w:p>
    <w:p w14:paraId="58B66F50" w14:textId="77777777" w:rsidR="001F7233" w:rsidRDefault="00000000">
      <w:r>
        <w:rPr>
          <w:b/>
        </w:rPr>
        <w:t xml:space="preserve">Referenz: </w:t>
      </w:r>
      <w:r>
        <w:t>Kanada: Staatsbürgerschaft</w:t>
      </w:r>
    </w:p>
    <w:p w14:paraId="69D9459F" w14:textId="77777777" w:rsidR="001F7233" w:rsidRDefault="00000000">
      <w:r>
        <w:rPr>
          <w:b/>
        </w:rPr>
        <w:t>canada.ca (Understand permanent resident status)</w:t>
      </w:r>
    </w:p>
    <w:p w14:paraId="4F50E4BD" w14:textId="77777777" w:rsidR="001F7233" w:rsidRDefault="00000000">
      <w:r>
        <w:rPr>
          <w:b/>
        </w:rPr>
        <w:t xml:space="preserve">Behörde / Thema: </w:t>
      </w:r>
      <w:r>
        <w:t>IRPA-Aufenthaltspflichten für Permanent Residents</w:t>
      </w:r>
    </w:p>
    <w:p w14:paraId="6D6409CA" w14:textId="77777777" w:rsidR="001F7233" w:rsidRDefault="00000000">
      <w:r>
        <w:rPr>
          <w:b/>
        </w:rPr>
        <w:t xml:space="preserve">Referenz: </w:t>
      </w:r>
      <w:r>
        <w:t>Kanada: Staatsbürgerschaft</w:t>
      </w:r>
    </w:p>
    <w:p w14:paraId="31D87023" w14:textId="77777777" w:rsidR="001F7233" w:rsidRDefault="00000000">
      <w:r>
        <w:rPr>
          <w:b/>
        </w:rPr>
        <w:t>bmi.bund.de</w:t>
      </w:r>
    </w:p>
    <w:p w14:paraId="5752BBF7" w14:textId="77777777" w:rsidR="001F7233" w:rsidRDefault="00000000">
      <w:r>
        <w:rPr>
          <w:b/>
        </w:rPr>
        <w:t xml:space="preserve">Behörde / Thema: </w:t>
      </w:r>
      <w:r>
        <w:t>Staatsangehörigkeitsrecht, Reform 2024 (Mehrstaatigkeit)</w:t>
      </w:r>
    </w:p>
    <w:p w14:paraId="1C01D6FD" w14:textId="77777777" w:rsidR="001F7233" w:rsidRDefault="00000000">
      <w:r>
        <w:rPr>
          <w:b/>
        </w:rPr>
        <w:t xml:space="preserve">Referenz: </w:t>
      </w:r>
      <w:r>
        <w:t>Kanada: Staatsbürgerschaft</w:t>
      </w:r>
    </w:p>
    <w:p w14:paraId="0DA15CBD" w14:textId="77777777" w:rsidR="001F7233" w:rsidRDefault="001F7233">
      <w:pPr>
        <w:spacing w:line="180" w:lineRule="exact"/>
      </w:pPr>
    </w:p>
    <w:p w14:paraId="026F74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Steuern und Sozialversicherung</w:t>
      </w:r>
    </w:p>
    <w:p w14:paraId="08CDD6A4" w14:textId="77777777" w:rsidR="001F7233" w:rsidRDefault="00000000">
      <w:r>
        <w:t>• canada.ca/en/revenue-agency</w:t>
      </w:r>
    </w:p>
    <w:p w14:paraId="5BB0002F" w14:textId="77777777" w:rsidR="001F7233" w:rsidRDefault="00000000">
      <w:r>
        <w:rPr>
          <w:b/>
        </w:rPr>
        <w:t>canada.ca/en/revenue-agency</w:t>
      </w:r>
    </w:p>
    <w:p w14:paraId="0A03FB29" w14:textId="77777777" w:rsidR="001F7233" w:rsidRDefault="00000000">
      <w:r>
        <w:rPr>
          <w:b/>
        </w:rPr>
        <w:t xml:space="preserve">Behörde / Thema: </w:t>
      </w:r>
      <w:r>
        <w:t>CRA: Einkommensteuersätze, CPP-Beitragssätze, Startseite</w:t>
      </w:r>
    </w:p>
    <w:p w14:paraId="55C71442" w14:textId="77777777" w:rsidR="001F7233" w:rsidRDefault="00000000">
      <w:r>
        <w:rPr>
          <w:b/>
        </w:rPr>
        <w:t xml:space="preserve">Referenz: </w:t>
      </w:r>
      <w:r>
        <w:t>Kanada: Steuern</w:t>
      </w:r>
    </w:p>
    <w:p w14:paraId="516102F0" w14:textId="77777777" w:rsidR="001F7233" w:rsidRDefault="00000000">
      <w:r>
        <w:rPr>
          <w:b/>
        </w:rPr>
        <w:t>canada.ca (Suche: newcomers to Canada tax)</w:t>
      </w:r>
    </w:p>
    <w:p w14:paraId="11BA9EA9" w14:textId="77777777" w:rsidR="001F7233" w:rsidRDefault="00000000">
      <w:r>
        <w:rPr>
          <w:b/>
        </w:rPr>
        <w:t xml:space="preserve">Behörde / Thema: </w:t>
      </w:r>
      <w:r>
        <w:t>Steuern für Neuankömmlinge</w:t>
      </w:r>
    </w:p>
    <w:p w14:paraId="3F657B55" w14:textId="77777777" w:rsidR="001F7233" w:rsidRDefault="00000000">
      <w:r>
        <w:rPr>
          <w:b/>
        </w:rPr>
        <w:t xml:space="preserve">Referenz: </w:t>
      </w:r>
      <w:r>
        <w:t>Kanada: Steuern</w:t>
      </w:r>
    </w:p>
    <w:p w14:paraId="33393FBA" w14:textId="77777777" w:rsidR="001F7233" w:rsidRDefault="00000000">
      <w:r>
        <w:rPr>
          <w:b/>
        </w:rPr>
        <w:t>gov.bc.ca (auch www2.gov.bc.ca, Suche: income tax rates)</w:t>
      </w:r>
    </w:p>
    <w:p w14:paraId="364E7FDD" w14:textId="77777777" w:rsidR="001F7233" w:rsidRDefault="00000000">
      <w:r>
        <w:rPr>
          <w:b/>
        </w:rPr>
        <w:t xml:space="preserve">Behörde / Thema: </w:t>
      </w:r>
      <w:r>
        <w:t>British-Columbia-Einkommensteuersätze</w:t>
      </w:r>
    </w:p>
    <w:p w14:paraId="7C8C0B16" w14:textId="77777777" w:rsidR="001F7233" w:rsidRDefault="00000000">
      <w:r>
        <w:rPr>
          <w:b/>
        </w:rPr>
        <w:t xml:space="preserve">Referenz: </w:t>
      </w:r>
      <w:r>
        <w:t>Kanada: Steuern</w:t>
      </w:r>
    </w:p>
    <w:p w14:paraId="239247FA" w14:textId="77777777" w:rsidR="001F7233" w:rsidRDefault="00000000">
      <w:r>
        <w:rPr>
          <w:b/>
        </w:rPr>
        <w:t>taxtips.ca</w:t>
      </w:r>
    </w:p>
    <w:p w14:paraId="3DDFF466" w14:textId="77777777" w:rsidR="001F7233" w:rsidRDefault="00000000">
      <w:r>
        <w:rPr>
          <w:b/>
        </w:rPr>
        <w:t xml:space="preserve">Behörde / Thema: </w:t>
      </w:r>
      <w:r>
        <w:t>Unabhängige Steuer-Referenzseite: Ontario- und Provinztabellen, Verkaufssteuern</w:t>
      </w:r>
    </w:p>
    <w:p w14:paraId="53AFB7D5" w14:textId="77777777" w:rsidR="001F7233" w:rsidRDefault="00000000">
      <w:r>
        <w:rPr>
          <w:b/>
        </w:rPr>
        <w:t xml:space="preserve">Referenz: </w:t>
      </w:r>
      <w:r>
        <w:t>Kanada: Steuern</w:t>
      </w:r>
    </w:p>
    <w:p w14:paraId="172C4ADC" w14:textId="77777777" w:rsidR="001F7233" w:rsidRDefault="00000000">
      <w:r>
        <w:rPr>
          <w:b/>
        </w:rPr>
        <w:t>rbc.com, td.com, scotiabank.com, bmo.com, cibc.com</w:t>
      </w:r>
    </w:p>
    <w:p w14:paraId="1940A3A7" w14:textId="77777777" w:rsidR="001F7233" w:rsidRDefault="00000000">
      <w:r>
        <w:rPr>
          <w:b/>
        </w:rPr>
        <w:t xml:space="preserve">Behörde / Thema: </w:t>
      </w:r>
      <w:r>
        <w:t>Newcomer-Bankpakete der „Big Five“-Banken</w:t>
      </w:r>
    </w:p>
    <w:p w14:paraId="5FD30D51" w14:textId="77777777" w:rsidR="001F7233" w:rsidRDefault="00000000">
      <w:r>
        <w:rPr>
          <w:b/>
        </w:rPr>
        <w:t xml:space="preserve">Referenz: </w:t>
      </w:r>
      <w:r>
        <w:t>Kanada: Steuern</w:t>
      </w:r>
    </w:p>
    <w:p w14:paraId="3EB2B97D" w14:textId="77777777" w:rsidR="001F7233" w:rsidRDefault="00000000">
      <w:r>
        <w:rPr>
          <w:b/>
        </w:rPr>
        <w:t>equifax.ca, transunion.ca</w:t>
      </w:r>
    </w:p>
    <w:p w14:paraId="6982BAD0" w14:textId="77777777" w:rsidR="001F7233" w:rsidRDefault="00000000">
      <w:r>
        <w:rPr>
          <w:b/>
        </w:rPr>
        <w:t xml:space="preserve">Behörde / Thema: </w:t>
      </w:r>
      <w:r>
        <w:t>Kreditauskunft und Score-Aufbau in Kanada</w:t>
      </w:r>
    </w:p>
    <w:p w14:paraId="5745A590" w14:textId="77777777" w:rsidR="001F7233" w:rsidRDefault="00000000">
      <w:r>
        <w:rPr>
          <w:b/>
        </w:rPr>
        <w:t xml:space="preserve">Referenz: </w:t>
      </w:r>
      <w:r>
        <w:t>Kanada: Steuern</w:t>
      </w:r>
    </w:p>
    <w:p w14:paraId="25ED63A6" w14:textId="77777777" w:rsidR="001F7233" w:rsidRDefault="00000000">
      <w:r>
        <w:rPr>
          <w:b/>
        </w:rPr>
        <w:t>canada.ca (Competent Authority Notices)</w:t>
      </w:r>
    </w:p>
    <w:p w14:paraId="1F14A515" w14:textId="77777777" w:rsidR="001F7233" w:rsidRDefault="00000000">
      <w:r>
        <w:rPr>
          <w:b/>
        </w:rPr>
        <w:t xml:space="preserve">Behörde / Thema: </w:t>
      </w:r>
      <w:r>
        <w:t>Doppelbesteuerungsabkommen Kanada–Deutschland</w:t>
      </w:r>
    </w:p>
    <w:p w14:paraId="760DDEEF" w14:textId="77777777" w:rsidR="001F7233" w:rsidRDefault="00000000">
      <w:r>
        <w:rPr>
          <w:b/>
        </w:rPr>
        <w:t xml:space="preserve">Referenz: </w:t>
      </w:r>
      <w:r>
        <w:t>Kanada: Steuern</w:t>
      </w:r>
    </w:p>
    <w:p w14:paraId="0D2E5B88" w14:textId="77777777" w:rsidR="001F7233" w:rsidRDefault="00000000">
      <w:r>
        <w:rPr>
          <w:b/>
        </w:rPr>
        <w:t>bzst.de</w:t>
      </w:r>
    </w:p>
    <w:p w14:paraId="467A28AD" w14:textId="77777777" w:rsidR="001F7233" w:rsidRDefault="00000000">
      <w:r>
        <w:rPr>
          <w:b/>
        </w:rPr>
        <w:t xml:space="preserve">Behörde / Thema: </w:t>
      </w:r>
      <w:r>
        <w:t>Doppelbesteuerungsabkommen Kanada–Deutschland, deutsche Seite</w:t>
      </w:r>
    </w:p>
    <w:p w14:paraId="57775E7F" w14:textId="77777777" w:rsidR="001F7233" w:rsidRDefault="00000000">
      <w:r>
        <w:rPr>
          <w:b/>
        </w:rPr>
        <w:t xml:space="preserve">Referenz: </w:t>
      </w:r>
      <w:r>
        <w:t>Kanada: Steuern</w:t>
      </w:r>
    </w:p>
    <w:p w14:paraId="19710C53" w14:textId="77777777" w:rsidR="001F7233" w:rsidRDefault="00000000">
      <w:r>
        <w:rPr>
          <w:b/>
        </w:rPr>
        <w:t>cra-arc.gc.ca</w:t>
      </w:r>
    </w:p>
    <w:p w14:paraId="20F28BFE" w14:textId="77777777" w:rsidR="001F7233" w:rsidRDefault="00000000">
      <w:r>
        <w:rPr>
          <w:b/>
        </w:rPr>
        <w:lastRenderedPageBreak/>
        <w:t xml:space="preserve">Behörde / Thema: </w:t>
      </w:r>
      <w:r>
        <w:t>Steuerliche Ansässigkeit für Nichtansässige (Non-Residents of Canada)</w:t>
      </w:r>
    </w:p>
    <w:p w14:paraId="13F15FD3" w14:textId="77777777" w:rsidR="001F7233" w:rsidRDefault="00000000">
      <w:r>
        <w:rPr>
          <w:b/>
        </w:rPr>
        <w:t xml:space="preserve">Referenz: </w:t>
      </w:r>
      <w:r>
        <w:t>Kanada: Steuern</w:t>
      </w:r>
    </w:p>
    <w:p w14:paraId="2DF5DF3F" w14:textId="77777777" w:rsidR="001F7233" w:rsidRDefault="00000000">
      <w:r>
        <w:rPr>
          <w:b/>
        </w:rPr>
        <w:t>oecd.org</w:t>
      </w:r>
    </w:p>
    <w:p w14:paraId="4C823333" w14:textId="77777777" w:rsidR="001F7233" w:rsidRDefault="00000000">
      <w:r>
        <w:rPr>
          <w:b/>
        </w:rPr>
        <w:t xml:space="preserve">Behörde / Thema: </w:t>
      </w:r>
      <w:r>
        <w:t>Taxing Wages, Steuerkeil-Vergleich</w:t>
      </w:r>
    </w:p>
    <w:p w14:paraId="39F31806" w14:textId="77777777" w:rsidR="001F7233" w:rsidRDefault="00000000">
      <w:r>
        <w:rPr>
          <w:b/>
        </w:rPr>
        <w:t xml:space="preserve">Referenz: </w:t>
      </w:r>
      <w:r>
        <w:t>Kanada: Steuern</w:t>
      </w:r>
    </w:p>
    <w:p w14:paraId="3DED789E" w14:textId="77777777" w:rsidR="001F7233" w:rsidRDefault="00000000">
      <w:r>
        <w:rPr>
          <w:b/>
        </w:rPr>
        <w:t>numbeo.com</w:t>
      </w:r>
    </w:p>
    <w:p w14:paraId="5A392874" w14:textId="77777777" w:rsidR="001F7233" w:rsidRDefault="00000000">
      <w:r>
        <w:rPr>
          <w:b/>
        </w:rPr>
        <w:t xml:space="preserve">Behörde / Thema: </w:t>
      </w:r>
      <w:r>
        <w:t>Lebenshaltungskosten im Städtevergleich</w:t>
      </w:r>
    </w:p>
    <w:p w14:paraId="5DD1C8EC" w14:textId="77777777" w:rsidR="001F7233" w:rsidRDefault="00000000">
      <w:r>
        <w:rPr>
          <w:b/>
        </w:rPr>
        <w:t xml:space="preserve">Referenz: </w:t>
      </w:r>
      <w:r>
        <w:t>Kanada: Steuern</w:t>
      </w:r>
    </w:p>
    <w:p w14:paraId="5415FD52" w14:textId="77777777" w:rsidR="001F7233" w:rsidRDefault="001F7233">
      <w:pPr>
        <w:spacing w:line="180" w:lineRule="exact"/>
      </w:pPr>
    </w:p>
    <w:p w14:paraId="6AA408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Gesundheit</w:t>
      </w:r>
    </w:p>
    <w:p w14:paraId="31EFD4E3" w14:textId="77777777" w:rsidR="001F7233" w:rsidRDefault="00000000">
      <w:r>
        <w:t>• canada.ca/en/health-canada</w:t>
      </w:r>
    </w:p>
    <w:p w14:paraId="58C6D1F8" w14:textId="77777777" w:rsidR="001F7233" w:rsidRDefault="00000000">
      <w:r>
        <w:rPr>
          <w:b/>
        </w:rPr>
        <w:t>canada.ca/en/health-canada</w:t>
      </w:r>
    </w:p>
    <w:p w14:paraId="5E71F833" w14:textId="77777777" w:rsidR="001F7233" w:rsidRDefault="00000000">
      <w:r>
        <w:rPr>
          <w:b/>
        </w:rPr>
        <w:t xml:space="preserve">Behörde / Thema: </w:t>
      </w:r>
      <w:r>
        <w:t>Canada Health Act, Grundprinzipien der Provinz-Krankenversicherung</w:t>
      </w:r>
    </w:p>
    <w:p w14:paraId="554BA5F3" w14:textId="77777777" w:rsidR="001F7233" w:rsidRDefault="00000000">
      <w:r>
        <w:rPr>
          <w:b/>
        </w:rPr>
        <w:t xml:space="preserve">Referenz: </w:t>
      </w:r>
      <w:r>
        <w:t>Kanada: Gesundheit</w:t>
      </w:r>
    </w:p>
    <w:p w14:paraId="522A4AEB" w14:textId="77777777" w:rsidR="001F7233" w:rsidRDefault="00000000">
      <w:r>
        <w:rPr>
          <w:b/>
        </w:rPr>
        <w:t>ontario.ca/page/apply-ohip-and-get-health-card</w:t>
      </w:r>
    </w:p>
    <w:p w14:paraId="3B890BF0" w14:textId="77777777" w:rsidR="001F7233" w:rsidRDefault="00000000">
      <w:r>
        <w:rPr>
          <w:b/>
        </w:rPr>
        <w:t xml:space="preserve">Behörde / Thema: </w:t>
      </w:r>
      <w:r>
        <w:t>OHIP-Anmeldung, keine Wartefrist</w:t>
      </w:r>
    </w:p>
    <w:p w14:paraId="139BC59D" w14:textId="77777777" w:rsidR="001F7233" w:rsidRDefault="00000000">
      <w:r>
        <w:rPr>
          <w:b/>
        </w:rPr>
        <w:t xml:space="preserve">Referenz: </w:t>
      </w:r>
      <w:r>
        <w:t>Kanada: Gesundheit</w:t>
      </w:r>
    </w:p>
    <w:p w14:paraId="59F8E031" w14:textId="77777777" w:rsidR="001F7233" w:rsidRDefault="00000000">
      <w:r>
        <w:rPr>
          <w:b/>
        </w:rPr>
        <w:t>www2.gov.bc.ca/gov/content/health/health-drug-coverage/msp</w:t>
      </w:r>
    </w:p>
    <w:p w14:paraId="3BBD8E91" w14:textId="77777777" w:rsidR="001F7233" w:rsidRDefault="00000000">
      <w:r>
        <w:rPr>
          <w:b/>
        </w:rPr>
        <w:t xml:space="preserve">Behörde / Thema: </w:t>
      </w:r>
      <w:r>
        <w:t>MSP-Anmeldung und Wartefrist in British Columbia</w:t>
      </w:r>
    </w:p>
    <w:p w14:paraId="7213378D" w14:textId="77777777" w:rsidR="001F7233" w:rsidRDefault="00000000">
      <w:r>
        <w:rPr>
          <w:b/>
        </w:rPr>
        <w:t xml:space="preserve">Referenz: </w:t>
      </w:r>
      <w:r>
        <w:t>Kanada: Gesundheit</w:t>
      </w:r>
    </w:p>
    <w:p w14:paraId="6647051F" w14:textId="77777777" w:rsidR="001F7233" w:rsidRDefault="00000000">
      <w:r>
        <w:rPr>
          <w:b/>
        </w:rPr>
        <w:t>ramq.gouv.qc.ca</w:t>
      </w:r>
    </w:p>
    <w:p w14:paraId="4D9C5B7D" w14:textId="77777777" w:rsidR="001F7233" w:rsidRDefault="00000000">
      <w:r>
        <w:rPr>
          <w:b/>
        </w:rPr>
        <w:t xml:space="preserve">Behörde / Thema: </w:t>
      </w:r>
      <w:r>
        <w:t>Anmeldung und Wartefrist in Québec</w:t>
      </w:r>
    </w:p>
    <w:p w14:paraId="026EB377" w14:textId="77777777" w:rsidR="001F7233" w:rsidRDefault="00000000">
      <w:r>
        <w:rPr>
          <w:b/>
        </w:rPr>
        <w:t xml:space="preserve">Referenz: </w:t>
      </w:r>
      <w:r>
        <w:t>Kanada: Gesundheit</w:t>
      </w:r>
    </w:p>
    <w:p w14:paraId="6BE782AB" w14:textId="77777777" w:rsidR="001F7233" w:rsidRDefault="00000000">
      <w:r>
        <w:rPr>
          <w:b/>
        </w:rPr>
        <w:t>alberta.ca/ahcip</w:t>
      </w:r>
    </w:p>
    <w:p w14:paraId="2B8CBAEF" w14:textId="77777777" w:rsidR="001F7233" w:rsidRDefault="00000000">
      <w:r>
        <w:rPr>
          <w:b/>
        </w:rPr>
        <w:t xml:space="preserve">Behörde / Thema: </w:t>
      </w:r>
      <w:r>
        <w:t>Alberta Health Care Insurance Plan</w:t>
      </w:r>
    </w:p>
    <w:p w14:paraId="50EC2117" w14:textId="77777777" w:rsidR="001F7233" w:rsidRDefault="00000000">
      <w:r>
        <w:rPr>
          <w:b/>
        </w:rPr>
        <w:t xml:space="preserve">Referenz: </w:t>
      </w:r>
      <w:r>
        <w:t>Kanada: Gesundheit</w:t>
      </w:r>
    </w:p>
    <w:p w14:paraId="0DBE4706" w14:textId="77777777" w:rsidR="001F7233" w:rsidRDefault="00000000">
      <w:r>
        <w:rPr>
          <w:b/>
        </w:rPr>
        <w:t>saskatchewan.ca/residents/health</w:t>
      </w:r>
    </w:p>
    <w:p w14:paraId="57B77896" w14:textId="77777777" w:rsidR="001F7233" w:rsidRDefault="00000000">
      <w:r>
        <w:rPr>
          <w:b/>
        </w:rPr>
        <w:t xml:space="preserve">Behörde / Thema: </w:t>
      </w:r>
      <w:r>
        <w:t>Saskatchewan Health Coverage</w:t>
      </w:r>
    </w:p>
    <w:p w14:paraId="3499F04E" w14:textId="77777777" w:rsidR="001F7233" w:rsidRDefault="00000000">
      <w:r>
        <w:rPr>
          <w:b/>
        </w:rPr>
        <w:t xml:space="preserve">Referenz: </w:t>
      </w:r>
      <w:r>
        <w:t>Kanada: Gesundheit</w:t>
      </w:r>
    </w:p>
    <w:p w14:paraId="10A4A3B3" w14:textId="77777777" w:rsidR="001F7233" w:rsidRDefault="00000000">
      <w:r>
        <w:rPr>
          <w:b/>
        </w:rPr>
        <w:lastRenderedPageBreak/>
        <w:t>988.ca</w:t>
      </w:r>
    </w:p>
    <w:p w14:paraId="1728C8D2" w14:textId="77777777" w:rsidR="001F7233" w:rsidRDefault="00000000">
      <w:r>
        <w:rPr>
          <w:b/>
        </w:rPr>
        <w:t xml:space="preserve">Behörde / Thema: </w:t>
      </w:r>
      <w:r>
        <w:t>9-8-8 Suicide Crisis Helpline, Krisenhilfe rund um die Uhr</w:t>
      </w:r>
    </w:p>
    <w:p w14:paraId="12ACDC03" w14:textId="77777777" w:rsidR="001F7233" w:rsidRDefault="00000000">
      <w:r>
        <w:rPr>
          <w:b/>
        </w:rPr>
        <w:t xml:space="preserve">Referenz: </w:t>
      </w:r>
      <w:r>
        <w:t>Kanada: Gesundheit</w:t>
      </w:r>
    </w:p>
    <w:p w14:paraId="0C8109A7" w14:textId="77777777" w:rsidR="001F7233" w:rsidRDefault="00000000">
      <w:r>
        <w:rPr>
          <w:b/>
        </w:rPr>
        <w:t>kidshelpphone.ca</w:t>
      </w:r>
    </w:p>
    <w:p w14:paraId="4D5C05BD" w14:textId="77777777" w:rsidR="001F7233" w:rsidRDefault="00000000">
      <w:r>
        <w:rPr>
          <w:b/>
        </w:rPr>
        <w:t xml:space="preserve">Behörde / Thema: </w:t>
      </w:r>
      <w:r>
        <w:t>Kids Help Phone, Hilfe für Kinder und Jugendliche</w:t>
      </w:r>
    </w:p>
    <w:p w14:paraId="5E54F4BB" w14:textId="77777777" w:rsidR="001F7233" w:rsidRDefault="00000000">
      <w:r>
        <w:rPr>
          <w:b/>
        </w:rPr>
        <w:t xml:space="preserve">Referenz: </w:t>
      </w:r>
      <w:r>
        <w:t>Kanada: Gesundheit</w:t>
      </w:r>
    </w:p>
    <w:p w14:paraId="7C3D984D" w14:textId="77777777" w:rsidR="001F7233" w:rsidRDefault="001F7233">
      <w:pPr>
        <w:spacing w:line="180" w:lineRule="exact"/>
      </w:pPr>
    </w:p>
    <w:p w14:paraId="6208B1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Wohnen und Führerschein</w:t>
      </w:r>
    </w:p>
    <w:p w14:paraId="02818761" w14:textId="77777777" w:rsidR="001F7233" w:rsidRDefault="00000000">
      <w:r>
        <w:t>• statcan.gc.ca</w:t>
      </w:r>
    </w:p>
    <w:p w14:paraId="3E335607" w14:textId="77777777" w:rsidR="001F7233" w:rsidRDefault="00000000">
      <w:r>
        <w:rPr>
          <w:b/>
        </w:rPr>
        <w:t>statcan.gc.ca</w:t>
      </w:r>
    </w:p>
    <w:p w14:paraId="52781074" w14:textId="77777777" w:rsidR="001F7233" w:rsidRDefault="00000000">
      <w:r>
        <w:rPr>
          <w:b/>
        </w:rPr>
        <w:t xml:space="preserve">Behörde / Thema: </w:t>
      </w:r>
      <w:r>
        <w:t>Statistics Canada: Quarterly Rent Statistics</w:t>
      </w:r>
    </w:p>
    <w:p w14:paraId="631C0EAD" w14:textId="77777777" w:rsidR="001F7233" w:rsidRDefault="00000000">
      <w:r>
        <w:rPr>
          <w:b/>
        </w:rPr>
        <w:t xml:space="preserve">Referenz: </w:t>
      </w:r>
      <w:r>
        <w:t>Kanada: Wohnen</w:t>
      </w:r>
    </w:p>
    <w:p w14:paraId="466BE933" w14:textId="77777777" w:rsidR="001F7233" w:rsidRDefault="00000000">
      <w:r>
        <w:rPr>
          <w:b/>
        </w:rPr>
        <w:t>cmhc-schl.gc.ca</w:t>
      </w:r>
    </w:p>
    <w:p w14:paraId="34DE2803" w14:textId="77777777" w:rsidR="001F7233" w:rsidRDefault="00000000">
      <w:r>
        <w:rPr>
          <w:b/>
        </w:rPr>
        <w:t xml:space="preserve">Behörde / Thema: </w:t>
      </w:r>
      <w:r>
        <w:t>CMHC: Rental- und Kaufmarktberichte, Hypothekenregeln</w:t>
      </w:r>
    </w:p>
    <w:p w14:paraId="49B1D6CD" w14:textId="77777777" w:rsidR="001F7233" w:rsidRDefault="00000000">
      <w:r>
        <w:rPr>
          <w:b/>
        </w:rPr>
        <w:t xml:space="preserve">Referenz: </w:t>
      </w:r>
      <w:r>
        <w:t>Kanada: Wohnen</w:t>
      </w:r>
    </w:p>
    <w:p w14:paraId="468A5CE6" w14:textId="77777777" w:rsidR="001F7233" w:rsidRDefault="00000000">
      <w:r>
        <w:rPr>
          <w:b/>
        </w:rPr>
        <w:t>canada.ca (Prohibition on the Purchase of Residential Property by Non-Canadians Act)</w:t>
      </w:r>
    </w:p>
    <w:p w14:paraId="451AC902" w14:textId="77777777" w:rsidR="001F7233" w:rsidRDefault="00000000">
      <w:r>
        <w:rPr>
          <w:b/>
        </w:rPr>
        <w:t xml:space="preserve">Behörde / Thema: </w:t>
      </w:r>
      <w:r>
        <w:t>Kaufverbot für Nicht-Kanadier bei Wohnimmobilien</w:t>
      </w:r>
    </w:p>
    <w:p w14:paraId="2F9E2952" w14:textId="77777777" w:rsidR="001F7233" w:rsidRDefault="00000000">
      <w:r>
        <w:rPr>
          <w:b/>
        </w:rPr>
        <w:t xml:space="preserve">Referenz: </w:t>
      </w:r>
      <w:r>
        <w:t>Kanada: Wohnen</w:t>
      </w:r>
    </w:p>
    <w:p w14:paraId="61A3EF3A" w14:textId="77777777" w:rsidR="001F7233" w:rsidRDefault="00000000">
      <w:r>
        <w:rPr>
          <w:b/>
        </w:rPr>
        <w:t>gov.bc.ca</w:t>
      </w:r>
    </w:p>
    <w:p w14:paraId="691D6600" w14:textId="77777777" w:rsidR="001F7233" w:rsidRDefault="00000000">
      <w:r>
        <w:rPr>
          <w:b/>
        </w:rPr>
        <w:t xml:space="preserve">Behörde / Thema: </w:t>
      </w:r>
      <w:r>
        <w:t>Additional Property Transfer Tax, Home Buyer Rescission Period</w:t>
      </w:r>
    </w:p>
    <w:p w14:paraId="27DEF75A" w14:textId="77777777" w:rsidR="001F7233" w:rsidRDefault="00000000">
      <w:r>
        <w:rPr>
          <w:b/>
        </w:rPr>
        <w:t xml:space="preserve">Referenz: </w:t>
      </w:r>
      <w:r>
        <w:t>Kanada: Wohnen</w:t>
      </w:r>
    </w:p>
    <w:p w14:paraId="2FC3FA02" w14:textId="77777777" w:rsidR="001F7233" w:rsidRDefault="00000000">
      <w:r>
        <w:rPr>
          <w:b/>
        </w:rPr>
        <w:t>ontario.ca</w:t>
      </w:r>
    </w:p>
    <w:p w14:paraId="0C5AEF0E" w14:textId="77777777" w:rsidR="001F7233" w:rsidRDefault="00000000">
      <w:r>
        <w:rPr>
          <w:b/>
        </w:rPr>
        <w:t xml:space="preserve">Behörde / Thema: </w:t>
      </w:r>
      <w:r>
        <w:t>Non-Resident Speculation Tax, Residential Tenancies Act</w:t>
      </w:r>
    </w:p>
    <w:p w14:paraId="179194C6" w14:textId="77777777" w:rsidR="001F7233" w:rsidRDefault="00000000">
      <w:r>
        <w:rPr>
          <w:b/>
        </w:rPr>
        <w:t xml:space="preserve">Referenz: </w:t>
      </w:r>
      <w:r>
        <w:t>Kanada: Wohnen</w:t>
      </w:r>
    </w:p>
    <w:p w14:paraId="47053B9B" w14:textId="77777777" w:rsidR="001F7233" w:rsidRDefault="00000000">
      <w:r>
        <w:rPr>
          <w:b/>
        </w:rPr>
        <w:t>drivetest.ca, icbc.com, saaq.gouv.qc.ca</w:t>
      </w:r>
    </w:p>
    <w:p w14:paraId="2ECC94AF" w14:textId="77777777" w:rsidR="001F7233" w:rsidRDefault="00000000">
      <w:r>
        <w:rPr>
          <w:b/>
        </w:rPr>
        <w:lastRenderedPageBreak/>
        <w:t xml:space="preserve">Behörde / Thema: </w:t>
      </w:r>
      <w:r>
        <w:t>Führerscheinbehörden Ontario, British Columbia und Québec: Umtausch, Fristen</w:t>
      </w:r>
    </w:p>
    <w:p w14:paraId="7970BC36" w14:textId="77777777" w:rsidR="001F7233" w:rsidRDefault="00000000">
      <w:r>
        <w:rPr>
          <w:b/>
        </w:rPr>
        <w:t xml:space="preserve">Referenz: </w:t>
      </w:r>
      <w:r>
        <w:t>Kanada: Führerschein</w:t>
      </w:r>
    </w:p>
    <w:p w14:paraId="74F15E1F" w14:textId="77777777" w:rsidR="001F7233" w:rsidRDefault="00000000">
      <w:r>
        <w:rPr>
          <w:b/>
        </w:rPr>
        <w:t>rcmp.ca</w:t>
      </w:r>
    </w:p>
    <w:p w14:paraId="6AB4CADD" w14:textId="77777777" w:rsidR="001F7233" w:rsidRDefault="00000000">
      <w:r>
        <w:rPr>
          <w:b/>
        </w:rPr>
        <w:t xml:space="preserve">Behörde / Thema: </w:t>
      </w:r>
      <w:r>
        <w:t>Verhalten bei Verkehrskontrollen für Neuankömmlinge</w:t>
      </w:r>
    </w:p>
    <w:p w14:paraId="34D76703" w14:textId="77777777" w:rsidR="001F7233" w:rsidRDefault="00000000">
      <w:r>
        <w:rPr>
          <w:b/>
        </w:rPr>
        <w:t xml:space="preserve">Referenz: </w:t>
      </w:r>
      <w:r>
        <w:t>Kanada: Führerschein</w:t>
      </w:r>
    </w:p>
    <w:p w14:paraId="4697B90D" w14:textId="77777777" w:rsidR="001F7233" w:rsidRDefault="00000000">
      <w:r>
        <w:rPr>
          <w:b/>
        </w:rPr>
        <w:t>quebec.ca</w:t>
      </w:r>
    </w:p>
    <w:p w14:paraId="45A31531" w14:textId="77777777" w:rsidR="001F7233" w:rsidRDefault="00000000">
      <w:r>
        <w:rPr>
          <w:b/>
        </w:rPr>
        <w:t xml:space="preserve">Behörde / Thema: </w:t>
      </w:r>
      <w:r>
        <w:t>Winterreifenpflicht in Québec</w:t>
      </w:r>
    </w:p>
    <w:p w14:paraId="1C70E11A" w14:textId="77777777" w:rsidR="001F7233" w:rsidRDefault="00000000">
      <w:r>
        <w:rPr>
          <w:b/>
        </w:rPr>
        <w:t xml:space="preserve">Referenz: </w:t>
      </w:r>
      <w:r>
        <w:t>Kanada: Führerschein</w:t>
      </w:r>
    </w:p>
    <w:p w14:paraId="3178764B" w14:textId="77777777" w:rsidR="001F7233" w:rsidRDefault="00000000">
      <w:r>
        <w:rPr>
          <w:b/>
        </w:rPr>
        <w:t>wildlifecollisions.ca</w:t>
      </w:r>
    </w:p>
    <w:p w14:paraId="755ED889" w14:textId="77777777" w:rsidR="001F7233" w:rsidRDefault="00000000">
      <w:r>
        <w:rPr>
          <w:b/>
        </w:rPr>
        <w:t xml:space="preserve">Behörde / Thema: </w:t>
      </w:r>
      <w:r>
        <w:t>Wildunfallstatistik, Wildlife Collision Prevention Program</w:t>
      </w:r>
    </w:p>
    <w:p w14:paraId="52A5EFF0" w14:textId="77777777" w:rsidR="001F7233" w:rsidRDefault="00000000">
      <w:r>
        <w:rPr>
          <w:b/>
        </w:rPr>
        <w:t xml:space="preserve">Referenz: </w:t>
      </w:r>
      <w:r>
        <w:t>Kanada: Führerschein</w:t>
      </w:r>
    </w:p>
    <w:p w14:paraId="42F2A0E1" w14:textId="77777777" w:rsidR="001F7233" w:rsidRDefault="00000000">
      <w:r>
        <w:rPr>
          <w:b/>
        </w:rPr>
        <w:t>rates.ca</w:t>
      </w:r>
    </w:p>
    <w:p w14:paraId="7112B7A5" w14:textId="77777777" w:rsidR="001F7233" w:rsidRDefault="00000000">
      <w:r>
        <w:rPr>
          <w:b/>
        </w:rPr>
        <w:t xml:space="preserve">Behörde / Thema: </w:t>
      </w:r>
      <w:r>
        <w:t>Kfz-Versicherungsvergleich, Provinzunterschiede</w:t>
      </w:r>
    </w:p>
    <w:p w14:paraId="761C21F6" w14:textId="77777777" w:rsidR="001F7233" w:rsidRDefault="00000000">
      <w:r>
        <w:rPr>
          <w:b/>
        </w:rPr>
        <w:t xml:space="preserve">Referenz: </w:t>
      </w:r>
      <w:r>
        <w:t>Kanada: Führerschein</w:t>
      </w:r>
    </w:p>
    <w:p w14:paraId="304FBF4C" w14:textId="77777777" w:rsidR="001F7233" w:rsidRDefault="001F7233">
      <w:pPr>
        <w:spacing w:line="180" w:lineRule="exact"/>
      </w:pPr>
    </w:p>
    <w:p w14:paraId="7E6A93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Recht und Sicherheit</w:t>
      </w:r>
    </w:p>
    <w:p w14:paraId="59B7432D" w14:textId="77777777" w:rsidR="001F7233" w:rsidRDefault="00000000">
      <w:r>
        <w:t>• rcmp.ca/en/bc/corporate-information/newcomers-guide/interactions-police</w:t>
      </w:r>
    </w:p>
    <w:p w14:paraId="6698F0AF" w14:textId="77777777" w:rsidR="001F7233" w:rsidRDefault="00000000">
      <w:r>
        <w:rPr>
          <w:b/>
        </w:rPr>
        <w:t>rcmp.ca/en/bc/corporate-information/newcomers-guide/interactions-police</w:t>
      </w:r>
    </w:p>
    <w:p w14:paraId="14565387" w14:textId="77777777" w:rsidR="001F7233" w:rsidRDefault="00000000">
      <w:r>
        <w:rPr>
          <w:b/>
        </w:rPr>
        <w:t xml:space="preserve">Behörde / Thema: </w:t>
      </w:r>
      <w:r>
        <w:t>Newcomers Guide, Verhalten bei Polizeikontakt</w:t>
      </w:r>
    </w:p>
    <w:p w14:paraId="4ECF0F60" w14:textId="77777777" w:rsidR="001F7233" w:rsidRDefault="00000000">
      <w:r>
        <w:rPr>
          <w:b/>
        </w:rPr>
        <w:t xml:space="preserve">Referenz: </w:t>
      </w:r>
      <w:r>
        <w:t>Kanada: Recht und Sicherheit</w:t>
      </w:r>
    </w:p>
    <w:p w14:paraId="788DAB97" w14:textId="77777777" w:rsidR="001F7233" w:rsidRDefault="00000000">
      <w:r>
        <w:rPr>
          <w:b/>
        </w:rPr>
        <w:t>rcmp.ca/en/firearms</w:t>
      </w:r>
    </w:p>
    <w:p w14:paraId="6DFCB843" w14:textId="77777777" w:rsidR="001F7233" w:rsidRDefault="00000000">
      <w:r>
        <w:rPr>
          <w:b/>
        </w:rPr>
        <w:t xml:space="preserve">Behörde / Thema: </w:t>
      </w:r>
      <w:r>
        <w:t>Waffenrecht und Lizenzierung</w:t>
      </w:r>
    </w:p>
    <w:p w14:paraId="1335DEA6" w14:textId="77777777" w:rsidR="001F7233" w:rsidRDefault="00000000">
      <w:r>
        <w:rPr>
          <w:b/>
        </w:rPr>
        <w:t xml:space="preserve">Referenz: </w:t>
      </w:r>
      <w:r>
        <w:t>Kanada: Recht und Sicherheit</w:t>
      </w:r>
    </w:p>
    <w:p w14:paraId="14AB46F9" w14:textId="77777777" w:rsidR="001F7233" w:rsidRDefault="00000000">
      <w:r>
        <w:rPr>
          <w:b/>
        </w:rPr>
        <w:t>canada.ca (Suche: Assault-Style Firearms Compensation Program)</w:t>
      </w:r>
    </w:p>
    <w:p w14:paraId="09CE6892" w14:textId="77777777" w:rsidR="001F7233" w:rsidRDefault="00000000">
      <w:r>
        <w:rPr>
          <w:b/>
        </w:rPr>
        <w:t xml:space="preserve">Behörde / Thema: </w:t>
      </w:r>
      <w:r>
        <w:t>Rückkaufprogramm für Waffen</w:t>
      </w:r>
    </w:p>
    <w:p w14:paraId="4E8E5FA9" w14:textId="77777777" w:rsidR="001F7233" w:rsidRDefault="00000000">
      <w:r>
        <w:rPr>
          <w:b/>
        </w:rPr>
        <w:t xml:space="preserve">Referenz: </w:t>
      </w:r>
      <w:r>
        <w:t>Kanada: Recht und Sicherheit</w:t>
      </w:r>
    </w:p>
    <w:p w14:paraId="46F8C031" w14:textId="77777777" w:rsidR="001F7233" w:rsidRDefault="00000000">
      <w:r>
        <w:rPr>
          <w:b/>
        </w:rPr>
        <w:lastRenderedPageBreak/>
        <w:t>canada.ca/en/health-canada/services/drugs-medication/cannabis.html</w:t>
      </w:r>
    </w:p>
    <w:p w14:paraId="4FF203EC" w14:textId="77777777" w:rsidR="001F7233" w:rsidRDefault="00000000">
      <w:r>
        <w:rPr>
          <w:b/>
        </w:rPr>
        <w:t xml:space="preserve">Behörde / Thema: </w:t>
      </w:r>
      <w:r>
        <w:t>Cannabis Act, Regeln zu Besitz und Anbau</w:t>
      </w:r>
    </w:p>
    <w:p w14:paraId="128D52B3" w14:textId="77777777" w:rsidR="001F7233" w:rsidRDefault="00000000">
      <w:r>
        <w:rPr>
          <w:b/>
        </w:rPr>
        <w:t xml:space="preserve">Referenz: </w:t>
      </w:r>
      <w:r>
        <w:t>Kanada: Recht und Sicherheit</w:t>
      </w:r>
    </w:p>
    <w:p w14:paraId="52AA47F6" w14:textId="77777777" w:rsidR="001F7233" w:rsidRDefault="00000000">
      <w:r>
        <w:rPr>
          <w:b/>
        </w:rPr>
        <w:t>cbsa-asfc.gc.ca (Suche: CBSA cannabis travellers)</w:t>
      </w:r>
    </w:p>
    <w:p w14:paraId="69978547" w14:textId="77777777" w:rsidR="001F7233" w:rsidRDefault="00000000">
      <w:r>
        <w:rPr>
          <w:b/>
        </w:rPr>
        <w:t xml:space="preserve">Behörde / Thema: </w:t>
      </w:r>
      <w:r>
        <w:t>Einfuhrbestimmungen für Cannabis</w:t>
      </w:r>
    </w:p>
    <w:p w14:paraId="74E0D79F" w14:textId="77777777" w:rsidR="001F7233" w:rsidRDefault="00000000">
      <w:r>
        <w:rPr>
          <w:b/>
        </w:rPr>
        <w:t xml:space="preserve">Referenz: </w:t>
      </w:r>
      <w:r>
        <w:t>Kanada: Recht und Sicherheit</w:t>
      </w:r>
    </w:p>
    <w:p w14:paraId="70BCDF00" w14:textId="77777777" w:rsidR="001F7233" w:rsidRDefault="00000000">
      <w:r>
        <w:rPr>
          <w:b/>
        </w:rPr>
        <w:t>alertready.ca</w:t>
      </w:r>
    </w:p>
    <w:p w14:paraId="18C4071A" w14:textId="77777777" w:rsidR="001F7233" w:rsidRDefault="00000000">
      <w:r>
        <w:rPr>
          <w:b/>
        </w:rPr>
        <w:t xml:space="preserve">Behörde / Thema: </w:t>
      </w:r>
      <w:r>
        <w:t>Alert Ready, nationales Warnsystem</w:t>
      </w:r>
    </w:p>
    <w:p w14:paraId="33512CEA" w14:textId="77777777" w:rsidR="001F7233" w:rsidRDefault="00000000">
      <w:r>
        <w:rPr>
          <w:b/>
        </w:rPr>
        <w:t xml:space="preserve">Referenz: </w:t>
      </w:r>
      <w:r>
        <w:t>Kanada: Recht und Sicherheit</w:t>
      </w:r>
    </w:p>
    <w:p w14:paraId="4C34D6E3" w14:textId="77777777" w:rsidR="001F7233" w:rsidRDefault="00000000">
      <w:r>
        <w:rPr>
          <w:b/>
        </w:rPr>
        <w:t>weather.gc.ca</w:t>
      </w:r>
    </w:p>
    <w:p w14:paraId="2224A00D" w14:textId="77777777" w:rsidR="001F7233" w:rsidRDefault="00000000">
      <w:r>
        <w:rPr>
          <w:b/>
        </w:rPr>
        <w:t xml:space="preserve">Behörde / Thema: </w:t>
      </w:r>
      <w:r>
        <w:t>Wetterwarnungen</w:t>
      </w:r>
    </w:p>
    <w:p w14:paraId="721CE78A" w14:textId="77777777" w:rsidR="001F7233" w:rsidRDefault="00000000">
      <w:r>
        <w:rPr>
          <w:b/>
        </w:rPr>
        <w:t xml:space="preserve">Referenz: </w:t>
      </w:r>
      <w:r>
        <w:t>Kanada: Recht und Sicherheit</w:t>
      </w:r>
    </w:p>
    <w:p w14:paraId="59EB8AA6" w14:textId="77777777" w:rsidR="001F7233" w:rsidRDefault="00000000">
      <w:r>
        <w:rPr>
          <w:b/>
        </w:rPr>
        <w:t>quebec.ca (Sprachgesetz Bill 96 / Loi 96)</w:t>
      </w:r>
    </w:p>
    <w:p w14:paraId="3C32E356" w14:textId="77777777" w:rsidR="001F7233" w:rsidRDefault="00000000">
      <w:r>
        <w:rPr>
          <w:b/>
        </w:rPr>
        <w:t xml:space="preserve">Behörde / Thema: </w:t>
      </w:r>
      <w:r>
        <w:t>Sprachgesetz und Auswirkungen auf Alltag und Beruf</w:t>
      </w:r>
    </w:p>
    <w:p w14:paraId="07483CB4" w14:textId="77777777" w:rsidR="001F7233" w:rsidRDefault="00000000">
      <w:r>
        <w:rPr>
          <w:b/>
        </w:rPr>
        <w:t xml:space="preserve">Referenz: </w:t>
      </w:r>
      <w:r>
        <w:t>Kanada: Recht und Sicherheit</w:t>
      </w:r>
    </w:p>
    <w:p w14:paraId="794D6C6D" w14:textId="77777777" w:rsidR="001F7233" w:rsidRDefault="00000000">
      <w:r>
        <w:rPr>
          <w:b/>
        </w:rPr>
        <w:t>canada.ca (Multiculturalism Policy, Charter of Rights and Freedoms)</w:t>
      </w:r>
    </w:p>
    <w:p w14:paraId="2A4583CA" w14:textId="77777777" w:rsidR="001F7233" w:rsidRDefault="00000000">
      <w:r>
        <w:rPr>
          <w:b/>
        </w:rPr>
        <w:t xml:space="preserve">Behörde / Thema: </w:t>
      </w:r>
      <w:r>
        <w:t>Grundrechte und Multikulturalismus-Politik</w:t>
      </w:r>
    </w:p>
    <w:p w14:paraId="47DDAF54" w14:textId="77777777" w:rsidR="001F7233" w:rsidRDefault="00000000">
      <w:r>
        <w:rPr>
          <w:b/>
        </w:rPr>
        <w:t xml:space="preserve">Referenz: </w:t>
      </w:r>
      <w:r>
        <w:t>Kanada: Recht und Sicherheit</w:t>
      </w:r>
    </w:p>
    <w:p w14:paraId="1E9C0647" w14:textId="77777777" w:rsidR="001F7233" w:rsidRDefault="00000000">
      <w:r>
        <w:rPr>
          <w:b/>
        </w:rPr>
        <w:t>auswaertiges-amt.de</w:t>
      </w:r>
    </w:p>
    <w:p w14:paraId="62A9A6AF" w14:textId="77777777" w:rsidR="001F7233" w:rsidRDefault="00000000">
      <w:r>
        <w:rPr>
          <w:b/>
        </w:rPr>
        <w:t xml:space="preserve">Behörde / Thema: </w:t>
      </w:r>
      <w:r>
        <w:t>Hilfe für Deutsche im Ausland, Krisenvorsorgeliste Elefand</w:t>
      </w:r>
    </w:p>
    <w:p w14:paraId="216C8010" w14:textId="77777777" w:rsidR="001F7233" w:rsidRDefault="00000000">
      <w:r>
        <w:rPr>
          <w:b/>
        </w:rPr>
        <w:t xml:space="preserve">Referenz: </w:t>
      </w:r>
      <w:r>
        <w:t>Kanada: Recht und Sicherheit</w:t>
      </w:r>
    </w:p>
    <w:p w14:paraId="5A799C49" w14:textId="77777777" w:rsidR="001F7233" w:rsidRDefault="001F7233">
      <w:pPr>
        <w:spacing w:line="180" w:lineRule="exact"/>
      </w:pPr>
    </w:p>
    <w:p w14:paraId="066D78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Bildung, Arbeit und Alltag</w:t>
      </w:r>
    </w:p>
    <w:p w14:paraId="30B0159A" w14:textId="77777777" w:rsidR="001F7233" w:rsidRDefault="00000000">
      <w:r>
        <w:t>• ontario.ca/page/education-and-training (auch education.gouv.qc.ca)</w:t>
      </w:r>
    </w:p>
    <w:p w14:paraId="6E399227" w14:textId="77777777" w:rsidR="001F7233" w:rsidRDefault="00000000">
      <w:r>
        <w:rPr>
          <w:b/>
        </w:rPr>
        <w:t>ontario.ca/page/education-and-training (auch education.gouv.qc.ca)</w:t>
      </w:r>
    </w:p>
    <w:p w14:paraId="31A8E0DF" w14:textId="77777777" w:rsidR="001F7233" w:rsidRDefault="00000000">
      <w:r>
        <w:rPr>
          <w:b/>
        </w:rPr>
        <w:t xml:space="preserve">Behörde / Thema: </w:t>
      </w:r>
      <w:r>
        <w:t>Bildungsministerien der Provinzen</w:t>
      </w:r>
    </w:p>
    <w:p w14:paraId="36C7AAD9" w14:textId="77777777" w:rsidR="001F7233" w:rsidRDefault="00000000">
      <w:r>
        <w:rPr>
          <w:b/>
        </w:rPr>
        <w:t xml:space="preserve">Referenz: </w:t>
      </w:r>
      <w:r>
        <w:t>Kanada: Bildung</w:t>
      </w:r>
    </w:p>
    <w:p w14:paraId="24F20686" w14:textId="77777777" w:rsidR="001F7233" w:rsidRDefault="00000000">
      <w:r>
        <w:rPr>
          <w:b/>
        </w:rPr>
        <w:lastRenderedPageBreak/>
        <w:t>quebec.ca (Suche: certificate of eligibility english instruction)</w:t>
      </w:r>
    </w:p>
    <w:p w14:paraId="73F1054A" w14:textId="77777777" w:rsidR="001F7233" w:rsidRDefault="00000000">
      <w:r>
        <w:rPr>
          <w:b/>
        </w:rPr>
        <w:t xml:space="preserve">Behörde / Thema: </w:t>
      </w:r>
      <w:r>
        <w:t>Charter of the French Language, Zulassung zu englischsprachigem Unterricht</w:t>
      </w:r>
    </w:p>
    <w:p w14:paraId="0064D415" w14:textId="77777777" w:rsidR="001F7233" w:rsidRDefault="00000000">
      <w:r>
        <w:rPr>
          <w:b/>
        </w:rPr>
        <w:t xml:space="preserve">Referenz: </w:t>
      </w:r>
      <w:r>
        <w:t>Kanada: Bildung</w:t>
      </w:r>
    </w:p>
    <w:p w14:paraId="3728E832" w14:textId="77777777" w:rsidR="001F7233" w:rsidRDefault="00000000">
      <w:r>
        <w:rPr>
          <w:b/>
        </w:rPr>
        <w:t>canada.ca/en/employment-social-development/campaigns/child-care.html</w:t>
      </w:r>
    </w:p>
    <w:p w14:paraId="37609358" w14:textId="77777777" w:rsidR="001F7233" w:rsidRDefault="00000000">
      <w:r>
        <w:rPr>
          <w:b/>
        </w:rPr>
        <w:t xml:space="preserve">Behörde / Thema: </w:t>
      </w:r>
      <w:r>
        <w:t>Canada-Wide Early Learning and Child Care, Gebühren je Provinz</w:t>
      </w:r>
    </w:p>
    <w:p w14:paraId="0F015C48" w14:textId="77777777" w:rsidR="001F7233" w:rsidRDefault="00000000">
      <w:r>
        <w:rPr>
          <w:b/>
        </w:rPr>
        <w:t xml:space="preserve">Referenz: </w:t>
      </w:r>
      <w:r>
        <w:t>Kanada: Bildung</w:t>
      </w:r>
    </w:p>
    <w:p w14:paraId="423DEA4E" w14:textId="77777777" w:rsidR="001F7233" w:rsidRDefault="00000000">
      <w:r>
        <w:rPr>
          <w:b/>
        </w:rPr>
        <w:t>gistonline.ca</w:t>
      </w:r>
    </w:p>
    <w:p w14:paraId="5C529C5C" w14:textId="77777777" w:rsidR="001F7233" w:rsidRDefault="00000000">
      <w:r>
        <w:rPr>
          <w:b/>
        </w:rPr>
        <w:t xml:space="preserve">Behörde / Thema: </w:t>
      </w:r>
      <w:r>
        <w:t>German International School Toronto</w:t>
      </w:r>
    </w:p>
    <w:p w14:paraId="68455015" w14:textId="77777777" w:rsidR="001F7233" w:rsidRDefault="00000000">
      <w:r>
        <w:rPr>
          <w:b/>
        </w:rPr>
        <w:t xml:space="preserve">Referenz: </w:t>
      </w:r>
      <w:r>
        <w:t>Kanada: Bildung</w:t>
      </w:r>
    </w:p>
    <w:p w14:paraId="461E2D97" w14:textId="77777777" w:rsidR="001F7233" w:rsidRDefault="00000000">
      <w:r>
        <w:rPr>
          <w:b/>
        </w:rPr>
        <w:t>vwgs.org, calgarygermanschool.com</w:t>
      </w:r>
    </w:p>
    <w:p w14:paraId="0EC7CC48" w14:textId="77777777" w:rsidR="001F7233" w:rsidRDefault="00000000">
      <w:r>
        <w:rPr>
          <w:b/>
        </w:rPr>
        <w:t xml:space="preserve">Behörde / Thema: </w:t>
      </w:r>
      <w:r>
        <w:t>Vancouver Westside German School, Calgary German Language School</w:t>
      </w:r>
    </w:p>
    <w:p w14:paraId="21F49224" w14:textId="77777777" w:rsidR="001F7233" w:rsidRDefault="00000000">
      <w:r>
        <w:rPr>
          <w:b/>
        </w:rPr>
        <w:t xml:space="preserve">Referenz: </w:t>
      </w:r>
      <w:r>
        <w:t>Kanada: Bildung</w:t>
      </w:r>
    </w:p>
    <w:p w14:paraId="3E973A75" w14:textId="77777777" w:rsidR="001F7233" w:rsidRDefault="00000000">
      <w:r>
        <w:rPr>
          <w:b/>
        </w:rPr>
        <w:t>jobbank.gc.ca</w:t>
      </w:r>
    </w:p>
    <w:p w14:paraId="4AAA6A01" w14:textId="77777777" w:rsidR="001F7233" w:rsidRDefault="00000000">
      <w:r>
        <w:rPr>
          <w:b/>
        </w:rPr>
        <w:t xml:space="preserve">Behörde / Thema: </w:t>
      </w:r>
      <w:r>
        <w:t>Job Bank (ESDC): Stellensuche, Lebenslauf-Hilfe, Lohnvergleiche</w:t>
      </w:r>
    </w:p>
    <w:p w14:paraId="06B1777E" w14:textId="77777777" w:rsidR="001F7233" w:rsidRDefault="00000000">
      <w:r>
        <w:rPr>
          <w:b/>
        </w:rPr>
        <w:t xml:space="preserve">Referenz: </w:t>
      </w:r>
      <w:r>
        <w:t>Kanada: Arbeitswelt</w:t>
      </w:r>
    </w:p>
    <w:p w14:paraId="6141C90E" w14:textId="77777777" w:rsidR="001F7233" w:rsidRDefault="00000000">
      <w:r>
        <w:rPr>
          <w:b/>
        </w:rPr>
        <w:t>mcc.ca</w:t>
      </w:r>
    </w:p>
    <w:p w14:paraId="33CB0557" w14:textId="77777777" w:rsidR="001F7233" w:rsidRDefault="00000000">
      <w:r>
        <w:rPr>
          <w:b/>
        </w:rPr>
        <w:t xml:space="preserve">Behörde / Thema: </w:t>
      </w:r>
      <w:r>
        <w:t>Medical Council of Canada, Bewertung ausländischer Ärztinnen und Ärzte</w:t>
      </w:r>
    </w:p>
    <w:p w14:paraId="0E9899A0" w14:textId="77777777" w:rsidR="001F7233" w:rsidRDefault="00000000">
      <w:r>
        <w:rPr>
          <w:b/>
        </w:rPr>
        <w:t xml:space="preserve">Referenz: </w:t>
      </w:r>
      <w:r>
        <w:t>Kanada: Anerkennung</w:t>
      </w:r>
    </w:p>
    <w:p w14:paraId="0F4A3963" w14:textId="77777777" w:rsidR="001F7233" w:rsidRDefault="00000000">
      <w:r>
        <w:rPr>
          <w:b/>
        </w:rPr>
        <w:t>nnas.ca</w:t>
      </w:r>
    </w:p>
    <w:p w14:paraId="2D884F87" w14:textId="77777777" w:rsidR="001F7233" w:rsidRDefault="00000000">
      <w:r>
        <w:rPr>
          <w:b/>
        </w:rPr>
        <w:t xml:space="preserve">Behörde / Thema: </w:t>
      </w:r>
      <w:r>
        <w:t>National Nursing Assessment Service</w:t>
      </w:r>
    </w:p>
    <w:p w14:paraId="615FA93C" w14:textId="77777777" w:rsidR="001F7233" w:rsidRDefault="00000000">
      <w:r>
        <w:rPr>
          <w:b/>
        </w:rPr>
        <w:t xml:space="preserve">Referenz: </w:t>
      </w:r>
      <w:r>
        <w:t>Kanada: Anerkennung</w:t>
      </w:r>
    </w:p>
    <w:p w14:paraId="2DEC4FAB" w14:textId="77777777" w:rsidR="001F7233" w:rsidRDefault="00000000">
      <w:r>
        <w:rPr>
          <w:b/>
        </w:rPr>
        <w:t>engineerscanada.ca</w:t>
      </w:r>
    </w:p>
    <w:p w14:paraId="5DB92A09" w14:textId="77777777" w:rsidR="001F7233" w:rsidRDefault="00000000">
      <w:r>
        <w:rPr>
          <w:b/>
        </w:rPr>
        <w:t xml:space="preserve">Behörde / Thema: </w:t>
      </w:r>
      <w:r>
        <w:t>Überblick Ingenieurlizenz, die Lizenz erteilt die Provinz</w:t>
      </w:r>
    </w:p>
    <w:p w14:paraId="238E9016" w14:textId="77777777" w:rsidR="001F7233" w:rsidRDefault="00000000">
      <w:r>
        <w:rPr>
          <w:b/>
        </w:rPr>
        <w:t xml:space="preserve">Referenz: </w:t>
      </w:r>
      <w:r>
        <w:t>Kanada: Anerkennung</w:t>
      </w:r>
    </w:p>
    <w:p w14:paraId="2F3A564A" w14:textId="77777777" w:rsidR="001F7233" w:rsidRDefault="00000000">
      <w:r>
        <w:rPr>
          <w:b/>
        </w:rPr>
        <w:t>red-seal.ca</w:t>
      </w:r>
    </w:p>
    <w:p w14:paraId="6C0D147F" w14:textId="77777777" w:rsidR="001F7233" w:rsidRDefault="00000000">
      <w:r>
        <w:rPr>
          <w:b/>
        </w:rPr>
        <w:t xml:space="preserve">Behörde / Thema: </w:t>
      </w:r>
      <w:r>
        <w:t>Red Seal, Vergleich kanadischer Gewerbeabschlüsse zwischen Provinzen</w:t>
      </w:r>
    </w:p>
    <w:p w14:paraId="4CD82E24" w14:textId="77777777" w:rsidR="001F7233" w:rsidRDefault="00000000">
      <w:r>
        <w:rPr>
          <w:b/>
        </w:rPr>
        <w:t xml:space="preserve">Referenz: </w:t>
      </w:r>
      <w:r>
        <w:t>Kanada: Anerkennung</w:t>
      </w:r>
    </w:p>
    <w:p w14:paraId="1C6F0B66" w14:textId="77777777" w:rsidR="001F7233" w:rsidRDefault="00000000">
      <w:r>
        <w:rPr>
          <w:b/>
        </w:rPr>
        <w:lastRenderedPageBreak/>
        <w:t>ontario.ca/document/your-guide-employment-standards-act-0</w:t>
      </w:r>
    </w:p>
    <w:p w14:paraId="6B15063E" w14:textId="77777777" w:rsidR="001F7233" w:rsidRDefault="00000000">
      <w:r>
        <w:rPr>
          <w:b/>
        </w:rPr>
        <w:t xml:space="preserve">Behörde / Thema: </w:t>
      </w:r>
      <w:r>
        <w:t>Employment Standards Act: Kündigungsfristen und Urlaub</w:t>
      </w:r>
    </w:p>
    <w:p w14:paraId="209D6F96" w14:textId="77777777" w:rsidR="001F7233" w:rsidRDefault="00000000">
      <w:r>
        <w:rPr>
          <w:b/>
        </w:rPr>
        <w:t xml:space="preserve">Referenz: </w:t>
      </w:r>
      <w:r>
        <w:t>Kanada: Arbeitswelt</w:t>
      </w:r>
    </w:p>
    <w:p w14:paraId="52CE9918" w14:textId="77777777" w:rsidR="001F7233" w:rsidRDefault="00000000">
      <w:r>
        <w:rPr>
          <w:b/>
        </w:rPr>
        <w:t>alberta.ca/employment-standards</w:t>
      </w:r>
    </w:p>
    <w:p w14:paraId="5AD4121F" w14:textId="77777777" w:rsidR="001F7233" w:rsidRDefault="00000000">
      <w:r>
        <w:rPr>
          <w:b/>
        </w:rPr>
        <w:t xml:space="preserve">Behörde / Thema: </w:t>
      </w:r>
      <w:r>
        <w:t>Employment Standards Code Alberta</w:t>
      </w:r>
    </w:p>
    <w:p w14:paraId="14C81864" w14:textId="77777777" w:rsidR="001F7233" w:rsidRDefault="00000000">
      <w:r>
        <w:rPr>
          <w:b/>
        </w:rPr>
        <w:t xml:space="preserve">Referenz: </w:t>
      </w:r>
      <w:r>
        <w:t>Kanada: Arbeitswelt</w:t>
      </w:r>
    </w:p>
    <w:p w14:paraId="5B5C61BC" w14:textId="77777777" w:rsidR="001F7233" w:rsidRDefault="00000000">
      <w:r>
        <w:rPr>
          <w:b/>
        </w:rPr>
        <w:t>bpb.de</w:t>
      </w:r>
    </w:p>
    <w:p w14:paraId="021E45FD" w14:textId="77777777" w:rsidR="001F7233" w:rsidRDefault="00000000">
      <w:r>
        <w:rPr>
          <w:b/>
        </w:rPr>
        <w:t xml:space="preserve">Behörde / Thema: </w:t>
      </w:r>
      <w:r>
        <w:t>Multikulturalismus in Kanada, Einordnung für Deutschland</w:t>
      </w:r>
    </w:p>
    <w:p w14:paraId="5E6FA279" w14:textId="77777777" w:rsidR="001F7233" w:rsidRDefault="00000000">
      <w:r>
        <w:rPr>
          <w:b/>
        </w:rPr>
        <w:t xml:space="preserve">Referenz: </w:t>
      </w:r>
      <w:r>
        <w:t>Kanada: Alltag</w:t>
      </w:r>
    </w:p>
    <w:p w14:paraId="7BB8D233" w14:textId="77777777" w:rsidR="001F7233" w:rsidRDefault="001F7233">
      <w:pPr>
        <w:spacing w:line="180" w:lineRule="exact"/>
      </w:pPr>
    </w:p>
    <w:p w14:paraId="7C64E1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Kanada</w:t>
      </w:r>
    </w:p>
    <w:p w14:paraId="453EA3AA" w14:textId="77777777" w:rsidR="001F7233" w:rsidRDefault="00000000">
      <w:pPr>
        <w:spacing w:after="140"/>
      </w:pPr>
      <w:r>
        <w:t xml:space="preserve">Die deutsche Botschaft sitzt in Ottawa. </w:t>
      </w:r>
      <w:hyperlink r:id="rId1140">
        <w:r w:rsidR="001F7233">
          <w:rPr>
            <w:color w:val="0563C1"/>
            <w:u w:val="single"/>
          </w:rPr>
          <w:t>kanada.diplo.de</w:t>
        </w:r>
      </w:hyperlink>
      <w:r>
        <w:t xml:space="preserve"> führt zu den Generalkonsulaten und Honorarkonsuln.</w:t>
      </w:r>
    </w:p>
    <w:p w14:paraId="0F199B3C" w14:textId="77777777" w:rsidR="001F7233" w:rsidRDefault="00000000">
      <w:r>
        <w:rPr>
          <w:b/>
        </w:rPr>
        <w:t>kanada.diplo.de</w:t>
      </w:r>
    </w:p>
    <w:p w14:paraId="6465048B" w14:textId="77777777" w:rsidR="001F7233" w:rsidRDefault="00000000">
      <w:r>
        <w:rPr>
          <w:b/>
        </w:rPr>
        <w:t xml:space="preserve">Behörde / Thema: </w:t>
      </w:r>
      <w:r>
        <w:t>Deutsche Botschaft Ottawa und Generalkonsulate, zuständige Vertretung finden</w:t>
      </w:r>
    </w:p>
    <w:p w14:paraId="126C27BC" w14:textId="77777777" w:rsidR="001F7233" w:rsidRDefault="00000000">
      <w:r>
        <w:rPr>
          <w:b/>
        </w:rPr>
        <w:t xml:space="preserve">Referenz: </w:t>
      </w:r>
      <w:r>
        <w:t>Kanada: Vertretungen</w:t>
      </w:r>
    </w:p>
    <w:p w14:paraId="5A3D059A" w14:textId="77777777" w:rsidR="001F7233" w:rsidRDefault="00000000">
      <w:r>
        <w:rPr>
          <w:b/>
        </w:rPr>
        <w:t>goethe.de/ins/ca</w:t>
      </w:r>
    </w:p>
    <w:p w14:paraId="720CC886" w14:textId="77777777" w:rsidR="001F7233" w:rsidRDefault="00000000">
      <w:r>
        <w:rPr>
          <w:b/>
        </w:rPr>
        <w:t xml:space="preserve">Behörde / Thema: </w:t>
      </w:r>
      <w:r>
        <w:t>Goethe-Institut Kanada, Standorte Toronto, Ottawa, Montréal</w:t>
      </w:r>
    </w:p>
    <w:p w14:paraId="6F75A5E0" w14:textId="77777777" w:rsidR="001F7233" w:rsidRDefault="00000000">
      <w:r>
        <w:rPr>
          <w:b/>
        </w:rPr>
        <w:t xml:space="preserve">Referenz: </w:t>
      </w:r>
      <w:r>
        <w:t>Kanada: Vertretungen</w:t>
      </w:r>
    </w:p>
    <w:p w14:paraId="0F69837B" w14:textId="77777777" w:rsidR="001F7233" w:rsidRDefault="00000000">
      <w:pPr>
        <w:spacing w:line="180" w:lineRule="exact"/>
      </w:pPr>
      <w:r>
        <w:br w:type="page"/>
      </w:r>
    </w:p>
    <w:p w14:paraId="5DE5B7F5" w14:textId="77777777" w:rsidR="001F7233" w:rsidRDefault="00000000">
      <w:pPr>
        <w:pStyle w:val="Heading2"/>
        <w:keepNext/>
        <w:spacing w:line="341" w:lineRule="auto"/>
        <w:jc w:val="center"/>
      </w:pPr>
      <w:bookmarkStart w:id="156" w:name="s112"/>
      <w:r>
        <w:rPr>
          <w:rFonts w:ascii="Amazon Ember" w:eastAsia="Amazon Ember" w:hAnsi="Amazon Ember" w:cs="Amazon Ember"/>
          <w:color w:val="0000FF"/>
          <w:sz w:val="36"/>
          <w:szCs w:val="36"/>
        </w:rPr>
        <w:lastRenderedPageBreak/>
        <w:t>Quellen Australien</w:t>
      </w:r>
      <w:bookmarkEnd w:id="156"/>
    </w:p>
    <w:p w14:paraId="50CF2D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Einwanderungsbehörden</w:t>
      </w:r>
    </w:p>
    <w:p w14:paraId="371694D1" w14:textId="77777777" w:rsidR="001F7233" w:rsidRDefault="00000000">
      <w:r>
        <w:t>• immi.homeaffairs.gov.au</w:t>
      </w:r>
    </w:p>
    <w:p w14:paraId="7857DE27" w14:textId="77777777" w:rsidR="001F7233" w:rsidRDefault="00000000">
      <w:r>
        <w:rPr>
          <w:b/>
        </w:rPr>
        <w:t>immi.homeaffairs.gov.au</w:t>
      </w:r>
    </w:p>
    <w:p w14:paraId="5DF28244" w14:textId="77777777" w:rsidR="001F7233" w:rsidRDefault="00000000">
      <w:r>
        <w:rPr>
          <w:b/>
        </w:rPr>
        <w:t xml:space="preserve">Behörde / Thema: </w:t>
      </w:r>
      <w:r>
        <w:t>Visa-Übersicht, Gebühren und ImmiAccount</w:t>
      </w:r>
    </w:p>
    <w:p w14:paraId="3B7C4D89" w14:textId="77777777" w:rsidR="001F7233" w:rsidRDefault="00000000">
      <w:r>
        <w:rPr>
          <w:b/>
        </w:rPr>
        <w:t xml:space="preserve">Referenz: </w:t>
      </w:r>
      <w:r>
        <w:t>Australien: Einwanderung</w:t>
      </w:r>
    </w:p>
    <w:p w14:paraId="2AB74AA7" w14:textId="77777777" w:rsidR="001F7233" w:rsidRDefault="00000000">
      <w:r>
        <w:rPr>
          <w:b/>
        </w:rPr>
        <w:t>immi.homeaffairs.gov.au/visas/working-in-australia/skillselect</w:t>
      </w:r>
    </w:p>
    <w:p w14:paraId="54B79FE4" w14:textId="77777777" w:rsidR="001F7233" w:rsidRDefault="00000000">
      <w:r>
        <w:rPr>
          <w:b/>
        </w:rPr>
        <w:t xml:space="preserve">Behörde / Thema: </w:t>
      </w:r>
      <w:r>
        <w:t>SkillSelect und Einladungsrunden</w:t>
      </w:r>
    </w:p>
    <w:p w14:paraId="237DC2A6" w14:textId="77777777" w:rsidR="001F7233" w:rsidRDefault="00000000">
      <w:r>
        <w:rPr>
          <w:b/>
        </w:rPr>
        <w:t xml:space="preserve">Referenz: </w:t>
      </w:r>
      <w:r>
        <w:t>Australien: Einwanderung</w:t>
      </w:r>
    </w:p>
    <w:p w14:paraId="2AA12576" w14:textId="77777777" w:rsidR="001F7233" w:rsidRDefault="00000000">
      <w:r>
        <w:rPr>
          <w:b/>
        </w:rPr>
        <w:t>immi.homeaffairs.gov.au (Suche: work-holiday-417)</w:t>
      </w:r>
    </w:p>
    <w:p w14:paraId="0326DA77" w14:textId="77777777" w:rsidR="001F7233" w:rsidRDefault="00000000">
      <w:r>
        <w:rPr>
          <w:b/>
        </w:rPr>
        <w:t xml:space="preserve">Behörde / Thema: </w:t>
      </w:r>
      <w:r>
        <w:t>Working Holiday Visa, Subclass 417</w:t>
      </w:r>
    </w:p>
    <w:p w14:paraId="0497BC5C" w14:textId="77777777" w:rsidR="001F7233" w:rsidRDefault="00000000">
      <w:r>
        <w:rPr>
          <w:b/>
        </w:rPr>
        <w:t xml:space="preserve">Referenz: </w:t>
      </w:r>
      <w:r>
        <w:t>Australien: Einwanderung</w:t>
      </w:r>
    </w:p>
    <w:p w14:paraId="4C21C095" w14:textId="77777777" w:rsidR="001F7233" w:rsidRDefault="00000000">
      <w:r>
        <w:rPr>
          <w:b/>
        </w:rPr>
        <w:t>immi.homeaffairs.gov.au (Suche: student-visa-500)</w:t>
      </w:r>
    </w:p>
    <w:p w14:paraId="45E5F693" w14:textId="77777777" w:rsidR="001F7233" w:rsidRDefault="00000000">
      <w:r>
        <w:rPr>
          <w:b/>
        </w:rPr>
        <w:t xml:space="preserve">Behörde / Thema: </w:t>
      </w:r>
      <w:r>
        <w:t>Student Visa, Subclass 500</w:t>
      </w:r>
    </w:p>
    <w:p w14:paraId="223149E2" w14:textId="77777777" w:rsidR="001F7233" w:rsidRDefault="00000000">
      <w:r>
        <w:rPr>
          <w:b/>
        </w:rPr>
        <w:t xml:space="preserve">Referenz: </w:t>
      </w:r>
      <w:r>
        <w:t>Australien: Einwanderung</w:t>
      </w:r>
    </w:p>
    <w:p w14:paraId="57EC2CD4" w14:textId="77777777" w:rsidR="001F7233" w:rsidRDefault="00000000">
      <w:r>
        <w:rPr>
          <w:b/>
        </w:rPr>
        <w:t>immi.homeaffairs.gov.au/visas/getting-a-visa/fees-and-charges</w:t>
      </w:r>
    </w:p>
    <w:p w14:paraId="1A80B708" w14:textId="77777777" w:rsidR="001F7233" w:rsidRDefault="00000000">
      <w:r>
        <w:rPr>
          <w:b/>
        </w:rPr>
        <w:t xml:space="preserve">Behörde / Thema: </w:t>
      </w:r>
      <w:r>
        <w:t>Gebühren und Bearbeitungszeiten</w:t>
      </w:r>
    </w:p>
    <w:p w14:paraId="56FA649A" w14:textId="77777777" w:rsidR="001F7233" w:rsidRDefault="00000000">
      <w:r>
        <w:rPr>
          <w:b/>
        </w:rPr>
        <w:t xml:space="preserve">Referenz: </w:t>
      </w:r>
      <w:r>
        <w:t>Australien: Einwanderung</w:t>
      </w:r>
    </w:p>
    <w:p w14:paraId="5EF258B6" w14:textId="77777777" w:rsidR="001F7233" w:rsidRDefault="00000000">
      <w:r>
        <w:rPr>
          <w:b/>
        </w:rPr>
        <w:t>immi.homeaffairs.gov.au (Migration Program)</w:t>
      </w:r>
    </w:p>
    <w:p w14:paraId="1242261F" w14:textId="77777777" w:rsidR="001F7233" w:rsidRDefault="00000000">
      <w:r>
        <w:rPr>
          <w:b/>
        </w:rPr>
        <w:t xml:space="preserve">Behörde / Thema: </w:t>
      </w:r>
      <w:r>
        <w:t>Migration Program, jährliches Planungsniveau</w:t>
      </w:r>
    </w:p>
    <w:p w14:paraId="0EBD2B3D" w14:textId="77777777" w:rsidR="001F7233" w:rsidRDefault="00000000">
      <w:r>
        <w:rPr>
          <w:b/>
        </w:rPr>
        <w:t xml:space="preserve">Referenz: </w:t>
      </w:r>
      <w:r>
        <w:t>Australien: Einwanderung</w:t>
      </w:r>
    </w:p>
    <w:p w14:paraId="0A306A93" w14:textId="77777777" w:rsidR="001F7233" w:rsidRDefault="00000000">
      <w:r>
        <w:rPr>
          <w:b/>
        </w:rPr>
        <w:t>immi.homeaffairs.gov.au (Suche: skilled-independent-189)</w:t>
      </w:r>
    </w:p>
    <w:p w14:paraId="7E7551B4" w14:textId="77777777" w:rsidR="001F7233" w:rsidRDefault="00000000">
      <w:r>
        <w:rPr>
          <w:b/>
        </w:rPr>
        <w:t xml:space="preserve">Behörde / Thema: </w:t>
      </w:r>
      <w:r>
        <w:t>Skilled Independent visa, Subclass 189</w:t>
      </w:r>
    </w:p>
    <w:p w14:paraId="75CC7174" w14:textId="77777777" w:rsidR="001F7233" w:rsidRDefault="00000000">
      <w:r>
        <w:rPr>
          <w:b/>
        </w:rPr>
        <w:t xml:space="preserve">Referenz: </w:t>
      </w:r>
      <w:r>
        <w:t>Australien: Einwanderung</w:t>
      </w:r>
    </w:p>
    <w:p w14:paraId="3F297424" w14:textId="77777777" w:rsidR="001F7233" w:rsidRDefault="00000000">
      <w:r>
        <w:rPr>
          <w:b/>
        </w:rPr>
        <w:t>immi.homeaffairs.gov.au (Suche: skilled-nominated-190)</w:t>
      </w:r>
    </w:p>
    <w:p w14:paraId="34594C71" w14:textId="77777777" w:rsidR="001F7233" w:rsidRDefault="00000000">
      <w:r>
        <w:rPr>
          <w:b/>
        </w:rPr>
        <w:t xml:space="preserve">Behörde / Thema: </w:t>
      </w:r>
      <w:r>
        <w:t>Skilled Nominated visa, Subclass 190</w:t>
      </w:r>
    </w:p>
    <w:p w14:paraId="60D649D7" w14:textId="77777777" w:rsidR="001F7233" w:rsidRDefault="00000000">
      <w:r>
        <w:rPr>
          <w:b/>
        </w:rPr>
        <w:t xml:space="preserve">Referenz: </w:t>
      </w:r>
      <w:r>
        <w:t>Australien: Einwanderung</w:t>
      </w:r>
    </w:p>
    <w:p w14:paraId="17DB9F30" w14:textId="77777777" w:rsidR="001F7233" w:rsidRDefault="00000000">
      <w:r>
        <w:rPr>
          <w:b/>
        </w:rPr>
        <w:t>immi.homeaffairs.gov.au (Suche: skills-in-demand-visa-subclass-482)</w:t>
      </w:r>
    </w:p>
    <w:p w14:paraId="5F76C55C" w14:textId="77777777" w:rsidR="001F7233" w:rsidRDefault="00000000">
      <w:r>
        <w:rPr>
          <w:b/>
        </w:rPr>
        <w:t xml:space="preserve">Behörde / Thema: </w:t>
      </w:r>
      <w:r>
        <w:t>Skills in Demand visa, Subclass 482</w:t>
      </w:r>
    </w:p>
    <w:p w14:paraId="6A7E3ADA" w14:textId="77777777" w:rsidR="001F7233" w:rsidRDefault="00000000">
      <w:r>
        <w:rPr>
          <w:b/>
        </w:rPr>
        <w:t xml:space="preserve">Referenz: </w:t>
      </w:r>
      <w:r>
        <w:t>Australien: Einwanderung</w:t>
      </w:r>
    </w:p>
    <w:p w14:paraId="07A4B4A3" w14:textId="77777777" w:rsidR="001F7233" w:rsidRDefault="00000000">
      <w:r>
        <w:rPr>
          <w:b/>
        </w:rPr>
        <w:lastRenderedPageBreak/>
        <w:t>immi.homeaffairs.gov.au (Suche: employer-nomination-scheme-186)</w:t>
      </w:r>
    </w:p>
    <w:p w14:paraId="54B272DB" w14:textId="77777777" w:rsidR="001F7233" w:rsidRDefault="00000000">
      <w:r>
        <w:rPr>
          <w:b/>
        </w:rPr>
        <w:t xml:space="preserve">Behörde / Thema: </w:t>
      </w:r>
      <w:r>
        <w:t>Employer Nomination Scheme, Subclass 186</w:t>
      </w:r>
    </w:p>
    <w:p w14:paraId="5CED2AC0" w14:textId="77777777" w:rsidR="001F7233" w:rsidRDefault="00000000">
      <w:r>
        <w:rPr>
          <w:b/>
        </w:rPr>
        <w:t xml:space="preserve">Referenz: </w:t>
      </w:r>
      <w:r>
        <w:t>Australien: Einwanderung</w:t>
      </w:r>
    </w:p>
    <w:p w14:paraId="118DF6DF" w14:textId="77777777" w:rsidR="001F7233" w:rsidRDefault="00000000">
      <w:r>
        <w:rPr>
          <w:b/>
        </w:rPr>
        <w:t>dewr.gov.au</w:t>
      </w:r>
    </w:p>
    <w:p w14:paraId="0E448ACD" w14:textId="77777777" w:rsidR="001F7233" w:rsidRDefault="00000000">
      <w:r>
        <w:rPr>
          <w:b/>
        </w:rPr>
        <w:t xml:space="preserve">Behörde / Thema: </w:t>
      </w:r>
      <w:r>
        <w:t>Skilling Australians Fund Levy</w:t>
      </w:r>
    </w:p>
    <w:p w14:paraId="768DA061" w14:textId="77777777" w:rsidR="001F7233" w:rsidRDefault="00000000">
      <w:r>
        <w:rPr>
          <w:b/>
        </w:rPr>
        <w:t xml:space="preserve">Referenz: </w:t>
      </w:r>
      <w:r>
        <w:t>Australien: Einwanderung</w:t>
      </w:r>
    </w:p>
    <w:p w14:paraId="324E9523" w14:textId="77777777" w:rsidR="001F7233" w:rsidRDefault="00000000">
      <w:r>
        <w:rPr>
          <w:b/>
        </w:rPr>
        <w:t>immi.homeaffairs.gov.au (Suche: partner-visa)</w:t>
      </w:r>
    </w:p>
    <w:p w14:paraId="0BBC28C6" w14:textId="77777777" w:rsidR="001F7233" w:rsidRDefault="00000000">
      <w:r>
        <w:rPr>
          <w:b/>
        </w:rPr>
        <w:t xml:space="preserve">Behörde / Thema: </w:t>
      </w:r>
      <w:r>
        <w:t>Partnervisa, Subclass 820/801 und 309/100</w:t>
      </w:r>
    </w:p>
    <w:p w14:paraId="4C74EB3A" w14:textId="77777777" w:rsidR="001F7233" w:rsidRDefault="00000000">
      <w:r>
        <w:rPr>
          <w:b/>
        </w:rPr>
        <w:t xml:space="preserve">Referenz: </w:t>
      </w:r>
      <w:r>
        <w:t>Australien: Einwanderung</w:t>
      </w:r>
    </w:p>
    <w:p w14:paraId="3C70EBDC" w14:textId="77777777" w:rsidR="001F7233" w:rsidRDefault="00000000">
      <w:r>
        <w:rPr>
          <w:b/>
        </w:rPr>
        <w:t>immi.homeaffairs.gov.au (Suche: parent-visa, balance-of-family-test)</w:t>
      </w:r>
    </w:p>
    <w:p w14:paraId="53151DF4" w14:textId="77777777" w:rsidR="001F7233" w:rsidRDefault="00000000">
      <w:r>
        <w:rPr>
          <w:b/>
        </w:rPr>
        <w:t xml:space="preserve">Behörde / Thema: </w:t>
      </w:r>
      <w:r>
        <w:t>Parent-Visa-Kategorien und Balance-of-Family-Test</w:t>
      </w:r>
    </w:p>
    <w:p w14:paraId="6C2AFAF8" w14:textId="77777777" w:rsidR="001F7233" w:rsidRDefault="00000000">
      <w:r>
        <w:rPr>
          <w:b/>
        </w:rPr>
        <w:t xml:space="preserve">Referenz: </w:t>
      </w:r>
      <w:r>
        <w:t>Australien: Einwanderung</w:t>
      </w:r>
    </w:p>
    <w:p w14:paraId="47EAFA6C" w14:textId="77777777" w:rsidR="001F7233" w:rsidRDefault="00000000">
      <w:r>
        <w:rPr>
          <w:b/>
        </w:rPr>
        <w:t>immi.homeaffairs.gov.au (Suche: sponsored-parent-870)</w:t>
      </w:r>
    </w:p>
    <w:p w14:paraId="1C95E4AB" w14:textId="77777777" w:rsidR="001F7233" w:rsidRDefault="00000000">
      <w:r>
        <w:rPr>
          <w:b/>
        </w:rPr>
        <w:t xml:space="preserve">Behörde / Thema: </w:t>
      </w:r>
      <w:r>
        <w:t>Sponsored Parent (Temporary) Visa, Subclass 870</w:t>
      </w:r>
    </w:p>
    <w:p w14:paraId="3D722905" w14:textId="77777777" w:rsidR="001F7233" w:rsidRDefault="00000000">
      <w:r>
        <w:rPr>
          <w:b/>
        </w:rPr>
        <w:t xml:space="preserve">Referenz: </w:t>
      </w:r>
      <w:r>
        <w:t>Australien: Einwanderung</w:t>
      </w:r>
    </w:p>
    <w:p w14:paraId="5F9C87CC" w14:textId="77777777" w:rsidR="001F7233" w:rsidRDefault="00000000">
      <w:r>
        <w:rPr>
          <w:b/>
        </w:rPr>
        <w:t>immi.homeaffairs.gov.au (Suche: national-innovation-visa-858)</w:t>
      </w:r>
    </w:p>
    <w:p w14:paraId="131274EE" w14:textId="77777777" w:rsidR="001F7233" w:rsidRDefault="00000000">
      <w:r>
        <w:rPr>
          <w:b/>
        </w:rPr>
        <w:t xml:space="preserve">Behörde / Thema: </w:t>
      </w:r>
      <w:r>
        <w:t>National Innovation Visa, Subclass 858</w:t>
      </w:r>
    </w:p>
    <w:p w14:paraId="461C7D71" w14:textId="77777777" w:rsidR="001F7233" w:rsidRDefault="00000000">
      <w:r>
        <w:rPr>
          <w:b/>
        </w:rPr>
        <w:t xml:space="preserve">Referenz: </w:t>
      </w:r>
      <w:r>
        <w:t>Australien: Einwanderung</w:t>
      </w:r>
    </w:p>
    <w:p w14:paraId="4E052D9E" w14:textId="77777777" w:rsidR="001F7233" w:rsidRDefault="00000000">
      <w:r>
        <w:rPr>
          <w:b/>
        </w:rPr>
        <w:t>immi.homeaffairs.gov.au/visas/getting-a-visa/visa-processing-times</w:t>
      </w:r>
    </w:p>
    <w:p w14:paraId="37B3F0DF" w14:textId="77777777" w:rsidR="001F7233" w:rsidRDefault="00000000">
      <w:r>
        <w:rPr>
          <w:b/>
        </w:rPr>
        <w:t xml:space="preserve">Behörde / Thema: </w:t>
      </w:r>
      <w:r>
        <w:t>Visa-Bearbeitungszeiten und -prioritäten</w:t>
      </w:r>
    </w:p>
    <w:p w14:paraId="0D2C7920" w14:textId="77777777" w:rsidR="001F7233" w:rsidRDefault="00000000">
      <w:r>
        <w:rPr>
          <w:b/>
        </w:rPr>
        <w:t xml:space="preserve">Referenz: </w:t>
      </w:r>
      <w:r>
        <w:t>Australien: Einwanderung</w:t>
      </w:r>
    </w:p>
    <w:p w14:paraId="7E2F797E" w14:textId="77777777" w:rsidR="001F7233" w:rsidRDefault="00000000">
      <w:r>
        <w:rPr>
          <w:b/>
        </w:rPr>
        <w:t>portal.mara.gov.au</w:t>
      </w:r>
    </w:p>
    <w:p w14:paraId="7E54D1CD" w14:textId="77777777" w:rsidR="001F7233" w:rsidRDefault="00000000">
      <w:r>
        <w:rPr>
          <w:b/>
        </w:rPr>
        <w:t xml:space="preserve">Behörde / Thema: </w:t>
      </w:r>
      <w:r>
        <w:t>OMARA, Register der Migration Agents</w:t>
      </w:r>
    </w:p>
    <w:p w14:paraId="1701AF91" w14:textId="77777777" w:rsidR="001F7233" w:rsidRDefault="00000000">
      <w:r>
        <w:rPr>
          <w:b/>
        </w:rPr>
        <w:t xml:space="preserve">Referenz: </w:t>
      </w:r>
      <w:r>
        <w:t>Australien: Einwanderung</w:t>
      </w:r>
    </w:p>
    <w:p w14:paraId="36B91E86" w14:textId="77777777" w:rsidR="001F7233" w:rsidRDefault="00000000">
      <w:r>
        <w:rPr>
          <w:b/>
        </w:rPr>
        <w:t>abf.gov.au</w:t>
      </w:r>
    </w:p>
    <w:p w14:paraId="76D4D424" w14:textId="77777777" w:rsidR="001F7233" w:rsidRDefault="00000000">
      <w:r>
        <w:rPr>
          <w:b/>
        </w:rPr>
        <w:t xml:space="preserve">Behörde / Thema: </w:t>
      </w:r>
      <w:r>
        <w:t>Australian Border Force, Biosecurity und Zoll bei der Einreise</w:t>
      </w:r>
    </w:p>
    <w:p w14:paraId="5DDB64A2" w14:textId="77777777" w:rsidR="001F7233" w:rsidRDefault="00000000">
      <w:r>
        <w:rPr>
          <w:b/>
        </w:rPr>
        <w:t xml:space="preserve">Referenz: </w:t>
      </w:r>
      <w:r>
        <w:t>Australien: Ankunft</w:t>
      </w:r>
    </w:p>
    <w:p w14:paraId="44B088EC" w14:textId="77777777" w:rsidR="001F7233" w:rsidRDefault="00000000">
      <w:r>
        <w:rPr>
          <w:b/>
        </w:rPr>
        <w:t>agriculture.gov.au/cats-dogs</w:t>
      </w:r>
    </w:p>
    <w:p w14:paraId="4381990E" w14:textId="77777777" w:rsidR="001F7233" w:rsidRDefault="00000000">
      <w:r>
        <w:rPr>
          <w:b/>
        </w:rPr>
        <w:lastRenderedPageBreak/>
        <w:t xml:space="preserve">Behörde / Thema: </w:t>
      </w:r>
      <w:r>
        <w:t>DAFF, Einfuhr von Hunden und Katzen, Gruppe 3, Quarantäne Mickleham</w:t>
      </w:r>
    </w:p>
    <w:p w14:paraId="5DD98753" w14:textId="77777777" w:rsidR="001F7233" w:rsidRDefault="00000000">
      <w:r>
        <w:rPr>
          <w:b/>
        </w:rPr>
        <w:t xml:space="preserve">Referenz: </w:t>
      </w:r>
      <w:r>
        <w:t>Australien: Ankunft</w:t>
      </w:r>
    </w:p>
    <w:p w14:paraId="7D2961CD" w14:textId="77777777" w:rsidR="001F7233" w:rsidRDefault="00000000">
      <w:r>
        <w:rPr>
          <w:b/>
        </w:rPr>
        <w:t>homeaffairs.gov.au</w:t>
      </w:r>
    </w:p>
    <w:p w14:paraId="3799EFD5" w14:textId="77777777" w:rsidR="001F7233" w:rsidRDefault="00000000">
      <w:r>
        <w:rPr>
          <w:b/>
        </w:rPr>
        <w:t xml:space="preserve">Behörde / Thema: </w:t>
      </w:r>
      <w:r>
        <w:t>Citizenship by Conferral: Voraussetzungen, Test, Gebühren, Residence Calculator</w:t>
      </w:r>
    </w:p>
    <w:p w14:paraId="279289AF" w14:textId="77777777" w:rsidR="001F7233" w:rsidRDefault="00000000">
      <w:r>
        <w:rPr>
          <w:b/>
        </w:rPr>
        <w:t xml:space="preserve">Referenz: </w:t>
      </w:r>
      <w:r>
        <w:t>Australien: Staatsbürgerschaft</w:t>
      </w:r>
    </w:p>
    <w:p w14:paraId="3BB8C71B" w14:textId="77777777" w:rsidR="001F7233" w:rsidRDefault="00000000">
      <w:r>
        <w:rPr>
          <w:b/>
        </w:rPr>
        <w:t>bmi.bund.de</w:t>
      </w:r>
    </w:p>
    <w:p w14:paraId="3ABB2A0E" w14:textId="77777777" w:rsidR="001F7233" w:rsidRDefault="00000000">
      <w:r>
        <w:rPr>
          <w:b/>
        </w:rPr>
        <w:t xml:space="preserve">Behörde / Thema: </w:t>
      </w:r>
      <w:r>
        <w:t>Staatsangehörigkeitsrecht, Reform 2024</w:t>
      </w:r>
    </w:p>
    <w:p w14:paraId="39492D5C" w14:textId="77777777" w:rsidR="001F7233" w:rsidRDefault="00000000">
      <w:r>
        <w:rPr>
          <w:b/>
        </w:rPr>
        <w:t xml:space="preserve">Referenz: </w:t>
      </w:r>
      <w:r>
        <w:t>Australien: Staatsbürgerschaft</w:t>
      </w:r>
    </w:p>
    <w:p w14:paraId="475DE6D5" w14:textId="77777777" w:rsidR="001F7233" w:rsidRDefault="001F7233">
      <w:pPr>
        <w:spacing w:line="180" w:lineRule="exact"/>
      </w:pPr>
    </w:p>
    <w:p w14:paraId="786D4C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Steuern und Sozialversicherung</w:t>
      </w:r>
    </w:p>
    <w:p w14:paraId="142FC7C1" w14:textId="77777777" w:rsidR="001F7233" w:rsidRDefault="00000000">
      <w:r>
        <w:t>• ato.gov.au</w:t>
      </w:r>
    </w:p>
    <w:p w14:paraId="080EE6FF" w14:textId="77777777" w:rsidR="001F7233" w:rsidRDefault="00000000">
      <w:r>
        <w:rPr>
          <w:b/>
        </w:rPr>
        <w:t>ato.gov.au</w:t>
      </w:r>
    </w:p>
    <w:p w14:paraId="3EC07ABC" w14:textId="77777777" w:rsidR="001F7233" w:rsidRDefault="00000000">
      <w:r>
        <w:rPr>
          <w:b/>
        </w:rPr>
        <w:t xml:space="preserve">Behörde / Thema: </w:t>
      </w:r>
      <w:r>
        <w:t>Einkommensteuersätze, Tax File Number, Medicare Levy und Surcharge</w:t>
      </w:r>
    </w:p>
    <w:p w14:paraId="79315DAD" w14:textId="77777777" w:rsidR="001F7233" w:rsidRDefault="00000000">
      <w:r>
        <w:rPr>
          <w:b/>
        </w:rPr>
        <w:t xml:space="preserve">Referenz: </w:t>
      </w:r>
      <w:r>
        <w:t>Australien: Steuern</w:t>
      </w:r>
    </w:p>
    <w:p w14:paraId="75E3BED0" w14:textId="77777777" w:rsidR="001F7233" w:rsidRDefault="00000000">
      <w:r>
        <w:rPr>
          <w:b/>
        </w:rPr>
        <w:t>ato.gov.au/super</w:t>
      </w:r>
    </w:p>
    <w:p w14:paraId="3D1C3344" w14:textId="77777777" w:rsidR="001F7233" w:rsidRDefault="00000000">
      <w:r>
        <w:rPr>
          <w:b/>
        </w:rPr>
        <w:t xml:space="preserve">Behörde / Thema: </w:t>
      </w:r>
      <w:r>
        <w:t>Superannuation, Departing Australia Superannuation Payment (DASP), Superannuation Guarantee</w:t>
      </w:r>
    </w:p>
    <w:p w14:paraId="7DE77B5C" w14:textId="77777777" w:rsidR="001F7233" w:rsidRDefault="00000000">
      <w:r>
        <w:rPr>
          <w:b/>
        </w:rPr>
        <w:t xml:space="preserve">Referenz: </w:t>
      </w:r>
      <w:r>
        <w:t>Australien: Steuern</w:t>
      </w:r>
    </w:p>
    <w:p w14:paraId="34747973" w14:textId="77777777" w:rsidR="001F7233" w:rsidRDefault="00000000">
      <w:r>
        <w:rPr>
          <w:b/>
        </w:rPr>
        <w:t>servicesaustralia.gov.au</w:t>
      </w:r>
    </w:p>
    <w:p w14:paraId="73640285" w14:textId="77777777" w:rsidR="001F7233" w:rsidRDefault="00000000">
      <w:r>
        <w:rPr>
          <w:b/>
        </w:rPr>
        <w:t xml:space="preserve">Behörde / Thema: </w:t>
      </w:r>
      <w:r>
        <w:t>Centrelink, Medicare-Anmeldung</w:t>
      </w:r>
    </w:p>
    <w:p w14:paraId="5EC1AF09" w14:textId="77777777" w:rsidR="001F7233" w:rsidRDefault="00000000">
      <w:r>
        <w:rPr>
          <w:b/>
        </w:rPr>
        <w:t xml:space="preserve">Referenz: </w:t>
      </w:r>
      <w:r>
        <w:t>Australien: Steuern</w:t>
      </w:r>
    </w:p>
    <w:p w14:paraId="4764DCE3" w14:textId="77777777" w:rsidR="001F7233" w:rsidRDefault="00000000">
      <w:r>
        <w:rPr>
          <w:b/>
        </w:rPr>
        <w:t>moneysmart.gov.au</w:t>
      </w:r>
    </w:p>
    <w:p w14:paraId="037ACA88" w14:textId="77777777" w:rsidR="001F7233" w:rsidRDefault="00000000">
      <w:r>
        <w:rPr>
          <w:b/>
        </w:rPr>
        <w:t xml:space="preserve">Behörde / Thema: </w:t>
      </w:r>
      <w:r>
        <w:t>Unabhängige Verbraucherinformation der ASIC, u. a. Kreditauskünfte</w:t>
      </w:r>
    </w:p>
    <w:p w14:paraId="18B8839F" w14:textId="77777777" w:rsidR="001F7233" w:rsidRDefault="00000000">
      <w:r>
        <w:rPr>
          <w:b/>
        </w:rPr>
        <w:t xml:space="preserve">Referenz: </w:t>
      </w:r>
      <w:r>
        <w:t>Australien: Steuern</w:t>
      </w:r>
    </w:p>
    <w:p w14:paraId="799E37C9" w14:textId="77777777" w:rsidR="001F7233" w:rsidRDefault="00000000">
      <w:r>
        <w:rPr>
          <w:b/>
        </w:rPr>
        <w:t>equifax.com.au, experian.com.au (Australian illion data merged on 1 April 2026)</w:t>
      </w:r>
    </w:p>
    <w:p w14:paraId="45CF0FBB" w14:textId="77777777" w:rsidR="001F7233" w:rsidRDefault="00000000">
      <w:r>
        <w:rPr>
          <w:b/>
        </w:rPr>
        <w:t xml:space="preserve">Behörde / Thema: </w:t>
      </w:r>
      <w:r>
        <w:t>Kostenlose Kreditauskunft</w:t>
      </w:r>
    </w:p>
    <w:p w14:paraId="339B608F" w14:textId="77777777" w:rsidR="001F7233" w:rsidRDefault="00000000">
      <w:r>
        <w:rPr>
          <w:b/>
        </w:rPr>
        <w:lastRenderedPageBreak/>
        <w:t xml:space="preserve">Referenz: </w:t>
      </w:r>
      <w:r>
        <w:t>Australien: Steuern</w:t>
      </w:r>
    </w:p>
    <w:p w14:paraId="6AD42FCE" w14:textId="77777777" w:rsidR="001F7233" w:rsidRDefault="00000000">
      <w:r>
        <w:rPr>
          <w:b/>
        </w:rPr>
        <w:t>commbank.com.au, westpac.com.au, nab.com.au, anz.com.au</w:t>
      </w:r>
    </w:p>
    <w:p w14:paraId="693AD437" w14:textId="77777777" w:rsidR="001F7233" w:rsidRDefault="00000000">
      <w:r>
        <w:rPr>
          <w:b/>
        </w:rPr>
        <w:t xml:space="preserve">Behörde / Thema: </w:t>
      </w:r>
      <w:r>
        <w:t>Kontoeröffnung für Neuankömmlinge</w:t>
      </w:r>
    </w:p>
    <w:p w14:paraId="10EC2EDB" w14:textId="77777777" w:rsidR="001F7233" w:rsidRDefault="00000000">
      <w:r>
        <w:rPr>
          <w:b/>
        </w:rPr>
        <w:t xml:space="preserve">Referenz: </w:t>
      </w:r>
      <w:r>
        <w:t>Australien: Steuern</w:t>
      </w:r>
    </w:p>
    <w:p w14:paraId="4FCE381D" w14:textId="77777777" w:rsidR="001F7233" w:rsidRDefault="00000000">
      <w:r>
        <w:rPr>
          <w:b/>
        </w:rPr>
        <w:t>mygov.au</w:t>
      </w:r>
    </w:p>
    <w:p w14:paraId="354B7EFC" w14:textId="77777777" w:rsidR="001F7233" w:rsidRDefault="00000000">
      <w:r>
        <w:rPr>
          <w:b/>
        </w:rPr>
        <w:t xml:space="preserve">Behörde / Thema: </w:t>
      </w:r>
      <w:r>
        <w:t>Online-Portal für Steuererklärung und Behördengänge</w:t>
      </w:r>
    </w:p>
    <w:p w14:paraId="2C536A35" w14:textId="77777777" w:rsidR="001F7233" w:rsidRDefault="00000000">
      <w:r>
        <w:rPr>
          <w:b/>
        </w:rPr>
        <w:t xml:space="preserve">Referenz: </w:t>
      </w:r>
      <w:r>
        <w:t>Australien: Steuern</w:t>
      </w:r>
    </w:p>
    <w:p w14:paraId="171E32DF" w14:textId="77777777" w:rsidR="001F7233" w:rsidRDefault="00000000">
      <w:r>
        <w:rPr>
          <w:b/>
        </w:rPr>
        <w:t>ato.gov.au (Doppelbesteuerungsabkommen)</w:t>
      </w:r>
    </w:p>
    <w:p w14:paraId="7C9250A7" w14:textId="77777777" w:rsidR="001F7233" w:rsidRDefault="00000000">
      <w:r>
        <w:rPr>
          <w:b/>
        </w:rPr>
        <w:t xml:space="preserve">Behörde / Thema: </w:t>
      </w:r>
      <w:r>
        <w:t>Doppelbesteuerungsabkommen Australien–Deutschland</w:t>
      </w:r>
    </w:p>
    <w:p w14:paraId="142D06FD" w14:textId="77777777" w:rsidR="001F7233" w:rsidRDefault="00000000">
      <w:r>
        <w:rPr>
          <w:b/>
        </w:rPr>
        <w:t xml:space="preserve">Referenz: </w:t>
      </w:r>
      <w:r>
        <w:t>Australien: Steuern</w:t>
      </w:r>
    </w:p>
    <w:p w14:paraId="1E71D62E" w14:textId="77777777" w:rsidR="001F7233" w:rsidRDefault="00000000">
      <w:r>
        <w:rPr>
          <w:b/>
        </w:rPr>
        <w:t>ato.gov.au (Your tax residency)</w:t>
      </w:r>
    </w:p>
    <w:p w14:paraId="10325404" w14:textId="77777777" w:rsidR="001F7233" w:rsidRDefault="00000000">
      <w:r>
        <w:rPr>
          <w:b/>
        </w:rPr>
        <w:t xml:space="preserve">Behörde / Thema: </w:t>
      </w:r>
      <w:r>
        <w:t>Steuerresidenz, Foreign and worldwide income</w:t>
      </w:r>
    </w:p>
    <w:p w14:paraId="75CDE4DB" w14:textId="77777777" w:rsidR="001F7233" w:rsidRDefault="00000000">
      <w:r>
        <w:rPr>
          <w:b/>
        </w:rPr>
        <w:t xml:space="preserve">Referenz: </w:t>
      </w:r>
      <w:r>
        <w:t>Australien: Steuern</w:t>
      </w:r>
    </w:p>
    <w:p w14:paraId="76D1A9BB" w14:textId="77777777" w:rsidR="001F7233" w:rsidRDefault="00000000">
      <w:r>
        <w:rPr>
          <w:b/>
        </w:rPr>
        <w:t>oecd.org</w:t>
      </w:r>
    </w:p>
    <w:p w14:paraId="646954A8" w14:textId="77777777" w:rsidR="001F7233" w:rsidRDefault="00000000">
      <w:r>
        <w:rPr>
          <w:b/>
        </w:rPr>
        <w:t xml:space="preserve">Behörde / Thema: </w:t>
      </w:r>
      <w:r>
        <w:t>Taxing Wages, Steuerkeil-Vergleich</w:t>
      </w:r>
    </w:p>
    <w:p w14:paraId="37E19643" w14:textId="77777777" w:rsidR="001F7233" w:rsidRDefault="00000000">
      <w:r>
        <w:rPr>
          <w:b/>
        </w:rPr>
        <w:t xml:space="preserve">Referenz: </w:t>
      </w:r>
      <w:r>
        <w:t>Australien: Steuern</w:t>
      </w:r>
    </w:p>
    <w:p w14:paraId="644E4B06" w14:textId="77777777" w:rsidR="001F7233" w:rsidRDefault="00000000">
      <w:r>
        <w:rPr>
          <w:b/>
        </w:rPr>
        <w:t>numbeo.com</w:t>
      </w:r>
    </w:p>
    <w:p w14:paraId="2AA11859" w14:textId="77777777" w:rsidR="001F7233" w:rsidRDefault="00000000">
      <w:r>
        <w:rPr>
          <w:b/>
        </w:rPr>
        <w:t xml:space="preserve">Behörde / Thema: </w:t>
      </w:r>
      <w:r>
        <w:t>Lebenshaltungskosten im Städtevergleich</w:t>
      </w:r>
    </w:p>
    <w:p w14:paraId="012FC8C8" w14:textId="77777777" w:rsidR="001F7233" w:rsidRDefault="00000000">
      <w:r>
        <w:rPr>
          <w:b/>
        </w:rPr>
        <w:t xml:space="preserve">Referenz: </w:t>
      </w:r>
      <w:r>
        <w:t>Australien: Steuern</w:t>
      </w:r>
    </w:p>
    <w:p w14:paraId="213647D9" w14:textId="77777777" w:rsidR="001F7233" w:rsidRDefault="001F7233">
      <w:pPr>
        <w:spacing w:line="180" w:lineRule="exact"/>
      </w:pPr>
    </w:p>
    <w:p w14:paraId="3A6F03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Gesundheit</w:t>
      </w:r>
    </w:p>
    <w:p w14:paraId="4FDBEB00" w14:textId="77777777" w:rsidR="001F7233" w:rsidRDefault="00000000">
      <w:r>
        <w:t>• servicesaustralia.gov.au (Reciprocal Health Care Agreements)</w:t>
      </w:r>
    </w:p>
    <w:p w14:paraId="42D34B32" w14:textId="77777777" w:rsidR="001F7233" w:rsidRDefault="00000000">
      <w:r>
        <w:rPr>
          <w:b/>
        </w:rPr>
        <w:t>servicesaustralia.gov.au (Reciprocal Health Care Agreements)</w:t>
      </w:r>
    </w:p>
    <w:p w14:paraId="3EF8A218" w14:textId="77777777" w:rsidR="001F7233" w:rsidRDefault="00000000">
      <w:r>
        <w:rPr>
          <w:b/>
        </w:rPr>
        <w:t xml:space="preserve">Behörde / Thema: </w:t>
      </w:r>
      <w:r>
        <w:t>Medicare-Anmeldung, Reciprocal Health Care Agreements</w:t>
      </w:r>
    </w:p>
    <w:p w14:paraId="636F3FE5" w14:textId="77777777" w:rsidR="001F7233" w:rsidRDefault="00000000">
      <w:r>
        <w:rPr>
          <w:b/>
        </w:rPr>
        <w:t xml:space="preserve">Referenz: </w:t>
      </w:r>
      <w:r>
        <w:t>Australien: Gesundheit</w:t>
      </w:r>
    </w:p>
    <w:p w14:paraId="3DF3117A" w14:textId="77777777" w:rsidR="001F7233" w:rsidRDefault="00000000">
      <w:r>
        <w:rPr>
          <w:b/>
        </w:rPr>
        <w:t>immi.homeaffairs.gov.au (OVHC, OSHC)</w:t>
      </w:r>
    </w:p>
    <w:p w14:paraId="30F254A1" w14:textId="77777777" w:rsidR="001F7233" w:rsidRDefault="00000000">
      <w:r>
        <w:rPr>
          <w:b/>
        </w:rPr>
        <w:t xml:space="preserve">Behörde / Thema: </w:t>
      </w:r>
      <w:r>
        <w:t>Visumbedingte Gesundheitsversicherung</w:t>
      </w:r>
    </w:p>
    <w:p w14:paraId="5BA58020" w14:textId="77777777" w:rsidR="001F7233" w:rsidRDefault="00000000">
      <w:r>
        <w:rPr>
          <w:b/>
        </w:rPr>
        <w:t xml:space="preserve">Referenz: </w:t>
      </w:r>
      <w:r>
        <w:t>Australien: Gesundheit</w:t>
      </w:r>
    </w:p>
    <w:p w14:paraId="77312B15" w14:textId="77777777" w:rsidR="001F7233" w:rsidRDefault="00000000">
      <w:r>
        <w:rPr>
          <w:b/>
        </w:rPr>
        <w:t>privatehealth.gov.au</w:t>
      </w:r>
    </w:p>
    <w:p w14:paraId="344EAE34" w14:textId="77777777" w:rsidR="001F7233" w:rsidRDefault="00000000">
      <w:r>
        <w:rPr>
          <w:b/>
        </w:rPr>
        <w:lastRenderedPageBreak/>
        <w:t xml:space="preserve">Behörde / Thema: </w:t>
      </w:r>
      <w:r>
        <w:t>Unabhängiger Vergleich privater Krankenversicherungen (Private Health Insurance Ombudsman)</w:t>
      </w:r>
    </w:p>
    <w:p w14:paraId="497DD82F" w14:textId="77777777" w:rsidR="001F7233" w:rsidRDefault="00000000">
      <w:r>
        <w:rPr>
          <w:b/>
        </w:rPr>
        <w:t xml:space="preserve">Referenz: </w:t>
      </w:r>
      <w:r>
        <w:t>Australien: Gesundheit</w:t>
      </w:r>
    </w:p>
    <w:p w14:paraId="7BDB4E00" w14:textId="77777777" w:rsidR="001F7233" w:rsidRDefault="00000000">
      <w:r>
        <w:rPr>
          <w:b/>
        </w:rPr>
        <w:t>lifeline.org.au</w:t>
      </w:r>
    </w:p>
    <w:p w14:paraId="274C486B" w14:textId="77777777" w:rsidR="001F7233" w:rsidRDefault="00000000">
      <w:r>
        <w:rPr>
          <w:b/>
        </w:rPr>
        <w:t xml:space="preserve">Behörde / Thema: </w:t>
      </w:r>
      <w:r>
        <w:t>Krisenhilfe rund um die Uhr</w:t>
      </w:r>
    </w:p>
    <w:p w14:paraId="3482F26F" w14:textId="77777777" w:rsidR="001F7233" w:rsidRDefault="00000000">
      <w:r>
        <w:rPr>
          <w:b/>
        </w:rPr>
        <w:t xml:space="preserve">Referenz: </w:t>
      </w:r>
      <w:r>
        <w:t>Australien: Gesundheit</w:t>
      </w:r>
    </w:p>
    <w:p w14:paraId="1E9B63B1" w14:textId="77777777" w:rsidR="001F7233" w:rsidRDefault="001F7233">
      <w:pPr>
        <w:spacing w:line="180" w:lineRule="exact"/>
      </w:pPr>
    </w:p>
    <w:p w14:paraId="4A4C4F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und Führerschein</w:t>
      </w:r>
    </w:p>
    <w:p w14:paraId="6C871F75" w14:textId="77777777" w:rsidR="001F7233" w:rsidRDefault="00000000">
      <w:r>
        <w:t>• firb.gov.au</w:t>
      </w:r>
    </w:p>
    <w:p w14:paraId="16CEB3BB" w14:textId="77777777" w:rsidR="001F7233" w:rsidRDefault="00000000">
      <w:r>
        <w:rPr>
          <w:b/>
        </w:rPr>
        <w:t>firb.gov.au</w:t>
      </w:r>
    </w:p>
    <w:p w14:paraId="12D1D9E3" w14:textId="77777777" w:rsidR="001F7233" w:rsidRDefault="00000000">
      <w:r>
        <w:rPr>
          <w:b/>
        </w:rPr>
        <w:t xml:space="preserve">Behörde / Thema: </w:t>
      </w:r>
      <w:r>
        <w:t>Foreign Investment Review Board, Established-Dwelling-Verbot</w:t>
      </w:r>
    </w:p>
    <w:p w14:paraId="17A0A1D9" w14:textId="77777777" w:rsidR="001F7233" w:rsidRDefault="00000000">
      <w:r>
        <w:rPr>
          <w:b/>
        </w:rPr>
        <w:t xml:space="preserve">Referenz: </w:t>
      </w:r>
      <w:r>
        <w:t>Australien: Wohnen</w:t>
      </w:r>
    </w:p>
    <w:p w14:paraId="086DC725" w14:textId="77777777" w:rsidR="001F7233" w:rsidRDefault="00000000">
      <w:r>
        <w:rPr>
          <w:b/>
        </w:rPr>
        <w:t>fairtrading.nsw.gov.au</w:t>
      </w:r>
    </w:p>
    <w:p w14:paraId="767D8A97" w14:textId="77777777" w:rsidR="001F7233" w:rsidRDefault="00000000">
      <w:r>
        <w:rPr>
          <w:b/>
        </w:rPr>
        <w:t xml:space="preserve">Behörde / Thema: </w:t>
      </w:r>
      <w:r>
        <w:t>Mietrecht, Rental Bonds Online</w:t>
      </w:r>
    </w:p>
    <w:p w14:paraId="493AACE1" w14:textId="77777777" w:rsidR="001F7233" w:rsidRDefault="00000000">
      <w:r>
        <w:rPr>
          <w:b/>
        </w:rPr>
        <w:t xml:space="preserve">Referenz: </w:t>
      </w:r>
      <w:r>
        <w:t>Australien: Wohnen</w:t>
      </w:r>
    </w:p>
    <w:p w14:paraId="6B070E79" w14:textId="77777777" w:rsidR="001F7233" w:rsidRDefault="00000000">
      <w:r>
        <w:rPr>
          <w:b/>
        </w:rPr>
        <w:t>domain.com.au (auch cotality.com)</w:t>
      </w:r>
    </w:p>
    <w:p w14:paraId="08C336E4" w14:textId="77777777" w:rsidR="001F7233" w:rsidRDefault="00000000">
      <w:r>
        <w:rPr>
          <w:b/>
        </w:rPr>
        <w:t xml:space="preserve">Behörde / Thema: </w:t>
      </w:r>
      <w:r>
        <w:t>Domain Rental Report und Cotality Home Value Index, Miet- und Kaufpreise</w:t>
      </w:r>
    </w:p>
    <w:p w14:paraId="441D70EA" w14:textId="77777777" w:rsidR="001F7233" w:rsidRDefault="00000000">
      <w:r>
        <w:rPr>
          <w:b/>
        </w:rPr>
        <w:t xml:space="preserve">Referenz: </w:t>
      </w:r>
      <w:r>
        <w:t>Australien: Wohnen</w:t>
      </w:r>
    </w:p>
    <w:p w14:paraId="3881A1AB" w14:textId="77777777" w:rsidR="001F7233" w:rsidRDefault="00000000">
      <w:r>
        <w:rPr>
          <w:b/>
        </w:rPr>
        <w:t>transport.vic.gov.au, service.nsw.gov.au, tmr.qld.gov.au</w:t>
      </w:r>
    </w:p>
    <w:p w14:paraId="6023DCBC" w14:textId="77777777" w:rsidR="001F7233" w:rsidRDefault="00000000">
      <w:r>
        <w:rPr>
          <w:b/>
        </w:rPr>
        <w:t xml:space="preserve">Behörde / Thema: </w:t>
      </w:r>
      <w:r>
        <w:t>Führerschein-Umtausch, Fristen der Bundesstaaten (Beispiele)</w:t>
      </w:r>
    </w:p>
    <w:p w14:paraId="5AD7FA4D" w14:textId="77777777" w:rsidR="001F7233" w:rsidRDefault="00000000">
      <w:r>
        <w:rPr>
          <w:b/>
        </w:rPr>
        <w:t xml:space="preserve">Referenz: </w:t>
      </w:r>
      <w:r>
        <w:t>Australien: Führerschein</w:t>
      </w:r>
    </w:p>
    <w:p w14:paraId="2AAA4C4B" w14:textId="77777777" w:rsidR="001F7233" w:rsidRDefault="00000000">
      <w:r>
        <w:rPr>
          <w:b/>
        </w:rPr>
        <w:t>austroads.gov.au</w:t>
      </w:r>
    </w:p>
    <w:p w14:paraId="623D976F" w14:textId="77777777" w:rsidR="001F7233" w:rsidRDefault="00000000">
      <w:r>
        <w:rPr>
          <w:b/>
        </w:rPr>
        <w:t xml:space="preserve">Behörde / Thema: </w:t>
      </w:r>
      <w:r>
        <w:t>Tempolimits, Verkehrsregeln im Ländervergleich</w:t>
      </w:r>
    </w:p>
    <w:p w14:paraId="6FE77462" w14:textId="77777777" w:rsidR="001F7233" w:rsidRDefault="00000000">
      <w:r>
        <w:rPr>
          <w:b/>
        </w:rPr>
        <w:t xml:space="preserve">Referenz: </w:t>
      </w:r>
      <w:r>
        <w:t>Australien: Führerschein</w:t>
      </w:r>
    </w:p>
    <w:p w14:paraId="1D68C57F" w14:textId="77777777" w:rsidR="001F7233" w:rsidRDefault="00000000">
      <w:r>
        <w:rPr>
          <w:b/>
        </w:rPr>
        <w:t>nsw.gov.au</w:t>
      </w:r>
    </w:p>
    <w:p w14:paraId="576D5035" w14:textId="77777777" w:rsidR="001F7233" w:rsidRDefault="00000000">
      <w:r>
        <w:rPr>
          <w:b/>
        </w:rPr>
        <w:t xml:space="preserve">Behörde / Thema: </w:t>
      </w:r>
      <w:r>
        <w:t>Random Breath Testing</w:t>
      </w:r>
    </w:p>
    <w:p w14:paraId="17AAEE81" w14:textId="77777777" w:rsidR="001F7233" w:rsidRDefault="00000000">
      <w:r>
        <w:rPr>
          <w:b/>
        </w:rPr>
        <w:t xml:space="preserve">Referenz: </w:t>
      </w:r>
      <w:r>
        <w:t>Australien: Führerschein</w:t>
      </w:r>
    </w:p>
    <w:p w14:paraId="138C77E6" w14:textId="77777777" w:rsidR="001F7233" w:rsidRDefault="00000000">
      <w:r>
        <w:rPr>
          <w:b/>
        </w:rPr>
        <w:t>kangaroomanagementtaskforce.com.au (auch csiro.au)</w:t>
      </w:r>
    </w:p>
    <w:p w14:paraId="0EE06C67" w14:textId="77777777" w:rsidR="001F7233" w:rsidRDefault="00000000">
      <w:r>
        <w:rPr>
          <w:b/>
        </w:rPr>
        <w:t xml:space="preserve">Behörde / Thema: </w:t>
      </w:r>
      <w:r>
        <w:t>Wildtierunfälle im Outback</w:t>
      </w:r>
    </w:p>
    <w:p w14:paraId="52AB6796" w14:textId="77777777" w:rsidR="001F7233" w:rsidRDefault="00000000">
      <w:r>
        <w:rPr>
          <w:b/>
        </w:rPr>
        <w:lastRenderedPageBreak/>
        <w:t xml:space="preserve">Referenz: </w:t>
      </w:r>
      <w:r>
        <w:t>Australien: Führerschein</w:t>
      </w:r>
    </w:p>
    <w:p w14:paraId="14B1B9DD" w14:textId="77777777" w:rsidR="001F7233" w:rsidRDefault="00000000">
      <w:r>
        <w:rPr>
          <w:b/>
        </w:rPr>
        <w:t>nrma.com.au, racv.com.au</w:t>
      </w:r>
    </w:p>
    <w:p w14:paraId="01341AFF" w14:textId="77777777" w:rsidR="001F7233" w:rsidRDefault="00000000">
      <w:r>
        <w:rPr>
          <w:b/>
        </w:rPr>
        <w:t xml:space="preserve">Behörde / Thema: </w:t>
      </w:r>
      <w:r>
        <w:t>Praxisratgeber der Motorclubs für Neuankömmlinge</w:t>
      </w:r>
    </w:p>
    <w:p w14:paraId="46FC5598" w14:textId="77777777" w:rsidR="001F7233" w:rsidRDefault="00000000">
      <w:r>
        <w:rPr>
          <w:b/>
        </w:rPr>
        <w:t xml:space="preserve">Referenz: </w:t>
      </w:r>
      <w:r>
        <w:t>Australien: Führerschein</w:t>
      </w:r>
    </w:p>
    <w:p w14:paraId="596C8175" w14:textId="77777777" w:rsidR="001F7233" w:rsidRDefault="001F7233">
      <w:pPr>
        <w:spacing w:line="180" w:lineRule="exact"/>
      </w:pPr>
    </w:p>
    <w:p w14:paraId="32AF57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Recht und Sicherheit</w:t>
      </w:r>
    </w:p>
    <w:p w14:paraId="0BC13ABE" w14:textId="77777777" w:rsidR="001F7233" w:rsidRDefault="00000000">
      <w:r>
        <w:t>• afdrs.com.au</w:t>
      </w:r>
    </w:p>
    <w:p w14:paraId="0EF7458C" w14:textId="77777777" w:rsidR="001F7233" w:rsidRDefault="00000000">
      <w:r>
        <w:rPr>
          <w:b/>
        </w:rPr>
        <w:t>afdrs.com.au</w:t>
      </w:r>
    </w:p>
    <w:p w14:paraId="3F33BA04" w14:textId="77777777" w:rsidR="001F7233" w:rsidRDefault="00000000">
      <w:r>
        <w:rPr>
          <w:b/>
        </w:rPr>
        <w:t xml:space="preserve">Behörde / Thema: </w:t>
      </w:r>
      <w:r>
        <w:t>Australian Fire Danger Rating System, Warnstufen</w:t>
      </w:r>
    </w:p>
    <w:p w14:paraId="3E740119" w14:textId="77777777" w:rsidR="001F7233" w:rsidRDefault="00000000">
      <w:r>
        <w:rPr>
          <w:b/>
        </w:rPr>
        <w:t xml:space="preserve">Referenz: </w:t>
      </w:r>
      <w:r>
        <w:t>Australien: Recht und Sicherheit</w:t>
      </w:r>
    </w:p>
    <w:p w14:paraId="035AE72A" w14:textId="77777777" w:rsidR="001F7233" w:rsidRDefault="00000000">
      <w:r>
        <w:rPr>
          <w:b/>
        </w:rPr>
        <w:t>bom.gov.au</w:t>
      </w:r>
    </w:p>
    <w:p w14:paraId="5162E9E2" w14:textId="77777777" w:rsidR="001F7233" w:rsidRDefault="00000000">
      <w:r>
        <w:rPr>
          <w:b/>
        </w:rPr>
        <w:t xml:space="preserve">Behörde / Thema: </w:t>
      </w:r>
      <w:r>
        <w:t>Bureau of Meteorology, Wetter- und Zyklonwarnungen</w:t>
      </w:r>
    </w:p>
    <w:p w14:paraId="5AB362B5" w14:textId="77777777" w:rsidR="001F7233" w:rsidRDefault="00000000">
      <w:r>
        <w:rPr>
          <w:b/>
        </w:rPr>
        <w:t xml:space="preserve">Referenz: </w:t>
      </w:r>
      <w:r>
        <w:t>Australien: Recht und Sicherheit</w:t>
      </w:r>
    </w:p>
    <w:p w14:paraId="2EDEB144" w14:textId="77777777" w:rsidR="001F7233" w:rsidRDefault="00000000">
      <w:r>
        <w:rPr>
          <w:b/>
        </w:rPr>
        <w:t>rfs.nsw.gov.au, cfa.vic.gov.au</w:t>
      </w:r>
    </w:p>
    <w:p w14:paraId="30434CAE" w14:textId="77777777" w:rsidR="001F7233" w:rsidRDefault="00000000">
      <w:r>
        <w:rPr>
          <w:b/>
        </w:rPr>
        <w:t xml:space="preserve">Behörde / Thema: </w:t>
      </w:r>
      <w:r>
        <w:t>Landesfeuerwehrbehörden New South Wales und Victoria</w:t>
      </w:r>
    </w:p>
    <w:p w14:paraId="20E173EC" w14:textId="77777777" w:rsidR="001F7233" w:rsidRDefault="00000000">
      <w:r>
        <w:rPr>
          <w:b/>
        </w:rPr>
        <w:t xml:space="preserve">Referenz: </w:t>
      </w:r>
      <w:r>
        <w:t>Australien: Recht und Sicherheit</w:t>
      </w:r>
    </w:p>
    <w:p w14:paraId="0428EDDE" w14:textId="77777777" w:rsidR="001F7233" w:rsidRDefault="00000000">
      <w:r>
        <w:rPr>
          <w:b/>
        </w:rPr>
        <w:t>health.gov.au (auch tga.gov.au)</w:t>
      </w:r>
    </w:p>
    <w:p w14:paraId="313A1BEA" w14:textId="77777777" w:rsidR="001F7233" w:rsidRDefault="00000000">
      <w:r>
        <w:rPr>
          <w:b/>
        </w:rPr>
        <w:t xml:space="preserve">Behörde / Thema: </w:t>
      </w:r>
      <w:r>
        <w:t>Medizinisches Cannabis, Zulassung und Verschreibung</w:t>
      </w:r>
    </w:p>
    <w:p w14:paraId="1D4DB7AD" w14:textId="77777777" w:rsidR="001F7233" w:rsidRDefault="00000000">
      <w:r>
        <w:rPr>
          <w:b/>
        </w:rPr>
        <w:t xml:space="preserve">Referenz: </w:t>
      </w:r>
      <w:r>
        <w:t>Australien: Recht und Sicherheit</w:t>
      </w:r>
    </w:p>
    <w:p w14:paraId="498C2F41" w14:textId="77777777" w:rsidR="001F7233" w:rsidRDefault="00000000">
      <w:r>
        <w:rPr>
          <w:b/>
        </w:rPr>
        <w:t>legislation.act.gov.au</w:t>
      </w:r>
    </w:p>
    <w:p w14:paraId="21FDAE6D" w14:textId="77777777" w:rsidR="001F7233" w:rsidRDefault="00000000">
      <w:r>
        <w:rPr>
          <w:b/>
        </w:rPr>
        <w:t xml:space="preserve">Behörde / Thema: </w:t>
      </w:r>
      <w:r>
        <w:t>Cannabis-Recht in der Australian Capital Territory</w:t>
      </w:r>
    </w:p>
    <w:p w14:paraId="1C194EF6" w14:textId="77777777" w:rsidR="001F7233" w:rsidRDefault="00000000">
      <w:r>
        <w:rPr>
          <w:b/>
        </w:rPr>
        <w:t xml:space="preserve">Referenz: </w:t>
      </w:r>
      <w:r>
        <w:t>Australien: Recht und Sicherheit</w:t>
      </w:r>
    </w:p>
    <w:p w14:paraId="11F6F229" w14:textId="77777777" w:rsidR="001F7233" w:rsidRDefault="00000000">
      <w:r>
        <w:rPr>
          <w:b/>
        </w:rPr>
        <w:t>acic.gov.au</w:t>
      </w:r>
    </w:p>
    <w:p w14:paraId="49B4CA9D" w14:textId="77777777" w:rsidR="001F7233" w:rsidRDefault="00000000">
      <w:r>
        <w:rPr>
          <w:b/>
        </w:rPr>
        <w:t xml:space="preserve">Behörde / Thema: </w:t>
      </w:r>
      <w:r>
        <w:t>National Firearms Agreement 1996</w:t>
      </w:r>
    </w:p>
    <w:p w14:paraId="37CDB9F5" w14:textId="77777777" w:rsidR="001F7233" w:rsidRDefault="00000000">
      <w:r>
        <w:rPr>
          <w:b/>
        </w:rPr>
        <w:t xml:space="preserve">Referenz: </w:t>
      </w:r>
      <w:r>
        <w:t>Australien: Recht und Sicherheit</w:t>
      </w:r>
    </w:p>
    <w:p w14:paraId="6A63CC6F" w14:textId="77777777" w:rsidR="001F7233" w:rsidRDefault="00000000">
      <w:r>
        <w:rPr>
          <w:b/>
        </w:rPr>
        <w:t>transport.nsw.gov.au</w:t>
      </w:r>
    </w:p>
    <w:p w14:paraId="11A6B5C3" w14:textId="77777777" w:rsidR="001F7233" w:rsidRDefault="00000000">
      <w:r>
        <w:rPr>
          <w:b/>
        </w:rPr>
        <w:lastRenderedPageBreak/>
        <w:t xml:space="preserve">Behörde / Thema: </w:t>
      </w:r>
      <w:r>
        <w:t>Alkohol- und Drogenkontrollen im Straßenverkehr</w:t>
      </w:r>
    </w:p>
    <w:p w14:paraId="4397C1D9" w14:textId="77777777" w:rsidR="001F7233" w:rsidRDefault="00000000">
      <w:r>
        <w:rPr>
          <w:b/>
        </w:rPr>
        <w:t xml:space="preserve">Referenz: </w:t>
      </w:r>
      <w:r>
        <w:t>Australien: Recht und Sicherheit</w:t>
      </w:r>
    </w:p>
    <w:p w14:paraId="2FF46AAA" w14:textId="77777777" w:rsidR="001F7233" w:rsidRDefault="001F7233">
      <w:pPr>
        <w:spacing w:line="180" w:lineRule="exact"/>
      </w:pPr>
    </w:p>
    <w:p w14:paraId="4EACC4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Bildung, Arbeit und Alltag</w:t>
      </w:r>
    </w:p>
    <w:p w14:paraId="54FBBDBD" w14:textId="77777777" w:rsidR="001F7233" w:rsidRDefault="00000000">
      <w:r>
        <w:t>• abs.gov.au/statistics/people/education/schools</w:t>
      </w:r>
    </w:p>
    <w:p w14:paraId="58AAE7EE" w14:textId="77777777" w:rsidR="001F7233" w:rsidRDefault="00000000">
      <w:r>
        <w:rPr>
          <w:b/>
        </w:rPr>
        <w:t>abs.gov.au/statistics/people/education/schools</w:t>
      </w:r>
    </w:p>
    <w:p w14:paraId="2F90815C" w14:textId="77777777" w:rsidR="001F7233" w:rsidRDefault="00000000">
      <w:r>
        <w:rPr>
          <w:b/>
        </w:rPr>
        <w:t xml:space="preserve">Behörde / Thema: </w:t>
      </w:r>
      <w:r>
        <w:t>Schulstatistik, Anteile der Schulsektoren</w:t>
      </w:r>
    </w:p>
    <w:p w14:paraId="55BF6F7A" w14:textId="77777777" w:rsidR="001F7233" w:rsidRDefault="00000000">
      <w:r>
        <w:rPr>
          <w:b/>
        </w:rPr>
        <w:t xml:space="preserve">Referenz: </w:t>
      </w:r>
      <w:r>
        <w:t>Australien: Bildung</w:t>
      </w:r>
    </w:p>
    <w:p w14:paraId="2C2478FB" w14:textId="77777777" w:rsidR="001F7233" w:rsidRDefault="00000000">
      <w:r>
        <w:rPr>
          <w:b/>
        </w:rPr>
        <w:t>acara.edu.au</w:t>
      </w:r>
    </w:p>
    <w:p w14:paraId="0E4210F9" w14:textId="77777777" w:rsidR="001F7233" w:rsidRDefault="00000000">
      <w:r>
        <w:rPr>
          <w:b/>
        </w:rPr>
        <w:t xml:space="preserve">Behörde / Thema: </w:t>
      </w:r>
      <w:r>
        <w:t>Rahmenlehrplan, NAPLAN, EAL/D-Förderung</w:t>
      </w:r>
    </w:p>
    <w:p w14:paraId="1791E77E" w14:textId="77777777" w:rsidR="001F7233" w:rsidRDefault="00000000">
      <w:r>
        <w:rPr>
          <w:b/>
        </w:rPr>
        <w:t xml:space="preserve">Referenz: </w:t>
      </w:r>
      <w:r>
        <w:t>Australien: Bildung</w:t>
      </w:r>
    </w:p>
    <w:p w14:paraId="536A87BE" w14:textId="77777777" w:rsidR="001F7233" w:rsidRDefault="00000000">
      <w:r>
        <w:rPr>
          <w:b/>
        </w:rPr>
        <w:t>education.nsw.gov.au</w:t>
      </w:r>
    </w:p>
    <w:p w14:paraId="38E65BFD" w14:textId="77777777" w:rsidR="001F7233" w:rsidRDefault="00000000">
      <w:r>
        <w:rPr>
          <w:b/>
        </w:rPr>
        <w:t xml:space="preserve">Behörde / Thema: </w:t>
      </w:r>
      <w:r>
        <w:t>Term- und Ferientermine (Beispiel New South Wales)</w:t>
      </w:r>
    </w:p>
    <w:p w14:paraId="7863DC30" w14:textId="77777777" w:rsidR="001F7233" w:rsidRDefault="00000000">
      <w:r>
        <w:rPr>
          <w:b/>
        </w:rPr>
        <w:t xml:space="preserve">Referenz: </w:t>
      </w:r>
      <w:r>
        <w:t>Australien: Bildung</w:t>
      </w:r>
    </w:p>
    <w:p w14:paraId="2A031121" w14:textId="77777777" w:rsidR="001F7233" w:rsidRDefault="00000000">
      <w:r>
        <w:rPr>
          <w:b/>
        </w:rPr>
        <w:t>uac.edu.au</w:t>
      </w:r>
    </w:p>
    <w:p w14:paraId="52B4E3D9" w14:textId="77777777" w:rsidR="001F7233" w:rsidRDefault="00000000">
      <w:r>
        <w:rPr>
          <w:b/>
        </w:rPr>
        <w:t xml:space="preserve">Behörde / Thema: </w:t>
      </w:r>
      <w:r>
        <w:t>Universities Admissions Centre, Erklärung und Berechnung des ATAR</w:t>
      </w:r>
    </w:p>
    <w:p w14:paraId="0095D2E7" w14:textId="77777777" w:rsidR="001F7233" w:rsidRDefault="00000000">
      <w:r>
        <w:rPr>
          <w:b/>
        </w:rPr>
        <w:t xml:space="preserve">Referenz: </w:t>
      </w:r>
      <w:r>
        <w:t>Australien: Bildung</w:t>
      </w:r>
    </w:p>
    <w:p w14:paraId="0EC89DF2" w14:textId="77777777" w:rsidR="001F7233" w:rsidRDefault="00000000">
      <w:r>
        <w:rPr>
          <w:b/>
        </w:rPr>
        <w:t>fairwork.gov.au</w:t>
      </w:r>
    </w:p>
    <w:p w14:paraId="415FFEF8" w14:textId="77777777" w:rsidR="001F7233" w:rsidRDefault="00000000">
      <w:r>
        <w:rPr>
          <w:b/>
        </w:rPr>
        <w:t xml:space="preserve">Behörde / Thema: </w:t>
      </w:r>
      <w:r>
        <w:t>National Employment Standards, Kündigungsfristen, Urlaub, Right to Disconnect</w:t>
      </w:r>
    </w:p>
    <w:p w14:paraId="1AC53BF6" w14:textId="77777777" w:rsidR="001F7233" w:rsidRDefault="00000000">
      <w:r>
        <w:rPr>
          <w:b/>
        </w:rPr>
        <w:t xml:space="preserve">Referenz: </w:t>
      </w:r>
      <w:r>
        <w:t>Australien: Arbeitswelt</w:t>
      </w:r>
    </w:p>
    <w:p w14:paraId="1B9A0FA8" w14:textId="77777777" w:rsidR="001F7233" w:rsidRDefault="00000000">
      <w:r>
        <w:rPr>
          <w:b/>
        </w:rPr>
        <w:t>ahpra.gov.au</w:t>
      </w:r>
    </w:p>
    <w:p w14:paraId="005757DB" w14:textId="77777777" w:rsidR="001F7233" w:rsidRDefault="00000000">
      <w:r>
        <w:rPr>
          <w:b/>
        </w:rPr>
        <w:t xml:space="preserve">Behörde / Thema: </w:t>
      </w:r>
      <w:r>
        <w:t>Ahpra, Registrierung Medizin und Pflege</w:t>
      </w:r>
    </w:p>
    <w:p w14:paraId="31D22C66" w14:textId="77777777" w:rsidR="001F7233" w:rsidRDefault="00000000">
      <w:r>
        <w:rPr>
          <w:b/>
        </w:rPr>
        <w:t xml:space="preserve">Referenz: </w:t>
      </w:r>
      <w:r>
        <w:t>Australien: Anerkennung</w:t>
      </w:r>
    </w:p>
    <w:p w14:paraId="66FE159A" w14:textId="77777777" w:rsidR="001F7233" w:rsidRDefault="00000000">
      <w:r>
        <w:rPr>
          <w:b/>
        </w:rPr>
        <w:t>amc.org.au</w:t>
      </w:r>
    </w:p>
    <w:p w14:paraId="3C8FA749" w14:textId="77777777" w:rsidR="001F7233" w:rsidRDefault="00000000">
      <w:r>
        <w:rPr>
          <w:b/>
        </w:rPr>
        <w:t xml:space="preserve">Behörde / Thema: </w:t>
      </w:r>
      <w:r>
        <w:t>Australian Medical Council</w:t>
      </w:r>
    </w:p>
    <w:p w14:paraId="6E117C66" w14:textId="77777777" w:rsidR="001F7233" w:rsidRDefault="00000000">
      <w:r>
        <w:rPr>
          <w:b/>
        </w:rPr>
        <w:t xml:space="preserve">Referenz: </w:t>
      </w:r>
      <w:r>
        <w:t>Australien: Anerkennung</w:t>
      </w:r>
    </w:p>
    <w:p w14:paraId="2FDE4FF0" w14:textId="77777777" w:rsidR="001F7233" w:rsidRDefault="00000000">
      <w:r>
        <w:rPr>
          <w:b/>
        </w:rPr>
        <w:t>anmac.org.au</w:t>
      </w:r>
    </w:p>
    <w:p w14:paraId="7EAD7FD4" w14:textId="77777777" w:rsidR="001F7233" w:rsidRDefault="00000000">
      <w:r>
        <w:rPr>
          <w:b/>
        </w:rPr>
        <w:t xml:space="preserve">Behörde / Thema: </w:t>
      </w:r>
      <w:r>
        <w:t>ANMAC, Skills Assessment Pflege, nicht die Berufserlaubnis</w:t>
      </w:r>
    </w:p>
    <w:p w14:paraId="610DD975" w14:textId="77777777" w:rsidR="001F7233" w:rsidRDefault="00000000">
      <w:r>
        <w:rPr>
          <w:b/>
        </w:rPr>
        <w:lastRenderedPageBreak/>
        <w:t xml:space="preserve">Referenz: </w:t>
      </w:r>
      <w:r>
        <w:t>Australien: Anerkennung</w:t>
      </w:r>
    </w:p>
    <w:p w14:paraId="6B5C37A4" w14:textId="77777777" w:rsidR="001F7233" w:rsidRDefault="00000000">
      <w:r>
        <w:rPr>
          <w:b/>
        </w:rPr>
        <w:t>aitsl.edu.au</w:t>
      </w:r>
    </w:p>
    <w:p w14:paraId="4BCF7C1F" w14:textId="77777777" w:rsidR="001F7233" w:rsidRDefault="00000000">
      <w:r>
        <w:rPr>
          <w:b/>
        </w:rPr>
        <w:t xml:space="preserve">Behörde / Thema: </w:t>
      </w:r>
      <w:r>
        <w:t>AITSL, Skills Assessment Lehramt</w:t>
      </w:r>
    </w:p>
    <w:p w14:paraId="71D9A0AD" w14:textId="77777777" w:rsidR="001F7233" w:rsidRDefault="00000000">
      <w:r>
        <w:rPr>
          <w:b/>
        </w:rPr>
        <w:t xml:space="preserve">Referenz: </w:t>
      </w:r>
      <w:r>
        <w:t>Australien: Anerkennung</w:t>
      </w:r>
    </w:p>
    <w:p w14:paraId="44F610DF" w14:textId="77777777" w:rsidR="001F7233" w:rsidRDefault="00000000">
      <w:r>
        <w:rPr>
          <w:b/>
        </w:rPr>
        <w:t>engineersaustralia.org.au</w:t>
      </w:r>
    </w:p>
    <w:p w14:paraId="2EF216F3" w14:textId="77777777" w:rsidR="001F7233" w:rsidRDefault="00000000">
      <w:r>
        <w:rPr>
          <w:b/>
        </w:rPr>
        <w:t xml:space="preserve">Behörde / Thema: </w:t>
      </w:r>
      <w:r>
        <w:t>Engineers Australia</w:t>
      </w:r>
    </w:p>
    <w:p w14:paraId="18673D40" w14:textId="77777777" w:rsidR="001F7233" w:rsidRDefault="00000000">
      <w:r>
        <w:rPr>
          <w:b/>
        </w:rPr>
        <w:t xml:space="preserve">Referenz: </w:t>
      </w:r>
      <w:r>
        <w:t>Australien: Anerkennung</w:t>
      </w:r>
    </w:p>
    <w:p w14:paraId="4BA572FA" w14:textId="77777777" w:rsidR="001F7233" w:rsidRDefault="00000000">
      <w:r>
        <w:rPr>
          <w:b/>
        </w:rPr>
        <w:t>tradesrecognitionaustralia.gov.au</w:t>
      </w:r>
    </w:p>
    <w:p w14:paraId="2538B98A" w14:textId="77777777" w:rsidR="001F7233" w:rsidRDefault="00000000">
      <w:r>
        <w:rPr>
          <w:b/>
        </w:rPr>
        <w:t xml:space="preserve">Behörde / Thema: </w:t>
      </w:r>
      <w:r>
        <w:t>Trades Recognition Australia</w:t>
      </w:r>
    </w:p>
    <w:p w14:paraId="0C329902" w14:textId="77777777" w:rsidR="001F7233" w:rsidRDefault="00000000">
      <w:r>
        <w:rPr>
          <w:b/>
        </w:rPr>
        <w:t xml:space="preserve">Referenz: </w:t>
      </w:r>
      <w:r>
        <w:t>Australien: Anerkennung</w:t>
      </w:r>
    </w:p>
    <w:p w14:paraId="0C24AC35" w14:textId="77777777" w:rsidR="001F7233" w:rsidRDefault="00000000">
      <w:r>
        <w:rPr>
          <w:b/>
        </w:rPr>
        <w:t>fwc.gov.au</w:t>
      </w:r>
    </w:p>
    <w:p w14:paraId="75EF35DB" w14:textId="77777777" w:rsidR="001F7233" w:rsidRDefault="00000000">
      <w:r>
        <w:rPr>
          <w:b/>
        </w:rPr>
        <w:t xml:space="preserve">Behörde / Thema: </w:t>
      </w:r>
      <w:r>
        <w:t>Fair Work Commission: Unfair Dismissal, Mindestlohn, High Income Threshold</w:t>
      </w:r>
    </w:p>
    <w:p w14:paraId="74F21322" w14:textId="77777777" w:rsidR="001F7233" w:rsidRDefault="00000000">
      <w:r>
        <w:rPr>
          <w:b/>
        </w:rPr>
        <w:t xml:space="preserve">Referenz: </w:t>
      </w:r>
      <w:r>
        <w:t>Australien: Arbeitswelt</w:t>
      </w:r>
    </w:p>
    <w:p w14:paraId="05D4F3DE" w14:textId="77777777" w:rsidR="001F7233" w:rsidRDefault="00000000">
      <w:r>
        <w:rPr>
          <w:b/>
        </w:rPr>
        <w:t>culturalatlas.sbs.com.au</w:t>
      </w:r>
    </w:p>
    <w:p w14:paraId="559C5082" w14:textId="77777777" w:rsidR="001F7233" w:rsidRDefault="00000000">
      <w:r>
        <w:rPr>
          <w:b/>
        </w:rPr>
        <w:t xml:space="preserve">Behörde / Thema: </w:t>
      </w:r>
      <w:r>
        <w:t>SBS Cultural Atlas, Kommunikationsstil und Alltagskultur</w:t>
      </w:r>
    </w:p>
    <w:p w14:paraId="68C9624B" w14:textId="77777777" w:rsidR="001F7233" w:rsidRDefault="00000000">
      <w:r>
        <w:rPr>
          <w:b/>
        </w:rPr>
        <w:t xml:space="preserve">Referenz: </w:t>
      </w:r>
      <w:r>
        <w:t>Australien: Alltag</w:t>
      </w:r>
    </w:p>
    <w:p w14:paraId="10CCB3A3" w14:textId="77777777" w:rsidR="001F7233" w:rsidRDefault="00000000">
      <w:r>
        <w:rPr>
          <w:b/>
        </w:rPr>
        <w:t>australia.com</w:t>
      </w:r>
    </w:p>
    <w:p w14:paraId="18142645" w14:textId="77777777" w:rsidR="001F7233" w:rsidRDefault="00000000">
      <w:r>
        <w:rPr>
          <w:b/>
        </w:rPr>
        <w:t xml:space="preserve">Behörde / Thema: </w:t>
      </w:r>
      <w:r>
        <w:t>Tourism Australia, Alltag und Umgangsformen für Neuankömmlinge</w:t>
      </w:r>
    </w:p>
    <w:p w14:paraId="580CE56E" w14:textId="77777777" w:rsidR="001F7233" w:rsidRDefault="00000000">
      <w:r>
        <w:rPr>
          <w:b/>
        </w:rPr>
        <w:t xml:space="preserve">Referenz: </w:t>
      </w:r>
      <w:r>
        <w:t>Australien: Alltag</w:t>
      </w:r>
    </w:p>
    <w:p w14:paraId="01CA87EE" w14:textId="77777777" w:rsidR="001F7233" w:rsidRDefault="00000000">
      <w:r>
        <w:rPr>
          <w:b/>
        </w:rPr>
        <w:t>sls.com.au</w:t>
      </w:r>
    </w:p>
    <w:p w14:paraId="51CD5634" w14:textId="77777777" w:rsidR="001F7233" w:rsidRDefault="00000000">
      <w:r>
        <w:rPr>
          <w:b/>
        </w:rPr>
        <w:t xml:space="preserve">Behörde / Thema: </w:t>
      </w:r>
      <w:r>
        <w:t>Surf Life Saving Australia, Clubs und Mitgliedschaft</w:t>
      </w:r>
    </w:p>
    <w:p w14:paraId="4D70F131" w14:textId="77777777" w:rsidR="001F7233" w:rsidRDefault="00000000">
      <w:r>
        <w:rPr>
          <w:b/>
        </w:rPr>
        <w:t xml:space="preserve">Referenz: </w:t>
      </w:r>
      <w:r>
        <w:t>Australien: Alltag</w:t>
      </w:r>
    </w:p>
    <w:p w14:paraId="00E1CFA7" w14:textId="77777777" w:rsidR="001F7233" w:rsidRDefault="00000000">
      <w:r>
        <w:rPr>
          <w:b/>
        </w:rPr>
        <w:t>rfs.nsw.gov.au (auch ses.nsw.gov.au)</w:t>
      </w:r>
    </w:p>
    <w:p w14:paraId="71E7EDE4" w14:textId="77777777" w:rsidR="001F7233" w:rsidRDefault="00000000">
      <w:r>
        <w:rPr>
          <w:b/>
        </w:rPr>
        <w:t xml:space="preserve">Behörde / Thema: </w:t>
      </w:r>
      <w:r>
        <w:t>Freiwillige Mitarbeit bei Feuerwehr und Katastrophenschutz</w:t>
      </w:r>
    </w:p>
    <w:p w14:paraId="699E34D2" w14:textId="77777777" w:rsidR="001F7233" w:rsidRDefault="00000000">
      <w:r>
        <w:rPr>
          <w:b/>
        </w:rPr>
        <w:t xml:space="preserve">Referenz: </w:t>
      </w:r>
      <w:r>
        <w:t>Australien: Alltag</w:t>
      </w:r>
    </w:p>
    <w:p w14:paraId="755D3E5E" w14:textId="77777777" w:rsidR="001F7233" w:rsidRDefault="001F7233">
      <w:pPr>
        <w:spacing w:line="180" w:lineRule="exact"/>
      </w:pPr>
    </w:p>
    <w:p w14:paraId="152E93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Deutsche Vertretungen in Australien</w:t>
      </w:r>
    </w:p>
    <w:p w14:paraId="36DAE9C2" w14:textId="77777777" w:rsidR="001F7233" w:rsidRDefault="00000000">
      <w:pPr>
        <w:spacing w:after="140"/>
      </w:pPr>
      <w:r>
        <w:t xml:space="preserve">Die deutsche Botschaft sitzt in Canberra. Das für weite Teile des Landes zuständige Generalkonsulat sitzt in Sydney. </w:t>
      </w:r>
      <w:hyperlink r:id="rId1141">
        <w:r w:rsidR="001F7233">
          <w:rPr>
            <w:color w:val="0563C1"/>
            <w:u w:val="single"/>
          </w:rPr>
          <w:t>australien.diplo.de</w:t>
        </w:r>
      </w:hyperlink>
      <w:r>
        <w:t xml:space="preserve"> führt zur zuständigen Vertretung.</w:t>
      </w:r>
    </w:p>
    <w:p w14:paraId="0746888E" w14:textId="77777777" w:rsidR="001F7233" w:rsidRDefault="00000000">
      <w:r>
        <w:rPr>
          <w:b/>
        </w:rPr>
        <w:t>australien.diplo.de</w:t>
      </w:r>
    </w:p>
    <w:p w14:paraId="37F1513B" w14:textId="77777777" w:rsidR="001F7233" w:rsidRDefault="00000000">
      <w:r>
        <w:rPr>
          <w:b/>
        </w:rPr>
        <w:t xml:space="preserve">Behörde / Thema: </w:t>
      </w:r>
      <w:r>
        <w:t>Deutsche Botschaft Canberra und Generalkonsulat Sydney, zuständige Vertretung finden</w:t>
      </w:r>
    </w:p>
    <w:p w14:paraId="3FC60D44" w14:textId="77777777" w:rsidR="001F7233" w:rsidRDefault="00000000">
      <w:r>
        <w:rPr>
          <w:b/>
        </w:rPr>
        <w:t xml:space="preserve">Referenz: </w:t>
      </w:r>
      <w:r>
        <w:t>Australien: Vertretungen</w:t>
      </w:r>
    </w:p>
    <w:p w14:paraId="2BF7B276" w14:textId="77777777" w:rsidR="001F7233" w:rsidRDefault="00000000">
      <w:r>
        <w:rPr>
          <w:b/>
        </w:rPr>
        <w:t>goethe.de/ins/au</w:t>
      </w:r>
    </w:p>
    <w:p w14:paraId="58861AA7" w14:textId="77777777" w:rsidR="001F7233" w:rsidRDefault="00000000">
      <w:r>
        <w:rPr>
          <w:b/>
        </w:rPr>
        <w:t xml:space="preserve">Behörde / Thema: </w:t>
      </w:r>
      <w:r>
        <w:t>Goethe-Institut Australien, Standorte Sydney und Melbourne</w:t>
      </w:r>
    </w:p>
    <w:p w14:paraId="2BB964F1" w14:textId="77777777" w:rsidR="001F7233" w:rsidRDefault="00000000">
      <w:r>
        <w:rPr>
          <w:b/>
        </w:rPr>
        <w:t xml:space="preserve">Referenz: </w:t>
      </w:r>
      <w:r>
        <w:t>Australien: Vertretungen</w:t>
      </w:r>
    </w:p>
    <w:p w14:paraId="02623717" w14:textId="77777777" w:rsidR="001F7233" w:rsidRDefault="00000000">
      <w:r>
        <w:rPr>
          <w:b/>
        </w:rPr>
        <w:t>germany.info</w:t>
      </w:r>
    </w:p>
    <w:p w14:paraId="0CE8100D" w14:textId="77777777" w:rsidR="001F7233" w:rsidRDefault="00000000">
      <w:r>
        <w:rPr>
          <w:b/>
        </w:rPr>
        <w:t xml:space="preserve">Behörde / Thema: </w:t>
      </w:r>
      <w:r>
        <w:t>Konsularische Hilfe für Deutsche in Australien</w:t>
      </w:r>
    </w:p>
    <w:p w14:paraId="3DBC7A06" w14:textId="77777777" w:rsidR="001F7233" w:rsidRDefault="00000000">
      <w:r>
        <w:rPr>
          <w:b/>
        </w:rPr>
        <w:t xml:space="preserve">Referenz: </w:t>
      </w:r>
      <w:r>
        <w:t>Australien: Vertretungen</w:t>
      </w:r>
    </w:p>
    <w:p w14:paraId="02A2049A" w14:textId="77777777" w:rsidR="001F7233" w:rsidRDefault="00000000">
      <w:pPr>
        <w:spacing w:line="180" w:lineRule="exact"/>
      </w:pPr>
      <w:r>
        <w:br w:type="page"/>
      </w:r>
    </w:p>
    <w:p w14:paraId="1C9736A1" w14:textId="77777777" w:rsidR="001F7233" w:rsidRDefault="00000000">
      <w:pPr>
        <w:pStyle w:val="Heading2"/>
        <w:keepNext/>
        <w:spacing w:line="341" w:lineRule="auto"/>
        <w:jc w:val="center"/>
      </w:pPr>
      <w:bookmarkStart w:id="157" w:name="s113"/>
      <w:r>
        <w:rPr>
          <w:rFonts w:ascii="Amazon Ember" w:eastAsia="Amazon Ember" w:hAnsi="Amazon Ember" w:cs="Amazon Ember"/>
          <w:color w:val="0000FF"/>
          <w:sz w:val="36"/>
          <w:szCs w:val="36"/>
        </w:rPr>
        <w:lastRenderedPageBreak/>
        <w:t>Quellen Neuseeland</w:t>
      </w:r>
      <w:bookmarkEnd w:id="157"/>
    </w:p>
    <w:p w14:paraId="70177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Einwanderungsbehörden</w:t>
      </w:r>
    </w:p>
    <w:p w14:paraId="4F6A8EAC" w14:textId="77777777" w:rsidR="001F7233" w:rsidRDefault="00000000">
      <w:r>
        <w:t>• immigration.govt.nz</w:t>
      </w:r>
    </w:p>
    <w:p w14:paraId="45F03008" w14:textId="77777777" w:rsidR="001F7233" w:rsidRDefault="00000000">
      <w:r>
        <w:rPr>
          <w:b/>
        </w:rPr>
        <w:t>immigration.govt.nz</w:t>
      </w:r>
    </w:p>
    <w:p w14:paraId="2A6F6AB0" w14:textId="77777777" w:rsidR="001F7233" w:rsidRDefault="00000000">
      <w:r>
        <w:rPr>
          <w:b/>
        </w:rPr>
        <w:t xml:space="preserve">Behörde / Thema: </w:t>
      </w:r>
      <w:r>
        <w:t>Gebühren, Visakategorien, Gesundheitsanforderungen</w:t>
      </w:r>
    </w:p>
    <w:p w14:paraId="0F5CBC3B" w14:textId="77777777" w:rsidR="001F7233" w:rsidRDefault="00000000">
      <w:r>
        <w:rPr>
          <w:b/>
        </w:rPr>
        <w:t xml:space="preserve">Referenz: </w:t>
      </w:r>
      <w:r>
        <w:t>Neuseeland: Einwanderung</w:t>
      </w:r>
    </w:p>
    <w:p w14:paraId="73ADD230" w14:textId="77777777" w:rsidR="001F7233" w:rsidRDefault="00000000">
      <w:r>
        <w:rPr>
          <w:b/>
        </w:rPr>
        <w:t>immigration.govt.nz/new-zealand-visas/visas/visa/skilled-migrant-category-resident-visa</w:t>
      </w:r>
    </w:p>
    <w:p w14:paraId="6E656276" w14:textId="77777777" w:rsidR="001F7233" w:rsidRDefault="00000000">
      <w:r>
        <w:rPr>
          <w:b/>
        </w:rPr>
        <w:t xml:space="preserve">Behörde / Thema: </w:t>
      </w:r>
      <w:r>
        <w:t>Skilled Migrant Category Resident Visa</w:t>
      </w:r>
    </w:p>
    <w:p w14:paraId="427F3FC7" w14:textId="77777777" w:rsidR="001F7233" w:rsidRDefault="00000000">
      <w:r>
        <w:rPr>
          <w:b/>
        </w:rPr>
        <w:t xml:space="preserve">Referenz: </w:t>
      </w:r>
      <w:r>
        <w:t>Neuseeland: Einwanderung</w:t>
      </w:r>
    </w:p>
    <w:p w14:paraId="26BE9953" w14:textId="77777777" w:rsidR="001F7233" w:rsidRDefault="00000000">
      <w:r>
        <w:rPr>
          <w:b/>
        </w:rPr>
        <w:t>immigration.govt.nz/new-zealand-visas/visas/visa/accredited-employer-work-visa</w:t>
      </w:r>
    </w:p>
    <w:p w14:paraId="790CCB6F" w14:textId="77777777" w:rsidR="001F7233" w:rsidRDefault="00000000">
      <w:r>
        <w:rPr>
          <w:b/>
        </w:rPr>
        <w:t xml:space="preserve">Behörde / Thema: </w:t>
      </w:r>
      <w:r>
        <w:t>Accredited Employer Work Visa (AEWV), Job Check</w:t>
      </w:r>
    </w:p>
    <w:p w14:paraId="7AE549B2" w14:textId="77777777" w:rsidR="001F7233" w:rsidRDefault="00000000">
      <w:r>
        <w:rPr>
          <w:b/>
        </w:rPr>
        <w:t xml:space="preserve">Referenz: </w:t>
      </w:r>
      <w:r>
        <w:t>Neuseeland: Einwanderung</w:t>
      </w:r>
    </w:p>
    <w:p w14:paraId="494932EA" w14:textId="77777777" w:rsidR="001F7233" w:rsidRDefault="00000000">
      <w:r>
        <w:rPr>
          <w:b/>
        </w:rPr>
        <w:t>immigration.govt.nz (Green List)</w:t>
      </w:r>
    </w:p>
    <w:p w14:paraId="18332196" w14:textId="77777777" w:rsidR="001F7233" w:rsidRDefault="00000000">
      <w:r>
        <w:rPr>
          <w:b/>
        </w:rPr>
        <w:t xml:space="preserve">Behörde / Thema: </w:t>
      </w:r>
      <w:r>
        <w:t>Green List, bevorzugte Berufe</w:t>
      </w:r>
    </w:p>
    <w:p w14:paraId="7C9C4484" w14:textId="77777777" w:rsidR="001F7233" w:rsidRDefault="00000000">
      <w:r>
        <w:rPr>
          <w:b/>
        </w:rPr>
        <w:t xml:space="preserve">Referenz: </w:t>
      </w:r>
      <w:r>
        <w:t>Neuseeland: Einwanderung</w:t>
      </w:r>
    </w:p>
    <w:p w14:paraId="11FD71AB" w14:textId="77777777" w:rsidR="001F7233" w:rsidRDefault="00000000">
      <w:r>
        <w:rPr>
          <w:b/>
        </w:rPr>
        <w:t>immigration.govt.nz/visas/germany-working-holiday-visa</w:t>
      </w:r>
    </w:p>
    <w:p w14:paraId="42FE6E62" w14:textId="77777777" w:rsidR="001F7233" w:rsidRDefault="00000000">
      <w:r>
        <w:rPr>
          <w:b/>
        </w:rPr>
        <w:t xml:space="preserve">Behörde / Thema: </w:t>
      </w:r>
      <w:r>
        <w:t>Working-Holiday-Visum für Deutsche</w:t>
      </w:r>
    </w:p>
    <w:p w14:paraId="35DD8775" w14:textId="77777777" w:rsidR="001F7233" w:rsidRDefault="00000000">
      <w:r>
        <w:rPr>
          <w:b/>
        </w:rPr>
        <w:t xml:space="preserve">Referenz: </w:t>
      </w:r>
      <w:r>
        <w:t>Neuseeland: Einwanderung</w:t>
      </w:r>
    </w:p>
    <w:p w14:paraId="0EA275E3" w14:textId="77777777" w:rsidR="001F7233" w:rsidRDefault="00000000">
      <w:r>
        <w:rPr>
          <w:b/>
        </w:rPr>
        <w:t>immigration.govt.nz/assets/inz/documents/forms-and-guides/Fees-Guide-INZ-1028.pdf</w:t>
      </w:r>
    </w:p>
    <w:p w14:paraId="09914BE7" w14:textId="77777777" w:rsidR="001F7233" w:rsidRDefault="00000000">
      <w:r>
        <w:rPr>
          <w:b/>
        </w:rPr>
        <w:t xml:space="preserve">Behörde / Thema: </w:t>
      </w:r>
      <w:r>
        <w:t>Fees Guide INZ 1028, vollständige Gebührentabelle</w:t>
      </w:r>
    </w:p>
    <w:p w14:paraId="26198681" w14:textId="77777777" w:rsidR="001F7233" w:rsidRDefault="00000000">
      <w:r>
        <w:rPr>
          <w:b/>
        </w:rPr>
        <w:t xml:space="preserve">Referenz: </w:t>
      </w:r>
      <w:r>
        <w:t>Neuseeland: Einwanderung</w:t>
      </w:r>
    </w:p>
    <w:p w14:paraId="3C49D56F" w14:textId="77777777" w:rsidR="001F7233" w:rsidRDefault="00000000">
      <w:r>
        <w:rPr>
          <w:b/>
        </w:rPr>
        <w:t>immigration.govt.nz (Gesundheits- und Charakteranforderungen)</w:t>
      </w:r>
    </w:p>
    <w:p w14:paraId="778DE39B" w14:textId="77777777" w:rsidR="001F7233" w:rsidRDefault="00000000">
      <w:r>
        <w:rPr>
          <w:b/>
        </w:rPr>
        <w:t xml:space="preserve">Behörde / Thema: </w:t>
      </w:r>
      <w:r>
        <w:t>Gesundheits- und Charakteranforderungen, Führungszeugnisse</w:t>
      </w:r>
    </w:p>
    <w:p w14:paraId="19619ACF" w14:textId="77777777" w:rsidR="001F7233" w:rsidRDefault="00000000">
      <w:r>
        <w:rPr>
          <w:b/>
        </w:rPr>
        <w:lastRenderedPageBreak/>
        <w:t xml:space="preserve">Referenz: </w:t>
      </w:r>
      <w:r>
        <w:t>Neuseeland: Einwanderung</w:t>
      </w:r>
    </w:p>
    <w:p w14:paraId="507CC772" w14:textId="77777777" w:rsidR="001F7233" w:rsidRDefault="00000000">
      <w:r>
        <w:rPr>
          <w:b/>
        </w:rPr>
        <w:t>immigration.govt.nz (SMC-Lohnschwellen)</w:t>
      </w:r>
    </w:p>
    <w:p w14:paraId="5DFC4EDB" w14:textId="77777777" w:rsidR="001F7233" w:rsidRDefault="00000000">
      <w:r>
        <w:rPr>
          <w:b/>
        </w:rPr>
        <w:t xml:space="preserve">Behörde / Thema: </w:t>
      </w:r>
      <w:r>
        <w:t>SMC-Lohnschwellen</w:t>
      </w:r>
    </w:p>
    <w:p w14:paraId="336A1DB9" w14:textId="77777777" w:rsidR="001F7233" w:rsidRDefault="00000000">
      <w:r>
        <w:rPr>
          <w:b/>
        </w:rPr>
        <w:t xml:space="preserve">Referenz: </w:t>
      </w:r>
      <w:r>
        <w:t>Neuseeland: Einwanderung</w:t>
      </w:r>
    </w:p>
    <w:p w14:paraId="090306D8" w14:textId="77777777" w:rsidR="001F7233" w:rsidRDefault="00000000">
      <w:r>
        <w:rPr>
          <w:b/>
        </w:rPr>
        <w:t>immigration.govt.nz/new-zealand-visas/visas/visa/partner-of-a-new-zealander-resident-visa</w:t>
      </w:r>
    </w:p>
    <w:p w14:paraId="542A4EA1" w14:textId="77777777" w:rsidR="001F7233" w:rsidRDefault="00000000">
      <w:r>
        <w:rPr>
          <w:b/>
        </w:rPr>
        <w:t xml:space="preserve">Behörde / Thema: </w:t>
      </w:r>
      <w:r>
        <w:t>Partnervisum</w:t>
      </w:r>
    </w:p>
    <w:p w14:paraId="76175F3C" w14:textId="77777777" w:rsidR="001F7233" w:rsidRDefault="00000000">
      <w:r>
        <w:rPr>
          <w:b/>
        </w:rPr>
        <w:t xml:space="preserve">Referenz: </w:t>
      </w:r>
      <w:r>
        <w:t>Neuseeland: Einwanderung</w:t>
      </w:r>
    </w:p>
    <w:p w14:paraId="79AD7E73" w14:textId="77777777" w:rsidR="001F7233" w:rsidRDefault="00000000">
      <w:r>
        <w:rPr>
          <w:b/>
        </w:rPr>
        <w:t>immigration.govt.nz (Newsroom: Business Investor Visa)</w:t>
      </w:r>
    </w:p>
    <w:p w14:paraId="0FD8F326" w14:textId="77777777" w:rsidR="001F7233" w:rsidRDefault="00000000">
      <w:r>
        <w:rPr>
          <w:b/>
        </w:rPr>
        <w:t xml:space="preserve">Behörde / Thema: </w:t>
      </w:r>
      <w:r>
        <w:t>Entrepreneur-Kategorie geschlossen, Business Investor Visa</w:t>
      </w:r>
    </w:p>
    <w:p w14:paraId="10F4A58A" w14:textId="77777777" w:rsidR="001F7233" w:rsidRDefault="00000000">
      <w:r>
        <w:rPr>
          <w:b/>
        </w:rPr>
        <w:t xml:space="preserve">Referenz: </w:t>
      </w:r>
      <w:r>
        <w:t>Neuseeland: Einwanderung</w:t>
      </w:r>
    </w:p>
    <w:p w14:paraId="147F6378" w14:textId="77777777" w:rsidR="001F7233" w:rsidRDefault="00000000">
      <w:r>
        <w:rPr>
          <w:b/>
        </w:rPr>
        <w:t>immigration.govt.nz/new-zealand-visas/visas/visa/active-investor-plus-visa</w:t>
      </w:r>
    </w:p>
    <w:p w14:paraId="7617BF3E" w14:textId="77777777" w:rsidR="001F7233" w:rsidRDefault="00000000">
      <w:r>
        <w:rPr>
          <w:b/>
        </w:rPr>
        <w:t xml:space="preserve">Behörde / Thema: </w:t>
      </w:r>
      <w:r>
        <w:t>Investor Category / Active Investor Plus</w:t>
      </w:r>
    </w:p>
    <w:p w14:paraId="0810A6C3" w14:textId="77777777" w:rsidR="001F7233" w:rsidRDefault="00000000">
      <w:r>
        <w:rPr>
          <w:b/>
        </w:rPr>
        <w:t xml:space="preserve">Referenz: </w:t>
      </w:r>
      <w:r>
        <w:t>Neuseeland: Einwanderung</w:t>
      </w:r>
    </w:p>
    <w:p w14:paraId="01DA366C" w14:textId="77777777" w:rsidR="001F7233" w:rsidRDefault="00000000">
      <w:r>
        <w:rPr>
          <w:b/>
        </w:rPr>
        <w:t>immigration.govt.nz/new-zealand-visas/visas/visa/parent-resident-visa</w:t>
      </w:r>
    </w:p>
    <w:p w14:paraId="2B668DD3" w14:textId="77777777" w:rsidR="001F7233" w:rsidRDefault="00000000">
      <w:r>
        <w:rPr>
          <w:b/>
        </w:rPr>
        <w:t xml:space="preserve">Behörde / Thema: </w:t>
      </w:r>
      <w:r>
        <w:t>Eltern-Kategorien, Parent Boost Visitor Visa</w:t>
      </w:r>
    </w:p>
    <w:p w14:paraId="185BA129" w14:textId="77777777" w:rsidR="001F7233" w:rsidRDefault="00000000">
      <w:r>
        <w:rPr>
          <w:b/>
        </w:rPr>
        <w:t xml:space="preserve">Referenz: </w:t>
      </w:r>
      <w:r>
        <w:t>Neuseeland: Einwanderung</w:t>
      </w:r>
    </w:p>
    <w:p w14:paraId="0E4273A5" w14:textId="77777777" w:rsidR="001F7233" w:rsidRDefault="00000000">
      <w:r>
        <w:rPr>
          <w:b/>
        </w:rPr>
        <w:t>workandincome.govt.nz</w:t>
      </w:r>
    </w:p>
    <w:p w14:paraId="265B3AF0" w14:textId="77777777" w:rsidR="001F7233" w:rsidRDefault="00000000">
      <w:r>
        <w:rPr>
          <w:b/>
        </w:rPr>
        <w:t xml:space="preserve">Behörde / Thema: </w:t>
      </w:r>
      <w:r>
        <w:t>New Zealand Superannuation, Direct Deduction Policy</w:t>
      </w:r>
    </w:p>
    <w:p w14:paraId="14F0D34B" w14:textId="77777777" w:rsidR="001F7233" w:rsidRDefault="00000000">
      <w:r>
        <w:rPr>
          <w:b/>
        </w:rPr>
        <w:t xml:space="preserve">Referenz: </w:t>
      </w:r>
      <w:r>
        <w:t>Neuseeland: Einwanderung</w:t>
      </w:r>
    </w:p>
    <w:p w14:paraId="75E6B05F" w14:textId="77777777" w:rsidR="001F7233" w:rsidRDefault="00000000">
      <w:r>
        <w:rPr>
          <w:b/>
        </w:rPr>
        <w:t>iaa.govt.nz</w:t>
      </w:r>
    </w:p>
    <w:p w14:paraId="2E091B55" w14:textId="77777777" w:rsidR="001F7233" w:rsidRDefault="00000000">
      <w:r>
        <w:rPr>
          <w:b/>
        </w:rPr>
        <w:t xml:space="preserve">Behörde / Thema: </w:t>
      </w:r>
      <w:r>
        <w:t>Immigration Advisers Authority, Register zugelassener Berater</w:t>
      </w:r>
    </w:p>
    <w:p w14:paraId="2E6A583B" w14:textId="77777777" w:rsidR="001F7233" w:rsidRDefault="00000000">
      <w:r>
        <w:rPr>
          <w:b/>
        </w:rPr>
        <w:t xml:space="preserve">Referenz: </w:t>
      </w:r>
      <w:r>
        <w:t>Neuseeland: Einwanderung</w:t>
      </w:r>
    </w:p>
    <w:p w14:paraId="40C7ACCB" w14:textId="77777777" w:rsidR="001F7233" w:rsidRDefault="00000000">
      <w:r>
        <w:rPr>
          <w:b/>
        </w:rPr>
        <w:t>travellerdeclaration.govt.nz</w:t>
      </w:r>
    </w:p>
    <w:p w14:paraId="473CCE06" w14:textId="77777777" w:rsidR="001F7233" w:rsidRDefault="00000000">
      <w:r>
        <w:rPr>
          <w:b/>
        </w:rPr>
        <w:t xml:space="preserve">Behörde / Thema: </w:t>
      </w:r>
      <w:r>
        <w:t>New Zealand Traveller Declaration</w:t>
      </w:r>
    </w:p>
    <w:p w14:paraId="02B893B3" w14:textId="77777777" w:rsidR="001F7233" w:rsidRDefault="00000000">
      <w:r>
        <w:rPr>
          <w:b/>
        </w:rPr>
        <w:t xml:space="preserve">Referenz: </w:t>
      </w:r>
      <w:r>
        <w:t>Neuseeland: Ankunft</w:t>
      </w:r>
    </w:p>
    <w:p w14:paraId="7E06F37E" w14:textId="77777777" w:rsidR="001F7233" w:rsidRDefault="00000000">
      <w:r>
        <w:rPr>
          <w:b/>
        </w:rPr>
        <w:t>mpi.govt.nz</w:t>
      </w:r>
    </w:p>
    <w:p w14:paraId="6BB83530" w14:textId="77777777" w:rsidR="001F7233" w:rsidRDefault="00000000">
      <w:r>
        <w:rPr>
          <w:b/>
        </w:rPr>
        <w:t xml:space="preserve">Behörde / Thema: </w:t>
      </w:r>
      <w:r>
        <w:t>Ministry for Primary Industries, Biosecurity bei der Einreise</w:t>
      </w:r>
    </w:p>
    <w:p w14:paraId="14DD727E" w14:textId="77777777" w:rsidR="001F7233" w:rsidRDefault="00000000">
      <w:r>
        <w:rPr>
          <w:b/>
        </w:rPr>
        <w:t xml:space="preserve">Referenz: </w:t>
      </w:r>
      <w:r>
        <w:t>Neuseeland: Ankunft</w:t>
      </w:r>
    </w:p>
    <w:p w14:paraId="0E7E0F96" w14:textId="77777777" w:rsidR="001F7233" w:rsidRDefault="00000000">
      <w:r>
        <w:rPr>
          <w:b/>
        </w:rPr>
        <w:lastRenderedPageBreak/>
        <w:t>mpi.govt.nz (Import Health Standard: Cats and Dogs)</w:t>
      </w:r>
    </w:p>
    <w:p w14:paraId="1528AFBB" w14:textId="77777777" w:rsidR="001F7233" w:rsidRDefault="00000000">
      <w:r>
        <w:rPr>
          <w:b/>
        </w:rPr>
        <w:t xml:space="preserve">Behörde / Thema: </w:t>
      </w:r>
      <w:r>
        <w:t>Einfuhr von Hunden und Katzen, Länderkategorie, Quarantäne</w:t>
      </w:r>
    </w:p>
    <w:p w14:paraId="54EA624A" w14:textId="77777777" w:rsidR="001F7233" w:rsidRDefault="00000000">
      <w:r>
        <w:rPr>
          <w:b/>
        </w:rPr>
        <w:t xml:space="preserve">Referenz: </w:t>
      </w:r>
      <w:r>
        <w:t>Neuseeland: Ankunft</w:t>
      </w:r>
    </w:p>
    <w:p w14:paraId="3EC9840E" w14:textId="77777777" w:rsidR="001F7233" w:rsidRDefault="00000000">
      <w:r>
        <w:rPr>
          <w:b/>
        </w:rPr>
        <w:t>dia.govt.nz</w:t>
      </w:r>
    </w:p>
    <w:p w14:paraId="53DBD863" w14:textId="77777777" w:rsidR="001F7233" w:rsidRDefault="00000000">
      <w:r>
        <w:rPr>
          <w:b/>
        </w:rPr>
        <w:t xml:space="preserve">Behörde / Thema: </w:t>
      </w:r>
      <w:r>
        <w:t>Citizenship by Grant: Voraussetzungen, Gebühren, Staatskundetest</w:t>
      </w:r>
    </w:p>
    <w:p w14:paraId="34093CDC" w14:textId="77777777" w:rsidR="001F7233" w:rsidRDefault="00000000">
      <w:r>
        <w:rPr>
          <w:b/>
        </w:rPr>
        <w:t xml:space="preserve">Referenz: </w:t>
      </w:r>
      <w:r>
        <w:t>Neuseeland: Staatsbürgerschaft</w:t>
      </w:r>
    </w:p>
    <w:p w14:paraId="6170972A" w14:textId="77777777" w:rsidR="001F7233" w:rsidRDefault="00000000">
      <w:r>
        <w:rPr>
          <w:b/>
        </w:rPr>
        <w:t>bmi.bund.de</w:t>
      </w:r>
    </w:p>
    <w:p w14:paraId="37641EE5" w14:textId="77777777" w:rsidR="001F7233" w:rsidRDefault="00000000">
      <w:r>
        <w:rPr>
          <w:b/>
        </w:rPr>
        <w:t xml:space="preserve">Behörde / Thema: </w:t>
      </w:r>
      <w:r>
        <w:t>Staatsangehörigkeitsrecht, Reform 2024</w:t>
      </w:r>
    </w:p>
    <w:p w14:paraId="1701FB9B" w14:textId="77777777" w:rsidR="001F7233" w:rsidRDefault="00000000">
      <w:r>
        <w:rPr>
          <w:b/>
        </w:rPr>
        <w:t xml:space="preserve">Referenz: </w:t>
      </w:r>
      <w:r>
        <w:t>Neuseeland: Staatsbürgerschaft</w:t>
      </w:r>
    </w:p>
    <w:p w14:paraId="421E1691" w14:textId="77777777" w:rsidR="001F7233" w:rsidRDefault="001F7233">
      <w:pPr>
        <w:spacing w:line="180" w:lineRule="exact"/>
      </w:pPr>
    </w:p>
    <w:p w14:paraId="1754876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Steuern und Sozialversicherung</w:t>
      </w:r>
    </w:p>
    <w:p w14:paraId="20DC36C4" w14:textId="77777777" w:rsidR="001F7233" w:rsidRDefault="00000000">
      <w:r>
        <w:t>• ird.govt.nz</w:t>
      </w:r>
    </w:p>
    <w:p w14:paraId="3B2DD2B2" w14:textId="77777777" w:rsidR="001F7233" w:rsidRDefault="00000000">
      <w:r>
        <w:rPr>
          <w:b/>
        </w:rPr>
        <w:t>ird.govt.nz</w:t>
      </w:r>
    </w:p>
    <w:p w14:paraId="67F8DA2B" w14:textId="77777777" w:rsidR="001F7233" w:rsidRDefault="00000000">
      <w:r>
        <w:rPr>
          <w:b/>
        </w:rPr>
        <w:t xml:space="preserve">Behörde / Thema: </w:t>
      </w:r>
      <w:r>
        <w:t>IRD-Nummer, Einkommensteuersätze, GST, Steuerresidenz, KiwiSaver</w:t>
      </w:r>
    </w:p>
    <w:p w14:paraId="50D685DA" w14:textId="77777777" w:rsidR="001F7233" w:rsidRDefault="00000000">
      <w:r>
        <w:rPr>
          <w:b/>
        </w:rPr>
        <w:t xml:space="preserve">Referenz: </w:t>
      </w:r>
      <w:r>
        <w:t>Neuseeland: Steuern</w:t>
      </w:r>
    </w:p>
    <w:p w14:paraId="50D9DB0E" w14:textId="77777777" w:rsidR="001F7233" w:rsidRDefault="00000000">
      <w:r>
        <w:rPr>
          <w:b/>
        </w:rPr>
        <w:t>acc.co.nz</w:t>
      </w:r>
    </w:p>
    <w:p w14:paraId="50B58047" w14:textId="77777777" w:rsidR="001F7233" w:rsidRDefault="00000000">
      <w:r>
        <w:rPr>
          <w:b/>
        </w:rPr>
        <w:t xml:space="preserve">Behörde / Thema: </w:t>
      </w:r>
      <w:r>
        <w:t>Leistungen und Finanzierung der Unfallversicherung (ACC)</w:t>
      </w:r>
    </w:p>
    <w:p w14:paraId="5E06F59D" w14:textId="77777777" w:rsidR="001F7233" w:rsidRDefault="00000000">
      <w:r>
        <w:rPr>
          <w:b/>
        </w:rPr>
        <w:t xml:space="preserve">Referenz: </w:t>
      </w:r>
      <w:r>
        <w:t>Neuseeland: Steuern</w:t>
      </w:r>
    </w:p>
    <w:p w14:paraId="4C096F5C" w14:textId="77777777" w:rsidR="001F7233" w:rsidRDefault="00000000">
      <w:r>
        <w:rPr>
          <w:b/>
        </w:rPr>
        <w:t>centrix.co.nz, equifax.co.nz, experian.co.nz (früher illion)</w:t>
      </w:r>
    </w:p>
    <w:p w14:paraId="210208C5" w14:textId="77777777" w:rsidR="001F7233" w:rsidRDefault="00000000">
      <w:r>
        <w:rPr>
          <w:b/>
        </w:rPr>
        <w:t xml:space="preserve">Behörde / Thema: </w:t>
      </w:r>
      <w:r>
        <w:t>Kostenlose Kreditauskunft und Score-Aufbau</w:t>
      </w:r>
    </w:p>
    <w:p w14:paraId="66173A11" w14:textId="77777777" w:rsidR="001F7233" w:rsidRDefault="00000000">
      <w:r>
        <w:rPr>
          <w:b/>
        </w:rPr>
        <w:t xml:space="preserve">Referenz: </w:t>
      </w:r>
      <w:r>
        <w:t>Neuseeland: Steuern</w:t>
      </w:r>
    </w:p>
    <w:p w14:paraId="241B897A" w14:textId="77777777" w:rsidR="001F7233" w:rsidRDefault="00000000">
      <w:r>
        <w:rPr>
          <w:b/>
        </w:rPr>
        <w:t>anz.co.nz, asb.co.nz, westpac.co.nz, bnz.co.nz</w:t>
      </w:r>
    </w:p>
    <w:p w14:paraId="4F75C4FE" w14:textId="77777777" w:rsidR="001F7233" w:rsidRDefault="00000000">
      <w:r>
        <w:rPr>
          <w:b/>
        </w:rPr>
        <w:t xml:space="preserve">Behörde / Thema: </w:t>
      </w:r>
      <w:r>
        <w:t>Kontoeröffnung für Neuankömmlinge</w:t>
      </w:r>
    </w:p>
    <w:p w14:paraId="74131C89" w14:textId="77777777" w:rsidR="001F7233" w:rsidRDefault="00000000">
      <w:r>
        <w:rPr>
          <w:b/>
        </w:rPr>
        <w:t xml:space="preserve">Referenz: </w:t>
      </w:r>
      <w:r>
        <w:t>Neuseeland: Steuern</w:t>
      </w:r>
    </w:p>
    <w:p w14:paraId="1C3AB2ED" w14:textId="77777777" w:rsidR="001F7233" w:rsidRDefault="00000000">
      <w:r>
        <w:rPr>
          <w:b/>
        </w:rPr>
        <w:t>govt.nz</w:t>
      </w:r>
    </w:p>
    <w:p w14:paraId="12EEEB04" w14:textId="77777777" w:rsidR="001F7233" w:rsidRDefault="00000000">
      <w:r>
        <w:rPr>
          <w:b/>
        </w:rPr>
        <w:t xml:space="preserve">Behörde / Thema: </w:t>
      </w:r>
      <w:r>
        <w:t>Unabhängige Verbraucherinformation zu Kreditreports</w:t>
      </w:r>
    </w:p>
    <w:p w14:paraId="72BAC5C7" w14:textId="77777777" w:rsidR="001F7233" w:rsidRDefault="00000000">
      <w:r>
        <w:rPr>
          <w:b/>
        </w:rPr>
        <w:lastRenderedPageBreak/>
        <w:t xml:space="preserve">Referenz: </w:t>
      </w:r>
      <w:r>
        <w:t>Neuseeland: Steuern</w:t>
      </w:r>
    </w:p>
    <w:p w14:paraId="02424E85" w14:textId="77777777" w:rsidR="001F7233" w:rsidRDefault="00000000">
      <w:r>
        <w:rPr>
          <w:b/>
        </w:rPr>
        <w:t>oecd.org</w:t>
      </w:r>
    </w:p>
    <w:p w14:paraId="44CAF518" w14:textId="77777777" w:rsidR="001F7233" w:rsidRDefault="00000000">
      <w:r>
        <w:rPr>
          <w:b/>
        </w:rPr>
        <w:t xml:space="preserve">Behörde / Thema: </w:t>
      </w:r>
      <w:r>
        <w:t>Taxing Wages, Steuerkeil-Vergleich</w:t>
      </w:r>
    </w:p>
    <w:p w14:paraId="39297D14" w14:textId="77777777" w:rsidR="001F7233" w:rsidRDefault="00000000">
      <w:r>
        <w:rPr>
          <w:b/>
        </w:rPr>
        <w:t xml:space="preserve">Referenz: </w:t>
      </w:r>
      <w:r>
        <w:t>Neuseeland: Steuern</w:t>
      </w:r>
    </w:p>
    <w:p w14:paraId="07B02D34" w14:textId="77777777" w:rsidR="001F7233" w:rsidRDefault="00000000">
      <w:r>
        <w:rPr>
          <w:b/>
        </w:rPr>
        <w:t>numbeo.com</w:t>
      </w:r>
    </w:p>
    <w:p w14:paraId="0CC2DB91" w14:textId="77777777" w:rsidR="001F7233" w:rsidRDefault="00000000">
      <w:r>
        <w:rPr>
          <w:b/>
        </w:rPr>
        <w:t xml:space="preserve">Behörde / Thema: </w:t>
      </w:r>
      <w:r>
        <w:t>Lebenshaltungskosten im Städtevergleich</w:t>
      </w:r>
    </w:p>
    <w:p w14:paraId="2A6DFB94" w14:textId="77777777" w:rsidR="001F7233" w:rsidRDefault="00000000">
      <w:r>
        <w:rPr>
          <w:b/>
        </w:rPr>
        <w:t xml:space="preserve">Referenz: </w:t>
      </w:r>
      <w:r>
        <w:t>Neuseeland: Steuern</w:t>
      </w:r>
    </w:p>
    <w:p w14:paraId="5859358E" w14:textId="77777777" w:rsidR="001F7233" w:rsidRDefault="001F7233">
      <w:pPr>
        <w:spacing w:line="180" w:lineRule="exact"/>
      </w:pPr>
    </w:p>
    <w:p w14:paraId="71686B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Gesundheit</w:t>
      </w:r>
    </w:p>
    <w:p w14:paraId="4DFC111A" w14:textId="77777777" w:rsidR="001F7233" w:rsidRDefault="00000000">
      <w:r>
        <w:t>• health.govt.nz</w:t>
      </w:r>
    </w:p>
    <w:p w14:paraId="5A2901DD" w14:textId="77777777" w:rsidR="001F7233" w:rsidRDefault="00000000">
      <w:r>
        <w:rPr>
          <w:b/>
        </w:rPr>
        <w:t>health.govt.nz</w:t>
      </w:r>
    </w:p>
    <w:p w14:paraId="723958F1" w14:textId="77777777" w:rsidR="001F7233" w:rsidRDefault="00000000">
      <w:r>
        <w:rPr>
          <w:b/>
        </w:rPr>
        <w:t xml:space="preserve">Behörde / Thema: </w:t>
      </w:r>
      <w:r>
        <w:t>Ministry of Health, Aufbau des öffentlichen Gesundheitssystems</w:t>
      </w:r>
    </w:p>
    <w:p w14:paraId="1D1617B4" w14:textId="77777777" w:rsidR="001F7233" w:rsidRDefault="00000000">
      <w:r>
        <w:rPr>
          <w:b/>
        </w:rPr>
        <w:t xml:space="preserve">Referenz: </w:t>
      </w:r>
      <w:r>
        <w:t>Neuseeland: Gesundheit</w:t>
      </w:r>
    </w:p>
    <w:p w14:paraId="73981B7F" w14:textId="77777777" w:rsidR="001F7233" w:rsidRDefault="00000000">
      <w:r>
        <w:rPr>
          <w:b/>
        </w:rPr>
        <w:t>acc.co.nz (Leistungen im Unfallfall)</w:t>
      </w:r>
    </w:p>
    <w:p w14:paraId="2D63BF70" w14:textId="77777777" w:rsidR="001F7233" w:rsidRDefault="00000000">
      <w:r>
        <w:rPr>
          <w:b/>
        </w:rPr>
        <w:t xml:space="preserve">Behörde / Thema: </w:t>
      </w:r>
      <w:r>
        <w:t>ACC-Deckung, Earner’s Levy</w:t>
      </w:r>
    </w:p>
    <w:p w14:paraId="66B3FF88" w14:textId="77777777" w:rsidR="001F7233" w:rsidRDefault="00000000">
      <w:r>
        <w:rPr>
          <w:b/>
        </w:rPr>
        <w:t xml:space="preserve">Referenz: </w:t>
      </w:r>
      <w:r>
        <w:t>Neuseeland: Gesundheit</w:t>
      </w:r>
    </w:p>
    <w:p w14:paraId="225EE810" w14:textId="77777777" w:rsidR="001F7233" w:rsidRDefault="00000000">
      <w:r>
        <w:rPr>
          <w:b/>
        </w:rPr>
        <w:t>southerncross.co.nz, nib.co.nz</w:t>
      </w:r>
    </w:p>
    <w:p w14:paraId="2DF9779E" w14:textId="77777777" w:rsidR="001F7233" w:rsidRDefault="00000000">
      <w:r>
        <w:rPr>
          <w:b/>
        </w:rPr>
        <w:t xml:space="preserve">Behörde / Thema: </w:t>
      </w:r>
      <w:r>
        <w:t>Private Krankenversicherungstarife für Neuankömmlinge</w:t>
      </w:r>
    </w:p>
    <w:p w14:paraId="566EBF04" w14:textId="77777777" w:rsidR="001F7233" w:rsidRDefault="00000000">
      <w:r>
        <w:rPr>
          <w:b/>
        </w:rPr>
        <w:t xml:space="preserve">Referenz: </w:t>
      </w:r>
      <w:r>
        <w:t>Neuseeland: Gesundheit</w:t>
      </w:r>
    </w:p>
    <w:p w14:paraId="71A2D564" w14:textId="77777777" w:rsidR="001F7233" w:rsidRDefault="00000000">
      <w:r>
        <w:rPr>
          <w:b/>
        </w:rPr>
        <w:t>healthpoint.co.nz</w:t>
      </w:r>
    </w:p>
    <w:p w14:paraId="0EE14E79" w14:textId="77777777" w:rsidR="001F7233" w:rsidRDefault="00000000">
      <w:r>
        <w:rPr>
          <w:b/>
        </w:rPr>
        <w:t xml:space="preserve">Behörde / Thema: </w:t>
      </w:r>
      <w:r>
        <w:t>Verzeichnis von Hausarztpraxen und Gesundheitsdiensten nach Region</w:t>
      </w:r>
    </w:p>
    <w:p w14:paraId="748C3638" w14:textId="77777777" w:rsidR="001F7233" w:rsidRDefault="00000000">
      <w:r>
        <w:rPr>
          <w:b/>
        </w:rPr>
        <w:t xml:space="preserve">Referenz: </w:t>
      </w:r>
      <w:r>
        <w:t>Neuseeland: Gesundheit</w:t>
      </w:r>
    </w:p>
    <w:p w14:paraId="42090060" w14:textId="77777777" w:rsidR="001F7233" w:rsidRDefault="00000000">
      <w:r>
        <w:rPr>
          <w:b/>
        </w:rPr>
        <w:t>1737.org.nz</w:t>
      </w:r>
    </w:p>
    <w:p w14:paraId="6E602A6E" w14:textId="77777777" w:rsidR="001F7233" w:rsidRDefault="00000000">
      <w:r>
        <w:rPr>
          <w:b/>
        </w:rPr>
        <w:t xml:space="preserve">Behörde / Thema: </w:t>
      </w:r>
      <w:r>
        <w:t>Kostenlose Beratung rund um die Uhr</w:t>
      </w:r>
    </w:p>
    <w:p w14:paraId="7A48A9B4" w14:textId="77777777" w:rsidR="001F7233" w:rsidRDefault="00000000">
      <w:r>
        <w:rPr>
          <w:b/>
        </w:rPr>
        <w:t xml:space="preserve">Referenz: </w:t>
      </w:r>
      <w:r>
        <w:t>Neuseeland: Gesundheit</w:t>
      </w:r>
    </w:p>
    <w:p w14:paraId="50A36663" w14:textId="77777777" w:rsidR="001F7233" w:rsidRDefault="00000000">
      <w:r>
        <w:rPr>
          <w:b/>
        </w:rPr>
        <w:t>lifeline.org.nz</w:t>
      </w:r>
    </w:p>
    <w:p w14:paraId="279BB184" w14:textId="77777777" w:rsidR="001F7233" w:rsidRDefault="00000000">
      <w:r>
        <w:rPr>
          <w:b/>
        </w:rPr>
        <w:t xml:space="preserve">Behörde / Thema: </w:t>
      </w:r>
      <w:r>
        <w:t>Krisenhilfe</w:t>
      </w:r>
    </w:p>
    <w:p w14:paraId="1AF5EEB8" w14:textId="77777777" w:rsidR="001F7233" w:rsidRDefault="00000000">
      <w:r>
        <w:rPr>
          <w:b/>
        </w:rPr>
        <w:t xml:space="preserve">Referenz: </w:t>
      </w:r>
      <w:r>
        <w:t>Neuseeland: Gesundheit</w:t>
      </w:r>
    </w:p>
    <w:p w14:paraId="67D3D38C" w14:textId="77777777" w:rsidR="001F7233" w:rsidRDefault="001F7233">
      <w:pPr>
        <w:spacing w:line="180" w:lineRule="exact"/>
      </w:pPr>
    </w:p>
    <w:p w14:paraId="44677F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Wohnen und Führerschein</w:t>
      </w:r>
    </w:p>
    <w:p w14:paraId="518E2D5D" w14:textId="77777777" w:rsidR="001F7233" w:rsidRDefault="00000000">
      <w:r>
        <w:t>• tenancy.govt.nz</w:t>
      </w:r>
    </w:p>
    <w:p w14:paraId="566F180F" w14:textId="77777777" w:rsidR="001F7233" w:rsidRDefault="00000000">
      <w:r>
        <w:rPr>
          <w:b/>
        </w:rPr>
        <w:t>tenancy.govt.nz</w:t>
      </w:r>
    </w:p>
    <w:p w14:paraId="7EFAD807" w14:textId="77777777" w:rsidR="001F7233" w:rsidRDefault="00000000">
      <w:r>
        <w:rPr>
          <w:b/>
        </w:rPr>
        <w:t xml:space="preserve">Behörde / Thema: </w:t>
      </w:r>
      <w:r>
        <w:t>Kaution, Mietrecht, Bond Hub</w:t>
      </w:r>
    </w:p>
    <w:p w14:paraId="783E89EA" w14:textId="77777777" w:rsidR="001F7233" w:rsidRDefault="00000000">
      <w:r>
        <w:rPr>
          <w:b/>
        </w:rPr>
        <w:t xml:space="preserve">Referenz: </w:t>
      </w:r>
      <w:r>
        <w:t>Neuseeland: Wohnen</w:t>
      </w:r>
    </w:p>
    <w:p w14:paraId="123DBC23" w14:textId="77777777" w:rsidR="001F7233" w:rsidRDefault="00000000">
      <w:r>
        <w:rPr>
          <w:b/>
        </w:rPr>
        <w:t>linz.govt.nz</w:t>
      </w:r>
    </w:p>
    <w:p w14:paraId="6567545E" w14:textId="77777777" w:rsidR="001F7233" w:rsidRDefault="00000000">
      <w:r>
        <w:rPr>
          <w:b/>
        </w:rPr>
        <w:t xml:space="preserve">Behörde / Thema: </w:t>
      </w:r>
      <w:r>
        <w:t>Land Information New Zealand, Overseas Investment Act, „ordinarily resident“-Kriterien</w:t>
      </w:r>
    </w:p>
    <w:p w14:paraId="481C8931" w14:textId="77777777" w:rsidR="001F7233" w:rsidRDefault="00000000">
      <w:r>
        <w:rPr>
          <w:b/>
        </w:rPr>
        <w:t xml:space="preserve">Referenz: </w:t>
      </w:r>
      <w:r>
        <w:t>Neuseeland: Wohnen</w:t>
      </w:r>
    </w:p>
    <w:p w14:paraId="09C7FDFD" w14:textId="77777777" w:rsidR="001F7233" w:rsidRDefault="00000000">
      <w:r>
        <w:rPr>
          <w:b/>
        </w:rPr>
        <w:t>reinz.co.nz</w:t>
      </w:r>
    </w:p>
    <w:p w14:paraId="58677693" w14:textId="77777777" w:rsidR="001F7233" w:rsidRDefault="00000000">
      <w:r>
        <w:rPr>
          <w:b/>
        </w:rPr>
        <w:t xml:space="preserve">Behörde / Thema: </w:t>
      </w:r>
      <w:r>
        <w:t>Monatliche Kaufpreisberichte</w:t>
      </w:r>
    </w:p>
    <w:p w14:paraId="143CD0ED" w14:textId="77777777" w:rsidR="001F7233" w:rsidRDefault="00000000">
      <w:r>
        <w:rPr>
          <w:b/>
        </w:rPr>
        <w:t xml:space="preserve">Referenz: </w:t>
      </w:r>
      <w:r>
        <w:t>Neuseeland: Wohnen</w:t>
      </w:r>
    </w:p>
    <w:p w14:paraId="7C27E0AC" w14:textId="77777777" w:rsidR="001F7233" w:rsidRDefault="00000000">
      <w:r>
        <w:rPr>
          <w:b/>
        </w:rPr>
        <w:t>naturalhazards.govt.nz</w:t>
      </w:r>
    </w:p>
    <w:p w14:paraId="20E318C1" w14:textId="77777777" w:rsidR="001F7233" w:rsidRDefault="00000000">
      <w:r>
        <w:rPr>
          <w:b/>
        </w:rPr>
        <w:t xml:space="preserve">Behörde / Thema: </w:t>
      </w:r>
      <w:r>
        <w:t>Natural Hazards Commission Toka Tū Ake, Erdbebenversicherung</w:t>
      </w:r>
    </w:p>
    <w:p w14:paraId="433957BD" w14:textId="77777777" w:rsidR="001F7233" w:rsidRDefault="00000000">
      <w:r>
        <w:rPr>
          <w:b/>
        </w:rPr>
        <w:t xml:space="preserve">Referenz: </w:t>
      </w:r>
      <w:r>
        <w:t>Neuseeland: Wohnen</w:t>
      </w:r>
    </w:p>
    <w:p w14:paraId="09E7CD46" w14:textId="77777777" w:rsidR="001F7233" w:rsidRDefault="00000000">
      <w:r>
        <w:rPr>
          <w:b/>
        </w:rPr>
        <w:t>nzta.govt.nz</w:t>
      </w:r>
    </w:p>
    <w:p w14:paraId="1CBAA137" w14:textId="77777777" w:rsidR="001F7233" w:rsidRDefault="00000000">
      <w:r>
        <w:rPr>
          <w:b/>
        </w:rPr>
        <w:t xml:space="preserve">Behörde / Thema: </w:t>
      </w:r>
      <w:r>
        <w:t>NZ Transport Agency Waka Kotahi: Führerschein-Umtausch, Verkehrsregeln, Geschwindigkeitskameras</w:t>
      </w:r>
    </w:p>
    <w:p w14:paraId="3EC789F5" w14:textId="77777777" w:rsidR="001F7233" w:rsidRDefault="00000000">
      <w:r>
        <w:rPr>
          <w:b/>
        </w:rPr>
        <w:t xml:space="preserve">Referenz: </w:t>
      </w:r>
      <w:r>
        <w:t>Neuseeland: Führerschein</w:t>
      </w:r>
    </w:p>
    <w:p w14:paraId="080440B8" w14:textId="77777777" w:rsidR="001F7233" w:rsidRDefault="00000000">
      <w:r>
        <w:rPr>
          <w:b/>
        </w:rPr>
        <w:t>aa.co.nz</w:t>
      </w:r>
    </w:p>
    <w:p w14:paraId="2633759D" w14:textId="77777777" w:rsidR="001F7233" w:rsidRDefault="00000000">
      <w:r>
        <w:rPr>
          <w:b/>
        </w:rPr>
        <w:t xml:space="preserve">Behörde / Thema: </w:t>
      </w:r>
      <w:r>
        <w:t>Automobile Association: Fahrzeugkauf, -prüfung, Umtauschstellen</w:t>
      </w:r>
    </w:p>
    <w:p w14:paraId="1F33C64E" w14:textId="77777777" w:rsidR="001F7233" w:rsidRDefault="00000000">
      <w:r>
        <w:rPr>
          <w:b/>
        </w:rPr>
        <w:t xml:space="preserve">Referenz: </w:t>
      </w:r>
      <w:r>
        <w:t>Neuseeland: Führerschein</w:t>
      </w:r>
    </w:p>
    <w:p w14:paraId="204B4FA4" w14:textId="77777777" w:rsidR="001F7233" w:rsidRDefault="00000000">
      <w:r>
        <w:rPr>
          <w:b/>
        </w:rPr>
        <w:t>transport.govt.nz</w:t>
      </w:r>
    </w:p>
    <w:p w14:paraId="043B0DFD" w14:textId="77777777" w:rsidR="001F7233" w:rsidRDefault="00000000">
      <w:r>
        <w:rPr>
          <w:b/>
        </w:rPr>
        <w:t xml:space="preserve">Behörde / Thema: </w:t>
      </w:r>
      <w:r>
        <w:t>Alkoholgrenzwerte und Verkehrssicherheit</w:t>
      </w:r>
    </w:p>
    <w:p w14:paraId="68945A5B" w14:textId="77777777" w:rsidR="001F7233" w:rsidRDefault="00000000">
      <w:r>
        <w:rPr>
          <w:b/>
        </w:rPr>
        <w:t xml:space="preserve">Referenz: </w:t>
      </w:r>
      <w:r>
        <w:t>Neuseeland: Führerschein</w:t>
      </w:r>
    </w:p>
    <w:p w14:paraId="1E5B3EC9" w14:textId="77777777" w:rsidR="001F7233" w:rsidRDefault="00000000">
      <w:r>
        <w:rPr>
          <w:b/>
        </w:rPr>
        <w:t>consumerprotection.govt.nz</w:t>
      </w:r>
    </w:p>
    <w:p w14:paraId="2D8463D0" w14:textId="77777777" w:rsidR="001F7233" w:rsidRDefault="00000000">
      <w:r>
        <w:rPr>
          <w:b/>
        </w:rPr>
        <w:t xml:space="preserve">Behörde / Thema: </w:t>
      </w:r>
      <w:r>
        <w:t>Rechte beim Fahrzeugkauf</w:t>
      </w:r>
    </w:p>
    <w:p w14:paraId="4AF5DE48" w14:textId="77777777" w:rsidR="001F7233" w:rsidRDefault="00000000">
      <w:r>
        <w:rPr>
          <w:b/>
        </w:rPr>
        <w:t xml:space="preserve">Referenz: </w:t>
      </w:r>
      <w:r>
        <w:t>Neuseeland: Führerschein</w:t>
      </w:r>
    </w:p>
    <w:p w14:paraId="555D4114" w14:textId="77777777" w:rsidR="001F7233" w:rsidRDefault="00000000">
      <w:r>
        <w:rPr>
          <w:b/>
        </w:rPr>
        <w:t>police.govt.nz (Verkehrsregeln)</w:t>
      </w:r>
    </w:p>
    <w:p w14:paraId="75967CB2" w14:textId="77777777" w:rsidR="001F7233" w:rsidRDefault="00000000">
      <w:r>
        <w:rPr>
          <w:b/>
        </w:rPr>
        <w:lastRenderedPageBreak/>
        <w:t xml:space="preserve">Behörde / Thema: </w:t>
      </w:r>
      <w:r>
        <w:t>Verkehrsregeln, Bußgelder, Demeritpunkte</w:t>
      </w:r>
    </w:p>
    <w:p w14:paraId="293AB01A" w14:textId="77777777" w:rsidR="001F7233" w:rsidRDefault="00000000">
      <w:r>
        <w:rPr>
          <w:b/>
        </w:rPr>
        <w:t xml:space="preserve">Referenz: </w:t>
      </w:r>
      <w:r>
        <w:t>Neuseeland: Führerschein</w:t>
      </w:r>
    </w:p>
    <w:p w14:paraId="4B829D9A" w14:textId="77777777" w:rsidR="001F7233" w:rsidRDefault="001F7233">
      <w:pPr>
        <w:spacing w:line="180" w:lineRule="exact"/>
      </w:pPr>
    </w:p>
    <w:p w14:paraId="6CE4F3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Recht und Sicherheit</w:t>
      </w:r>
    </w:p>
    <w:p w14:paraId="266673FF" w14:textId="77777777" w:rsidR="001F7233" w:rsidRDefault="00000000">
      <w:r>
        <w:t>• police.govt.nz (Verhalten bei Kontrollen)</w:t>
      </w:r>
    </w:p>
    <w:p w14:paraId="437CC040" w14:textId="77777777" w:rsidR="001F7233" w:rsidRDefault="00000000">
      <w:r>
        <w:rPr>
          <w:b/>
        </w:rPr>
        <w:t>police.govt.nz (Verhalten bei Kontrollen)</w:t>
      </w:r>
    </w:p>
    <w:p w14:paraId="23E81D16" w14:textId="77777777" w:rsidR="001F7233" w:rsidRDefault="00000000">
      <w:r>
        <w:rPr>
          <w:b/>
        </w:rPr>
        <w:t xml:space="preserve">Behörde / Thema: </w:t>
      </w:r>
      <w:r>
        <w:t>Verhalten bei Polizeikontrollen, Notrufnummern</w:t>
      </w:r>
    </w:p>
    <w:p w14:paraId="1AB0938F" w14:textId="77777777" w:rsidR="001F7233" w:rsidRDefault="00000000">
      <w:r>
        <w:rPr>
          <w:b/>
        </w:rPr>
        <w:t xml:space="preserve">Referenz: </w:t>
      </w:r>
      <w:r>
        <w:t>Neuseeland: Recht und Sicherheit</w:t>
      </w:r>
    </w:p>
    <w:p w14:paraId="0319A221" w14:textId="77777777" w:rsidR="001F7233" w:rsidRDefault="00000000">
      <w:r>
        <w:rPr>
          <w:b/>
        </w:rPr>
        <w:t>firearmssafety.govt.nz</w:t>
      </w:r>
    </w:p>
    <w:p w14:paraId="096D82EA" w14:textId="77777777" w:rsidR="001F7233" w:rsidRDefault="00000000">
      <w:r>
        <w:rPr>
          <w:b/>
        </w:rPr>
        <w:t xml:space="preserve">Behörde / Thema: </w:t>
      </w:r>
      <w:r>
        <w:t>Waffenrecht, Arms Act 2026</w:t>
      </w:r>
    </w:p>
    <w:p w14:paraId="494403F5" w14:textId="77777777" w:rsidR="001F7233" w:rsidRDefault="00000000">
      <w:r>
        <w:rPr>
          <w:b/>
        </w:rPr>
        <w:t xml:space="preserve">Referenz: </w:t>
      </w:r>
      <w:r>
        <w:t>Neuseeland: Recht und Sicherheit</w:t>
      </w:r>
    </w:p>
    <w:p w14:paraId="51589A45" w14:textId="77777777" w:rsidR="001F7233" w:rsidRDefault="00000000">
      <w:r>
        <w:rPr>
          <w:b/>
        </w:rPr>
        <w:t>justice.govt.nz</w:t>
      </w:r>
    </w:p>
    <w:p w14:paraId="4F233689" w14:textId="77777777" w:rsidR="001F7233" w:rsidRDefault="00000000">
      <w:r>
        <w:rPr>
          <w:b/>
        </w:rPr>
        <w:t xml:space="preserve">Behörde / Thema: </w:t>
      </w:r>
      <w:r>
        <w:t>Firearms Reform, Arms Act 2026</w:t>
      </w:r>
    </w:p>
    <w:p w14:paraId="14F00E13" w14:textId="77777777" w:rsidR="001F7233" w:rsidRDefault="00000000">
      <w:r>
        <w:rPr>
          <w:b/>
        </w:rPr>
        <w:t xml:space="preserve">Referenz: </w:t>
      </w:r>
      <w:r>
        <w:t>Neuseeland: Recht und Sicherheit</w:t>
      </w:r>
    </w:p>
    <w:p w14:paraId="58589C62" w14:textId="77777777" w:rsidR="001F7233" w:rsidRDefault="00000000">
      <w:r>
        <w:rPr>
          <w:b/>
        </w:rPr>
        <w:t>drugfoundation.org.nz</w:t>
      </w:r>
    </w:p>
    <w:p w14:paraId="5A743F41" w14:textId="77777777" w:rsidR="001F7233" w:rsidRDefault="00000000">
      <w:r>
        <w:rPr>
          <w:b/>
        </w:rPr>
        <w:t xml:space="preserve">Behörde / Thema: </w:t>
      </w:r>
      <w:r>
        <w:t>Roadside Drug Testing</w:t>
      </w:r>
    </w:p>
    <w:p w14:paraId="38AB90C8" w14:textId="77777777" w:rsidR="001F7233" w:rsidRDefault="00000000">
      <w:r>
        <w:rPr>
          <w:b/>
        </w:rPr>
        <w:t xml:space="preserve">Referenz: </w:t>
      </w:r>
      <w:r>
        <w:t>Neuseeland: Recht und Sicherheit</w:t>
      </w:r>
    </w:p>
    <w:p w14:paraId="28DE1F46" w14:textId="77777777" w:rsidR="001F7233" w:rsidRDefault="00000000">
      <w:r>
        <w:rPr>
          <w:b/>
        </w:rPr>
        <w:t>geonet.org.nz</w:t>
      </w:r>
    </w:p>
    <w:p w14:paraId="6C62995E" w14:textId="77777777" w:rsidR="001F7233" w:rsidRDefault="00000000">
      <w:r>
        <w:rPr>
          <w:b/>
        </w:rPr>
        <w:t xml:space="preserve">Behörde / Thema: </w:t>
      </w:r>
      <w:r>
        <w:t>Erdbeben-, Vulkan- und Tsunamiüberwachung</w:t>
      </w:r>
    </w:p>
    <w:p w14:paraId="1DA29C4B" w14:textId="77777777" w:rsidR="001F7233" w:rsidRDefault="00000000">
      <w:r>
        <w:rPr>
          <w:b/>
        </w:rPr>
        <w:t xml:space="preserve">Referenz: </w:t>
      </w:r>
      <w:r>
        <w:t>Neuseeland: Recht und Sicherheit</w:t>
      </w:r>
    </w:p>
    <w:p w14:paraId="0252A784" w14:textId="77777777" w:rsidR="001F7233" w:rsidRDefault="00000000">
      <w:r>
        <w:rPr>
          <w:b/>
        </w:rPr>
        <w:t>getready.govt.nz (auch civildefence.govt.nz)</w:t>
      </w:r>
    </w:p>
    <w:p w14:paraId="37F12442" w14:textId="77777777" w:rsidR="001F7233" w:rsidRDefault="00000000">
      <w:r>
        <w:rPr>
          <w:b/>
        </w:rPr>
        <w:t xml:space="preserve">Behörde / Thema: </w:t>
      </w:r>
      <w:r>
        <w:t>Notfallvorsorge, Get Ready</w:t>
      </w:r>
    </w:p>
    <w:p w14:paraId="3908BF63" w14:textId="77777777" w:rsidR="001F7233" w:rsidRDefault="00000000">
      <w:r>
        <w:rPr>
          <w:b/>
        </w:rPr>
        <w:t xml:space="preserve">Referenz: </w:t>
      </w:r>
      <w:r>
        <w:t>Neuseeland: Recht und Sicherheit</w:t>
      </w:r>
    </w:p>
    <w:p w14:paraId="1FA3076B" w14:textId="77777777" w:rsidR="001F7233" w:rsidRDefault="00000000">
      <w:r>
        <w:rPr>
          <w:b/>
        </w:rPr>
        <w:t>auswaertiges-amt.de</w:t>
      </w:r>
    </w:p>
    <w:p w14:paraId="4C604E2A" w14:textId="77777777" w:rsidR="001F7233" w:rsidRDefault="00000000">
      <w:r>
        <w:rPr>
          <w:b/>
        </w:rPr>
        <w:t xml:space="preserve">Behörde / Thema: </w:t>
      </w:r>
      <w:r>
        <w:t>Hilfe für Deutsche im Ausland, Krisenvorsorgeliste Elefand</w:t>
      </w:r>
    </w:p>
    <w:p w14:paraId="25A3873D" w14:textId="77777777" w:rsidR="001F7233" w:rsidRDefault="00000000">
      <w:r>
        <w:rPr>
          <w:b/>
        </w:rPr>
        <w:t xml:space="preserve">Referenz: </w:t>
      </w:r>
      <w:r>
        <w:t>Neuseeland: Recht und Sicherheit</w:t>
      </w:r>
    </w:p>
    <w:p w14:paraId="0D87EACE" w14:textId="77777777" w:rsidR="001F7233" w:rsidRDefault="001F7233">
      <w:pPr>
        <w:spacing w:line="180" w:lineRule="exact"/>
      </w:pPr>
    </w:p>
    <w:p w14:paraId="3247A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Bildung, Arbeit und Alltag</w:t>
      </w:r>
    </w:p>
    <w:p w14:paraId="026FEBF1" w14:textId="77777777" w:rsidR="001F7233" w:rsidRDefault="00000000">
      <w:r>
        <w:t>• education.govt.nz</w:t>
      </w:r>
    </w:p>
    <w:p w14:paraId="1ABB26E3" w14:textId="77777777" w:rsidR="001F7233" w:rsidRDefault="00000000">
      <w:r>
        <w:rPr>
          <w:b/>
        </w:rPr>
        <w:t>education.govt.nz</w:t>
      </w:r>
    </w:p>
    <w:p w14:paraId="18CF9DFF" w14:textId="77777777" w:rsidR="001F7233" w:rsidRDefault="00000000">
      <w:r>
        <w:rPr>
          <w:b/>
        </w:rPr>
        <w:lastRenderedPageBreak/>
        <w:t xml:space="preserve">Behörde / Thema: </w:t>
      </w:r>
      <w:r>
        <w:t>Schulsystem, Term- und Ferientermine, ESOL-Förderung</w:t>
      </w:r>
    </w:p>
    <w:p w14:paraId="6FED0DB6" w14:textId="77777777" w:rsidR="001F7233" w:rsidRDefault="00000000">
      <w:r>
        <w:rPr>
          <w:b/>
        </w:rPr>
        <w:t xml:space="preserve">Referenz: </w:t>
      </w:r>
      <w:r>
        <w:t>Neuseeland: Bildung</w:t>
      </w:r>
    </w:p>
    <w:p w14:paraId="7433E34B" w14:textId="77777777" w:rsidR="001F7233" w:rsidRDefault="00000000">
      <w:r>
        <w:rPr>
          <w:b/>
        </w:rPr>
        <w:t>nzqa.govt.nz</w:t>
      </w:r>
    </w:p>
    <w:p w14:paraId="05A3AEE8" w14:textId="77777777" w:rsidR="001F7233" w:rsidRDefault="00000000">
      <w:r>
        <w:rPr>
          <w:b/>
        </w:rPr>
        <w:t xml:space="preserve">Behörde / Thema: </w:t>
      </w:r>
      <w:r>
        <w:t>New Zealand Qualifications Authority, NCEA, Reformpläne ab 2028</w:t>
      </w:r>
    </w:p>
    <w:p w14:paraId="7379BB17" w14:textId="77777777" w:rsidR="001F7233" w:rsidRDefault="00000000">
      <w:r>
        <w:rPr>
          <w:b/>
        </w:rPr>
        <w:t xml:space="preserve">Referenz: </w:t>
      </w:r>
      <w:r>
        <w:t>Neuseeland: Bildung</w:t>
      </w:r>
    </w:p>
    <w:p w14:paraId="200B6621" w14:textId="77777777" w:rsidR="001F7233" w:rsidRDefault="00000000">
      <w:r>
        <w:rPr>
          <w:b/>
        </w:rPr>
        <w:t>employment.govt.nz</w:t>
      </w:r>
    </w:p>
    <w:p w14:paraId="7059D4BB" w14:textId="77777777" w:rsidR="001F7233" w:rsidRDefault="00000000">
      <w:r>
        <w:rPr>
          <w:b/>
        </w:rPr>
        <w:t xml:space="preserve">Behörde / Thema: </w:t>
      </w:r>
      <w:r>
        <w:t>Employment Relations Act, Holidays Act, Musterverträge, 90-Day Trial Periods</w:t>
      </w:r>
    </w:p>
    <w:p w14:paraId="4142F47B" w14:textId="77777777" w:rsidR="001F7233" w:rsidRDefault="00000000">
      <w:r>
        <w:rPr>
          <w:b/>
        </w:rPr>
        <w:t xml:space="preserve">Referenz: </w:t>
      </w:r>
      <w:r>
        <w:t>Neuseeland: Arbeitswelt</w:t>
      </w:r>
    </w:p>
    <w:p w14:paraId="40A9F7E9" w14:textId="77777777" w:rsidR="001F7233" w:rsidRDefault="00000000">
      <w:r>
        <w:rPr>
          <w:b/>
        </w:rPr>
        <w:t>mcnz.org.nz</w:t>
      </w:r>
    </w:p>
    <w:p w14:paraId="53988EB1" w14:textId="77777777" w:rsidR="001F7233" w:rsidRDefault="00000000">
      <w:r>
        <w:rPr>
          <w:b/>
        </w:rPr>
        <w:t xml:space="preserve">Behörde / Thema: </w:t>
      </w:r>
      <w:r>
        <w:t>Medical Council of New Zealand</w:t>
      </w:r>
    </w:p>
    <w:p w14:paraId="1EA70F78" w14:textId="77777777" w:rsidR="001F7233" w:rsidRDefault="00000000">
      <w:r>
        <w:rPr>
          <w:b/>
        </w:rPr>
        <w:t xml:space="preserve">Referenz: </w:t>
      </w:r>
      <w:r>
        <w:t>Neuseeland: Anerkennung</w:t>
      </w:r>
    </w:p>
    <w:p w14:paraId="0A09290B" w14:textId="77777777" w:rsidR="001F7233" w:rsidRDefault="00000000">
      <w:r>
        <w:rPr>
          <w:b/>
        </w:rPr>
        <w:t>nursingcouncil.org.nz</w:t>
      </w:r>
    </w:p>
    <w:p w14:paraId="1C783230" w14:textId="77777777" w:rsidR="001F7233" w:rsidRDefault="00000000">
      <w:r>
        <w:rPr>
          <w:b/>
        </w:rPr>
        <w:t xml:space="preserve">Behörde / Thema: </w:t>
      </w:r>
      <w:r>
        <w:t>Nursing Council of New Zealand</w:t>
      </w:r>
    </w:p>
    <w:p w14:paraId="4A2A0ED7" w14:textId="77777777" w:rsidR="001F7233" w:rsidRDefault="00000000">
      <w:r>
        <w:rPr>
          <w:b/>
        </w:rPr>
        <w:t xml:space="preserve">Referenz: </w:t>
      </w:r>
      <w:r>
        <w:t>Neuseeland: Anerkennung</w:t>
      </w:r>
    </w:p>
    <w:p w14:paraId="4A8818CF" w14:textId="77777777" w:rsidR="001F7233" w:rsidRDefault="00000000">
      <w:r>
        <w:rPr>
          <w:b/>
        </w:rPr>
        <w:t>teachingcouncil.nz</w:t>
      </w:r>
    </w:p>
    <w:p w14:paraId="622C9AB5" w14:textId="77777777" w:rsidR="001F7233" w:rsidRDefault="00000000">
      <w:r>
        <w:rPr>
          <w:b/>
        </w:rPr>
        <w:t xml:space="preserve">Behörde / Thema: </w:t>
      </w:r>
      <w:r>
        <w:t>Teaching Council of Aotearoa New Zealand</w:t>
      </w:r>
    </w:p>
    <w:p w14:paraId="643805F7" w14:textId="77777777" w:rsidR="001F7233" w:rsidRDefault="00000000">
      <w:r>
        <w:rPr>
          <w:b/>
        </w:rPr>
        <w:t xml:space="preserve">Referenz: </w:t>
      </w:r>
      <w:r>
        <w:t>Neuseeland: Anerkennung</w:t>
      </w:r>
    </w:p>
    <w:p w14:paraId="5449CA5E" w14:textId="77777777" w:rsidR="001F7233" w:rsidRDefault="00000000">
      <w:r>
        <w:rPr>
          <w:b/>
        </w:rPr>
        <w:t>engineeringnz.org</w:t>
      </w:r>
    </w:p>
    <w:p w14:paraId="2DE558BC" w14:textId="77777777" w:rsidR="001F7233" w:rsidRDefault="00000000">
      <w:r>
        <w:rPr>
          <w:b/>
        </w:rPr>
        <w:t xml:space="preserve">Behörde / Thema: </w:t>
      </w:r>
      <w:r>
        <w:t>Engineering New Zealand</w:t>
      </w:r>
    </w:p>
    <w:p w14:paraId="5289DCF1" w14:textId="77777777" w:rsidR="001F7233" w:rsidRDefault="00000000">
      <w:r>
        <w:rPr>
          <w:b/>
        </w:rPr>
        <w:t xml:space="preserve">Referenz: </w:t>
      </w:r>
      <w:r>
        <w:t>Neuseeland: Anerkennung</w:t>
      </w:r>
    </w:p>
    <w:p w14:paraId="0DEDEFAE" w14:textId="77777777" w:rsidR="001F7233" w:rsidRDefault="00000000">
      <w:r>
        <w:rPr>
          <w:b/>
        </w:rPr>
        <w:t>nzqa.govt.nz</w:t>
      </w:r>
    </w:p>
    <w:p w14:paraId="7C10AFCA" w14:textId="77777777" w:rsidR="001F7233" w:rsidRDefault="00000000">
      <w:r>
        <w:rPr>
          <w:b/>
        </w:rPr>
        <w:t xml:space="preserve">Behörde / Thema: </w:t>
      </w:r>
      <w:r>
        <w:t>NZQA, Einordnung von Abschlüssen, nicht jede Gewerbelizenz</w:t>
      </w:r>
    </w:p>
    <w:p w14:paraId="2734C076" w14:textId="77777777" w:rsidR="001F7233" w:rsidRDefault="00000000">
      <w:r>
        <w:rPr>
          <w:b/>
        </w:rPr>
        <w:t xml:space="preserve">Referenz: </w:t>
      </w:r>
      <w:r>
        <w:t>Neuseeland: Anerkennung</w:t>
      </w:r>
    </w:p>
    <w:p w14:paraId="2DC82DE2" w14:textId="77777777" w:rsidR="001F7233" w:rsidRDefault="00000000">
      <w:r>
        <w:rPr>
          <w:b/>
        </w:rPr>
        <w:t>vetcouncil.org.nz</w:t>
      </w:r>
    </w:p>
    <w:p w14:paraId="739507B9" w14:textId="77777777" w:rsidR="001F7233" w:rsidRDefault="00000000">
      <w:r>
        <w:rPr>
          <w:b/>
        </w:rPr>
        <w:t xml:space="preserve">Behörde / Thema: </w:t>
      </w:r>
      <w:r>
        <w:t>Veterinary Council of New Zealand</w:t>
      </w:r>
    </w:p>
    <w:p w14:paraId="37562F21" w14:textId="77777777" w:rsidR="001F7233" w:rsidRDefault="00000000">
      <w:r>
        <w:rPr>
          <w:b/>
        </w:rPr>
        <w:t xml:space="preserve">Referenz: </w:t>
      </w:r>
      <w:r>
        <w:t>Neuseeland: Anerkennung</w:t>
      </w:r>
    </w:p>
    <w:p w14:paraId="005AE6A0" w14:textId="77777777" w:rsidR="001F7233" w:rsidRDefault="00000000">
      <w:r>
        <w:rPr>
          <w:b/>
        </w:rPr>
        <w:t>era.govt.nz</w:t>
      </w:r>
    </w:p>
    <w:p w14:paraId="3A4E2F3D" w14:textId="77777777" w:rsidR="001F7233" w:rsidRDefault="00000000">
      <w:r>
        <w:rPr>
          <w:b/>
        </w:rPr>
        <w:t xml:space="preserve">Behörde / Thema: </w:t>
      </w:r>
      <w:r>
        <w:t>Employment Relations Authority, Verfahren bei Personal Grievance</w:t>
      </w:r>
    </w:p>
    <w:p w14:paraId="647709F5" w14:textId="77777777" w:rsidR="001F7233" w:rsidRDefault="00000000">
      <w:r>
        <w:rPr>
          <w:b/>
        </w:rPr>
        <w:t xml:space="preserve">Referenz: </w:t>
      </w:r>
      <w:r>
        <w:t>Neuseeland: Arbeitswelt</w:t>
      </w:r>
    </w:p>
    <w:p w14:paraId="45C5D937" w14:textId="77777777" w:rsidR="001F7233" w:rsidRDefault="00000000">
      <w:r>
        <w:rPr>
          <w:b/>
        </w:rPr>
        <w:t>legislation.govt.nz</w:t>
      </w:r>
    </w:p>
    <w:p w14:paraId="522AEB52" w14:textId="77777777" w:rsidR="001F7233" w:rsidRDefault="00000000">
      <w:r>
        <w:rPr>
          <w:b/>
        </w:rPr>
        <w:lastRenderedPageBreak/>
        <w:t xml:space="preserve">Behörde / Thema: </w:t>
      </w:r>
      <w:r>
        <w:t>Employment Relations (Trial Periods) Amendment Act 2023</w:t>
      </w:r>
    </w:p>
    <w:p w14:paraId="5392888C" w14:textId="77777777" w:rsidR="001F7233" w:rsidRDefault="00000000">
      <w:r>
        <w:rPr>
          <w:b/>
        </w:rPr>
        <w:t xml:space="preserve">Referenz: </w:t>
      </w:r>
      <w:r>
        <w:t>Neuseeland: Arbeitswelt</w:t>
      </w:r>
    </w:p>
    <w:p w14:paraId="378D41F2" w14:textId="77777777" w:rsidR="001F7233" w:rsidRDefault="00000000">
      <w:r>
        <w:rPr>
          <w:b/>
        </w:rPr>
        <w:t>seek.co.nz, trademe.co.nz/jobs</w:t>
      </w:r>
    </w:p>
    <w:p w14:paraId="4127A7A6" w14:textId="77777777" w:rsidR="001F7233" w:rsidRDefault="00000000">
      <w:r>
        <w:rPr>
          <w:b/>
        </w:rPr>
        <w:t xml:space="preserve">Behörde / Thema: </w:t>
      </w:r>
      <w:r>
        <w:t>Stellenbörsen</w:t>
      </w:r>
    </w:p>
    <w:p w14:paraId="295750C4" w14:textId="77777777" w:rsidR="001F7233" w:rsidRDefault="00000000">
      <w:r>
        <w:rPr>
          <w:b/>
        </w:rPr>
        <w:t xml:space="preserve">Referenz: </w:t>
      </w:r>
      <w:r>
        <w:t>Neuseeland: Arbeitswelt</w:t>
      </w:r>
    </w:p>
    <w:p w14:paraId="15C2314B" w14:textId="77777777" w:rsidR="001F7233" w:rsidRDefault="00000000">
      <w:r>
        <w:rPr>
          <w:b/>
        </w:rPr>
        <w:t>tpk.govt.nz</w:t>
      </w:r>
    </w:p>
    <w:p w14:paraId="55E9C5AA" w14:textId="77777777" w:rsidR="001F7233" w:rsidRDefault="00000000">
      <w:r>
        <w:rPr>
          <w:b/>
        </w:rPr>
        <w:t xml:space="preserve">Behörde / Thema: </w:t>
      </w:r>
      <w:r>
        <w:t>Te Puni Kōkiri, Te Ao Māori im Alltag und am Arbeitsplatz</w:t>
      </w:r>
    </w:p>
    <w:p w14:paraId="0450E62D" w14:textId="77777777" w:rsidR="001F7233" w:rsidRDefault="00000000">
      <w:r>
        <w:rPr>
          <w:b/>
        </w:rPr>
        <w:t xml:space="preserve">Referenz: </w:t>
      </w:r>
      <w:r>
        <w:t>Neuseeland: Alltag</w:t>
      </w:r>
    </w:p>
    <w:p w14:paraId="2E9AF08A" w14:textId="77777777" w:rsidR="001F7233" w:rsidRDefault="00000000">
      <w:r>
        <w:rPr>
          <w:b/>
        </w:rPr>
        <w:t>newzealand.govt.nz</w:t>
      </w:r>
    </w:p>
    <w:p w14:paraId="090AADB6" w14:textId="77777777" w:rsidR="001F7233" w:rsidRDefault="00000000">
      <w:r>
        <w:rPr>
          <w:b/>
        </w:rPr>
        <w:t xml:space="preserve">Behörde / Thema: </w:t>
      </w:r>
      <w:r>
        <w:t>New Zealand Now, Einleben und Alltagskultur</w:t>
      </w:r>
    </w:p>
    <w:p w14:paraId="79B6CED8" w14:textId="77777777" w:rsidR="001F7233" w:rsidRDefault="00000000">
      <w:r>
        <w:rPr>
          <w:b/>
        </w:rPr>
        <w:t xml:space="preserve">Referenz: </w:t>
      </w:r>
      <w:r>
        <w:t>Neuseeland: Alltag</w:t>
      </w:r>
    </w:p>
    <w:p w14:paraId="752A295B" w14:textId="77777777" w:rsidR="001F7233" w:rsidRDefault="00000000">
      <w:r>
        <w:rPr>
          <w:b/>
        </w:rPr>
        <w:t>mch.govt.nz</w:t>
      </w:r>
    </w:p>
    <w:p w14:paraId="6D816FAF" w14:textId="77777777" w:rsidR="001F7233" w:rsidRDefault="00000000">
      <w:r>
        <w:rPr>
          <w:b/>
        </w:rPr>
        <w:t xml:space="preserve">Behörde / Thema: </w:t>
      </w:r>
      <w:r>
        <w:t>Ministry for Culture and Heritage, Vertrag von Waitangi, Te Reo Māori</w:t>
      </w:r>
    </w:p>
    <w:p w14:paraId="19A66E82" w14:textId="77777777" w:rsidR="001F7233" w:rsidRDefault="00000000">
      <w:r>
        <w:rPr>
          <w:b/>
        </w:rPr>
        <w:t xml:space="preserve">Referenz: </w:t>
      </w:r>
      <w:r>
        <w:t>Neuseeland: Alltag</w:t>
      </w:r>
    </w:p>
    <w:p w14:paraId="20EA344A" w14:textId="77777777" w:rsidR="001F7233" w:rsidRDefault="00000000">
      <w:r>
        <w:rPr>
          <w:b/>
        </w:rPr>
        <w:t>stats.govt.nz</w:t>
      </w:r>
    </w:p>
    <w:p w14:paraId="53E4C429" w14:textId="77777777" w:rsidR="001F7233" w:rsidRDefault="00000000">
      <w:r>
        <w:rPr>
          <w:b/>
        </w:rPr>
        <w:t xml:space="preserve">Behörde / Thema: </w:t>
      </w:r>
      <w:r>
        <w:t>Bevölkerung, Herkunft und Lebensverhältnisse</w:t>
      </w:r>
    </w:p>
    <w:p w14:paraId="0A464B77" w14:textId="77777777" w:rsidR="001F7233" w:rsidRDefault="00000000">
      <w:r>
        <w:rPr>
          <w:b/>
        </w:rPr>
        <w:t xml:space="preserve">Referenz: </w:t>
      </w:r>
      <w:r>
        <w:t>Neuseeland: Alltag</w:t>
      </w:r>
    </w:p>
    <w:p w14:paraId="45C9BD4B" w14:textId="77777777" w:rsidR="001F7233" w:rsidRDefault="00000000">
      <w:r>
        <w:rPr>
          <w:b/>
        </w:rPr>
        <w:t>plunket.org.nz</w:t>
      </w:r>
    </w:p>
    <w:p w14:paraId="676FAE66" w14:textId="77777777" w:rsidR="001F7233" w:rsidRDefault="00000000">
      <w:r>
        <w:rPr>
          <w:b/>
        </w:rPr>
        <w:t xml:space="preserve">Behörde / Thema: </w:t>
      </w:r>
      <w:r>
        <w:t>Krabbelgruppen und Familienangebote</w:t>
      </w:r>
    </w:p>
    <w:p w14:paraId="42827C2F" w14:textId="77777777" w:rsidR="001F7233" w:rsidRDefault="00000000">
      <w:r>
        <w:rPr>
          <w:b/>
        </w:rPr>
        <w:t xml:space="preserve">Referenz: </w:t>
      </w:r>
      <w:r>
        <w:t>Neuseeland: Alltag</w:t>
      </w:r>
    </w:p>
    <w:p w14:paraId="22E2FDF4" w14:textId="77777777" w:rsidR="001F7233" w:rsidRDefault="00000000">
      <w:r>
        <w:rPr>
          <w:b/>
        </w:rPr>
        <w:t>fireandemergency.nz</w:t>
      </w:r>
    </w:p>
    <w:p w14:paraId="79353C2C" w14:textId="77777777" w:rsidR="001F7233" w:rsidRDefault="00000000">
      <w:r>
        <w:rPr>
          <w:b/>
        </w:rPr>
        <w:t xml:space="preserve">Behörde / Thema: </w:t>
      </w:r>
      <w:r>
        <w:t>Freiwillige Mitarbeit bei Fire and Emergency New Zealand</w:t>
      </w:r>
    </w:p>
    <w:p w14:paraId="0A526F94" w14:textId="77777777" w:rsidR="001F7233" w:rsidRDefault="00000000">
      <w:r>
        <w:rPr>
          <w:b/>
        </w:rPr>
        <w:t xml:space="preserve">Referenz: </w:t>
      </w:r>
      <w:r>
        <w:t>Neuseeland: Alltag</w:t>
      </w:r>
    </w:p>
    <w:p w14:paraId="178F4388" w14:textId="77777777" w:rsidR="001F7233" w:rsidRDefault="001F7233">
      <w:pPr>
        <w:spacing w:line="180" w:lineRule="exact"/>
      </w:pPr>
    </w:p>
    <w:p w14:paraId="6E1E65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Neuseeland</w:t>
      </w:r>
    </w:p>
    <w:p w14:paraId="1F34B940" w14:textId="77777777" w:rsidR="001F7233" w:rsidRDefault="00000000">
      <w:pPr>
        <w:spacing w:after="140"/>
      </w:pPr>
      <w:r>
        <w:t xml:space="preserve">Die deutsche Botschaft sitzt in Wellington. </w:t>
      </w:r>
      <w:hyperlink r:id="rId1142">
        <w:r w:rsidR="001F7233">
          <w:rPr>
            <w:color w:val="0563C1"/>
            <w:u w:val="single"/>
          </w:rPr>
          <w:t>wellington.diplo.de</w:t>
        </w:r>
      </w:hyperlink>
      <w:r>
        <w:t xml:space="preserve"> führt zu Botschaft und Honorarkonsuln.</w:t>
      </w:r>
    </w:p>
    <w:p w14:paraId="44B39A40" w14:textId="77777777" w:rsidR="001F7233" w:rsidRDefault="00000000">
      <w:r>
        <w:rPr>
          <w:b/>
        </w:rPr>
        <w:t>wellington.diplo.de</w:t>
      </w:r>
    </w:p>
    <w:p w14:paraId="39316676" w14:textId="77777777" w:rsidR="001F7233" w:rsidRDefault="00000000">
      <w:r>
        <w:rPr>
          <w:b/>
        </w:rPr>
        <w:lastRenderedPageBreak/>
        <w:t xml:space="preserve">Behörde / Thema: </w:t>
      </w:r>
      <w:r>
        <w:t>Deutsche Botschaft Wellington und Honorarkonsulate, zuständige Vertretung finden</w:t>
      </w:r>
    </w:p>
    <w:p w14:paraId="37349535" w14:textId="77777777" w:rsidR="001F7233" w:rsidRDefault="00000000">
      <w:r>
        <w:rPr>
          <w:b/>
        </w:rPr>
        <w:t xml:space="preserve">Referenz: </w:t>
      </w:r>
      <w:r>
        <w:t>Neuseeland: Vertretungen</w:t>
      </w:r>
    </w:p>
    <w:p w14:paraId="774CF202" w14:textId="77777777" w:rsidR="001F7233" w:rsidRDefault="00000000">
      <w:r>
        <w:rPr>
          <w:b/>
        </w:rPr>
        <w:t>goethe.de/ins/nz</w:t>
      </w:r>
    </w:p>
    <w:p w14:paraId="5DED3C2C" w14:textId="77777777" w:rsidR="001F7233" w:rsidRDefault="00000000">
      <w:r>
        <w:rPr>
          <w:b/>
        </w:rPr>
        <w:t xml:space="preserve">Behörde / Thema: </w:t>
      </w:r>
      <w:r>
        <w:t>Goethe-Institut Neuseeland, Standort Wellington</w:t>
      </w:r>
    </w:p>
    <w:p w14:paraId="712A5127" w14:textId="77777777" w:rsidR="001F7233" w:rsidRDefault="00000000">
      <w:r>
        <w:rPr>
          <w:b/>
        </w:rPr>
        <w:t xml:space="preserve">Referenz: </w:t>
      </w:r>
      <w:r>
        <w:t>Neuseeland: Vertretungen</w:t>
      </w:r>
    </w:p>
    <w:p w14:paraId="7F7837F4" w14:textId="77777777" w:rsidR="001F7233" w:rsidRDefault="001F7233">
      <w:pPr>
        <w:spacing w:line="180" w:lineRule="exact"/>
      </w:pPr>
    </w:p>
    <w:p w14:paraId="42079655" w14:textId="77777777" w:rsidR="001F7233" w:rsidRDefault="00000000">
      <w:r>
        <w:t>• Quellen- und Datenstand: September 2026; Redaktionsschluss: Oktober 2026. Adressen, Unterseiten und Zuständigkeiten von Behörden ändern sich gelegentlich. Führt eine Adresse ins Leere, hilft die Suche nach Behördenname und Stichwort auf der jeweiligen Startseite weiter. Aktuelle Gebühren, Fristen und Formularnummern stehen im jeweiligen Kapitel (USA) oder bei der jeweiligen Referenz (Kanada, Australien, Neuseeland) und sollten vor jeder Entscheidung auf der Originalseite geprüft werden.</w:t>
      </w:r>
    </w:p>
    <w:p w14:paraId="381F1D1C" w14:textId="77777777" w:rsidR="001F7233" w:rsidRDefault="00000000">
      <w:pPr>
        <w:spacing w:line="220" w:lineRule="exact"/>
      </w:pPr>
      <w:r>
        <w:br w:type="page"/>
      </w:r>
    </w:p>
    <w:p w14:paraId="1CAC9A09" w14:textId="77777777" w:rsidR="001F7233" w:rsidRDefault="00000000">
      <w:pPr>
        <w:pStyle w:val="Heading2"/>
        <w:keepNext/>
        <w:spacing w:line="341" w:lineRule="auto"/>
        <w:jc w:val="center"/>
      </w:pPr>
      <w:bookmarkStart w:id="158" w:name="anhang_g"/>
      <w:r>
        <w:rPr>
          <w:rFonts w:ascii="Amazon Ember" w:eastAsia="Amazon Ember" w:hAnsi="Amazon Ember" w:cs="Amazon Ember"/>
          <w:color w:val="0000FF"/>
          <w:sz w:val="36"/>
          <w:szCs w:val="36"/>
        </w:rPr>
        <w:lastRenderedPageBreak/>
        <w:t>Anhang G: Schnellfinder — Problem → Kapitel</w:t>
      </w:r>
      <w:bookmarkEnd w:id="158"/>
    </w:p>
    <w:p w14:paraId="249DFD19" w14:textId="77777777" w:rsidR="001F7233" w:rsidRDefault="00000000">
      <w:pPr>
        <w:spacing w:after="140"/>
      </w:pPr>
      <w:r>
        <w:t>Du hast eine konkrete Frage oder steckst mitten in einer Situation und willst schnell wissen, welches Kapitel weiterhilft? Diese Tabelle ordnet typische Leserfragen den passenden Kapiteln zu. Zuerst kommt die USA, gegliedert nach den Phasen der Auswanderung von der ersten Entscheidung bis zur möglichen Rückkehr. Danach folgen Kanada, Australien und Neuseeland kompakter.</w:t>
      </w:r>
      <w:r>
        <w:br w:type="page"/>
      </w:r>
    </w:p>
    <w:p w14:paraId="5C0379E7" w14:textId="77777777" w:rsidR="001F7233" w:rsidRDefault="00000000">
      <w:pPr>
        <w:pStyle w:val="Heading2"/>
        <w:keepNext/>
        <w:spacing w:line="341" w:lineRule="auto"/>
        <w:jc w:val="center"/>
      </w:pPr>
      <w:bookmarkStart w:id="159" w:name="s115"/>
      <w:r>
        <w:rPr>
          <w:rFonts w:ascii="Amazon Ember" w:eastAsia="Amazon Ember" w:hAnsi="Amazon Ember" w:cs="Amazon Ember"/>
          <w:color w:val="0000FF"/>
          <w:sz w:val="36"/>
          <w:szCs w:val="36"/>
        </w:rPr>
        <w:lastRenderedPageBreak/>
        <w:t>Schnellfinder USA</w:t>
      </w:r>
      <w:bookmarkEnd w:id="159"/>
    </w:p>
    <w:p w14:paraId="0C687A3F" w14:textId="77777777" w:rsidR="001F7233" w:rsidRDefault="00000000">
      <w:r>
        <w:t>Was kann in Deutschland günstig wirken und im Zielland zum großen Kostenposten werden – etwa Gesundheit, Studium, Mobilität oder Haushaltshilfe?</w:t>
      </w:r>
    </w:p>
    <w:p w14:paraId="1F2688DF" w14:textId="77777777" w:rsidR="001F7233" w:rsidRDefault="00000000">
      <w:r>
        <w:t xml:space="preserve">Kapitel: </w:t>
      </w:r>
      <w:hyperlink w:anchor="deutschland_ausland_kosten">
        <w:r w:rsidR="001F7233">
          <w:rPr>
            <w:rStyle w:val="Hyperlink"/>
          </w:rPr>
          <w:t>Kostenvergleich im gemeinsamen Länderwahl-Kapitel</w:t>
        </w:r>
      </w:hyperlink>
    </w:p>
    <w:p w14:paraId="245D9F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Status</w:t>
      </w:r>
    </w:p>
    <w:p w14:paraId="36BD4FE3" w14:textId="77777777" w:rsidR="001F7233" w:rsidRDefault="00000000">
      <w:r>
        <w:rPr>
          <w:b/>
        </w:rPr>
        <w:t>Ich habe ein Jobangebot aus den USA – welches Visum passt zu meiner Situation?</w:t>
      </w:r>
    </w:p>
    <w:p w14:paraId="17AE9581" w14:textId="77777777" w:rsidR="001F7233" w:rsidRDefault="00000000">
      <w:r>
        <w:rPr>
          <w:b/>
        </w:rPr>
        <w:t xml:space="preserve">Kapitel: </w:t>
      </w:r>
      <w:hyperlink w:anchor="k4">
        <w:r w:rsidR="001F7233">
          <w:rPr>
            <w:rStyle w:val="Hyperlink"/>
          </w:rPr>
          <w:t>Kapitel 4</w:t>
        </w:r>
      </w:hyperlink>
    </w:p>
    <w:p w14:paraId="1FAA27C5" w14:textId="77777777" w:rsidR="001F7233" w:rsidRDefault="00000000">
      <w:r>
        <w:rPr>
          <w:b/>
        </w:rPr>
        <w:t>Was ist eigentlich der Unterschied zwischen einem Visum und meinem Aufenthaltsstatus?</w:t>
      </w:r>
    </w:p>
    <w:p w14:paraId="5DC462FE" w14:textId="77777777" w:rsidR="001F7233" w:rsidRDefault="00000000">
      <w:r>
        <w:rPr>
          <w:b/>
        </w:rPr>
        <w:t xml:space="preserve">Kapitel: </w:t>
      </w:r>
      <w:hyperlink w:anchor="k4">
        <w:r w:rsidR="001F7233">
          <w:rPr>
            <w:rStyle w:val="Hyperlink"/>
          </w:rPr>
          <w:t>Kapitel 4</w:t>
        </w:r>
      </w:hyperlink>
    </w:p>
    <w:p w14:paraId="52168D7A" w14:textId="77777777" w:rsidR="001F7233" w:rsidRDefault="00000000">
      <w:r>
        <w:rPr>
          <w:b/>
        </w:rPr>
        <w:t>Wie hoch sind meine Chancen, bei der H-1B-Lotterie gezogen zu werden?</w:t>
      </w:r>
    </w:p>
    <w:p w14:paraId="463E6E0B" w14:textId="77777777" w:rsidR="001F7233" w:rsidRDefault="00000000">
      <w:r>
        <w:rPr>
          <w:b/>
        </w:rPr>
        <w:t xml:space="preserve">Kapitel: </w:t>
      </w:r>
      <w:hyperlink w:anchor="k5">
        <w:r w:rsidR="001F7233">
          <w:rPr>
            <w:rStyle w:val="Hyperlink"/>
          </w:rPr>
          <w:t>Kapitel 5</w:t>
        </w:r>
      </w:hyperlink>
    </w:p>
    <w:p w14:paraId="641064F9" w14:textId="77777777" w:rsidR="001F7233" w:rsidRDefault="00000000">
      <w:r>
        <w:rPr>
          <w:b/>
        </w:rPr>
        <w:t>Wie lange dauert der Weg zur Green Card über meinen Arbeitgeber?</w:t>
      </w:r>
    </w:p>
    <w:p w14:paraId="63FEA183" w14:textId="77777777" w:rsidR="001F7233" w:rsidRDefault="00000000">
      <w:r>
        <w:rPr>
          <w:b/>
        </w:rPr>
        <w:t xml:space="preserve">Kapitel: </w:t>
      </w:r>
      <w:hyperlink w:anchor="k6">
        <w:r w:rsidR="001F7233">
          <w:rPr>
            <w:rStyle w:val="Hyperlink"/>
          </w:rPr>
          <w:t>Kapitel 6</w:t>
        </w:r>
      </w:hyperlink>
    </w:p>
    <w:p w14:paraId="3A86FE80" w14:textId="77777777" w:rsidR="001F7233" w:rsidRDefault="00000000">
      <w:r>
        <w:rPr>
          <w:b/>
        </w:rPr>
        <w:t>Lohnt sich der Umweg über den H-1B oder soll ich gleich auf die Green Card zielen?</w:t>
      </w:r>
    </w:p>
    <w:p w14:paraId="67DE3B28" w14:textId="77777777" w:rsidR="001F7233" w:rsidRDefault="00000000">
      <w:r>
        <w:rPr>
          <w:b/>
        </w:rPr>
        <w:t xml:space="preserve">Kapitel: </w:t>
      </w:r>
      <w:hyperlink w:anchor="k7">
        <w:r w:rsidR="001F7233">
          <w:rPr>
            <w:rStyle w:val="Hyperlink"/>
          </w:rPr>
          <w:t>Kapitel 7</w:t>
        </w:r>
      </w:hyperlink>
    </w:p>
    <w:p w14:paraId="53905262" w14:textId="77777777" w:rsidR="001F7233" w:rsidRDefault="00000000">
      <w:r>
        <w:rPr>
          <w:b/>
        </w:rPr>
        <w:t>Ich will erst in den USA studieren – wie komme ich danach in einen Job?</w:t>
      </w:r>
    </w:p>
    <w:p w14:paraId="62B5662C" w14:textId="77777777" w:rsidR="001F7233" w:rsidRDefault="00000000">
      <w:r>
        <w:rPr>
          <w:b/>
        </w:rPr>
        <w:t xml:space="preserve">Kapitel: </w:t>
      </w:r>
      <w:hyperlink w:anchor="k8">
        <w:r w:rsidR="001F7233">
          <w:rPr>
            <w:rStyle w:val="Hyperlink"/>
          </w:rPr>
          <w:t>Kapitel 8</w:t>
        </w:r>
      </w:hyperlink>
    </w:p>
    <w:p w14:paraId="641D8764" w14:textId="77777777" w:rsidR="001F7233" w:rsidRDefault="00000000">
      <w:r>
        <w:rPr>
          <w:b/>
        </w:rPr>
        <w:t>Meine Firma hat eine US-Niederlassung – kann ich intern dorthin wechseln?</w:t>
      </w:r>
    </w:p>
    <w:p w14:paraId="5BDFE643" w14:textId="77777777" w:rsidR="001F7233" w:rsidRDefault="00000000">
      <w:r>
        <w:rPr>
          <w:b/>
        </w:rPr>
        <w:t xml:space="preserve">Kapitel: </w:t>
      </w:r>
      <w:hyperlink w:anchor="k9">
        <w:r w:rsidR="001F7233">
          <w:rPr>
            <w:rStyle w:val="Hyperlink"/>
          </w:rPr>
          <w:t>Kapitel 9</w:t>
        </w:r>
      </w:hyperlink>
    </w:p>
    <w:p w14:paraId="37917780" w14:textId="77777777" w:rsidR="001F7233" w:rsidRDefault="00000000">
      <w:r>
        <w:rPr>
          <w:b/>
        </w:rPr>
        <w:t>Ich möchte mich mit eigenem Kapital in den USA selbständig machen – welches Visum passt?</w:t>
      </w:r>
    </w:p>
    <w:p w14:paraId="62A23733" w14:textId="77777777" w:rsidR="001F7233" w:rsidRDefault="00000000">
      <w:r>
        <w:rPr>
          <w:b/>
        </w:rPr>
        <w:t xml:space="preserve">Kapitel: </w:t>
      </w:r>
      <w:hyperlink w:anchor="k9">
        <w:r w:rsidR="001F7233">
          <w:rPr>
            <w:rStyle w:val="Hyperlink"/>
          </w:rPr>
          <w:t>Kapitel 9</w:t>
        </w:r>
      </w:hyperlink>
    </w:p>
    <w:p w14:paraId="042C873B" w14:textId="77777777" w:rsidR="001F7233" w:rsidRDefault="00000000">
      <w:r>
        <w:rPr>
          <w:b/>
        </w:rPr>
        <w:lastRenderedPageBreak/>
        <w:t>Kann mein Partner in den USA arbeiten?</w:t>
      </w:r>
    </w:p>
    <w:p w14:paraId="3B4CA4E5" w14:textId="77777777" w:rsidR="001F7233" w:rsidRDefault="00000000">
      <w:r>
        <w:rPr>
          <w:b/>
        </w:rPr>
        <w:t xml:space="preserve">Kapitel: </w:t>
      </w:r>
      <w:hyperlink w:anchor="k10">
        <w:r w:rsidR="001F7233">
          <w:rPr>
            <w:rStyle w:val="Hyperlink"/>
          </w:rPr>
          <w:t>Kapitel 10</w:t>
        </w:r>
      </w:hyperlink>
    </w:p>
    <w:p w14:paraId="065EC374" w14:textId="77777777" w:rsidR="001F7233" w:rsidRDefault="00000000">
      <w:r>
        <w:rPr>
          <w:b/>
        </w:rPr>
        <w:t>Zählt unsere deutsche eingetragene Lebenspartnerschaft für ein Partnervisum?</w:t>
      </w:r>
    </w:p>
    <w:p w14:paraId="7C7CFFF2" w14:textId="77777777" w:rsidR="001F7233" w:rsidRDefault="00000000">
      <w:r>
        <w:rPr>
          <w:b/>
        </w:rPr>
        <w:t xml:space="preserve">Kapitel: </w:t>
      </w:r>
      <w:hyperlink w:anchor="k10">
        <w:r w:rsidR="001F7233">
          <w:rPr>
            <w:rStyle w:val="Hyperlink"/>
          </w:rPr>
          <w:t>Kapitel 10</w:t>
        </w:r>
      </w:hyperlink>
    </w:p>
    <w:p w14:paraId="6273D9B4" w14:textId="77777777" w:rsidR="001F7233" w:rsidRDefault="00000000">
      <w:r>
        <w:rPr>
          <w:b/>
        </w:rPr>
        <w:t>Was passiert mit dem Status meiner Kinder, wenn sie 21 werden?</w:t>
      </w:r>
    </w:p>
    <w:p w14:paraId="1173B2B9" w14:textId="77777777" w:rsidR="001F7233" w:rsidRDefault="00000000">
      <w:r>
        <w:rPr>
          <w:b/>
        </w:rPr>
        <w:t xml:space="preserve">Kapitel: </w:t>
      </w:r>
      <w:hyperlink w:anchor="k10">
        <w:r w:rsidR="001F7233">
          <w:rPr>
            <w:rStyle w:val="Hyperlink"/>
          </w:rPr>
          <w:t>Kapitel 10</w:t>
        </w:r>
      </w:hyperlink>
    </w:p>
    <w:p w14:paraId="1E9C1F01" w14:textId="77777777" w:rsidR="001F7233" w:rsidRDefault="00000000">
      <w:r>
        <w:rPr>
          <w:b/>
        </w:rPr>
        <w:t>Muss ich für das Visum-Interview persönlich zum Konsulat?</w:t>
      </w:r>
    </w:p>
    <w:p w14:paraId="665E1AE4" w14:textId="77777777" w:rsidR="001F7233" w:rsidRDefault="00000000">
      <w:r>
        <w:rPr>
          <w:b/>
        </w:rPr>
        <w:t xml:space="preserve">Kapitel: </w:t>
      </w:r>
      <w:hyperlink w:anchor="k11">
        <w:r w:rsidR="001F7233">
          <w:rPr>
            <w:rStyle w:val="Hyperlink"/>
          </w:rPr>
          <w:t>Kapitel 11</w:t>
        </w:r>
      </w:hyperlink>
    </w:p>
    <w:p w14:paraId="433A7924" w14:textId="77777777" w:rsidR="001F7233" w:rsidRDefault="001F7233">
      <w:pPr>
        <w:spacing w:line="180" w:lineRule="exact"/>
      </w:pPr>
    </w:p>
    <w:p w14:paraId="35462B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w:t>
      </w:r>
    </w:p>
    <w:p w14:paraId="60009E87" w14:textId="77777777" w:rsidR="001F7233" w:rsidRDefault="00000000">
      <w:r>
        <w:rPr>
          <w:b/>
        </w:rPr>
        <w:t>Wie finde ich heraus, welche Stadt oder Region zu meinem Beruf passt?</w:t>
      </w:r>
    </w:p>
    <w:p w14:paraId="12CE7BA2" w14:textId="77777777" w:rsidR="001F7233" w:rsidRDefault="00000000">
      <w:r>
        <w:rPr>
          <w:b/>
        </w:rPr>
        <w:t xml:space="preserve">Kapitel: </w:t>
      </w:r>
      <w:hyperlink w:anchor="k12">
        <w:r w:rsidR="001F7233">
          <w:rPr>
            <w:rStyle w:val="Hyperlink"/>
          </w:rPr>
          <w:t>Kapitel 12</w:t>
        </w:r>
      </w:hyperlink>
    </w:p>
    <w:p w14:paraId="1669C07C" w14:textId="77777777" w:rsidR="001F7233" w:rsidRDefault="00000000">
      <w:r>
        <w:rPr>
          <w:b/>
        </w:rPr>
        <w:t>Welche Bundesstaaten erheben keine Einkommensteuer?</w:t>
      </w:r>
    </w:p>
    <w:p w14:paraId="720A0539" w14:textId="77777777" w:rsidR="001F7233" w:rsidRDefault="00000000">
      <w:r>
        <w:rPr>
          <w:b/>
        </w:rPr>
        <w:t xml:space="preserve">Kapitel: </w:t>
      </w:r>
      <w:hyperlink w:anchor="k12">
        <w:r w:rsidR="001F7233">
          <w:rPr>
            <w:rStyle w:val="Hyperlink"/>
          </w:rPr>
          <w:t>Kapitel 12</w:t>
        </w:r>
      </w:hyperlink>
    </w:p>
    <w:p w14:paraId="0577540C" w14:textId="77777777" w:rsidR="001F7233" w:rsidRDefault="00000000">
      <w:r>
        <w:rPr>
          <w:b/>
        </w:rPr>
        <w:t>Wie finde ich als Neuankömmling ohne US-Kredithistorie eine Mietwohnung?</w:t>
      </w:r>
    </w:p>
    <w:p w14:paraId="4DDFF90C" w14:textId="77777777" w:rsidR="001F7233" w:rsidRDefault="00000000">
      <w:r>
        <w:rPr>
          <w:b/>
        </w:rPr>
        <w:t xml:space="preserve">Kapitel: </w:t>
      </w:r>
      <w:hyperlink w:anchor="k13">
        <w:r w:rsidR="001F7233">
          <w:rPr>
            <w:rStyle w:val="Hyperlink"/>
          </w:rPr>
          <w:t>Kapitel 13</w:t>
        </w:r>
      </w:hyperlink>
    </w:p>
    <w:p w14:paraId="24620D0A" w14:textId="77777777" w:rsidR="001F7233" w:rsidRDefault="00000000">
      <w:r>
        <w:rPr>
          <w:b/>
        </w:rPr>
        <w:t>Wie viel Kaution und Gebühren muss ich beim Einzug einplanen?</w:t>
      </w:r>
    </w:p>
    <w:p w14:paraId="609AFDA4" w14:textId="77777777" w:rsidR="001F7233" w:rsidRDefault="00000000">
      <w:r>
        <w:rPr>
          <w:b/>
        </w:rPr>
        <w:t xml:space="preserve">Kapitel: </w:t>
      </w:r>
      <w:hyperlink w:anchor="k13">
        <w:r w:rsidR="001F7233">
          <w:rPr>
            <w:rStyle w:val="Hyperlink"/>
          </w:rPr>
          <w:t>Kapitel 13</w:t>
        </w:r>
      </w:hyperlink>
    </w:p>
    <w:p w14:paraId="35016195" w14:textId="77777777" w:rsidR="001F7233" w:rsidRDefault="00000000">
      <w:r>
        <w:rPr>
          <w:b/>
        </w:rPr>
        <w:t>Wie schütze ich mich vor Fake-Inseraten bei der Wohnungssuche?</w:t>
      </w:r>
    </w:p>
    <w:p w14:paraId="11096547" w14:textId="77777777" w:rsidR="001F7233" w:rsidRDefault="00000000">
      <w:r>
        <w:rPr>
          <w:b/>
        </w:rPr>
        <w:t xml:space="preserve">Kapitel: </w:t>
      </w:r>
      <w:hyperlink w:anchor="k13">
        <w:r w:rsidR="001F7233">
          <w:rPr>
            <w:rStyle w:val="Hyperlink"/>
          </w:rPr>
          <w:t>Kapitel 13</w:t>
        </w:r>
      </w:hyperlink>
    </w:p>
    <w:p w14:paraId="307F0798" w14:textId="77777777" w:rsidR="001F7233" w:rsidRDefault="00000000">
      <w:r>
        <w:rPr>
          <w:b/>
        </w:rPr>
        <w:t>Lohnt es sich, gleich nach der Ankunft ein Haus zu kaufen?</w:t>
      </w:r>
    </w:p>
    <w:p w14:paraId="145331E8" w14:textId="77777777" w:rsidR="001F7233" w:rsidRDefault="00000000">
      <w:r>
        <w:rPr>
          <w:b/>
        </w:rPr>
        <w:t xml:space="preserve">Kapitel: </w:t>
      </w:r>
      <w:hyperlink w:anchor="k14">
        <w:r w:rsidR="001F7233">
          <w:rPr>
            <w:rStyle w:val="Hyperlink"/>
          </w:rPr>
          <w:t>Kapitel 14</w:t>
        </w:r>
      </w:hyperlink>
    </w:p>
    <w:p w14:paraId="56AE4308" w14:textId="77777777" w:rsidR="001F7233" w:rsidRDefault="00000000">
      <w:r>
        <w:rPr>
          <w:b/>
        </w:rPr>
        <w:t>Bekomme ich als Visuminhaber überhaupt eine Hypothek?</w:t>
      </w:r>
    </w:p>
    <w:p w14:paraId="764E7B1F" w14:textId="77777777" w:rsidR="001F7233" w:rsidRDefault="00000000">
      <w:r>
        <w:rPr>
          <w:b/>
        </w:rPr>
        <w:t xml:space="preserve">Kapitel: </w:t>
      </w:r>
      <w:hyperlink w:anchor="k14">
        <w:r w:rsidR="001F7233">
          <w:rPr>
            <w:rStyle w:val="Hyperlink"/>
          </w:rPr>
          <w:t>Kapitel 14</w:t>
        </w:r>
      </w:hyperlink>
    </w:p>
    <w:p w14:paraId="3BD63FB6" w14:textId="77777777" w:rsidR="001F7233" w:rsidRDefault="00000000">
      <w:r>
        <w:rPr>
          <w:b/>
        </w:rPr>
        <w:t>Was kostet mich der Hauskauf zusätzlich zum Kaufpreis?</w:t>
      </w:r>
    </w:p>
    <w:p w14:paraId="2556EEE1" w14:textId="77777777" w:rsidR="001F7233" w:rsidRDefault="00000000">
      <w:r>
        <w:rPr>
          <w:b/>
        </w:rPr>
        <w:t xml:space="preserve">Kapitel: </w:t>
      </w:r>
      <w:hyperlink w:anchor="k14">
        <w:r w:rsidR="001F7233">
          <w:rPr>
            <w:rStyle w:val="Hyperlink"/>
          </w:rPr>
          <w:t>Kapitel 14</w:t>
        </w:r>
      </w:hyperlink>
    </w:p>
    <w:p w14:paraId="1316E557" w14:textId="77777777" w:rsidR="001F7233" w:rsidRDefault="001F7233">
      <w:pPr>
        <w:spacing w:line="180" w:lineRule="exact"/>
      </w:pPr>
    </w:p>
    <w:p w14:paraId="7068E5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Vorbereitung</w:t>
      </w:r>
    </w:p>
    <w:p w14:paraId="033ABC0C" w14:textId="77777777" w:rsidR="001F7233" w:rsidRDefault="00000000">
      <w:r>
        <w:rPr>
          <w:b/>
        </w:rPr>
        <w:t>Was spricht wirklich für und was gegen ein Leben in den USA?</w:t>
      </w:r>
    </w:p>
    <w:p w14:paraId="7F4CD4D3" w14:textId="77777777" w:rsidR="001F7233" w:rsidRDefault="00000000">
      <w:r>
        <w:rPr>
          <w:b/>
        </w:rPr>
        <w:t xml:space="preserve">Kapitel: </w:t>
      </w:r>
      <w:hyperlink w:anchor="k1">
        <w:r w:rsidR="001F7233">
          <w:rPr>
            <w:rStyle w:val="Hyperlink"/>
          </w:rPr>
          <w:t>Kapitel 1</w:t>
        </w:r>
      </w:hyperlink>
    </w:p>
    <w:p w14:paraId="418D92E6" w14:textId="77777777" w:rsidR="001F7233" w:rsidRDefault="00000000">
      <w:r>
        <w:rPr>
          <w:b/>
        </w:rPr>
        <w:t>Welche teuren Fehler machen andere beim Umzug in die USA am häufigsten?</w:t>
      </w:r>
    </w:p>
    <w:p w14:paraId="6F494FDA" w14:textId="77777777" w:rsidR="001F7233" w:rsidRDefault="00000000">
      <w:r>
        <w:rPr>
          <w:b/>
        </w:rPr>
        <w:t xml:space="preserve">Kapitel: </w:t>
      </w:r>
      <w:hyperlink w:anchor="k2">
        <w:r w:rsidR="001F7233">
          <w:rPr>
            <w:rStyle w:val="Hyperlink"/>
          </w:rPr>
          <w:t>Kapitel 2</w:t>
        </w:r>
      </w:hyperlink>
    </w:p>
    <w:p w14:paraId="6A895747" w14:textId="77777777" w:rsidR="001F7233" w:rsidRDefault="00000000">
      <w:r>
        <w:rPr>
          <w:b/>
        </w:rPr>
        <w:t>Lohnt sich der Umzug für mich finanziell überhaupt?</w:t>
      </w:r>
    </w:p>
    <w:p w14:paraId="31E62D03" w14:textId="77777777" w:rsidR="001F7233" w:rsidRDefault="00000000">
      <w:r>
        <w:rPr>
          <w:b/>
        </w:rPr>
        <w:t xml:space="preserve">Kapitel: </w:t>
      </w:r>
      <w:hyperlink w:anchor="k3">
        <w:r w:rsidR="001F7233">
          <w:rPr>
            <w:rStyle w:val="Hyperlink"/>
          </w:rPr>
          <w:t>Kapitel 3</w:t>
        </w:r>
      </w:hyperlink>
    </w:p>
    <w:p w14:paraId="6659AD58" w14:textId="77777777" w:rsidR="001F7233" w:rsidRDefault="00000000">
      <w:r>
        <w:rPr>
          <w:b/>
        </w:rPr>
        <w:t>In welcher Reihenfolge plane ich Visum, Wohnungskündigung und Umzug?</w:t>
      </w:r>
    </w:p>
    <w:p w14:paraId="195C0055" w14:textId="77777777" w:rsidR="001F7233" w:rsidRDefault="00000000">
      <w:r>
        <w:rPr>
          <w:b/>
        </w:rPr>
        <w:t xml:space="preserve">Kapitel: </w:t>
      </w:r>
      <w:hyperlink w:anchor="k15">
        <w:r w:rsidR="001F7233">
          <w:rPr>
            <w:rStyle w:val="Hyperlink"/>
          </w:rPr>
          <w:t>Kapitel 15</w:t>
        </w:r>
      </w:hyperlink>
    </w:p>
    <w:p w14:paraId="79857DEA" w14:textId="77777777" w:rsidR="001F7233" w:rsidRDefault="00000000">
      <w:r>
        <w:rPr>
          <w:b/>
        </w:rPr>
        <w:t>Ich melde mich beim Einwohnermeldeamt ab – was muss ich sonst noch kündigen?</w:t>
      </w:r>
    </w:p>
    <w:p w14:paraId="113C6D53" w14:textId="77777777" w:rsidR="001F7233" w:rsidRDefault="00000000">
      <w:r>
        <w:rPr>
          <w:b/>
        </w:rPr>
        <w:t xml:space="preserve">Kapitel: </w:t>
      </w:r>
      <w:hyperlink w:anchor="k16">
        <w:r w:rsidR="001F7233">
          <w:rPr>
            <w:rStyle w:val="Hyperlink"/>
          </w:rPr>
          <w:t>Kapitel 16</w:t>
        </w:r>
      </w:hyperlink>
      <w:r>
        <w:t>, und für alle vier Länder: Deutschland vor dem Abflug</w:t>
      </w:r>
    </w:p>
    <w:p w14:paraId="563AD19B" w14:textId="77777777" w:rsidR="001F7233" w:rsidRDefault="00000000">
      <w:r>
        <w:rPr>
          <w:b/>
        </w:rPr>
        <w:t>Was passiert mit meiner deutschen Rente, egal in welches der vier Länder ich gehe?</w:t>
      </w:r>
    </w:p>
    <w:p w14:paraId="298819F3" w14:textId="77777777" w:rsidR="001F7233" w:rsidRDefault="00000000">
      <w:r>
        <w:rPr>
          <w:b/>
        </w:rPr>
        <w:t xml:space="preserve">Kapitel: </w:t>
      </w:r>
      <w:r>
        <w:t>Deutschland vor dem Abflug</w:t>
      </w:r>
    </w:p>
    <w:p w14:paraId="655855AB" w14:textId="77777777" w:rsidR="001F7233" w:rsidRDefault="00000000">
      <w:r>
        <w:rPr>
          <w:b/>
        </w:rPr>
        <w:t>Was passiert mit meinem Kindergeld, wenn ich auswandere?</w:t>
      </w:r>
    </w:p>
    <w:p w14:paraId="08DB6B86" w14:textId="77777777" w:rsidR="001F7233" w:rsidRDefault="00000000">
      <w:r>
        <w:rPr>
          <w:b/>
        </w:rPr>
        <w:t xml:space="preserve">Kapitel: </w:t>
      </w:r>
      <w:r>
        <w:t>Deutschland vor dem Abflug</w:t>
      </w:r>
    </w:p>
    <w:p w14:paraId="64B8A475" w14:textId="77777777" w:rsidR="001F7233" w:rsidRDefault="00000000">
      <w:r>
        <w:rPr>
          <w:b/>
        </w:rPr>
        <w:t>Werde ich nach dem Wegzug noch in Deutschland besteuert?</w:t>
      </w:r>
    </w:p>
    <w:p w14:paraId="1A89FFDD" w14:textId="77777777" w:rsidR="001F7233" w:rsidRDefault="00000000">
      <w:r>
        <w:rPr>
          <w:b/>
        </w:rPr>
        <w:t xml:space="preserve">Kapitel: </w:t>
      </w:r>
      <w:r>
        <w:t>Deutschland vor dem Abflug</w:t>
      </w:r>
    </w:p>
    <w:p w14:paraId="3B296F38" w14:textId="77777777" w:rsidR="001F7233" w:rsidRDefault="00000000">
      <w:r>
        <w:rPr>
          <w:b/>
        </w:rPr>
        <w:t>Was passiert mit meiner Riester-Rente?</w:t>
      </w:r>
    </w:p>
    <w:p w14:paraId="3F9C7815" w14:textId="77777777" w:rsidR="001F7233" w:rsidRDefault="00000000">
      <w:r>
        <w:rPr>
          <w:b/>
        </w:rPr>
        <w:t xml:space="preserve">Kapitel: </w:t>
      </w:r>
      <w:r>
        <w:t>Deutschland vor dem Abflug</w:t>
      </w:r>
    </w:p>
    <w:p w14:paraId="70B79511" w14:textId="77777777" w:rsidR="001F7233" w:rsidRDefault="00000000">
      <w:r>
        <w:rPr>
          <w:b/>
        </w:rPr>
        <w:t>Sollte ich mein deutsches Aktien- oder ETF-Depot vor dem Umzug auflösen?</w:t>
      </w:r>
    </w:p>
    <w:p w14:paraId="4DDEAC67" w14:textId="77777777" w:rsidR="001F7233" w:rsidRDefault="00000000">
      <w:r>
        <w:rPr>
          <w:b/>
        </w:rPr>
        <w:t xml:space="preserve">Kapitel: </w:t>
      </w:r>
      <w:r>
        <w:t>Deutschland vor dem Abflug</w:t>
      </w:r>
    </w:p>
    <w:p w14:paraId="7288D5BD" w14:textId="77777777" w:rsidR="001F7233" w:rsidRDefault="00000000">
      <w:r>
        <w:rPr>
          <w:b/>
        </w:rPr>
        <w:t>Wann endet meine gesetzliche Krankenversicherung in Deutschland?</w:t>
      </w:r>
    </w:p>
    <w:p w14:paraId="067CAA33" w14:textId="77777777" w:rsidR="001F7233" w:rsidRDefault="00000000">
      <w:r>
        <w:rPr>
          <w:b/>
        </w:rPr>
        <w:t xml:space="preserve">Kapitel: </w:t>
      </w:r>
      <w:hyperlink w:anchor="k18">
        <w:r w:rsidR="001F7233">
          <w:rPr>
            <w:rStyle w:val="Hyperlink"/>
          </w:rPr>
          <w:t>Kapitel 18</w:t>
        </w:r>
      </w:hyperlink>
    </w:p>
    <w:p w14:paraId="779A27C9" w14:textId="77777777" w:rsidR="001F7233" w:rsidRDefault="00000000">
      <w:r>
        <w:rPr>
          <w:b/>
        </w:rPr>
        <w:t>Brauche ich für die Lücke zwischen den beiden Versicherungen eine Auslandskrankenversicherung?</w:t>
      </w:r>
    </w:p>
    <w:p w14:paraId="6FF5523D" w14:textId="77777777" w:rsidR="001F7233" w:rsidRDefault="00000000">
      <w:r>
        <w:rPr>
          <w:b/>
        </w:rPr>
        <w:t xml:space="preserve">Kapitel: </w:t>
      </w:r>
      <w:hyperlink w:anchor="k18">
        <w:r w:rsidR="001F7233">
          <w:rPr>
            <w:rStyle w:val="Hyperlink"/>
          </w:rPr>
          <w:t>Kapitel 18</w:t>
        </w:r>
      </w:hyperlink>
    </w:p>
    <w:p w14:paraId="3160D0B1" w14:textId="77777777" w:rsidR="001F7233" w:rsidRDefault="00000000">
      <w:r>
        <w:rPr>
          <w:b/>
        </w:rPr>
        <w:lastRenderedPageBreak/>
        <w:t>Muss ich meine Zeugnisse und Diplome übersetzen oder mit Apostille versehen lassen?</w:t>
      </w:r>
    </w:p>
    <w:p w14:paraId="6A32EABE" w14:textId="77777777" w:rsidR="001F7233" w:rsidRDefault="00000000">
      <w:r>
        <w:rPr>
          <w:b/>
        </w:rPr>
        <w:t xml:space="preserve">Kapitel: </w:t>
      </w:r>
      <w:hyperlink w:anchor="k19">
        <w:r w:rsidR="001F7233">
          <w:rPr>
            <w:rStyle w:val="Hyperlink"/>
          </w:rPr>
          <w:t>Kapitel 19</w:t>
        </w:r>
      </w:hyperlink>
    </w:p>
    <w:p w14:paraId="3E647010" w14:textId="77777777" w:rsidR="001F7233" w:rsidRDefault="00000000">
      <w:r>
        <w:rPr>
          <w:b/>
        </w:rPr>
        <w:t>Wie lasse ich meinen ausländischen Studienabschluss für die USA bewerten?</w:t>
      </w:r>
    </w:p>
    <w:p w14:paraId="2E2BE503" w14:textId="77777777" w:rsidR="001F7233" w:rsidRDefault="00000000">
      <w:r>
        <w:rPr>
          <w:b/>
        </w:rPr>
        <w:t xml:space="preserve">Kapitel: </w:t>
      </w:r>
      <w:hyperlink w:anchor="k19">
        <w:r w:rsidR="001F7233">
          <w:rPr>
            <w:rStyle w:val="Hyperlink"/>
          </w:rPr>
          <w:t>Kapitel 19</w:t>
        </w:r>
      </w:hyperlink>
    </w:p>
    <w:p w14:paraId="64FD7DB4" w14:textId="77777777" w:rsidR="001F7233" w:rsidRDefault="001F7233">
      <w:pPr>
        <w:spacing w:line="180" w:lineRule="exact"/>
      </w:pPr>
    </w:p>
    <w:p w14:paraId="6BCC45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w:t>
      </w:r>
    </w:p>
    <w:p w14:paraId="1693E512" w14:textId="77777777" w:rsidR="001F7233" w:rsidRDefault="00000000">
      <w:r>
        <w:rPr>
          <w:b/>
        </w:rPr>
        <w:t>Container, Luftfracht oder doch nur Koffer – was lohnt sich für meinen Umzug?</w:t>
      </w:r>
    </w:p>
    <w:p w14:paraId="42C7B0CA" w14:textId="77777777" w:rsidR="001F7233" w:rsidRDefault="00000000">
      <w:r>
        <w:rPr>
          <w:b/>
        </w:rPr>
        <w:t xml:space="preserve">Kapitel: </w:t>
      </w:r>
      <w:hyperlink w:anchor="k20">
        <w:r w:rsidR="001F7233">
          <w:rPr>
            <w:rStyle w:val="Hyperlink"/>
          </w:rPr>
          <w:t>Kapitel 20</w:t>
        </w:r>
      </w:hyperlink>
    </w:p>
    <w:p w14:paraId="01D619A4" w14:textId="77777777" w:rsidR="001F7233" w:rsidRDefault="00000000">
      <w:r>
        <w:rPr>
          <w:b/>
        </w:rPr>
        <w:t>Zahlt mein Arbeitgeber den Umzug, und muss ich das versteuern?</w:t>
      </w:r>
    </w:p>
    <w:p w14:paraId="0DA25D68" w14:textId="77777777" w:rsidR="001F7233" w:rsidRDefault="00000000">
      <w:r>
        <w:rPr>
          <w:b/>
        </w:rPr>
        <w:t xml:space="preserve">Kapitel: </w:t>
      </w:r>
      <w:hyperlink w:anchor="k20">
        <w:r w:rsidR="001F7233">
          <w:rPr>
            <w:rStyle w:val="Hyperlink"/>
          </w:rPr>
          <w:t>Kapitel 20</w:t>
        </w:r>
      </w:hyperlink>
    </w:p>
    <w:p w14:paraId="28E6146F" w14:textId="77777777" w:rsidR="001F7233" w:rsidRDefault="00000000">
      <w:r>
        <w:rPr>
          <w:b/>
        </w:rPr>
        <w:t>Was darf ich zollfrei in die USA mitbringen?</w:t>
      </w:r>
    </w:p>
    <w:p w14:paraId="1DAAB2E7" w14:textId="77777777" w:rsidR="001F7233" w:rsidRDefault="00000000">
      <w:r>
        <w:rPr>
          <w:b/>
        </w:rPr>
        <w:t xml:space="preserve">Kapitel: </w:t>
      </w:r>
      <w:hyperlink w:anchor="k20">
        <w:r w:rsidR="001F7233">
          <w:rPr>
            <w:rStyle w:val="Hyperlink"/>
          </w:rPr>
          <w:t>Kapitel 20</w:t>
        </w:r>
      </w:hyperlink>
    </w:p>
    <w:p w14:paraId="389E13D2" w14:textId="77777777" w:rsidR="001F7233" w:rsidRDefault="00000000">
      <w:r>
        <w:rPr>
          <w:b/>
        </w:rPr>
        <w:t>Welche Möbel und Geräte nehme ich mit, was kaufe ich lieber neu?</w:t>
      </w:r>
    </w:p>
    <w:p w14:paraId="236B3935" w14:textId="77777777" w:rsidR="001F7233" w:rsidRDefault="00000000">
      <w:r>
        <w:rPr>
          <w:b/>
        </w:rPr>
        <w:t xml:space="preserve">Kapitel: </w:t>
      </w:r>
      <w:hyperlink w:anchor="k21">
        <w:r w:rsidR="001F7233">
          <w:rPr>
            <w:rStyle w:val="Hyperlink"/>
          </w:rPr>
          <w:t>Kapitel 21</w:t>
        </w:r>
      </w:hyperlink>
    </w:p>
    <w:p w14:paraId="637E5887" w14:textId="77777777" w:rsidR="001F7233" w:rsidRDefault="00000000">
      <w:r>
        <w:rPr>
          <w:b/>
        </w:rPr>
        <w:t>Funktionieren meine deutschen Elektrogeräte an der US-Steckdose?</w:t>
      </w:r>
    </w:p>
    <w:p w14:paraId="01172EAE" w14:textId="77777777" w:rsidR="001F7233" w:rsidRDefault="00000000">
      <w:r>
        <w:rPr>
          <w:b/>
        </w:rPr>
        <w:t xml:space="preserve">Kapitel: </w:t>
      </w:r>
      <w:hyperlink w:anchor="k21">
        <w:r w:rsidR="001F7233">
          <w:rPr>
            <w:rStyle w:val="Hyperlink"/>
          </w:rPr>
          <w:t>Kapitel 21</w:t>
        </w:r>
      </w:hyperlink>
    </w:p>
    <w:p w14:paraId="71667172" w14:textId="77777777" w:rsidR="001F7233" w:rsidRDefault="00000000">
      <w:r>
        <w:rPr>
          <w:b/>
        </w:rPr>
        <w:t>Wie viel kostet es, eine Wohnung in den USA neu einzurichten?</w:t>
      </w:r>
    </w:p>
    <w:p w14:paraId="021B1103" w14:textId="77777777" w:rsidR="001F7233" w:rsidRDefault="00000000">
      <w:r>
        <w:rPr>
          <w:b/>
        </w:rPr>
        <w:t xml:space="preserve">Kapitel: </w:t>
      </w:r>
      <w:hyperlink w:anchor="k21">
        <w:r w:rsidR="001F7233">
          <w:rPr>
            <w:rStyle w:val="Hyperlink"/>
          </w:rPr>
          <w:t>Kapitel 21</w:t>
        </w:r>
      </w:hyperlink>
    </w:p>
    <w:p w14:paraId="63686300" w14:textId="77777777" w:rsidR="001F7233" w:rsidRDefault="00000000">
      <w:r>
        <w:rPr>
          <w:b/>
        </w:rPr>
        <w:t>Wie bekomme ich meinen Hund oder meine Katze legal in die USA?</w:t>
      </w:r>
    </w:p>
    <w:p w14:paraId="36AAD8B6" w14:textId="77777777" w:rsidR="001F7233" w:rsidRDefault="00000000">
      <w:r>
        <w:rPr>
          <w:b/>
        </w:rPr>
        <w:t xml:space="preserve">Kapitel: </w:t>
      </w:r>
      <w:hyperlink w:anchor="k22">
        <w:r w:rsidR="001F7233">
          <w:rPr>
            <w:rStyle w:val="Hyperlink"/>
          </w:rPr>
          <w:t>Kapitel 22</w:t>
        </w:r>
      </w:hyperlink>
    </w:p>
    <w:p w14:paraId="53488333" w14:textId="77777777" w:rsidR="001F7233" w:rsidRDefault="00000000">
      <w:r>
        <w:rPr>
          <w:b/>
        </w:rPr>
        <w:t>Braucht mein Hund für die Einreise eine Tollwutimpfung?</w:t>
      </w:r>
    </w:p>
    <w:p w14:paraId="1FDE2780" w14:textId="77777777" w:rsidR="001F7233" w:rsidRDefault="00000000">
      <w:r>
        <w:rPr>
          <w:b/>
        </w:rPr>
        <w:t xml:space="preserve">Kapitel: </w:t>
      </w:r>
      <w:hyperlink w:anchor="k22">
        <w:r w:rsidR="001F7233">
          <w:rPr>
            <w:rStyle w:val="Hyperlink"/>
          </w:rPr>
          <w:t>Kapitel 22</w:t>
        </w:r>
      </w:hyperlink>
    </w:p>
    <w:p w14:paraId="289E2986" w14:textId="77777777" w:rsidR="001F7233" w:rsidRDefault="001F7233">
      <w:pPr>
        <w:spacing w:line="180" w:lineRule="exact"/>
      </w:pPr>
    </w:p>
    <w:p w14:paraId="56ABD3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Ankommen</w:t>
      </w:r>
    </w:p>
    <w:p w14:paraId="18D2E782" w14:textId="77777777" w:rsidR="001F7233" w:rsidRDefault="00000000">
      <w:r>
        <w:rPr>
          <w:b/>
        </w:rPr>
        <w:t>Was muss ich in den ersten 72 Stunden nach der Landung erledigen?</w:t>
      </w:r>
    </w:p>
    <w:p w14:paraId="6E0829BC" w14:textId="77777777" w:rsidR="001F7233" w:rsidRDefault="00000000">
      <w:r>
        <w:rPr>
          <w:b/>
        </w:rPr>
        <w:t xml:space="preserve">Kapitel: </w:t>
      </w:r>
      <w:hyperlink w:anchor="k23">
        <w:r w:rsidR="001F7233">
          <w:rPr>
            <w:rStyle w:val="Hyperlink"/>
          </w:rPr>
          <w:t>Kapitel 23</w:t>
        </w:r>
      </w:hyperlink>
    </w:p>
    <w:p w14:paraId="4A360463" w14:textId="77777777" w:rsidR="001F7233" w:rsidRDefault="00000000">
      <w:r>
        <w:rPr>
          <w:b/>
        </w:rPr>
        <w:t>Wie beantrage ich meine Social Security Number?</w:t>
      </w:r>
    </w:p>
    <w:p w14:paraId="155323CF" w14:textId="77777777" w:rsidR="001F7233" w:rsidRDefault="00000000">
      <w:r>
        <w:rPr>
          <w:b/>
        </w:rPr>
        <w:t xml:space="preserve">Kapitel: </w:t>
      </w:r>
      <w:hyperlink w:anchor="k24">
        <w:r w:rsidR="001F7233">
          <w:rPr>
            <w:rStyle w:val="Hyperlink"/>
          </w:rPr>
          <w:t>Kapitel 24</w:t>
        </w:r>
      </w:hyperlink>
    </w:p>
    <w:p w14:paraId="31916782" w14:textId="77777777" w:rsidR="001F7233" w:rsidRDefault="00000000">
      <w:r>
        <w:rPr>
          <w:b/>
        </w:rPr>
        <w:t>Ich bekomme keine SSN – wie melde ich trotzdem meine Steuern an?</w:t>
      </w:r>
    </w:p>
    <w:p w14:paraId="323CBF9E" w14:textId="77777777" w:rsidR="001F7233" w:rsidRDefault="00000000">
      <w:r>
        <w:rPr>
          <w:b/>
        </w:rPr>
        <w:t xml:space="preserve">Kapitel: </w:t>
      </w:r>
      <w:hyperlink w:anchor="k24">
        <w:r w:rsidR="001F7233">
          <w:rPr>
            <w:rStyle w:val="Hyperlink"/>
          </w:rPr>
          <w:t>Kapitel 24</w:t>
        </w:r>
      </w:hyperlink>
    </w:p>
    <w:p w14:paraId="5F8FDE9F" w14:textId="77777777" w:rsidR="001F7233" w:rsidRDefault="00000000">
      <w:r>
        <w:rPr>
          <w:b/>
        </w:rPr>
        <w:t>Wie eröffne ich ein Bankkonto ohne SSN oder US-Kredithistorie?</w:t>
      </w:r>
    </w:p>
    <w:p w14:paraId="2D5C6BE1" w14:textId="77777777" w:rsidR="001F7233" w:rsidRDefault="00000000">
      <w:r>
        <w:rPr>
          <w:b/>
        </w:rPr>
        <w:t xml:space="preserve">Kapitel: </w:t>
      </w:r>
      <w:hyperlink w:anchor="k25">
        <w:r w:rsidR="001F7233">
          <w:rPr>
            <w:rStyle w:val="Hyperlink"/>
          </w:rPr>
          <w:t>Kapitel 25</w:t>
        </w:r>
      </w:hyperlink>
    </w:p>
    <w:p w14:paraId="4DA362B7" w14:textId="77777777" w:rsidR="001F7233" w:rsidRDefault="00000000">
      <w:r>
        <w:rPr>
          <w:b/>
        </w:rPr>
        <w:t>Wie baue ich mir eine US-Kreditwürdigkeit auf?</w:t>
      </w:r>
    </w:p>
    <w:p w14:paraId="100EE75E" w14:textId="77777777" w:rsidR="001F7233" w:rsidRDefault="00000000">
      <w:r>
        <w:rPr>
          <w:b/>
        </w:rPr>
        <w:t xml:space="preserve">Kapitel: </w:t>
      </w:r>
      <w:hyperlink w:anchor="k25">
        <w:r w:rsidR="001F7233">
          <w:rPr>
            <w:rStyle w:val="Hyperlink"/>
          </w:rPr>
          <w:t>Kapitel 25</w:t>
        </w:r>
      </w:hyperlink>
    </w:p>
    <w:p w14:paraId="26CEAF4E" w14:textId="77777777" w:rsidR="001F7233" w:rsidRDefault="00000000">
      <w:r>
        <w:rPr>
          <w:b/>
        </w:rPr>
        <w:t>Wie funktioniert die Krankenversicherung über meinen neuen Arbeitgeber?</w:t>
      </w:r>
    </w:p>
    <w:p w14:paraId="622818FA" w14:textId="77777777" w:rsidR="001F7233" w:rsidRDefault="00000000">
      <w:r>
        <w:rPr>
          <w:b/>
        </w:rPr>
        <w:t xml:space="preserve">Kapitel: </w:t>
      </w:r>
      <w:hyperlink w:anchor="k26">
        <w:r w:rsidR="001F7233">
          <w:rPr>
            <w:rStyle w:val="Hyperlink"/>
          </w:rPr>
          <w:t>Kapitel 26</w:t>
        </w:r>
      </w:hyperlink>
    </w:p>
    <w:p w14:paraId="37532043" w14:textId="77777777" w:rsidR="001F7233" w:rsidRDefault="00000000">
      <w:r>
        <w:rPr>
          <w:b/>
        </w:rPr>
        <w:t>Ich habe Fieber – Hausarzt, Urgent Care oder Notaufnahme?</w:t>
      </w:r>
    </w:p>
    <w:p w14:paraId="0B098455" w14:textId="77777777" w:rsidR="001F7233" w:rsidRDefault="00000000">
      <w:r>
        <w:rPr>
          <w:b/>
        </w:rPr>
        <w:t xml:space="preserve">Kapitel: </w:t>
      </w:r>
      <w:hyperlink w:anchor="k26">
        <w:r w:rsidR="001F7233">
          <w:rPr>
            <w:rStyle w:val="Hyperlink"/>
          </w:rPr>
          <w:t>Kapitel 26</w:t>
        </w:r>
      </w:hyperlink>
    </w:p>
    <w:p w14:paraId="07266A21" w14:textId="77777777" w:rsidR="001F7233" w:rsidRDefault="00000000">
      <w:r>
        <w:rPr>
          <w:b/>
        </w:rPr>
        <w:t>Wie lange darf ich noch mit meinem deutschen Führerschein fahren?</w:t>
      </w:r>
    </w:p>
    <w:p w14:paraId="67C21EC5" w14:textId="77777777" w:rsidR="001F7233" w:rsidRDefault="00000000">
      <w:r>
        <w:rPr>
          <w:b/>
        </w:rPr>
        <w:t xml:space="preserve">Kapitel: </w:t>
      </w:r>
      <w:hyperlink w:anchor="k27">
        <w:r w:rsidR="001F7233">
          <w:rPr>
            <w:rStyle w:val="Hyperlink"/>
          </w:rPr>
          <w:t>Kapitel 27</w:t>
        </w:r>
      </w:hyperlink>
    </w:p>
    <w:p w14:paraId="1D2360E8" w14:textId="77777777" w:rsidR="001F7233" w:rsidRDefault="00000000">
      <w:r>
        <w:rPr>
          <w:b/>
        </w:rPr>
        <w:t>Wie kaufe ich mein erstes Auto in den USA?</w:t>
      </w:r>
    </w:p>
    <w:p w14:paraId="714968FD" w14:textId="77777777" w:rsidR="001F7233" w:rsidRDefault="00000000">
      <w:r>
        <w:rPr>
          <w:b/>
        </w:rPr>
        <w:t xml:space="preserve">Kapitel: </w:t>
      </w:r>
      <w:hyperlink w:anchor="k27">
        <w:r w:rsidR="001F7233">
          <w:rPr>
            <w:rStyle w:val="Hyperlink"/>
          </w:rPr>
          <w:t>Kapitel 27</w:t>
        </w:r>
      </w:hyperlink>
    </w:p>
    <w:p w14:paraId="284DA168" w14:textId="77777777" w:rsidR="001F7233" w:rsidRDefault="00000000">
      <w:r>
        <w:rPr>
          <w:b/>
        </w:rPr>
        <w:t>Lohnt es sich, mein Auto aus Deutschland mitzubringen?</w:t>
      </w:r>
    </w:p>
    <w:p w14:paraId="4535D10C" w14:textId="77777777" w:rsidR="001F7233" w:rsidRDefault="00000000">
      <w:r>
        <w:rPr>
          <w:b/>
        </w:rPr>
        <w:t xml:space="preserve">Kapitel: </w:t>
      </w:r>
      <w:hyperlink w:anchor="k27">
        <w:r w:rsidR="001F7233">
          <w:rPr>
            <w:rStyle w:val="Hyperlink"/>
          </w:rPr>
          <w:t>Kapitel 27</w:t>
        </w:r>
      </w:hyperlink>
    </w:p>
    <w:p w14:paraId="3CA19107" w14:textId="77777777" w:rsidR="001F7233" w:rsidRDefault="001F7233">
      <w:pPr>
        <w:spacing w:line="180" w:lineRule="exact"/>
      </w:pPr>
    </w:p>
    <w:p w14:paraId="1D4580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w:t>
      </w:r>
    </w:p>
    <w:p w14:paraId="0E70C817" w14:textId="77777777" w:rsidR="001F7233" w:rsidRDefault="00000000">
      <w:r>
        <w:rPr>
          <w:b/>
        </w:rPr>
        <w:t>Wie funktioniert meine Steuererklärung in den USA?</w:t>
      </w:r>
    </w:p>
    <w:p w14:paraId="17B8DDB8" w14:textId="77777777" w:rsidR="001F7233" w:rsidRDefault="00000000">
      <w:r>
        <w:rPr>
          <w:b/>
        </w:rPr>
        <w:t xml:space="preserve">Kapitel: </w:t>
      </w:r>
      <w:hyperlink w:anchor="k28">
        <w:r w:rsidR="001F7233">
          <w:rPr>
            <w:rStyle w:val="Hyperlink"/>
          </w:rPr>
          <w:t>Kapitel 28</w:t>
        </w:r>
      </w:hyperlink>
    </w:p>
    <w:p w14:paraId="2A1E9AA3" w14:textId="77777777" w:rsidR="001F7233" w:rsidRDefault="00000000">
      <w:r>
        <w:rPr>
          <w:b/>
        </w:rPr>
        <w:t>Was ist FBAR, und muss ich mein deutsches Konto beim Finanzamt melden?</w:t>
      </w:r>
    </w:p>
    <w:p w14:paraId="731F1AEE" w14:textId="77777777" w:rsidR="001F7233" w:rsidRDefault="00000000">
      <w:r>
        <w:rPr>
          <w:b/>
        </w:rPr>
        <w:lastRenderedPageBreak/>
        <w:t xml:space="preserve">Kapitel: </w:t>
      </w:r>
      <w:hyperlink w:anchor="k28">
        <w:r w:rsidR="001F7233">
          <w:rPr>
            <w:rStyle w:val="Hyperlink"/>
          </w:rPr>
          <w:t>Kapitel 28</w:t>
        </w:r>
      </w:hyperlink>
    </w:p>
    <w:p w14:paraId="0B5913C0" w14:textId="77777777" w:rsidR="001F7233" w:rsidRDefault="00000000">
      <w:r>
        <w:rPr>
          <w:b/>
        </w:rPr>
        <w:t>Kann mein Arbeitgeber mir wirklich ohne Grund kündigen?</w:t>
      </w:r>
    </w:p>
    <w:p w14:paraId="735766D1" w14:textId="77777777" w:rsidR="001F7233" w:rsidRDefault="00000000">
      <w:r>
        <w:rPr>
          <w:b/>
        </w:rPr>
        <w:t xml:space="preserve">Kapitel: </w:t>
      </w:r>
      <w:hyperlink w:anchor="k29">
        <w:r w:rsidR="001F7233">
          <w:rPr>
            <w:rStyle w:val="Hyperlink"/>
          </w:rPr>
          <w:t>Kapitel 29</w:t>
        </w:r>
      </w:hyperlink>
    </w:p>
    <w:p w14:paraId="7B10575C" w14:textId="77777777" w:rsidR="001F7233" w:rsidRDefault="00000000">
      <w:r>
        <w:rPr>
          <w:b/>
        </w:rPr>
        <w:t>Wie viel Urlaub steht mir in den USA eigentlich zu?</w:t>
      </w:r>
    </w:p>
    <w:p w14:paraId="3CF452F1" w14:textId="77777777" w:rsidR="001F7233" w:rsidRDefault="00000000">
      <w:r>
        <w:rPr>
          <w:b/>
        </w:rPr>
        <w:t xml:space="preserve">Kapitel: </w:t>
      </w:r>
      <w:hyperlink w:anchor="k29">
        <w:r w:rsidR="001F7233">
          <w:rPr>
            <w:rStyle w:val="Hyperlink"/>
          </w:rPr>
          <w:t>Kapitel 29</w:t>
        </w:r>
      </w:hyperlink>
    </w:p>
    <w:p w14:paraId="041EBE66" w14:textId="77777777" w:rsidR="001F7233" w:rsidRDefault="00000000">
      <w:r>
        <w:rPr>
          <w:b/>
        </w:rPr>
        <w:t>Wie schreibe ich eine Bewerbung nach US-Standard?</w:t>
      </w:r>
    </w:p>
    <w:p w14:paraId="2A7AF02D" w14:textId="77777777" w:rsidR="001F7233" w:rsidRDefault="00000000">
      <w:r>
        <w:rPr>
          <w:b/>
        </w:rPr>
        <w:t xml:space="preserve">Kapitel: </w:t>
      </w:r>
      <w:hyperlink w:anchor="k29">
        <w:r w:rsidR="001F7233">
          <w:rPr>
            <w:rStyle w:val="Hyperlink"/>
          </w:rPr>
          <w:t>Kapitel 29</w:t>
        </w:r>
      </w:hyperlink>
    </w:p>
    <w:p w14:paraId="495CACC3" w14:textId="77777777" w:rsidR="001F7233" w:rsidRDefault="00000000">
      <w:r>
        <w:rPr>
          <w:b/>
        </w:rPr>
        <w:t>Mein Arbeitgeber hat mir gekündigt, was jetzt?</w:t>
      </w:r>
    </w:p>
    <w:p w14:paraId="035C9A72" w14:textId="77777777" w:rsidR="001F7233" w:rsidRDefault="00000000">
      <w:r>
        <w:rPr>
          <w:b/>
        </w:rPr>
        <w:t xml:space="preserve">Kapitel: </w:t>
      </w:r>
      <w:hyperlink w:anchor="k30">
        <w:r w:rsidR="001F7233">
          <w:rPr>
            <w:rStyle w:val="Hyperlink"/>
          </w:rPr>
          <w:t>Kapitel 30</w:t>
        </w:r>
      </w:hyperlink>
    </w:p>
    <w:p w14:paraId="129DC695" w14:textId="77777777" w:rsidR="001F7233" w:rsidRDefault="00000000">
      <w:r>
        <w:rPr>
          <w:b/>
        </w:rPr>
        <w:t>Kann ich zu einem anderen Arbeitgeber wechseln, ohne meinen Status zu gefährden?</w:t>
      </w:r>
    </w:p>
    <w:p w14:paraId="49D7FA53" w14:textId="77777777" w:rsidR="001F7233" w:rsidRDefault="00000000">
      <w:r>
        <w:rPr>
          <w:b/>
        </w:rPr>
        <w:t xml:space="preserve">Kapitel: </w:t>
      </w:r>
      <w:hyperlink w:anchor="k30">
        <w:r w:rsidR="001F7233">
          <w:rPr>
            <w:rStyle w:val="Hyperlink"/>
          </w:rPr>
          <w:t>Kapitel 30</w:t>
        </w:r>
      </w:hyperlink>
    </w:p>
    <w:p w14:paraId="7DAB24D4" w14:textId="77777777" w:rsidR="001F7233" w:rsidRDefault="00000000">
      <w:r>
        <w:rPr>
          <w:b/>
        </w:rPr>
        <w:t>Ich ziehe innerhalb der USA um – muss ich das irgendwo melden?</w:t>
      </w:r>
    </w:p>
    <w:p w14:paraId="29B0E1B0" w14:textId="77777777" w:rsidR="001F7233" w:rsidRDefault="00000000">
      <w:r>
        <w:rPr>
          <w:b/>
        </w:rPr>
        <w:t xml:space="preserve">Kapitel: </w:t>
      </w:r>
      <w:hyperlink w:anchor="k30">
        <w:r w:rsidR="001F7233">
          <w:rPr>
            <w:rStyle w:val="Hyperlink"/>
          </w:rPr>
          <w:t>Kapitel 30</w:t>
        </w:r>
      </w:hyperlink>
    </w:p>
    <w:p w14:paraId="01CEDC68" w14:textId="77777777" w:rsidR="001F7233" w:rsidRDefault="00000000">
      <w:r>
        <w:rPr>
          <w:b/>
        </w:rPr>
        <w:t>Gefährdet ein Jobwechsel mein laufendes Green-Card-Verfahren?</w:t>
      </w:r>
    </w:p>
    <w:p w14:paraId="77EA2F7C" w14:textId="77777777" w:rsidR="001F7233" w:rsidRDefault="00000000">
      <w:r>
        <w:rPr>
          <w:b/>
        </w:rPr>
        <w:t xml:space="preserve">Kapitel: </w:t>
      </w:r>
      <w:hyperlink w:anchor="k30">
        <w:r w:rsidR="001F7233">
          <w:rPr>
            <w:rStyle w:val="Hyperlink"/>
          </w:rPr>
          <w:t>Kapitel 30</w:t>
        </w:r>
      </w:hyperlink>
    </w:p>
    <w:p w14:paraId="6E2CA09B" w14:textId="77777777" w:rsidR="001F7233" w:rsidRDefault="001F7233">
      <w:pPr>
        <w:spacing w:line="180" w:lineRule="exact"/>
      </w:pPr>
    </w:p>
    <w:p w14:paraId="411A55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w:t>
      </w:r>
    </w:p>
    <w:p w14:paraId="2A402EA6" w14:textId="77777777" w:rsidR="001F7233" w:rsidRDefault="00000000">
      <w:r>
        <w:rPr>
          <w:b/>
        </w:rPr>
        <w:t>Wie viel Trinkgeld gebe ich im Restaurant?</w:t>
      </w:r>
    </w:p>
    <w:p w14:paraId="7B4A6C78" w14:textId="77777777" w:rsidR="001F7233" w:rsidRDefault="00000000">
      <w:r>
        <w:rPr>
          <w:b/>
        </w:rPr>
        <w:t xml:space="preserve">Kapitel: </w:t>
      </w:r>
      <w:hyperlink w:anchor="k31">
        <w:r w:rsidR="001F7233">
          <w:rPr>
            <w:rStyle w:val="Hyperlink"/>
          </w:rPr>
          <w:t>Kapitel 31</w:t>
        </w:r>
      </w:hyperlink>
    </w:p>
    <w:p w14:paraId="71303373" w14:textId="77777777" w:rsidR="001F7233" w:rsidRDefault="00000000">
      <w:r>
        <w:rPr>
          <w:b/>
        </w:rPr>
        <w:t>Warum begrüßt mich hier jeder mit einer Frage, auf die niemand eine Antwort erwartet?</w:t>
      </w:r>
    </w:p>
    <w:p w14:paraId="6132A65B" w14:textId="77777777" w:rsidR="001F7233" w:rsidRDefault="00000000">
      <w:r>
        <w:rPr>
          <w:b/>
        </w:rPr>
        <w:t xml:space="preserve">Kapitel: </w:t>
      </w:r>
      <w:hyperlink w:anchor="k31">
        <w:r w:rsidR="001F7233">
          <w:rPr>
            <w:rStyle w:val="Hyperlink"/>
          </w:rPr>
          <w:t>Kapitel 31</w:t>
        </w:r>
      </w:hyperlink>
    </w:p>
    <w:p w14:paraId="6F24DA55" w14:textId="77777777" w:rsidR="001F7233" w:rsidRDefault="00000000">
      <w:r>
        <w:rPr>
          <w:b/>
        </w:rPr>
        <w:t>Über welche Themen sollte ich bei Fremden lieber schweigen?</w:t>
      </w:r>
    </w:p>
    <w:p w14:paraId="73D8D095" w14:textId="77777777" w:rsidR="001F7233" w:rsidRDefault="00000000">
      <w:r>
        <w:rPr>
          <w:b/>
        </w:rPr>
        <w:t xml:space="preserve">Kapitel: </w:t>
      </w:r>
      <w:hyperlink w:anchor="k31">
        <w:r w:rsidR="001F7233">
          <w:rPr>
            <w:rStyle w:val="Hyperlink"/>
          </w:rPr>
          <w:t>Kapitel 31</w:t>
        </w:r>
      </w:hyperlink>
    </w:p>
    <w:p w14:paraId="5FC6DEEF" w14:textId="77777777" w:rsidR="001F7233" w:rsidRDefault="00000000">
      <w:r>
        <w:rPr>
          <w:b/>
        </w:rPr>
        <w:t>Wie finde ich in einem neuen Land überhaupt Freunde?</w:t>
      </w:r>
    </w:p>
    <w:p w14:paraId="6B636BEF" w14:textId="77777777" w:rsidR="001F7233" w:rsidRDefault="00000000">
      <w:r>
        <w:rPr>
          <w:b/>
        </w:rPr>
        <w:t xml:space="preserve">Kapitel: </w:t>
      </w:r>
      <w:hyperlink w:anchor="k32">
        <w:r w:rsidR="001F7233">
          <w:rPr>
            <w:rStyle w:val="Hyperlink"/>
          </w:rPr>
          <w:t>Kapitel 32</w:t>
        </w:r>
      </w:hyperlink>
    </w:p>
    <w:p w14:paraId="6030AC5A" w14:textId="77777777" w:rsidR="001F7233" w:rsidRDefault="00000000">
      <w:r>
        <w:rPr>
          <w:b/>
        </w:rPr>
        <w:t>Warum lädt mich niemand spontan nach Feierabend ein?</w:t>
      </w:r>
    </w:p>
    <w:p w14:paraId="4650F4B4" w14:textId="77777777" w:rsidR="001F7233" w:rsidRDefault="00000000">
      <w:r>
        <w:rPr>
          <w:b/>
        </w:rPr>
        <w:t xml:space="preserve">Kapitel: </w:t>
      </w:r>
      <w:hyperlink w:anchor="k32">
        <w:r w:rsidR="001F7233">
          <w:rPr>
            <w:rStyle w:val="Hyperlink"/>
          </w:rPr>
          <w:t>Kapitel 32</w:t>
        </w:r>
      </w:hyperlink>
    </w:p>
    <w:p w14:paraId="2AC86878" w14:textId="77777777" w:rsidR="001F7233" w:rsidRDefault="00000000">
      <w:r>
        <w:rPr>
          <w:b/>
        </w:rPr>
        <w:t>Ich fühle mich seit Monaten fremd und unglücklich – ist das normal?</w:t>
      </w:r>
    </w:p>
    <w:p w14:paraId="655C9D95" w14:textId="77777777" w:rsidR="001F7233" w:rsidRDefault="00000000">
      <w:r>
        <w:rPr>
          <w:b/>
        </w:rPr>
        <w:lastRenderedPageBreak/>
        <w:t xml:space="preserve">Kapitel: </w:t>
      </w:r>
      <w:hyperlink w:anchor="k33">
        <w:r w:rsidR="001F7233">
          <w:rPr>
            <w:rStyle w:val="Hyperlink"/>
          </w:rPr>
          <w:t>Kapitel 33</w:t>
        </w:r>
      </w:hyperlink>
    </w:p>
    <w:p w14:paraId="2D163CBD" w14:textId="77777777" w:rsidR="001F7233" w:rsidRDefault="00000000">
      <w:r>
        <w:rPr>
          <w:b/>
        </w:rPr>
        <w:t>An wen wende ich mich, wenn es mir psychisch richtig schlecht geht?</w:t>
      </w:r>
    </w:p>
    <w:p w14:paraId="4924EFCF" w14:textId="77777777" w:rsidR="001F7233" w:rsidRDefault="00000000">
      <w:r>
        <w:rPr>
          <w:b/>
        </w:rPr>
        <w:t xml:space="preserve">Kapitel: </w:t>
      </w:r>
      <w:hyperlink w:anchor="k33">
        <w:r w:rsidR="001F7233">
          <w:rPr>
            <w:rStyle w:val="Hyperlink"/>
          </w:rPr>
          <w:t>Kapitel 33</w:t>
        </w:r>
      </w:hyperlink>
    </w:p>
    <w:p w14:paraId="2910A72D" w14:textId="77777777" w:rsidR="001F7233" w:rsidRDefault="00000000">
      <w:r>
        <w:rPr>
          <w:b/>
        </w:rPr>
        <w:t>Muss ich für den Job einen Anzug kaufen?</w:t>
      </w:r>
    </w:p>
    <w:p w14:paraId="7EEA2E0E" w14:textId="77777777" w:rsidR="001F7233" w:rsidRDefault="00000000">
      <w:r>
        <w:rPr>
          <w:b/>
        </w:rPr>
        <w:t xml:space="preserve">Kapitel: </w:t>
      </w:r>
      <w:hyperlink w:anchor="kapitel34_kleidung">
        <w:r w:rsidR="001F7233">
          <w:rPr>
            <w:rStyle w:val="Hyperlink"/>
          </w:rPr>
          <w:t>Kapitel 34</w:t>
        </w:r>
      </w:hyperlink>
    </w:p>
    <w:p w14:paraId="78F5BE93" w14:textId="77777777" w:rsidR="001F7233" w:rsidRDefault="00000000">
      <w:r>
        <w:rPr>
          <w:b/>
        </w:rPr>
        <w:t>Wo kaufe ich günstig Lebensmittel ein?</w:t>
      </w:r>
    </w:p>
    <w:p w14:paraId="069D1866" w14:textId="77777777" w:rsidR="001F7233" w:rsidRDefault="00000000">
      <w:r>
        <w:rPr>
          <w:b/>
        </w:rPr>
        <w:t xml:space="preserve">Kapitel: </w:t>
      </w:r>
      <w:hyperlink w:anchor="k35">
        <w:r w:rsidR="001F7233">
          <w:rPr>
            <w:rStyle w:val="Hyperlink"/>
          </w:rPr>
          <w:t>Kapitel 35</w:t>
        </w:r>
      </w:hyperlink>
    </w:p>
    <w:p w14:paraId="53BDB26E" w14:textId="77777777" w:rsidR="001F7233" w:rsidRDefault="00000000">
      <w:r>
        <w:rPr>
          <w:b/>
        </w:rPr>
        <w:t>Ab welchem Alter darf ich in den USA Alkohol kaufen?</w:t>
      </w:r>
    </w:p>
    <w:p w14:paraId="2F731AB3" w14:textId="77777777" w:rsidR="001F7233" w:rsidRDefault="00000000">
      <w:r>
        <w:rPr>
          <w:b/>
        </w:rPr>
        <w:t xml:space="preserve">Kapitel: </w:t>
      </w:r>
      <w:hyperlink w:anchor="k35">
        <w:r w:rsidR="001F7233">
          <w:rPr>
            <w:rStyle w:val="Hyperlink"/>
          </w:rPr>
          <w:t>Kapitel 35</w:t>
        </w:r>
      </w:hyperlink>
    </w:p>
    <w:p w14:paraId="6DD41EB7" w14:textId="77777777" w:rsidR="001F7233" w:rsidRDefault="001F7233">
      <w:pPr>
        <w:spacing w:line="180" w:lineRule="exact"/>
      </w:pPr>
    </w:p>
    <w:p w14:paraId="7DAB3C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w:t>
      </w:r>
    </w:p>
    <w:p w14:paraId="2D3FDB66" w14:textId="77777777" w:rsidR="001F7233" w:rsidRDefault="00000000">
      <w:r>
        <w:rPr>
          <w:b/>
        </w:rPr>
        <w:t>Wie finde ich die richtige Schule für mein Kind?</w:t>
      </w:r>
    </w:p>
    <w:p w14:paraId="05D0A59C" w14:textId="77777777" w:rsidR="001F7233" w:rsidRDefault="00000000">
      <w:r>
        <w:rPr>
          <w:b/>
        </w:rPr>
        <w:t xml:space="preserve">Kapitel: </w:t>
      </w:r>
      <w:hyperlink w:anchor="k36">
        <w:r w:rsidR="001F7233">
          <w:rPr>
            <w:rStyle w:val="Hyperlink"/>
          </w:rPr>
          <w:t>Kapitel 36</w:t>
        </w:r>
      </w:hyperlink>
    </w:p>
    <w:p w14:paraId="306E0513" w14:textId="77777777" w:rsidR="001F7233" w:rsidRDefault="00000000">
      <w:r>
        <w:rPr>
          <w:b/>
        </w:rPr>
        <w:t>Ist ein US-Schulabschluss mit dem deutschen Abitur vergleichbar?</w:t>
      </w:r>
    </w:p>
    <w:p w14:paraId="07C5749C" w14:textId="77777777" w:rsidR="001F7233" w:rsidRDefault="00000000">
      <w:r>
        <w:rPr>
          <w:b/>
        </w:rPr>
        <w:t xml:space="preserve">Kapitel: </w:t>
      </w:r>
      <w:hyperlink w:anchor="k36">
        <w:r w:rsidR="001F7233">
          <w:rPr>
            <w:rStyle w:val="Hyperlink"/>
          </w:rPr>
          <w:t>Kapitel 36</w:t>
        </w:r>
      </w:hyperlink>
    </w:p>
    <w:p w14:paraId="3D173BD2" w14:textId="77777777" w:rsidR="001F7233" w:rsidRDefault="00000000">
      <w:r>
        <w:rPr>
          <w:b/>
        </w:rPr>
        <w:t>Mein Kind spricht kaum Englisch – bekommt es in der Schule Unterstützung?</w:t>
      </w:r>
    </w:p>
    <w:p w14:paraId="3F5EB524" w14:textId="77777777" w:rsidR="001F7233" w:rsidRDefault="00000000">
      <w:r>
        <w:rPr>
          <w:b/>
        </w:rPr>
        <w:t xml:space="preserve">Kapitel: </w:t>
      </w:r>
      <w:hyperlink w:anchor="k37">
        <w:r w:rsidR="001F7233">
          <w:rPr>
            <w:rStyle w:val="Hyperlink"/>
          </w:rPr>
          <w:t>Kapitel 37</w:t>
        </w:r>
      </w:hyperlink>
    </w:p>
    <w:p w14:paraId="2F57F55B" w14:textId="77777777" w:rsidR="001F7233" w:rsidRDefault="00000000">
      <w:r>
        <w:rPr>
          <w:b/>
        </w:rPr>
        <w:t>Wie halte ich Deutsch als Familiensprache am Leben?</w:t>
      </w:r>
    </w:p>
    <w:p w14:paraId="5C6C5E47" w14:textId="77777777" w:rsidR="001F7233" w:rsidRDefault="00000000">
      <w:r>
        <w:rPr>
          <w:b/>
        </w:rPr>
        <w:t xml:space="preserve">Kapitel: </w:t>
      </w:r>
      <w:hyperlink w:anchor="k37">
        <w:r w:rsidR="001F7233">
          <w:rPr>
            <w:rStyle w:val="Hyperlink"/>
          </w:rPr>
          <w:t>Kapitel 37</w:t>
        </w:r>
      </w:hyperlink>
    </w:p>
    <w:p w14:paraId="4469A8CD" w14:textId="77777777" w:rsidR="001F7233" w:rsidRDefault="00000000">
      <w:r>
        <w:rPr>
          <w:b/>
        </w:rPr>
        <w:t>Unser Kind wird in den USA geboren – welchen Pass bekommt es?</w:t>
      </w:r>
    </w:p>
    <w:p w14:paraId="247DA69A" w14:textId="77777777" w:rsidR="001F7233" w:rsidRDefault="00000000">
      <w:r>
        <w:rPr>
          <w:b/>
        </w:rPr>
        <w:t xml:space="preserve">Kapitel: </w:t>
      </w:r>
      <w:hyperlink w:anchor="k38">
        <w:r w:rsidR="001F7233">
          <w:rPr>
            <w:rStyle w:val="Hyperlink"/>
          </w:rPr>
          <w:t>Kapitel 38</w:t>
        </w:r>
      </w:hyperlink>
    </w:p>
    <w:p w14:paraId="036D2B87" w14:textId="77777777" w:rsidR="001F7233" w:rsidRDefault="00000000">
      <w:r>
        <w:rPr>
          <w:b/>
        </w:rPr>
        <w:t>Wie teuer ist eine Geburt in einem US-Krankenhaus?</w:t>
      </w:r>
    </w:p>
    <w:p w14:paraId="0E2B9BC2" w14:textId="77777777" w:rsidR="001F7233" w:rsidRDefault="00000000">
      <w:r>
        <w:rPr>
          <w:b/>
        </w:rPr>
        <w:t xml:space="preserve">Kapitel: </w:t>
      </w:r>
      <w:hyperlink w:anchor="k38">
        <w:r w:rsidR="001F7233">
          <w:rPr>
            <w:rStyle w:val="Hyperlink"/>
          </w:rPr>
          <w:t>Kapitel 38</w:t>
        </w:r>
      </w:hyperlink>
    </w:p>
    <w:p w14:paraId="3A03206B" w14:textId="77777777" w:rsidR="001F7233" w:rsidRDefault="00000000">
      <w:r>
        <w:rPr>
          <w:b/>
        </w:rPr>
        <w:t>Wie teuer ist Kinderbetreuung in den USA?</w:t>
      </w:r>
    </w:p>
    <w:p w14:paraId="24FF7287" w14:textId="77777777" w:rsidR="001F7233" w:rsidRDefault="00000000">
      <w:r>
        <w:rPr>
          <w:b/>
        </w:rPr>
        <w:t xml:space="preserve">Kapitel: </w:t>
      </w:r>
      <w:hyperlink w:anchor="k38">
        <w:r w:rsidR="001F7233">
          <w:rPr>
            <w:rStyle w:val="Hyperlink"/>
          </w:rPr>
          <w:t>Kapitel 38</w:t>
        </w:r>
      </w:hyperlink>
    </w:p>
    <w:p w14:paraId="76D96DB8" w14:textId="77777777" w:rsidR="001F7233" w:rsidRDefault="00000000">
      <w:r>
        <w:rPr>
          <w:b/>
        </w:rPr>
        <w:t>Ab welchem Alter darf mein Kind allein zu Hause bleiben?</w:t>
      </w:r>
    </w:p>
    <w:p w14:paraId="0E533364" w14:textId="77777777" w:rsidR="001F7233" w:rsidRDefault="00000000">
      <w:r>
        <w:rPr>
          <w:b/>
        </w:rPr>
        <w:t xml:space="preserve">Kapitel: </w:t>
      </w:r>
      <w:hyperlink w:anchor="k38">
        <w:r w:rsidR="001F7233">
          <w:rPr>
            <w:rStyle w:val="Hyperlink"/>
          </w:rPr>
          <w:t>Kapitel 38</w:t>
        </w:r>
      </w:hyperlink>
    </w:p>
    <w:p w14:paraId="28E74D6F" w14:textId="77777777" w:rsidR="001F7233" w:rsidRDefault="001F7233">
      <w:pPr>
        <w:spacing w:line="180" w:lineRule="exact"/>
      </w:pPr>
    </w:p>
    <w:p w14:paraId="4C92677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Langfristig</w:t>
      </w:r>
    </w:p>
    <w:p w14:paraId="27979599" w14:textId="77777777" w:rsidR="001F7233" w:rsidRDefault="00000000">
      <w:r>
        <w:rPr>
          <w:b/>
        </w:rPr>
        <w:t>Bekomme ich später überhaupt eine US-Rente, wenn ich nicht lange genug arbeite?</w:t>
      </w:r>
    </w:p>
    <w:p w14:paraId="7D52DADB" w14:textId="77777777" w:rsidR="001F7233" w:rsidRDefault="00000000">
      <w:r>
        <w:rPr>
          <w:b/>
        </w:rPr>
        <w:t xml:space="preserve">Kapitel: </w:t>
      </w:r>
      <w:hyperlink w:anchor="k39">
        <w:r w:rsidR="001F7233">
          <w:rPr>
            <w:rStyle w:val="Hyperlink"/>
          </w:rPr>
          <w:t>Kapitel 39</w:t>
        </w:r>
      </w:hyperlink>
    </w:p>
    <w:p w14:paraId="6EA30050" w14:textId="77777777" w:rsidR="001F7233" w:rsidRDefault="00000000">
      <w:r>
        <w:rPr>
          <w:b/>
        </w:rPr>
        <w:t>Brauche ich in den USA ein Testament?</w:t>
      </w:r>
    </w:p>
    <w:p w14:paraId="7E4FE788" w14:textId="77777777" w:rsidR="001F7233" w:rsidRDefault="00000000">
      <w:r>
        <w:rPr>
          <w:b/>
        </w:rPr>
        <w:t xml:space="preserve">Kapitel: </w:t>
      </w:r>
      <w:hyperlink w:anchor="k39">
        <w:r w:rsidR="001F7233">
          <w:rPr>
            <w:rStyle w:val="Hyperlink"/>
          </w:rPr>
          <w:t>Kapitel 39</w:t>
        </w:r>
      </w:hyperlink>
    </w:p>
    <w:p w14:paraId="5A7250F4" w14:textId="77777777" w:rsidR="001F7233" w:rsidRDefault="00000000">
      <w:r>
        <w:rPr>
          <w:b/>
        </w:rPr>
        <w:t>Was mache ich mit meinem 401(k), wenn ich den Job wechsle?</w:t>
      </w:r>
    </w:p>
    <w:p w14:paraId="6E9886EA" w14:textId="77777777" w:rsidR="001F7233" w:rsidRDefault="00000000">
      <w:r>
        <w:rPr>
          <w:b/>
        </w:rPr>
        <w:t xml:space="preserve">Kapitel: </w:t>
      </w:r>
      <w:hyperlink w:anchor="k39">
        <w:r w:rsidR="001F7233">
          <w:rPr>
            <w:rStyle w:val="Hyperlink"/>
          </w:rPr>
          <w:t>Kapitel 39</w:t>
        </w:r>
      </w:hyperlink>
    </w:p>
    <w:p w14:paraId="6C7CBCE3" w14:textId="77777777" w:rsidR="001F7233" w:rsidRDefault="00000000">
      <w:r>
        <w:rPr>
          <w:b/>
        </w:rPr>
        <w:t>Gefährdet Trunkenheit am Steuer meinen Aufenthaltsstatus?</w:t>
      </w:r>
    </w:p>
    <w:p w14:paraId="0867304D" w14:textId="77777777" w:rsidR="001F7233" w:rsidRDefault="00000000">
      <w:r>
        <w:rPr>
          <w:b/>
        </w:rPr>
        <w:t xml:space="preserve">Kapitel: </w:t>
      </w:r>
      <w:hyperlink w:anchor="k40">
        <w:r w:rsidR="001F7233">
          <w:rPr>
            <w:rStyle w:val="Hyperlink"/>
          </w:rPr>
          <w:t>Kapitel 40</w:t>
        </w:r>
      </w:hyperlink>
    </w:p>
    <w:p w14:paraId="79B4B9BC" w14:textId="77777777" w:rsidR="001F7233" w:rsidRDefault="00000000">
      <w:r>
        <w:rPr>
          <w:b/>
        </w:rPr>
        <w:t>Darf ich als Visuminhaber eine Waffe besitzen?</w:t>
      </w:r>
    </w:p>
    <w:p w14:paraId="2546513E" w14:textId="77777777" w:rsidR="001F7233" w:rsidRDefault="00000000">
      <w:r>
        <w:rPr>
          <w:b/>
        </w:rPr>
        <w:t xml:space="preserve">Kapitel: </w:t>
      </w:r>
      <w:hyperlink w:anchor="k40">
        <w:r w:rsidR="001F7233">
          <w:rPr>
            <w:rStyle w:val="Hyperlink"/>
          </w:rPr>
          <w:t>Kapitel 40</w:t>
        </w:r>
      </w:hyperlink>
    </w:p>
    <w:p w14:paraId="15A77963" w14:textId="77777777" w:rsidR="001F7233" w:rsidRDefault="00000000">
      <w:r>
        <w:rPr>
          <w:b/>
        </w:rPr>
        <w:t>Was mache ich, wenn mich die Polizei anhält?</w:t>
      </w:r>
    </w:p>
    <w:p w14:paraId="54E897D7" w14:textId="77777777" w:rsidR="001F7233" w:rsidRDefault="00000000">
      <w:r>
        <w:rPr>
          <w:b/>
        </w:rPr>
        <w:t xml:space="preserve">Kapitel: </w:t>
      </w:r>
      <w:hyperlink w:anchor="k40">
        <w:r w:rsidR="001F7233">
          <w:rPr>
            <w:rStyle w:val="Hyperlink"/>
          </w:rPr>
          <w:t>Kapitel 40</w:t>
        </w:r>
      </w:hyperlink>
    </w:p>
    <w:p w14:paraId="7A15FAE1" w14:textId="77777777" w:rsidR="001F7233" w:rsidRDefault="00000000">
      <w:r>
        <w:rPr>
          <w:b/>
        </w:rPr>
        <w:t>Wie lange muss ich die Green Card haben, bevor ich mich einbürgern lassen kann?</w:t>
      </w:r>
    </w:p>
    <w:p w14:paraId="38467988" w14:textId="77777777" w:rsidR="001F7233" w:rsidRDefault="00000000">
      <w:r>
        <w:rPr>
          <w:b/>
        </w:rPr>
        <w:t xml:space="preserve">Kapitel: </w:t>
      </w:r>
      <w:hyperlink w:anchor="k41">
        <w:r w:rsidR="001F7233">
          <w:rPr>
            <w:rStyle w:val="Hyperlink"/>
          </w:rPr>
          <w:t>Kapitel 41</w:t>
        </w:r>
      </w:hyperlink>
    </w:p>
    <w:p w14:paraId="02B1308D" w14:textId="77777777" w:rsidR="001F7233" w:rsidRDefault="00000000">
      <w:r>
        <w:rPr>
          <w:b/>
        </w:rPr>
        <w:t>Verliere ich meinen deutschen Pass, wenn ich US-Bürger werde?</w:t>
      </w:r>
    </w:p>
    <w:p w14:paraId="62A0320A" w14:textId="77777777" w:rsidR="001F7233" w:rsidRDefault="00000000">
      <w:r>
        <w:rPr>
          <w:b/>
        </w:rPr>
        <w:t xml:space="preserve">Kapitel: </w:t>
      </w:r>
      <w:hyperlink w:anchor="k41">
        <w:r w:rsidR="001F7233">
          <w:rPr>
            <w:rStyle w:val="Hyperlink"/>
          </w:rPr>
          <w:t>Kapitel 41</w:t>
        </w:r>
      </w:hyperlink>
    </w:p>
    <w:p w14:paraId="36AC98E8" w14:textId="77777777" w:rsidR="001F7233" w:rsidRDefault="00000000">
      <w:r>
        <w:rPr>
          <w:b/>
        </w:rPr>
        <w:t>Was muss ich vor einer Rückkehr nach Deutschland alles regeln?</w:t>
      </w:r>
    </w:p>
    <w:p w14:paraId="1672BCA6" w14:textId="77777777" w:rsidR="001F7233" w:rsidRDefault="00000000">
      <w:r>
        <w:rPr>
          <w:b/>
        </w:rPr>
        <w:t xml:space="preserve">Kapitel: </w:t>
      </w:r>
      <w:hyperlink w:anchor="k42">
        <w:r w:rsidR="001F7233">
          <w:rPr>
            <w:rStyle w:val="Hyperlink"/>
          </w:rPr>
          <w:t>Kapitel 42</w:t>
        </w:r>
      </w:hyperlink>
    </w:p>
    <w:p w14:paraId="4ABBE0E7" w14:textId="77777777" w:rsidR="001F7233" w:rsidRDefault="00000000">
      <w:pPr>
        <w:spacing w:line="180" w:lineRule="exact"/>
      </w:pPr>
      <w:r>
        <w:br w:type="page"/>
      </w:r>
    </w:p>
    <w:p w14:paraId="24AFEB64" w14:textId="77777777" w:rsidR="001F7233" w:rsidRDefault="00000000">
      <w:pPr>
        <w:pStyle w:val="Heading2"/>
        <w:keepNext/>
        <w:spacing w:line="341" w:lineRule="auto"/>
        <w:jc w:val="center"/>
      </w:pPr>
      <w:bookmarkStart w:id="160" w:name="s116"/>
      <w:r>
        <w:rPr>
          <w:rFonts w:ascii="Amazon Ember" w:eastAsia="Amazon Ember" w:hAnsi="Amazon Ember" w:cs="Amazon Ember"/>
          <w:color w:val="0000FF"/>
          <w:sz w:val="36"/>
          <w:szCs w:val="36"/>
        </w:rPr>
        <w:lastRenderedPageBreak/>
        <w:t>Schnellfinder Kanada</w:t>
      </w:r>
      <w:bookmarkEnd w:id="160"/>
    </w:p>
    <w:p w14:paraId="0BE61D45" w14:textId="77777777" w:rsidR="001F7233" w:rsidRDefault="00000000">
      <w:r>
        <w:t>Was kann in Deutschland günstig wirken und im Zielland zum großen Kostenposten werden – etwa Gesundheit, Studium, Mobilität oder Haushaltshilfe?</w:t>
      </w:r>
    </w:p>
    <w:p w14:paraId="15FD8D8D" w14:textId="77777777" w:rsidR="001F7233" w:rsidRDefault="00000000">
      <w:r>
        <w:t xml:space="preserve">Kapitel: </w:t>
      </w:r>
      <w:hyperlink w:anchor="deutschland_ausland_kosten">
        <w:r w:rsidR="001F7233">
          <w:rPr>
            <w:rStyle w:val="Hyperlink"/>
          </w:rPr>
          <w:t>Kostenvergleich im gemeinsamen Länderwahl-Kapitel</w:t>
        </w:r>
      </w:hyperlink>
    </w:p>
    <w:p w14:paraId="3B2C1784" w14:textId="77777777" w:rsidR="001F7233" w:rsidRDefault="00000000">
      <w:pPr>
        <w:spacing w:after="140"/>
      </w:pPr>
      <w:r>
        <w:t>Für Kanada reicht ein kompakterer Überblick als für die USA. Die folgenden rund 30 Fragen ordnen sich entlang des Kanada-Teils. Sie reichen von der Einwanderung bis zur Einbürgerung.</w:t>
      </w:r>
    </w:p>
    <w:p w14:paraId="258EEC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 und Visum</w:t>
      </w:r>
    </w:p>
    <w:p w14:paraId="771DA517" w14:textId="77777777" w:rsidR="001F7233" w:rsidRDefault="00000000">
      <w:r>
        <w:rPr>
          <w:b/>
        </w:rPr>
        <w:t>Lohnt sich Kanada finanziell für mich, wenn ich Steuerkeil und Lebenshaltungskosten mit Deutschland vergleiche?</w:t>
      </w:r>
    </w:p>
    <w:p w14:paraId="475362A9" w14:textId="77777777" w:rsidR="001F7233" w:rsidRDefault="00000000">
      <w:r>
        <w:rPr>
          <w:b/>
        </w:rPr>
        <w:t xml:space="preserve">Mehr dazu: </w:t>
      </w:r>
      <w:r>
        <w:t>Kanada: Die ehrliche Bilanz</w:t>
      </w:r>
    </w:p>
    <w:p w14:paraId="64FCB83F" w14:textId="77777777" w:rsidR="001F7233" w:rsidRDefault="00000000">
      <w:r>
        <w:rPr>
          <w:b/>
        </w:rPr>
        <w:t>Wie melde ich mich in Deutschland ab, und was wird aus Rente und Krankenkasse?</w:t>
      </w:r>
    </w:p>
    <w:p w14:paraId="4E353455" w14:textId="77777777" w:rsidR="001F7233" w:rsidRDefault="00000000">
      <w:r>
        <w:rPr>
          <w:b/>
        </w:rPr>
        <w:t xml:space="preserve">Mehr dazu: </w:t>
      </w:r>
      <w:r>
        <w:t>Deutschland vor dem Abflug</w:t>
      </w:r>
    </w:p>
    <w:p w14:paraId="6A258CD9" w14:textId="77777777" w:rsidR="001F7233" w:rsidRDefault="00000000">
      <w:r>
        <w:rPr>
          <w:b/>
        </w:rPr>
        <w:t>Darf ich mit meiner deutschen Approbation, meiner Pflegeausbildung oder meinem Gesellenbrief in der Provinz arbeiten?</w:t>
      </w:r>
    </w:p>
    <w:p w14:paraId="3D995738" w14:textId="77777777" w:rsidR="001F7233" w:rsidRDefault="00000000">
      <w:r>
        <w:rPr>
          <w:b/>
        </w:rPr>
        <w:t xml:space="preserve">Mehr dazu: </w:t>
      </w:r>
      <w:r>
        <w:t>Kanada: Anerkennung deutscher Berufsabschlüsse</w:t>
      </w:r>
    </w:p>
    <w:p w14:paraId="3EB3D8E2" w14:textId="77777777" w:rsidR="001F7233" w:rsidRDefault="00000000">
      <w:r>
        <w:rPr>
          <w:b/>
        </w:rPr>
        <w:t>Was ist der Unterschied zwischen Express Entry und einem Provincial Nominee Program?</w:t>
      </w:r>
    </w:p>
    <w:p w14:paraId="14943244" w14:textId="77777777" w:rsidR="001F7233" w:rsidRDefault="00000000">
      <w:r>
        <w:rPr>
          <w:b/>
        </w:rPr>
        <w:t xml:space="preserve">Mehr dazu: </w:t>
      </w:r>
      <w:r>
        <w:t>Kanada: Wege der Einwanderung</w:t>
      </w:r>
    </w:p>
    <w:p w14:paraId="14591E37" w14:textId="77777777" w:rsidR="001F7233" w:rsidRDefault="00000000">
      <w:r>
        <w:rPr>
          <w:b/>
        </w:rPr>
        <w:t>Wie berechne ich meinen CRS-Score realistisch, und bringt mir ein Jobangebot noch Zusatzpunkte?</w:t>
      </w:r>
    </w:p>
    <w:p w14:paraId="39E8F0B5" w14:textId="77777777" w:rsidR="001F7233" w:rsidRDefault="00000000">
      <w:r>
        <w:rPr>
          <w:b/>
        </w:rPr>
        <w:t xml:space="preserve">Mehr dazu: </w:t>
      </w:r>
      <w:r>
        <w:t>Kanada: Der Arbeitsweg</w:t>
      </w:r>
    </w:p>
    <w:p w14:paraId="38672998" w14:textId="77777777" w:rsidR="001F7233" w:rsidRDefault="00000000">
      <w:r>
        <w:rPr>
          <w:b/>
        </w:rPr>
        <w:t>Was bedeutet LMIA-pflichtig, und wie unterscheidet es sich von LMIA-frei?</w:t>
      </w:r>
    </w:p>
    <w:p w14:paraId="68B37DE3" w14:textId="77777777" w:rsidR="001F7233" w:rsidRDefault="00000000">
      <w:r>
        <w:rPr>
          <w:b/>
        </w:rPr>
        <w:t xml:space="preserve">Mehr dazu: </w:t>
      </w:r>
      <w:r>
        <w:t>Kanada: Wege der Einwanderung</w:t>
      </w:r>
    </w:p>
    <w:p w14:paraId="48F16D38" w14:textId="77777777" w:rsidR="001F7233" w:rsidRDefault="00000000">
      <w:r>
        <w:rPr>
          <w:b/>
        </w:rPr>
        <w:t>Kann ich meine Eltern oder Großeltern über das Super Visa nach Kanada holen?</w:t>
      </w:r>
    </w:p>
    <w:p w14:paraId="70F7CB91" w14:textId="77777777" w:rsidR="001F7233" w:rsidRDefault="00000000">
      <w:r>
        <w:rPr>
          <w:b/>
        </w:rPr>
        <w:lastRenderedPageBreak/>
        <w:t xml:space="preserve">Mehr dazu: </w:t>
      </w:r>
      <w:r>
        <w:t>Kanada: Familie, Investor, Ruhestand</w:t>
      </w:r>
    </w:p>
    <w:p w14:paraId="6D496BCA" w14:textId="77777777" w:rsidR="001F7233" w:rsidRDefault="00000000">
      <w:r>
        <w:rPr>
          <w:b/>
        </w:rPr>
        <w:t>Was kostet der Antrag auf die permanente Aufenthaltserlaubnis für meine ganze Familie und brauche ich für mein Führungszeugnis eine Apostille?</w:t>
      </w:r>
    </w:p>
    <w:p w14:paraId="34B916CD" w14:textId="77777777" w:rsidR="001F7233" w:rsidRDefault="00000000">
      <w:r>
        <w:rPr>
          <w:b/>
        </w:rPr>
        <w:t xml:space="preserve">Mehr dazu: </w:t>
      </w:r>
      <w:r>
        <w:t>Kanada: Antrag, Konsulat, Kosten</w:t>
      </w:r>
    </w:p>
    <w:p w14:paraId="3BAC7809" w14:textId="77777777" w:rsidR="001F7233" w:rsidRDefault="001F7233">
      <w:pPr>
        <w:spacing w:line="180" w:lineRule="exact"/>
      </w:pPr>
    </w:p>
    <w:p w14:paraId="6285C8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Ankunft und Geld</w:t>
      </w:r>
    </w:p>
    <w:p w14:paraId="416EE71D" w14:textId="77777777" w:rsidR="001F7233" w:rsidRDefault="00000000">
      <w:r>
        <w:rPr>
          <w:b/>
        </w:rPr>
        <w:t>Was muss ich in den ersten Tagen nach der Landung erledigen und wie beantrage ich meine Social Insurance Number?</w:t>
      </w:r>
    </w:p>
    <w:p w14:paraId="56A50B77" w14:textId="77777777" w:rsidR="001F7233" w:rsidRDefault="00000000">
      <w:r>
        <w:rPr>
          <w:b/>
        </w:rPr>
        <w:t xml:space="preserve">Mehr dazu: </w:t>
      </w:r>
      <w:r>
        <w:t>Kanada: Ankunft, erste Wochen</w:t>
      </w:r>
    </w:p>
    <w:p w14:paraId="14B5BC75" w14:textId="77777777" w:rsidR="001F7233" w:rsidRDefault="00000000">
      <w:r>
        <w:rPr>
          <w:b/>
        </w:rPr>
        <w:t>Wie eröffne ich ein kanadisches Bankkonto schon vor der Ausreise?</w:t>
      </w:r>
    </w:p>
    <w:p w14:paraId="1B0BA162" w14:textId="77777777" w:rsidR="001F7233" w:rsidRDefault="00000000">
      <w:r>
        <w:rPr>
          <w:b/>
        </w:rPr>
        <w:t xml:space="preserve">Mehr dazu: </w:t>
      </w:r>
      <w:r>
        <w:t>Kanada: Ankunft, erste Wochen</w:t>
      </w:r>
    </w:p>
    <w:p w14:paraId="283AEE04" w14:textId="77777777" w:rsidR="001F7233" w:rsidRDefault="00000000">
      <w:r>
        <w:rPr>
          <w:b/>
        </w:rPr>
        <w:t>Wie bekomme ich Hund oder Katze nach Kanada, und brauche ich eine Quarantäne?</w:t>
      </w:r>
    </w:p>
    <w:p w14:paraId="77C9D8E1" w14:textId="77777777" w:rsidR="001F7233" w:rsidRDefault="00000000">
      <w:r>
        <w:rPr>
          <w:b/>
        </w:rPr>
        <w:t xml:space="preserve">Mehr dazu: </w:t>
      </w:r>
      <w:r>
        <w:t>Kanada: Ankunft, erste Wochen</w:t>
      </w:r>
    </w:p>
    <w:p w14:paraId="1592303E" w14:textId="77777777" w:rsidR="001F7233" w:rsidRDefault="00000000">
      <w:r>
        <w:rPr>
          <w:b/>
        </w:rPr>
        <w:t>Was gilt für den Container und persönliches Umzugsgut an der kanadischen Grenze?</w:t>
      </w:r>
    </w:p>
    <w:p w14:paraId="245181C8" w14:textId="77777777" w:rsidR="001F7233" w:rsidRDefault="00000000">
      <w:r>
        <w:rPr>
          <w:b/>
        </w:rPr>
        <w:t xml:space="preserve">Mehr dazu: </w:t>
      </w:r>
      <w:r>
        <w:t>Kanada: Ankunft, erste Wochen</w:t>
      </w:r>
    </w:p>
    <w:p w14:paraId="65ECA587" w14:textId="77777777" w:rsidR="001F7233" w:rsidRDefault="00000000">
      <w:r>
        <w:rPr>
          <w:b/>
        </w:rPr>
        <w:t>Wie baue ich mir eine kanadische Kreditwürdigkeit auf, wenn meine Schufa nicht zählt?</w:t>
      </w:r>
    </w:p>
    <w:p w14:paraId="42971E02" w14:textId="77777777" w:rsidR="001F7233" w:rsidRDefault="00000000">
      <w:r>
        <w:rPr>
          <w:b/>
        </w:rPr>
        <w:t xml:space="preserve">Mehr dazu: </w:t>
      </w:r>
      <w:r>
        <w:t>Kanada: Steuer-ID/Bank/Kredit</w:t>
      </w:r>
    </w:p>
    <w:p w14:paraId="3A671722" w14:textId="77777777" w:rsidR="001F7233" w:rsidRDefault="00000000">
      <w:r>
        <w:rPr>
          <w:b/>
        </w:rPr>
        <w:t>Warum zahle ich in manchen Provinzen keine Verkaufssteuer und in anderen 15 %?</w:t>
      </w:r>
    </w:p>
    <w:p w14:paraId="1FEF361D" w14:textId="77777777" w:rsidR="001F7233" w:rsidRDefault="00000000">
      <w:r>
        <w:rPr>
          <w:b/>
        </w:rPr>
        <w:t xml:space="preserve">Mehr dazu: </w:t>
      </w:r>
      <w:r>
        <w:t>Kanada: Steuer-ID/Bank/Kredit</w:t>
      </w:r>
    </w:p>
    <w:p w14:paraId="36FBCA4E" w14:textId="77777777" w:rsidR="001F7233" w:rsidRDefault="00000000">
      <w:r>
        <w:rPr>
          <w:b/>
        </w:rPr>
        <w:t>Ab wann bin ich in meiner Provinz krankenversichert, und wo gibt es eine Wartefrist?</w:t>
      </w:r>
    </w:p>
    <w:p w14:paraId="748CEF05" w14:textId="77777777" w:rsidR="001F7233" w:rsidRDefault="00000000">
      <w:r>
        <w:rPr>
          <w:b/>
        </w:rPr>
        <w:t xml:space="preserve">Mehr dazu: </w:t>
      </w:r>
      <w:r>
        <w:t>Kanada: Gesundheitssystem</w:t>
      </w:r>
    </w:p>
    <w:p w14:paraId="5DBA871B" w14:textId="77777777" w:rsidR="001F7233" w:rsidRDefault="00000000">
      <w:r>
        <w:rPr>
          <w:b/>
        </w:rPr>
        <w:t>Was deckt die provinzielle Krankenversicherung nicht ab, und wie finde ich einen Hausarzt?</w:t>
      </w:r>
    </w:p>
    <w:p w14:paraId="57DDED0D" w14:textId="77777777" w:rsidR="001F7233" w:rsidRDefault="00000000">
      <w:r>
        <w:rPr>
          <w:b/>
        </w:rPr>
        <w:t xml:space="preserve">Mehr dazu: </w:t>
      </w:r>
      <w:r>
        <w:t>Kanada: Gesundheitssystem</w:t>
      </w:r>
    </w:p>
    <w:p w14:paraId="77DBE82E" w14:textId="77777777" w:rsidR="001F7233" w:rsidRDefault="001F7233">
      <w:pPr>
        <w:spacing w:line="180" w:lineRule="exact"/>
      </w:pPr>
    </w:p>
    <w:p w14:paraId="4A6732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Wohnen, Führerschein und Verkehr</w:t>
      </w:r>
    </w:p>
    <w:p w14:paraId="7407952E" w14:textId="77777777" w:rsidR="001F7233" w:rsidRDefault="00000000">
      <w:r>
        <w:rPr>
          <w:b/>
        </w:rPr>
        <w:t>Wie viel Kaution darf mein Vermieter verlangen?</w:t>
      </w:r>
    </w:p>
    <w:p w14:paraId="61F30E61" w14:textId="77777777" w:rsidR="001F7233" w:rsidRDefault="00000000">
      <w:r>
        <w:rPr>
          <w:b/>
        </w:rPr>
        <w:t xml:space="preserve">Mehr dazu: </w:t>
      </w:r>
      <w:r>
        <w:t>Kanada: Wohnen</w:t>
      </w:r>
    </w:p>
    <w:p w14:paraId="447B8511" w14:textId="77777777" w:rsidR="001F7233" w:rsidRDefault="00000000">
      <w:r>
        <w:rPr>
          <w:b/>
        </w:rPr>
        <w:t>Darf ich als Neuankömmling ohne Permanent-Resident-Status überhaupt eine Immobilie kaufen?</w:t>
      </w:r>
    </w:p>
    <w:p w14:paraId="51ACB13F" w14:textId="77777777" w:rsidR="001F7233" w:rsidRDefault="00000000">
      <w:r>
        <w:rPr>
          <w:b/>
        </w:rPr>
        <w:t xml:space="preserve">Mehr dazu: </w:t>
      </w:r>
      <w:r>
        <w:t>Kanada: Wohnen</w:t>
      </w:r>
    </w:p>
    <w:p w14:paraId="69189015" w14:textId="77777777" w:rsidR="001F7233" w:rsidRDefault="00000000">
      <w:r>
        <w:rPr>
          <w:b/>
        </w:rPr>
        <w:t>Welche Stadt passt zu meinem Beruf und Budget – Toronto, Calgary oder Montréal?</w:t>
      </w:r>
    </w:p>
    <w:p w14:paraId="6E5C596E" w14:textId="77777777" w:rsidR="001F7233" w:rsidRDefault="00000000">
      <w:r>
        <w:rPr>
          <w:b/>
        </w:rPr>
        <w:t xml:space="preserve">Mehr dazu: </w:t>
      </w:r>
      <w:r>
        <w:t>Kanada: Wohnen</w:t>
      </w:r>
    </w:p>
    <w:p w14:paraId="67DFCF10" w14:textId="77777777" w:rsidR="001F7233" w:rsidRDefault="00000000">
      <w:r>
        <w:rPr>
          <w:b/>
        </w:rPr>
        <w:t>Wie lange darf ich mit meinem deutschen Führerschein in Kanada weiterfahren?</w:t>
      </w:r>
    </w:p>
    <w:p w14:paraId="10178DA1" w14:textId="77777777" w:rsidR="001F7233" w:rsidRDefault="00000000">
      <w:r>
        <w:rPr>
          <w:b/>
        </w:rPr>
        <w:t xml:space="preserve">Mehr dazu: </w:t>
      </w:r>
      <w:r>
        <w:t>Kanada: Führerschein, Auto, Verkehrsregeln</w:t>
      </w:r>
    </w:p>
    <w:p w14:paraId="72A113C8" w14:textId="77777777" w:rsidR="001F7233" w:rsidRDefault="00000000">
      <w:r>
        <w:rPr>
          <w:b/>
        </w:rPr>
        <w:t>Warum ist meine Kfz-Versicherung in Ontario so viel teurer als in Québec?</w:t>
      </w:r>
    </w:p>
    <w:p w14:paraId="2880C5A3" w14:textId="77777777" w:rsidR="001F7233" w:rsidRDefault="00000000">
      <w:r>
        <w:rPr>
          <w:b/>
        </w:rPr>
        <w:t xml:space="preserve">Mehr dazu: </w:t>
      </w:r>
      <w:r>
        <w:t>Kanada: Führerschein, Auto, Verkehrsregeln</w:t>
      </w:r>
    </w:p>
    <w:p w14:paraId="6F2AB9EE" w14:textId="77777777" w:rsidR="001F7233" w:rsidRDefault="00000000">
      <w:r>
        <w:rPr>
          <w:b/>
        </w:rPr>
        <w:t>Gilt in ganz Kanada Rechtsabbiegen bei Rot?</w:t>
      </w:r>
    </w:p>
    <w:p w14:paraId="552BD6BF" w14:textId="77777777" w:rsidR="001F7233" w:rsidRDefault="00000000">
      <w:r>
        <w:rPr>
          <w:b/>
        </w:rPr>
        <w:t xml:space="preserve">Mehr dazu: </w:t>
      </w:r>
      <w:r>
        <w:t>Kanada: Führerschein, Auto, Verkehrsregeln</w:t>
      </w:r>
    </w:p>
    <w:p w14:paraId="0DDA3DD3" w14:textId="77777777" w:rsidR="001F7233" w:rsidRDefault="001F7233">
      <w:pPr>
        <w:spacing w:line="180" w:lineRule="exact"/>
      </w:pPr>
    </w:p>
    <w:p w14:paraId="088272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Alltag und Kinder</w:t>
      </w:r>
    </w:p>
    <w:p w14:paraId="0F6A21CB" w14:textId="77777777" w:rsidR="001F7233" w:rsidRDefault="00000000">
      <w:r>
        <w:rPr>
          <w:b/>
        </w:rPr>
        <w:t>Was ziehe ich im kanadischen Büro an, und wie überlebe ich den Winter kleidungsmäßig?</w:t>
      </w:r>
    </w:p>
    <w:p w14:paraId="759F3193" w14:textId="77777777" w:rsidR="001F7233" w:rsidRDefault="00000000">
      <w:r>
        <w:rPr>
          <w:b/>
        </w:rPr>
        <w:t xml:space="preserve">Mehr dazu: </w:t>
      </w:r>
      <w:r>
        <w:t>Kanada: Kleidung</w:t>
      </w:r>
    </w:p>
    <w:p w14:paraId="773DC385" w14:textId="77777777" w:rsidR="001F7233" w:rsidRDefault="00000000">
      <w:r>
        <w:rPr>
          <w:b/>
        </w:rPr>
        <w:t>Warum entschuldigt sich in Kanada jeder ständig, auch wenn er gar nichts falsch gemacht hat?</w:t>
      </w:r>
    </w:p>
    <w:p w14:paraId="1782AD8B" w14:textId="77777777" w:rsidR="001F7233" w:rsidRDefault="00000000">
      <w:r>
        <w:rPr>
          <w:b/>
        </w:rPr>
        <w:t xml:space="preserve">Mehr dazu: </w:t>
      </w:r>
      <w:r>
        <w:t>Kanada: Alltagskultur</w:t>
      </w:r>
    </w:p>
    <w:p w14:paraId="0B487A73" w14:textId="77777777" w:rsidR="001F7233" w:rsidRDefault="00000000">
      <w:r>
        <w:rPr>
          <w:b/>
        </w:rPr>
        <w:t>Muss meine Familie in Québec zwingend Französisch lernen?</w:t>
      </w:r>
    </w:p>
    <w:p w14:paraId="768E5628" w14:textId="77777777" w:rsidR="001F7233" w:rsidRDefault="00000000">
      <w:r>
        <w:rPr>
          <w:b/>
        </w:rPr>
        <w:t xml:space="preserve">Mehr dazu: </w:t>
      </w:r>
      <w:r>
        <w:t>Kanada: Alltagskultur</w:t>
      </w:r>
    </w:p>
    <w:p w14:paraId="4D8C2834" w14:textId="77777777" w:rsidR="001F7233" w:rsidRDefault="00000000">
      <w:r>
        <w:rPr>
          <w:b/>
        </w:rPr>
        <w:t>Wie finde ich in Kanada schnell Anschluss und Freunde?</w:t>
      </w:r>
    </w:p>
    <w:p w14:paraId="14EF2D7B" w14:textId="77777777" w:rsidR="001F7233" w:rsidRDefault="00000000">
      <w:r>
        <w:rPr>
          <w:b/>
        </w:rPr>
        <w:t xml:space="preserve">Mehr dazu: </w:t>
      </w:r>
      <w:r>
        <w:t>Kanada: Freunde, Kulturschock</w:t>
      </w:r>
    </w:p>
    <w:p w14:paraId="36B09250" w14:textId="77777777" w:rsidR="001F7233" w:rsidRDefault="00000000">
      <w:r>
        <w:rPr>
          <w:b/>
        </w:rPr>
        <w:t>Wie überstehe ich den ersten kanadischen Winter psychisch?</w:t>
      </w:r>
    </w:p>
    <w:p w14:paraId="2EE9DD9B" w14:textId="77777777" w:rsidR="001F7233" w:rsidRDefault="00000000">
      <w:r>
        <w:rPr>
          <w:b/>
        </w:rPr>
        <w:lastRenderedPageBreak/>
        <w:t xml:space="preserve">Mehr dazu: </w:t>
      </w:r>
      <w:r>
        <w:t>Kanada: Freunde, Kulturschock</w:t>
      </w:r>
    </w:p>
    <w:p w14:paraId="5CE75547" w14:textId="77777777" w:rsidR="001F7233" w:rsidRDefault="00000000">
      <w:r>
        <w:rPr>
          <w:b/>
        </w:rPr>
        <w:t>Ist die Schule für mein Kind in Kanada wirklich kostenlos?</w:t>
      </w:r>
    </w:p>
    <w:p w14:paraId="31BF7A0F" w14:textId="77777777" w:rsidR="001F7233" w:rsidRDefault="00000000">
      <w:r>
        <w:rPr>
          <w:b/>
        </w:rPr>
        <w:t xml:space="preserve">Mehr dazu: </w:t>
      </w:r>
      <w:r>
        <w:t>Kanada: Kinder, Schule, Sprache</w:t>
      </w:r>
    </w:p>
    <w:p w14:paraId="19BA4F31" w14:textId="77777777" w:rsidR="001F7233" w:rsidRDefault="00000000">
      <w:r>
        <w:rPr>
          <w:b/>
        </w:rPr>
        <w:t>Was ist French Immersion, und lohnt sie sich für mein Kind?</w:t>
      </w:r>
    </w:p>
    <w:p w14:paraId="1B7CD80E" w14:textId="77777777" w:rsidR="001F7233" w:rsidRDefault="00000000">
      <w:r>
        <w:rPr>
          <w:b/>
        </w:rPr>
        <w:t xml:space="preserve">Mehr dazu: </w:t>
      </w:r>
      <w:r>
        <w:t>Kanada: Kinder, Schule, Sprache</w:t>
      </w:r>
    </w:p>
    <w:p w14:paraId="1F794EFB" w14:textId="77777777" w:rsidR="001F7233" w:rsidRDefault="001F7233">
      <w:pPr>
        <w:spacing w:line="180" w:lineRule="exact"/>
      </w:pPr>
    </w:p>
    <w:p w14:paraId="0BD7A8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Arbeiten, Recht und Langfristig</w:t>
      </w:r>
    </w:p>
    <w:p w14:paraId="6B5530BC" w14:textId="77777777" w:rsidR="001F7233" w:rsidRDefault="00000000">
      <w:r>
        <w:rPr>
          <w:b/>
        </w:rPr>
        <w:t>Wie viel Urlaub steht mir in Kanada gesetzlich zu?</w:t>
      </w:r>
    </w:p>
    <w:p w14:paraId="3E3B9E99" w14:textId="77777777" w:rsidR="001F7233" w:rsidRDefault="00000000">
      <w:r>
        <w:rPr>
          <w:b/>
        </w:rPr>
        <w:t xml:space="preserve">Mehr dazu: </w:t>
      </w:r>
      <w:r>
        <w:t>Kanada: Arbeitswelt, Jobwechsel</w:t>
      </w:r>
    </w:p>
    <w:p w14:paraId="104028A1" w14:textId="77777777" w:rsidR="001F7233" w:rsidRDefault="00000000">
      <w:r>
        <w:rPr>
          <w:b/>
        </w:rPr>
        <w:t>Darf mein Arbeitgeber mir ohne Grund kündigen und wie wechsle ich mit einem LMIA-pflichtigen Work Permit den Arbeitgeber?</w:t>
      </w:r>
    </w:p>
    <w:p w14:paraId="08636230" w14:textId="77777777" w:rsidR="001F7233" w:rsidRDefault="00000000">
      <w:r>
        <w:rPr>
          <w:b/>
        </w:rPr>
        <w:t xml:space="preserve">Mehr dazu: </w:t>
      </w:r>
      <w:r>
        <w:t>Kanada: Arbeitswelt, Jobwechsel</w:t>
      </w:r>
    </w:p>
    <w:p w14:paraId="67BA79AB" w14:textId="77777777" w:rsidR="001F7233" w:rsidRDefault="00000000">
      <w:r>
        <w:rPr>
          <w:b/>
        </w:rPr>
        <w:t>Wie verhalte ich mich bei einer Verkehrskontrolle durch die Polizei?</w:t>
      </w:r>
    </w:p>
    <w:p w14:paraId="77DA71BB" w14:textId="77777777" w:rsidR="001F7233" w:rsidRDefault="00000000">
      <w:r>
        <w:rPr>
          <w:b/>
        </w:rPr>
        <w:t xml:space="preserve">Mehr dazu: </w:t>
      </w:r>
      <w:r>
        <w:t>Kanada: Recht, Sicherheit, Polizei</w:t>
      </w:r>
    </w:p>
    <w:p w14:paraId="124A0042" w14:textId="77777777" w:rsidR="001F7233" w:rsidRDefault="00000000">
      <w:r>
        <w:rPr>
          <w:b/>
        </w:rPr>
        <w:t>Ist Cannabis in Kanada wirklich überall legal?</w:t>
      </w:r>
    </w:p>
    <w:p w14:paraId="3BF8980D" w14:textId="77777777" w:rsidR="001F7233" w:rsidRDefault="00000000">
      <w:r>
        <w:rPr>
          <w:b/>
        </w:rPr>
        <w:t xml:space="preserve">Mehr dazu: </w:t>
      </w:r>
      <w:r>
        <w:t>Kanada: Recht, Sicherheit, Polizei</w:t>
      </w:r>
    </w:p>
    <w:p w14:paraId="4AEE0DC7" w14:textId="77777777" w:rsidR="001F7233" w:rsidRDefault="00000000">
      <w:r>
        <w:rPr>
          <w:b/>
        </w:rPr>
        <w:t>Wie lange dauert es, bis ich mich in Kanada einbürgern lassen kann?</w:t>
      </w:r>
    </w:p>
    <w:p w14:paraId="29936A14" w14:textId="77777777" w:rsidR="001F7233" w:rsidRDefault="00000000">
      <w:r>
        <w:rPr>
          <w:b/>
        </w:rPr>
        <w:t xml:space="preserve">Mehr dazu: </w:t>
      </w:r>
      <w:r>
        <w:t>Kanada: Staatsbürgerschaft, Steuerresidenz</w:t>
      </w:r>
    </w:p>
    <w:p w14:paraId="1759527E" w14:textId="77777777" w:rsidR="001F7233" w:rsidRDefault="00000000">
      <w:r>
        <w:rPr>
          <w:b/>
        </w:rPr>
        <w:t>Verliere ich meinen deutschen Pass, wenn ich Kanadier werde und muss ich nach einer Rückkehr weiter kanadische Steuern zahlen?</w:t>
      </w:r>
    </w:p>
    <w:p w14:paraId="58BE5B5A" w14:textId="77777777" w:rsidR="001F7233" w:rsidRDefault="00000000">
      <w:r>
        <w:rPr>
          <w:b/>
        </w:rPr>
        <w:t xml:space="preserve">Mehr dazu: </w:t>
      </w:r>
      <w:r>
        <w:t>Kanada: Staatsbürgerschaft, Steuerresidenz</w:t>
      </w:r>
    </w:p>
    <w:p w14:paraId="19C372A6" w14:textId="77777777" w:rsidR="001F7233" w:rsidRDefault="00000000">
      <w:pPr>
        <w:spacing w:line="180" w:lineRule="exact"/>
      </w:pPr>
      <w:r>
        <w:br w:type="page"/>
      </w:r>
    </w:p>
    <w:p w14:paraId="7A1213CE" w14:textId="77777777" w:rsidR="001F7233" w:rsidRDefault="00000000">
      <w:pPr>
        <w:pStyle w:val="Heading2"/>
        <w:keepNext/>
        <w:spacing w:line="341" w:lineRule="auto"/>
        <w:jc w:val="center"/>
      </w:pPr>
      <w:bookmarkStart w:id="161" w:name="s117"/>
      <w:r>
        <w:rPr>
          <w:rFonts w:ascii="Amazon Ember" w:eastAsia="Amazon Ember" w:hAnsi="Amazon Ember" w:cs="Amazon Ember"/>
          <w:color w:val="0000FF"/>
          <w:sz w:val="36"/>
          <w:szCs w:val="36"/>
        </w:rPr>
        <w:lastRenderedPageBreak/>
        <w:t>Schnellfinder Australien</w:t>
      </w:r>
      <w:bookmarkEnd w:id="161"/>
    </w:p>
    <w:p w14:paraId="228ECD4F" w14:textId="77777777" w:rsidR="001F7233" w:rsidRDefault="00000000">
      <w:r>
        <w:t>Was kann in Deutschland günstig wirken und im Zielland zum großen Kostenposten werden – etwa Gesundheit, Studium, Mobilität oder Haushaltshilfe?</w:t>
      </w:r>
    </w:p>
    <w:p w14:paraId="5B6712C2" w14:textId="77777777" w:rsidR="001F7233" w:rsidRDefault="00000000">
      <w:r>
        <w:t xml:space="preserve">Kapitel: </w:t>
      </w:r>
      <w:hyperlink w:anchor="deutschland_ausland_kosten">
        <w:r w:rsidR="001F7233">
          <w:rPr>
            <w:rStyle w:val="Hyperlink"/>
          </w:rPr>
          <w:t>Kostenvergleich im gemeinsamen Länderwahl-Kapitel</w:t>
        </w:r>
      </w:hyperlink>
    </w:p>
    <w:p w14:paraId="1C478C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 und Visum</w:t>
      </w:r>
    </w:p>
    <w:p w14:paraId="7FD74D76" w14:textId="77777777" w:rsidR="001F7233" w:rsidRDefault="00000000">
      <w:r>
        <w:rPr>
          <w:b/>
        </w:rPr>
        <w:t>Lohnt sich Australien finanziell für mich, und wie stark unterscheidet sich der Steuerkeil von Deutschland?</w:t>
      </w:r>
    </w:p>
    <w:p w14:paraId="01C39DA9" w14:textId="77777777" w:rsidR="001F7233" w:rsidRDefault="00000000">
      <w:r>
        <w:rPr>
          <w:b/>
        </w:rPr>
        <w:t xml:space="preserve">Mehr dazu: </w:t>
      </w:r>
      <w:r>
        <w:t>Australien: Die ehrliche Bilanz</w:t>
      </w:r>
    </w:p>
    <w:p w14:paraId="4883FE30" w14:textId="77777777" w:rsidR="001F7233" w:rsidRDefault="00000000">
      <w:r>
        <w:rPr>
          <w:b/>
        </w:rPr>
        <w:t>Wie melde ich mich in Deutschland ab, bevor ich nach Australien gehe?</w:t>
      </w:r>
    </w:p>
    <w:p w14:paraId="0ABB4E36" w14:textId="77777777" w:rsidR="001F7233" w:rsidRDefault="00000000">
      <w:r>
        <w:rPr>
          <w:b/>
        </w:rPr>
        <w:t xml:space="preserve">Mehr dazu: </w:t>
      </w:r>
      <w:r>
        <w:t>Deutschland vor dem Abflug</w:t>
      </w:r>
    </w:p>
    <w:p w14:paraId="4EB41EC5" w14:textId="77777777" w:rsidR="001F7233" w:rsidRDefault="00000000">
      <w:r>
        <w:rPr>
          <w:b/>
        </w:rPr>
        <w:t>Ist ein Skills Assessment schon die Erlaubnis, als Pflegekraft oder Ingenieurin zu arbeiten?</w:t>
      </w:r>
    </w:p>
    <w:p w14:paraId="6F0D4B66" w14:textId="77777777" w:rsidR="001F7233" w:rsidRDefault="00000000">
      <w:r>
        <w:rPr>
          <w:b/>
        </w:rPr>
        <w:t xml:space="preserve">Mehr dazu: </w:t>
      </w:r>
      <w:r>
        <w:t>Australien: Anerkennung deutscher Berufsabschlüsse</w:t>
      </w:r>
    </w:p>
    <w:p w14:paraId="6C126E1B" w14:textId="77777777" w:rsidR="001F7233" w:rsidRDefault="00000000">
      <w:r>
        <w:rPr>
          <w:b/>
        </w:rPr>
        <w:t>Wie funktioniert der Punktetest für ein Skilled-Visum, und wie viele Punkte brauche ich realistisch?</w:t>
      </w:r>
    </w:p>
    <w:p w14:paraId="1A16EAF0" w14:textId="77777777" w:rsidR="001F7233" w:rsidRDefault="00000000">
      <w:r>
        <w:rPr>
          <w:b/>
        </w:rPr>
        <w:t xml:space="preserve">Mehr dazu: </w:t>
      </w:r>
      <w:r>
        <w:t>Australien: Der Arbeitsweg</w:t>
      </w:r>
    </w:p>
    <w:p w14:paraId="7C3FA6AA" w14:textId="77777777" w:rsidR="001F7233" w:rsidRDefault="00000000">
      <w:r>
        <w:rPr>
          <w:b/>
        </w:rPr>
        <w:t>Ab welchem Alter ist der Punktetest-Weg für mich verschlossen?</w:t>
      </w:r>
    </w:p>
    <w:p w14:paraId="30E9D1C7" w14:textId="77777777" w:rsidR="001F7233" w:rsidRDefault="00000000">
      <w:r>
        <w:rPr>
          <w:b/>
        </w:rPr>
        <w:t xml:space="preserve">Mehr dazu: </w:t>
      </w:r>
      <w:r>
        <w:t>Australien: Wege der Einwanderung</w:t>
      </w:r>
    </w:p>
    <w:p w14:paraId="15218940" w14:textId="77777777" w:rsidR="001F7233" w:rsidRDefault="00000000">
      <w:r>
        <w:rPr>
          <w:b/>
        </w:rPr>
        <w:t>Was ist der Unterschied zwischen Subclass 189, 190 und einem Arbeitgeber-Sponsoring über Subclass 482?</w:t>
      </w:r>
    </w:p>
    <w:p w14:paraId="429B1A71" w14:textId="77777777" w:rsidR="001F7233" w:rsidRDefault="00000000">
      <w:r>
        <w:rPr>
          <w:b/>
        </w:rPr>
        <w:t xml:space="preserve">Mehr dazu: </w:t>
      </w:r>
      <w:r>
        <w:t>Australien: Wege der Einwanderung</w:t>
      </w:r>
    </w:p>
    <w:p w14:paraId="535231BF" w14:textId="77777777" w:rsidR="001F7233" w:rsidRDefault="00000000">
      <w:r>
        <w:rPr>
          <w:b/>
        </w:rPr>
        <w:t>Kann ich meine Eltern nach Australien nachholen, und wie lange dauert das?</w:t>
      </w:r>
    </w:p>
    <w:p w14:paraId="134B5E48" w14:textId="77777777" w:rsidR="001F7233" w:rsidRDefault="00000000">
      <w:r>
        <w:rPr>
          <w:b/>
        </w:rPr>
        <w:t xml:space="preserve">Mehr dazu: </w:t>
      </w:r>
      <w:r>
        <w:t>Australien: Familie, Investor, Ruhestand</w:t>
      </w:r>
    </w:p>
    <w:p w14:paraId="4D6CA73A" w14:textId="77777777" w:rsidR="001F7233" w:rsidRDefault="00000000">
      <w:r>
        <w:rPr>
          <w:b/>
        </w:rPr>
        <w:t>Was kostet der Visumantrag insgesamt, und wozu brauche ich eine Apostille für mein Führungszeugnis?</w:t>
      </w:r>
    </w:p>
    <w:p w14:paraId="5C584950" w14:textId="77777777" w:rsidR="001F7233" w:rsidRDefault="00000000">
      <w:r>
        <w:rPr>
          <w:b/>
        </w:rPr>
        <w:t xml:space="preserve">Mehr dazu: </w:t>
      </w:r>
      <w:r>
        <w:t>Australien: Antrag, Konsulat, Kosten</w:t>
      </w:r>
    </w:p>
    <w:p w14:paraId="42017BD2" w14:textId="77777777" w:rsidR="001F7233" w:rsidRDefault="001F7233">
      <w:pPr>
        <w:spacing w:line="180" w:lineRule="exact"/>
      </w:pPr>
    </w:p>
    <w:p w14:paraId="4DF807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 Ankunft und Geld</w:t>
      </w:r>
    </w:p>
    <w:p w14:paraId="3F4475AB" w14:textId="77777777" w:rsidR="001F7233" w:rsidRDefault="00000000">
      <w:r>
        <w:rPr>
          <w:b/>
        </w:rPr>
        <w:t>Was muss ich in den ersten Tagen nach der Landung erledigen und wie beantrage ich meine Tax File Number?</w:t>
      </w:r>
    </w:p>
    <w:p w14:paraId="4062F57E" w14:textId="77777777" w:rsidR="001F7233" w:rsidRDefault="00000000">
      <w:r>
        <w:rPr>
          <w:b/>
        </w:rPr>
        <w:t xml:space="preserve">Mehr dazu: </w:t>
      </w:r>
      <w:r>
        <w:t>Australien: Ankunft, erste Wochen</w:t>
      </w:r>
    </w:p>
    <w:p w14:paraId="2F70AA7B" w14:textId="77777777" w:rsidR="001F7233" w:rsidRDefault="00000000">
      <w:r>
        <w:rPr>
          <w:b/>
        </w:rPr>
        <w:t>Wie bekomme ich Hund oder Katze aus Deutschland nach Australien, und wie lange dauert Mickleham?</w:t>
      </w:r>
    </w:p>
    <w:p w14:paraId="10490402" w14:textId="77777777" w:rsidR="001F7233" w:rsidRDefault="00000000">
      <w:r>
        <w:rPr>
          <w:b/>
        </w:rPr>
        <w:t xml:space="preserve">Mehr dazu: </w:t>
      </w:r>
      <w:r>
        <w:t>Australien: Ankunft, erste Wochen</w:t>
      </w:r>
    </w:p>
    <w:p w14:paraId="5C2B739A" w14:textId="77777777" w:rsidR="001F7233" w:rsidRDefault="00000000">
      <w:r>
        <w:rPr>
          <w:b/>
        </w:rPr>
        <w:t>Was darf in den Container, und was findet die Biosicherheitskontrolle?</w:t>
      </w:r>
    </w:p>
    <w:p w14:paraId="09FEC19A" w14:textId="77777777" w:rsidR="001F7233" w:rsidRDefault="00000000">
      <w:r>
        <w:rPr>
          <w:b/>
        </w:rPr>
        <w:t xml:space="preserve">Mehr dazu: </w:t>
      </w:r>
      <w:r>
        <w:t>Australien: Ankunft, erste Wochen</w:t>
      </w:r>
    </w:p>
    <w:p w14:paraId="0D55DE94" w14:textId="77777777" w:rsidR="001F7233" w:rsidRDefault="00000000">
      <w:r>
        <w:rPr>
          <w:b/>
        </w:rPr>
        <w:t>Warum wird mir ohne Tax File Number fast die Hälfte meines Lohns abgezogen?</w:t>
      </w:r>
    </w:p>
    <w:p w14:paraId="32489EFF" w14:textId="77777777" w:rsidR="001F7233" w:rsidRDefault="00000000">
      <w:r>
        <w:rPr>
          <w:b/>
        </w:rPr>
        <w:t xml:space="preserve">Mehr dazu: </w:t>
      </w:r>
      <w:r>
        <w:t>Australien: Steuer-ID/Bank/Kredit</w:t>
      </w:r>
    </w:p>
    <w:p w14:paraId="27085E33" w14:textId="77777777" w:rsidR="001F7233" w:rsidRDefault="00000000">
      <w:r>
        <w:rPr>
          <w:b/>
        </w:rPr>
        <w:t>Wie eröffne ich ein australisches Bankkonto, und wie baue ich mir eine Kreditwürdigkeit auf?</w:t>
      </w:r>
    </w:p>
    <w:p w14:paraId="0712A1E6" w14:textId="77777777" w:rsidR="001F7233" w:rsidRDefault="00000000">
      <w:r>
        <w:rPr>
          <w:b/>
        </w:rPr>
        <w:t xml:space="preserve">Mehr dazu: </w:t>
      </w:r>
      <w:r>
        <w:t>Australien: Steuer-ID/Bank/Kredit</w:t>
      </w:r>
    </w:p>
    <w:p w14:paraId="70D9A016" w14:textId="77777777" w:rsidR="001F7233" w:rsidRDefault="00000000">
      <w:r>
        <w:rPr>
          <w:b/>
        </w:rPr>
        <w:t>Stimmt es, dass ich als Deutscher keinen automatischen Zugang zu Medicare habe?</w:t>
      </w:r>
    </w:p>
    <w:p w14:paraId="67DF5A49" w14:textId="77777777" w:rsidR="001F7233" w:rsidRDefault="00000000">
      <w:r>
        <w:rPr>
          <w:b/>
        </w:rPr>
        <w:t xml:space="preserve">Mehr dazu: </w:t>
      </w:r>
      <w:r>
        <w:t>Australien: Gesundheitssystem</w:t>
      </w:r>
    </w:p>
    <w:p w14:paraId="7E978ABE" w14:textId="77777777" w:rsidR="001F7233" w:rsidRDefault="00000000">
      <w:r>
        <w:rPr>
          <w:b/>
        </w:rPr>
        <w:t>Was ist der Unterschied zwischen Medicare und einer privaten Krankenversicherung (OVHC), und wann brauche ich welche?</w:t>
      </w:r>
    </w:p>
    <w:p w14:paraId="16B28E44" w14:textId="77777777" w:rsidR="001F7233" w:rsidRDefault="00000000">
      <w:r>
        <w:rPr>
          <w:b/>
        </w:rPr>
        <w:t xml:space="preserve">Mehr dazu: </w:t>
      </w:r>
      <w:r>
        <w:t>Australien: Gesundheitssystem</w:t>
      </w:r>
    </w:p>
    <w:p w14:paraId="5B088844" w14:textId="77777777" w:rsidR="001F7233" w:rsidRDefault="00000000">
      <w:r>
        <w:rPr>
          <w:b/>
        </w:rPr>
        <w:t>Was ist die Medicare Levy Surcharge, und wann betrifft sie mich?</w:t>
      </w:r>
    </w:p>
    <w:p w14:paraId="71607011" w14:textId="77777777" w:rsidR="001F7233" w:rsidRDefault="00000000">
      <w:r>
        <w:rPr>
          <w:b/>
        </w:rPr>
        <w:t xml:space="preserve">Mehr dazu: </w:t>
      </w:r>
      <w:r>
        <w:t>Australien: Gesundheitssystem</w:t>
      </w:r>
    </w:p>
    <w:p w14:paraId="1BB83470" w14:textId="77777777" w:rsidR="001F7233" w:rsidRDefault="001F7233">
      <w:pPr>
        <w:spacing w:line="180" w:lineRule="exact"/>
      </w:pPr>
    </w:p>
    <w:p w14:paraId="04C074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Führerschein und Verkehr</w:t>
      </w:r>
    </w:p>
    <w:p w14:paraId="6649997E" w14:textId="77777777" w:rsidR="001F7233" w:rsidRDefault="00000000">
      <w:r>
        <w:rPr>
          <w:b/>
        </w:rPr>
        <w:t>Wie viel Kaution (Bond) darf mein Vermieter verlangen, und wo wird sie hinterlegt?</w:t>
      </w:r>
    </w:p>
    <w:p w14:paraId="309265E5" w14:textId="77777777" w:rsidR="001F7233" w:rsidRDefault="00000000">
      <w:r>
        <w:rPr>
          <w:b/>
        </w:rPr>
        <w:t xml:space="preserve">Mehr dazu: </w:t>
      </w:r>
      <w:r>
        <w:t>Australien: Wohnen</w:t>
      </w:r>
    </w:p>
    <w:p w14:paraId="7B5BC3FA" w14:textId="77777777" w:rsidR="001F7233" w:rsidRDefault="00000000">
      <w:r>
        <w:rPr>
          <w:b/>
        </w:rPr>
        <w:lastRenderedPageBreak/>
        <w:t>Darf ich als Ausländer überhaupt eine Bestandsimmobilie in Australien kaufen?</w:t>
      </w:r>
    </w:p>
    <w:p w14:paraId="0A7A3A18" w14:textId="77777777" w:rsidR="001F7233" w:rsidRDefault="00000000">
      <w:r>
        <w:rPr>
          <w:b/>
        </w:rPr>
        <w:t xml:space="preserve">Mehr dazu: </w:t>
      </w:r>
      <w:r>
        <w:t>Australien: Wohnen</w:t>
      </w:r>
    </w:p>
    <w:p w14:paraId="0E137055" w14:textId="77777777" w:rsidR="001F7233" w:rsidRDefault="00000000">
      <w:r>
        <w:rPr>
          <w:b/>
        </w:rPr>
        <w:t>Welche Stadt passt zu meinem Beruf – Sydney, Melbourne, Perth oder Brisbane?</w:t>
      </w:r>
    </w:p>
    <w:p w14:paraId="1AC9168B" w14:textId="77777777" w:rsidR="001F7233" w:rsidRDefault="00000000">
      <w:r>
        <w:rPr>
          <w:b/>
        </w:rPr>
        <w:t xml:space="preserve">Mehr dazu: </w:t>
      </w:r>
      <w:r>
        <w:t>Australien: Wohnen</w:t>
      </w:r>
    </w:p>
    <w:p w14:paraId="2F7285AC" w14:textId="77777777" w:rsidR="001F7233" w:rsidRDefault="00000000">
      <w:r>
        <w:rPr>
          <w:b/>
        </w:rPr>
        <w:t>Muss ich meinen deutschen Führerschein umtauschen, und wie lange darf ich ihn übergangsweise nutzen?</w:t>
      </w:r>
    </w:p>
    <w:p w14:paraId="577EF3A5" w14:textId="77777777" w:rsidR="001F7233" w:rsidRDefault="00000000">
      <w:r>
        <w:rPr>
          <w:b/>
        </w:rPr>
        <w:t xml:space="preserve">Mehr dazu: </w:t>
      </w:r>
      <w:r>
        <w:t>Australien: Führerschein, Auto, Verkehrsregeln</w:t>
      </w:r>
    </w:p>
    <w:p w14:paraId="3C55EAD1" w14:textId="77777777" w:rsidR="001F7233" w:rsidRDefault="00000000">
      <w:r>
        <w:rPr>
          <w:b/>
        </w:rPr>
        <w:t>Wie gewöhne ich mich an den Linksverkehr, ohne einen Unfall zu bauen?</w:t>
      </w:r>
    </w:p>
    <w:p w14:paraId="471E20A7" w14:textId="77777777" w:rsidR="001F7233" w:rsidRDefault="00000000">
      <w:r>
        <w:rPr>
          <w:b/>
        </w:rPr>
        <w:t xml:space="preserve">Mehr dazu: </w:t>
      </w:r>
      <w:r>
        <w:t>Australien: Führerschein, Auto, Verkehrsregeln</w:t>
      </w:r>
    </w:p>
    <w:p w14:paraId="69D78081" w14:textId="77777777" w:rsidR="001F7233" w:rsidRDefault="00000000">
      <w:r>
        <w:rPr>
          <w:b/>
        </w:rPr>
        <w:t>Was passiert bei einer RBT-Kontrolle (Random Breath Testing), und muss ich da wirklich mitmachen?</w:t>
      </w:r>
    </w:p>
    <w:p w14:paraId="0B69CCE7" w14:textId="77777777" w:rsidR="001F7233" w:rsidRDefault="00000000">
      <w:r>
        <w:rPr>
          <w:b/>
        </w:rPr>
        <w:t xml:space="preserve">Mehr dazu: </w:t>
      </w:r>
      <w:r>
        <w:t>Australien: Führerschein, Auto, Verkehrsregeln</w:t>
      </w:r>
    </w:p>
    <w:p w14:paraId="74E66CF1" w14:textId="77777777" w:rsidR="001F7233" w:rsidRDefault="001F7233">
      <w:pPr>
        <w:spacing w:line="180" w:lineRule="exact"/>
      </w:pPr>
    </w:p>
    <w:p w14:paraId="46EE4E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Alltag und Kinder</w:t>
      </w:r>
    </w:p>
    <w:p w14:paraId="3F3886D5" w14:textId="77777777" w:rsidR="001F7233" w:rsidRDefault="00000000">
      <w:r>
        <w:rPr>
          <w:b/>
        </w:rPr>
        <w:t>Was bedeutet „No Hat, No Play“, und wie wichtig ist Sonnenschutz-Kleidung wirklich?</w:t>
      </w:r>
    </w:p>
    <w:p w14:paraId="7699655A" w14:textId="77777777" w:rsidR="001F7233" w:rsidRDefault="00000000">
      <w:r>
        <w:rPr>
          <w:b/>
        </w:rPr>
        <w:t xml:space="preserve">Mehr dazu: </w:t>
      </w:r>
      <w:r>
        <w:t>Australien: Kleidung</w:t>
      </w:r>
    </w:p>
    <w:p w14:paraId="75D234F0" w14:textId="77777777" w:rsidR="001F7233" w:rsidRDefault="00000000">
      <w:r>
        <w:rPr>
          <w:b/>
        </w:rPr>
        <w:t>Warum nennt mich hier jeder „mate“, und heißt das schon, dass wir befreundet sind?</w:t>
      </w:r>
    </w:p>
    <w:p w14:paraId="1C45D626" w14:textId="77777777" w:rsidR="001F7233" w:rsidRDefault="00000000">
      <w:r>
        <w:rPr>
          <w:b/>
        </w:rPr>
        <w:t xml:space="preserve">Mehr dazu: </w:t>
      </w:r>
      <w:r>
        <w:t>Australien: Alltagskultur</w:t>
      </w:r>
    </w:p>
    <w:p w14:paraId="3E352621" w14:textId="77777777" w:rsidR="001F7233" w:rsidRDefault="00000000">
      <w:r>
        <w:rPr>
          <w:b/>
        </w:rPr>
        <w:t>Wie unterscheidet sich der australische Kommunikationsstil vom deutschen, direkten Ton?</w:t>
      </w:r>
    </w:p>
    <w:p w14:paraId="18048DEB" w14:textId="77777777" w:rsidR="001F7233" w:rsidRDefault="00000000">
      <w:r>
        <w:rPr>
          <w:b/>
        </w:rPr>
        <w:t xml:space="preserve">Mehr dazu: </w:t>
      </w:r>
      <w:r>
        <w:t>Australien: Alltagskultur</w:t>
      </w:r>
    </w:p>
    <w:p w14:paraId="01C52041" w14:textId="77777777" w:rsidR="001F7233" w:rsidRDefault="00000000">
      <w:r>
        <w:rPr>
          <w:b/>
        </w:rPr>
        <w:t>Wie finde ich in Australien schnell Anschluss und Freunde?</w:t>
      </w:r>
    </w:p>
    <w:p w14:paraId="027313B7" w14:textId="77777777" w:rsidR="001F7233" w:rsidRDefault="00000000">
      <w:r>
        <w:rPr>
          <w:b/>
        </w:rPr>
        <w:t xml:space="preserve">Mehr dazu: </w:t>
      </w:r>
      <w:r>
        <w:t>Australien: Freunde, Kulturschock</w:t>
      </w:r>
    </w:p>
    <w:p w14:paraId="13C80C82" w14:textId="77777777" w:rsidR="001F7233" w:rsidRDefault="00000000">
      <w:r>
        <w:rPr>
          <w:b/>
        </w:rPr>
        <w:t>Wie gehe ich mit der großen Entfernung und der fehlenden Möglichkeit für spontane Heimatbesuche um?</w:t>
      </w:r>
    </w:p>
    <w:p w14:paraId="7C94841A" w14:textId="77777777" w:rsidR="001F7233" w:rsidRDefault="00000000">
      <w:r>
        <w:rPr>
          <w:b/>
        </w:rPr>
        <w:t xml:space="preserve">Mehr dazu: </w:t>
      </w:r>
      <w:r>
        <w:t>Australien: Freunde, Kulturschock</w:t>
      </w:r>
    </w:p>
    <w:p w14:paraId="689CCA74" w14:textId="77777777" w:rsidR="001F7233" w:rsidRDefault="00000000">
      <w:r>
        <w:rPr>
          <w:b/>
        </w:rPr>
        <w:t>Ist die Schule für mein Kind in Australien wirklich kostenlos, und wie funktioniert die Schulzuteilung?</w:t>
      </w:r>
    </w:p>
    <w:p w14:paraId="620FB940" w14:textId="77777777" w:rsidR="001F7233" w:rsidRDefault="00000000">
      <w:r>
        <w:rPr>
          <w:b/>
        </w:rPr>
        <w:lastRenderedPageBreak/>
        <w:t xml:space="preserve">Mehr dazu: </w:t>
      </w:r>
      <w:r>
        <w:t>Australien: Kinder, Schule, Sprache</w:t>
      </w:r>
    </w:p>
    <w:p w14:paraId="1042C8C9" w14:textId="77777777" w:rsidR="001F7233" w:rsidRDefault="00000000">
      <w:r>
        <w:rPr>
          <w:b/>
        </w:rPr>
        <w:t>Warum beginnt das australische Schuljahr im Sommer, und was bedeutet das für unseren Umzugstermin?</w:t>
      </w:r>
    </w:p>
    <w:p w14:paraId="6D1D7626" w14:textId="77777777" w:rsidR="001F7233" w:rsidRDefault="00000000">
      <w:r>
        <w:rPr>
          <w:b/>
        </w:rPr>
        <w:t xml:space="preserve">Mehr dazu: </w:t>
      </w:r>
      <w:r>
        <w:t>Australien: Kinder, Schule, Sprache</w:t>
      </w:r>
    </w:p>
    <w:p w14:paraId="1E4A7350" w14:textId="77777777" w:rsidR="001F7233" w:rsidRDefault="001F7233">
      <w:pPr>
        <w:spacing w:line="180" w:lineRule="exact"/>
      </w:pPr>
    </w:p>
    <w:p w14:paraId="29367F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Arbeiten, Recht und Langfristig</w:t>
      </w:r>
    </w:p>
    <w:p w14:paraId="2AD6AC52" w14:textId="77777777" w:rsidR="001F7233" w:rsidRDefault="00000000">
      <w:r>
        <w:rPr>
          <w:b/>
        </w:rPr>
        <w:t>Wie viel Urlaub steht mir in Australien gesetzlich zu?</w:t>
      </w:r>
    </w:p>
    <w:p w14:paraId="089D9DFC" w14:textId="77777777" w:rsidR="001F7233" w:rsidRDefault="00000000">
      <w:r>
        <w:rPr>
          <w:b/>
        </w:rPr>
        <w:t xml:space="preserve">Mehr dazu: </w:t>
      </w:r>
      <w:r>
        <w:t>Australien: Arbeitswelt, Jobwechsel</w:t>
      </w:r>
    </w:p>
    <w:p w14:paraId="21C27802" w14:textId="77777777" w:rsidR="001F7233" w:rsidRDefault="00000000">
      <w:r>
        <w:rPr>
          <w:b/>
        </w:rPr>
        <w:t>Wie wechsle ich mit einem Subclass-482-Arbeitsvisum den Arbeitgeber, ohne meinen Status zu gefährden?</w:t>
      </w:r>
    </w:p>
    <w:p w14:paraId="3C82A5B1" w14:textId="77777777" w:rsidR="001F7233" w:rsidRDefault="00000000">
      <w:r>
        <w:rPr>
          <w:b/>
        </w:rPr>
        <w:t xml:space="preserve">Mehr dazu: </w:t>
      </w:r>
      <w:r>
        <w:t>Australien: Arbeitswelt, Jobwechsel</w:t>
      </w:r>
    </w:p>
    <w:p w14:paraId="7B1B3D48" w14:textId="77777777" w:rsidR="001F7233" w:rsidRDefault="00000000">
      <w:r>
        <w:rPr>
          <w:b/>
        </w:rPr>
        <w:t>Was mache ich, wenn mich die Polizei ohne Anlass zu einer Kontrolle anhält?</w:t>
      </w:r>
    </w:p>
    <w:p w14:paraId="5F0AE605" w14:textId="77777777" w:rsidR="001F7233" w:rsidRDefault="00000000">
      <w:r>
        <w:rPr>
          <w:b/>
        </w:rPr>
        <w:t xml:space="preserve">Mehr dazu: </w:t>
      </w:r>
      <w:r>
        <w:t>Australien: Recht, Sicherheit, Polizei</w:t>
      </w:r>
    </w:p>
    <w:p w14:paraId="40273930" w14:textId="77777777" w:rsidR="001F7233" w:rsidRDefault="00000000">
      <w:r>
        <w:rPr>
          <w:b/>
        </w:rPr>
        <w:t>Ist Cannabis in Australien legal, wenn ich ein ärztliches Rezept habe?</w:t>
      </w:r>
    </w:p>
    <w:p w14:paraId="3BC9CB71" w14:textId="77777777" w:rsidR="001F7233" w:rsidRDefault="00000000">
      <w:r>
        <w:rPr>
          <w:b/>
        </w:rPr>
        <w:t xml:space="preserve">Mehr dazu: </w:t>
      </w:r>
      <w:r>
        <w:t>Australien: Recht, Sicherheit, Polizei</w:t>
      </w:r>
    </w:p>
    <w:p w14:paraId="478E8232" w14:textId="77777777" w:rsidR="001F7233" w:rsidRDefault="00000000">
      <w:r>
        <w:rPr>
          <w:b/>
        </w:rPr>
        <w:t>Wie lange dauert es, bis ich mich in Australien einbürgern lassen kann?</w:t>
      </w:r>
    </w:p>
    <w:p w14:paraId="41259154" w14:textId="77777777" w:rsidR="001F7233" w:rsidRDefault="00000000">
      <w:r>
        <w:rPr>
          <w:b/>
        </w:rPr>
        <w:t xml:space="preserve">Mehr dazu: </w:t>
      </w:r>
      <w:r>
        <w:t>Australien: Staatsbürgerschaft, Steuerresidenz</w:t>
      </w:r>
    </w:p>
    <w:p w14:paraId="59452333" w14:textId="77777777" w:rsidR="001F7233" w:rsidRDefault="00000000">
      <w:r>
        <w:rPr>
          <w:b/>
        </w:rPr>
        <w:t>Verliere ich meinen deutschen Pass, wenn ich Australier werde und muss ich nach einer Rückkehr weiter australische Steuern zahlen?</w:t>
      </w:r>
    </w:p>
    <w:p w14:paraId="4C6433A5" w14:textId="77777777" w:rsidR="001F7233" w:rsidRDefault="00000000">
      <w:r>
        <w:rPr>
          <w:b/>
        </w:rPr>
        <w:t xml:space="preserve">Mehr dazu: </w:t>
      </w:r>
      <w:r>
        <w:t>Australien: Staatsbürgerschaft, Steuerresidenz</w:t>
      </w:r>
    </w:p>
    <w:p w14:paraId="3B1E0BCC" w14:textId="77777777" w:rsidR="001F7233" w:rsidRDefault="00000000">
      <w:pPr>
        <w:spacing w:line="180" w:lineRule="exact"/>
      </w:pPr>
      <w:r>
        <w:br w:type="page"/>
      </w:r>
    </w:p>
    <w:p w14:paraId="0AB75632" w14:textId="77777777" w:rsidR="001F7233" w:rsidRDefault="00000000">
      <w:pPr>
        <w:pStyle w:val="Heading2"/>
        <w:keepNext/>
        <w:spacing w:line="341" w:lineRule="auto"/>
        <w:jc w:val="center"/>
      </w:pPr>
      <w:bookmarkStart w:id="162" w:name="s118"/>
      <w:r>
        <w:rPr>
          <w:rFonts w:ascii="Amazon Ember" w:eastAsia="Amazon Ember" w:hAnsi="Amazon Ember" w:cs="Amazon Ember"/>
          <w:color w:val="0000FF"/>
          <w:sz w:val="36"/>
          <w:szCs w:val="36"/>
        </w:rPr>
        <w:lastRenderedPageBreak/>
        <w:t>Schnellfinder Neuseeland</w:t>
      </w:r>
      <w:bookmarkEnd w:id="162"/>
    </w:p>
    <w:p w14:paraId="367281C6" w14:textId="77777777" w:rsidR="001F7233" w:rsidRDefault="00000000">
      <w:r>
        <w:t>Was kann in Deutschland günstig wirken und im Zielland zum großen Kostenposten werden – etwa Gesundheit, Studium, Mobilität oder Haushaltshilfe?</w:t>
      </w:r>
    </w:p>
    <w:p w14:paraId="61E958F4" w14:textId="77777777" w:rsidR="001F7233" w:rsidRDefault="00000000">
      <w:r>
        <w:t xml:space="preserve">Kapitel: </w:t>
      </w:r>
      <w:hyperlink w:anchor="deutschland_ausland_kosten">
        <w:r w:rsidR="001F7233">
          <w:rPr>
            <w:rStyle w:val="Hyperlink"/>
          </w:rPr>
          <w:t>Kostenvergleich im gemeinsamen Länderwahl-Kapitel</w:t>
        </w:r>
      </w:hyperlink>
    </w:p>
    <w:p w14:paraId="500662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 und Visum</w:t>
      </w:r>
    </w:p>
    <w:p w14:paraId="1FF15AE0" w14:textId="77777777" w:rsidR="001F7233" w:rsidRDefault="00000000">
      <w:r>
        <w:rPr>
          <w:b/>
        </w:rPr>
        <w:t>Lohnt sich Neuseeland finanziell für mich, und wie niedrig ist der Steuerkeil wirklich?</w:t>
      </w:r>
    </w:p>
    <w:p w14:paraId="093806E4" w14:textId="77777777" w:rsidR="001F7233" w:rsidRDefault="00000000">
      <w:r>
        <w:rPr>
          <w:b/>
        </w:rPr>
        <w:t xml:space="preserve">Mehr dazu: </w:t>
      </w:r>
      <w:r>
        <w:t>Neuseeland: Die ehrliche Bilanz</w:t>
      </w:r>
    </w:p>
    <w:p w14:paraId="456CFF31" w14:textId="77777777" w:rsidR="001F7233" w:rsidRDefault="00000000">
      <w:r>
        <w:rPr>
          <w:b/>
        </w:rPr>
        <w:t>Wie melde ich mich in Deutschland ab, bevor ich nach Neuseeland gehe?</w:t>
      </w:r>
    </w:p>
    <w:p w14:paraId="0186D4A5" w14:textId="77777777" w:rsidR="001F7233" w:rsidRDefault="00000000">
      <w:r>
        <w:rPr>
          <w:b/>
        </w:rPr>
        <w:t xml:space="preserve">Mehr dazu: </w:t>
      </w:r>
      <w:r>
        <w:t>Deutschland vor dem Abflug</w:t>
      </w:r>
    </w:p>
    <w:p w14:paraId="2C986940" w14:textId="77777777" w:rsidR="001F7233" w:rsidRDefault="00000000">
      <w:r>
        <w:rPr>
          <w:b/>
        </w:rPr>
        <w:t>Reicht die Green List, damit ich als Ärztin, Lehrer oder im Handwerk arbeiten darf?</w:t>
      </w:r>
    </w:p>
    <w:p w14:paraId="6E0A95A3" w14:textId="77777777" w:rsidR="001F7233" w:rsidRDefault="00000000">
      <w:r>
        <w:rPr>
          <w:b/>
        </w:rPr>
        <w:t xml:space="preserve">Mehr dazu: </w:t>
      </w:r>
      <w:r>
        <w:t>Neuseeland: Anerkennung deutscher Berufsabschlüsse</w:t>
      </w:r>
    </w:p>
    <w:p w14:paraId="271B8E4E" w14:textId="77777777" w:rsidR="001F7233" w:rsidRDefault="00000000">
      <w:r>
        <w:rPr>
          <w:b/>
        </w:rPr>
        <w:t>Was ist der Unterschied zwischen der Skilled Migrant Category (SMC) und dem Accredited Employer Work Visa (AEWV)?</w:t>
      </w:r>
    </w:p>
    <w:p w14:paraId="672F20C6" w14:textId="77777777" w:rsidR="001F7233" w:rsidRDefault="00000000">
      <w:r>
        <w:rPr>
          <w:b/>
        </w:rPr>
        <w:t xml:space="preserve">Mehr dazu: </w:t>
      </w:r>
      <w:r>
        <w:t>Neuseeland: Wege der Einwanderung</w:t>
      </w:r>
    </w:p>
    <w:p w14:paraId="16092EFD" w14:textId="77777777" w:rsidR="001F7233" w:rsidRDefault="00000000">
      <w:r>
        <w:rPr>
          <w:b/>
        </w:rPr>
        <w:t>Was ist die Green List, und wie verkürzt sie meinen Weg zur Residency?</w:t>
      </w:r>
    </w:p>
    <w:p w14:paraId="795C5854" w14:textId="77777777" w:rsidR="001F7233" w:rsidRDefault="00000000">
      <w:r>
        <w:rPr>
          <w:b/>
        </w:rPr>
        <w:t xml:space="preserve">Mehr dazu: </w:t>
      </w:r>
      <w:r>
        <w:t>Neuseeland: Wege der Einwanderung</w:t>
      </w:r>
    </w:p>
    <w:p w14:paraId="66B58619" w14:textId="77777777" w:rsidR="001F7233" w:rsidRDefault="00000000">
      <w:r>
        <w:rPr>
          <w:b/>
        </w:rPr>
        <w:t>Wie viele Punkte brauche ich für die SMC, und wie werden sie berechnet?</w:t>
      </w:r>
    </w:p>
    <w:p w14:paraId="5CE66963" w14:textId="77777777" w:rsidR="001F7233" w:rsidRDefault="00000000">
      <w:r>
        <w:rPr>
          <w:b/>
        </w:rPr>
        <w:t xml:space="preserve">Mehr dazu: </w:t>
      </w:r>
      <w:r>
        <w:t>Neuseeland: Der Arbeitsweg</w:t>
      </w:r>
    </w:p>
    <w:p w14:paraId="0E65E1EB" w14:textId="77777777" w:rsidR="001F7233" w:rsidRDefault="00000000">
      <w:r>
        <w:rPr>
          <w:b/>
        </w:rPr>
        <w:t>Gibt es für Neuseeland einen Ruhestandsweg ohne bereits dort lebendes Kind?</w:t>
      </w:r>
    </w:p>
    <w:p w14:paraId="7598BDDF" w14:textId="77777777" w:rsidR="001F7233" w:rsidRDefault="00000000">
      <w:r>
        <w:rPr>
          <w:b/>
        </w:rPr>
        <w:t xml:space="preserve">Mehr dazu: </w:t>
      </w:r>
      <w:r>
        <w:t>Neuseeland: Familie, Investor, Ruhestand</w:t>
      </w:r>
    </w:p>
    <w:p w14:paraId="7FB91B7A" w14:textId="77777777" w:rsidR="001F7233" w:rsidRDefault="00000000">
      <w:r>
        <w:rPr>
          <w:b/>
        </w:rPr>
        <w:t>Was kostet der Visumantrag insgesamt, und brauche ich für mein Führungszeugnis eine Apostille?</w:t>
      </w:r>
    </w:p>
    <w:p w14:paraId="7B60271B" w14:textId="77777777" w:rsidR="001F7233" w:rsidRDefault="00000000">
      <w:r>
        <w:rPr>
          <w:b/>
        </w:rPr>
        <w:t xml:space="preserve">Mehr dazu: </w:t>
      </w:r>
      <w:r>
        <w:t>Neuseeland: Antrag, Konsulat, Kosten</w:t>
      </w:r>
    </w:p>
    <w:p w14:paraId="32C92687" w14:textId="77777777" w:rsidR="001F7233" w:rsidRDefault="001F7233">
      <w:pPr>
        <w:spacing w:line="180" w:lineRule="exact"/>
      </w:pPr>
    </w:p>
    <w:p w14:paraId="69D7DC4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Ankunft und Geld</w:t>
      </w:r>
    </w:p>
    <w:p w14:paraId="192AD528" w14:textId="77777777" w:rsidR="001F7233" w:rsidRDefault="00000000">
      <w:r>
        <w:rPr>
          <w:b/>
        </w:rPr>
        <w:t>Was muss ich in den ersten Tagen nach der Landung erledigen und wie beantrage ich meine IRD-Nummer?</w:t>
      </w:r>
    </w:p>
    <w:p w14:paraId="1B4023F1" w14:textId="77777777" w:rsidR="001F7233" w:rsidRDefault="00000000">
      <w:r>
        <w:rPr>
          <w:b/>
        </w:rPr>
        <w:t xml:space="preserve">Mehr dazu: </w:t>
      </w:r>
      <w:r>
        <w:t>Neuseeland: Ankunft, erste Wochen</w:t>
      </w:r>
    </w:p>
    <w:p w14:paraId="06AFA82D" w14:textId="77777777" w:rsidR="001F7233" w:rsidRDefault="00000000">
      <w:r>
        <w:rPr>
          <w:b/>
        </w:rPr>
        <w:t>Wie bekomme ich Hund oder Katze nach Neuseeland, und warum reicht der Impfpass nicht?</w:t>
      </w:r>
    </w:p>
    <w:p w14:paraId="1BD36EBD" w14:textId="77777777" w:rsidR="001F7233" w:rsidRDefault="00000000">
      <w:r>
        <w:rPr>
          <w:b/>
        </w:rPr>
        <w:t xml:space="preserve">Mehr dazu: </w:t>
      </w:r>
      <w:r>
        <w:t>Neuseeland: Ankunft, erste Wochen</w:t>
      </w:r>
    </w:p>
    <w:p w14:paraId="194BF878" w14:textId="77777777" w:rsidR="001F7233" w:rsidRDefault="00000000">
      <w:r>
        <w:rPr>
          <w:b/>
        </w:rPr>
        <w:t>Was darf in den Container, und was prüft das MPI am Umzugsgut?</w:t>
      </w:r>
    </w:p>
    <w:p w14:paraId="1287C2BA" w14:textId="77777777" w:rsidR="001F7233" w:rsidRDefault="00000000">
      <w:r>
        <w:rPr>
          <w:b/>
        </w:rPr>
        <w:t xml:space="preserve">Mehr dazu: </w:t>
      </w:r>
      <w:r>
        <w:t>Neuseeland: Ankunft, erste Wochen</w:t>
      </w:r>
    </w:p>
    <w:p w14:paraId="7D4616B5" w14:textId="77777777" w:rsidR="001F7233" w:rsidRDefault="00000000">
      <w:r>
        <w:rPr>
          <w:b/>
        </w:rPr>
        <w:t>Warum wird mir ohne IRD-Nummer ein sehr hoher Steuersatz auf mein Gehalt abgezogen?</w:t>
      </w:r>
    </w:p>
    <w:p w14:paraId="04E2265A" w14:textId="77777777" w:rsidR="001F7233" w:rsidRDefault="00000000">
      <w:r>
        <w:rPr>
          <w:b/>
        </w:rPr>
        <w:t xml:space="preserve">Mehr dazu: </w:t>
      </w:r>
      <w:r>
        <w:t>Neuseeland: Steuer-ID/Bank/Kredit</w:t>
      </w:r>
    </w:p>
    <w:p w14:paraId="72E60343" w14:textId="77777777" w:rsidR="001F7233" w:rsidRDefault="00000000">
      <w:r>
        <w:rPr>
          <w:b/>
        </w:rPr>
        <w:t>Wie eröffne ich ein neuseeländisches Bankkonto, und wie baue ich mir eine Kreditwürdigkeit auf?</w:t>
      </w:r>
    </w:p>
    <w:p w14:paraId="7D1826DC" w14:textId="77777777" w:rsidR="001F7233" w:rsidRDefault="00000000">
      <w:r>
        <w:rPr>
          <w:b/>
        </w:rPr>
        <w:t xml:space="preserve">Mehr dazu: </w:t>
      </w:r>
      <w:r>
        <w:t>Neuseeland: Steuer-ID/Bank/Kredit</w:t>
      </w:r>
    </w:p>
    <w:p w14:paraId="2297BA23" w14:textId="77777777" w:rsidR="001F7233" w:rsidRDefault="00000000">
      <w:r>
        <w:rPr>
          <w:b/>
        </w:rPr>
        <w:t>Ab wann habe ich Zugang zum öffentlichen Gesundheitssystem und stimmt es, dass mein Visum mindestens zwei Jahre laufen muss?</w:t>
      </w:r>
    </w:p>
    <w:p w14:paraId="31CCA011" w14:textId="77777777" w:rsidR="001F7233" w:rsidRDefault="00000000">
      <w:r>
        <w:rPr>
          <w:b/>
        </w:rPr>
        <w:t xml:space="preserve">Mehr dazu: </w:t>
      </w:r>
      <w:r>
        <w:t>Neuseeland: Gesundheitssystem</w:t>
      </w:r>
    </w:p>
    <w:p w14:paraId="12256D5E" w14:textId="77777777" w:rsidR="001F7233" w:rsidRDefault="00000000">
      <w:r>
        <w:rPr>
          <w:b/>
        </w:rPr>
        <w:t>Was ist ACC, und warum kann ich nach einem Unfall niemanden auf Schadensersatz verklagen?</w:t>
      </w:r>
    </w:p>
    <w:p w14:paraId="40E163AC" w14:textId="77777777" w:rsidR="001F7233" w:rsidRDefault="00000000">
      <w:r>
        <w:rPr>
          <w:b/>
        </w:rPr>
        <w:t xml:space="preserve">Mehr dazu: </w:t>
      </w:r>
      <w:r>
        <w:t>Neuseeland: Gesundheitssystem</w:t>
      </w:r>
    </w:p>
    <w:p w14:paraId="21B9A3FD" w14:textId="77777777" w:rsidR="001F7233" w:rsidRDefault="00000000">
      <w:r>
        <w:rPr>
          <w:b/>
        </w:rPr>
        <w:t>Ab wann kann ich der Altersvorsorge KiwiSaver beitreten?</w:t>
      </w:r>
    </w:p>
    <w:p w14:paraId="69D4E6F7" w14:textId="77777777" w:rsidR="001F7233" w:rsidRDefault="00000000">
      <w:r>
        <w:rPr>
          <w:b/>
        </w:rPr>
        <w:t xml:space="preserve">Mehr dazu: </w:t>
      </w:r>
      <w:r>
        <w:t>Neuseeland: Steuer-ID/Bank/Kredit</w:t>
      </w:r>
    </w:p>
    <w:p w14:paraId="27AD8B91" w14:textId="77777777" w:rsidR="001F7233" w:rsidRDefault="001F7233">
      <w:pPr>
        <w:spacing w:line="180" w:lineRule="exact"/>
      </w:pPr>
    </w:p>
    <w:p w14:paraId="47CFFA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Wohnen, Führerschein und Verkehr</w:t>
      </w:r>
    </w:p>
    <w:p w14:paraId="10C96BD3" w14:textId="77777777" w:rsidR="001F7233" w:rsidRDefault="00000000">
      <w:r>
        <w:rPr>
          <w:b/>
        </w:rPr>
        <w:t>Wie viel Kaution (Bond) darf mein Vermieter verlangen, und wo wird sie hinterlegt?</w:t>
      </w:r>
    </w:p>
    <w:p w14:paraId="1A3A2C09" w14:textId="77777777" w:rsidR="001F7233" w:rsidRDefault="00000000">
      <w:r>
        <w:rPr>
          <w:b/>
        </w:rPr>
        <w:t xml:space="preserve">Mehr dazu: </w:t>
      </w:r>
      <w:r>
        <w:t>Neuseeland: Wohnen</w:t>
      </w:r>
    </w:p>
    <w:p w14:paraId="44B81974" w14:textId="77777777" w:rsidR="001F7233" w:rsidRDefault="00000000">
      <w:r>
        <w:rPr>
          <w:b/>
        </w:rPr>
        <w:lastRenderedPageBreak/>
        <w:t>Darf ich als Ausländer überhaupt ein Haus in Neuseeland kaufen?</w:t>
      </w:r>
    </w:p>
    <w:p w14:paraId="65B55C38" w14:textId="77777777" w:rsidR="001F7233" w:rsidRDefault="00000000">
      <w:r>
        <w:rPr>
          <w:b/>
        </w:rPr>
        <w:t xml:space="preserve">Mehr dazu: </w:t>
      </w:r>
      <w:r>
        <w:t>Neuseeland: Wohnen</w:t>
      </w:r>
    </w:p>
    <w:p w14:paraId="799FAB74" w14:textId="77777777" w:rsidR="001F7233" w:rsidRDefault="00000000">
      <w:r>
        <w:rPr>
          <w:b/>
        </w:rPr>
        <w:t>Welche Region passt zu meinem Beruf – Auckland, Wellington oder Christchurch?</w:t>
      </w:r>
    </w:p>
    <w:p w14:paraId="7D817C8B" w14:textId="77777777" w:rsidR="001F7233" w:rsidRDefault="00000000">
      <w:r>
        <w:rPr>
          <w:b/>
        </w:rPr>
        <w:t xml:space="preserve">Mehr dazu: </w:t>
      </w:r>
      <w:r>
        <w:t>Neuseeland: Wohnen</w:t>
      </w:r>
    </w:p>
    <w:p w14:paraId="6B93E6FD" w14:textId="77777777" w:rsidR="001F7233" w:rsidRDefault="00000000">
      <w:r>
        <w:rPr>
          <w:b/>
        </w:rPr>
        <w:t>Muss ich meinen deutschen Führerschein umtauschen, und wie lange darf ich ihn übergangsweise nutzen?</w:t>
      </w:r>
    </w:p>
    <w:p w14:paraId="241179EA" w14:textId="77777777" w:rsidR="001F7233" w:rsidRDefault="00000000">
      <w:r>
        <w:rPr>
          <w:b/>
        </w:rPr>
        <w:t xml:space="preserve">Mehr dazu: </w:t>
      </w:r>
      <w:r>
        <w:t>Neuseeland: Führerschein, Auto, Verkehrsregeln</w:t>
      </w:r>
    </w:p>
    <w:p w14:paraId="4D7EBF2D" w14:textId="77777777" w:rsidR="001F7233" w:rsidRDefault="00000000">
      <w:r>
        <w:rPr>
          <w:b/>
        </w:rPr>
        <w:t>Wie gewöhne ich mich an den Linksverkehr, ohne einen Unfall zu bauen?</w:t>
      </w:r>
    </w:p>
    <w:p w14:paraId="127911E5" w14:textId="77777777" w:rsidR="001F7233" w:rsidRDefault="00000000">
      <w:r>
        <w:rPr>
          <w:b/>
        </w:rPr>
        <w:t xml:space="preserve">Mehr dazu: </w:t>
      </w:r>
      <w:r>
        <w:t>Neuseeland: Führerschein, Auto, Verkehrsregeln</w:t>
      </w:r>
    </w:p>
    <w:p w14:paraId="49B02AEC" w14:textId="77777777" w:rsidR="001F7233" w:rsidRDefault="00000000">
      <w:r>
        <w:rPr>
          <w:b/>
        </w:rPr>
        <w:t>Was hat es mit den einspurigen Brücken und unbefestigten Straßen auf sich?</w:t>
      </w:r>
    </w:p>
    <w:p w14:paraId="066B8A70" w14:textId="77777777" w:rsidR="001F7233" w:rsidRDefault="00000000">
      <w:r>
        <w:rPr>
          <w:b/>
        </w:rPr>
        <w:t xml:space="preserve">Mehr dazu: </w:t>
      </w:r>
      <w:r>
        <w:t>Neuseeland: Führerschein, Auto, Verkehrsregeln</w:t>
      </w:r>
    </w:p>
    <w:p w14:paraId="66AA90F9" w14:textId="77777777" w:rsidR="001F7233" w:rsidRDefault="001F7233">
      <w:pPr>
        <w:spacing w:line="180" w:lineRule="exact"/>
      </w:pPr>
    </w:p>
    <w:p w14:paraId="388899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Alltag und Kinder</w:t>
      </w:r>
    </w:p>
    <w:p w14:paraId="6B7CF117" w14:textId="77777777" w:rsidR="001F7233" w:rsidRDefault="00000000">
      <w:r>
        <w:rPr>
          <w:b/>
        </w:rPr>
        <w:t>Was sind „togs“ und „jandals“, und muss mein Kind eine Schuluniform tragen?</w:t>
      </w:r>
    </w:p>
    <w:p w14:paraId="3339FEBC" w14:textId="77777777" w:rsidR="001F7233" w:rsidRDefault="00000000">
      <w:r>
        <w:rPr>
          <w:b/>
        </w:rPr>
        <w:t xml:space="preserve">Mehr dazu: </w:t>
      </w:r>
      <w:r>
        <w:t>Neuseeland: Kleidung</w:t>
      </w:r>
    </w:p>
    <w:p w14:paraId="52EE440B" w14:textId="77777777" w:rsidR="001F7233" w:rsidRDefault="00000000">
      <w:r>
        <w:rPr>
          <w:b/>
        </w:rPr>
        <w:t>Wie informell ist der Umgangston in Neuseeland wirklich und darf ich meinen Chef beim Vornamen nennen?</w:t>
      </w:r>
    </w:p>
    <w:p w14:paraId="19B53A5B" w14:textId="77777777" w:rsidR="001F7233" w:rsidRDefault="00000000">
      <w:r>
        <w:rPr>
          <w:b/>
        </w:rPr>
        <w:t xml:space="preserve">Mehr dazu: </w:t>
      </w:r>
      <w:r>
        <w:t>Neuseeland: Alltagskultur</w:t>
      </w:r>
    </w:p>
    <w:p w14:paraId="588C7F29" w14:textId="77777777" w:rsidR="001F7233" w:rsidRDefault="00000000">
      <w:r>
        <w:rPr>
          <w:b/>
        </w:rPr>
        <w:t>Was muss ich über Te Ao Māori und Begrüßungen wie „Kia ora“ wissen?</w:t>
      </w:r>
    </w:p>
    <w:p w14:paraId="20F73A63" w14:textId="77777777" w:rsidR="001F7233" w:rsidRDefault="00000000">
      <w:r>
        <w:rPr>
          <w:b/>
        </w:rPr>
        <w:t xml:space="preserve">Mehr dazu: </w:t>
      </w:r>
      <w:r>
        <w:t>Neuseeland: Alltagskultur</w:t>
      </w:r>
    </w:p>
    <w:p w14:paraId="4787B06C" w14:textId="77777777" w:rsidR="001F7233" w:rsidRDefault="00000000">
      <w:r>
        <w:rPr>
          <w:b/>
        </w:rPr>
        <w:t>Wie finde ich in Neuseeland schnell Anschluss und Freunde?</w:t>
      </w:r>
    </w:p>
    <w:p w14:paraId="3B87EB83" w14:textId="77777777" w:rsidR="001F7233" w:rsidRDefault="00000000">
      <w:r>
        <w:rPr>
          <w:b/>
        </w:rPr>
        <w:t xml:space="preserve">Mehr dazu: </w:t>
      </w:r>
      <w:r>
        <w:t>Neuseeland: Freunde, Kulturschock</w:t>
      </w:r>
    </w:p>
    <w:p w14:paraId="6862D6FB" w14:textId="77777777" w:rsidR="001F7233" w:rsidRDefault="00000000">
      <w:r>
        <w:rPr>
          <w:b/>
        </w:rPr>
        <w:t>Wie gehe ich mit der größten Entfernung und Zeitverschiebung aller vier Länder um?</w:t>
      </w:r>
    </w:p>
    <w:p w14:paraId="32DE4595" w14:textId="77777777" w:rsidR="001F7233" w:rsidRDefault="00000000">
      <w:r>
        <w:rPr>
          <w:b/>
        </w:rPr>
        <w:t xml:space="preserve">Mehr dazu: </w:t>
      </w:r>
      <w:r>
        <w:t>Neuseeland: Freunde, Kulturschock</w:t>
      </w:r>
    </w:p>
    <w:p w14:paraId="14203C46" w14:textId="77777777" w:rsidR="001F7233" w:rsidRDefault="00000000">
      <w:r>
        <w:rPr>
          <w:b/>
        </w:rPr>
        <w:t>Ist die Schule für mein Kind in Neuseeland wirklich kostenlos?</w:t>
      </w:r>
    </w:p>
    <w:p w14:paraId="33B5066C" w14:textId="77777777" w:rsidR="001F7233" w:rsidRDefault="00000000">
      <w:r>
        <w:rPr>
          <w:b/>
        </w:rPr>
        <w:t xml:space="preserve">Mehr dazu: </w:t>
      </w:r>
      <w:r>
        <w:t>Neuseeland: Kinder, Schule, Sprache</w:t>
      </w:r>
    </w:p>
    <w:p w14:paraId="42C43187" w14:textId="77777777" w:rsidR="001F7233" w:rsidRDefault="00000000">
      <w:r>
        <w:rPr>
          <w:b/>
        </w:rPr>
        <w:lastRenderedPageBreak/>
        <w:t>Warum beginnt das neuseeländische Schuljahr im Sommer, und was bedeutet das für unseren Umzugstermin?</w:t>
      </w:r>
    </w:p>
    <w:p w14:paraId="7BACEF24" w14:textId="77777777" w:rsidR="001F7233" w:rsidRDefault="00000000">
      <w:r>
        <w:rPr>
          <w:b/>
        </w:rPr>
        <w:t xml:space="preserve">Mehr dazu: </w:t>
      </w:r>
      <w:r>
        <w:t>Neuseeland: Kinder, Schule, Sprache</w:t>
      </w:r>
    </w:p>
    <w:p w14:paraId="345F35E2" w14:textId="77777777" w:rsidR="001F7233" w:rsidRDefault="001F7233">
      <w:pPr>
        <w:spacing w:line="180" w:lineRule="exact"/>
      </w:pPr>
    </w:p>
    <w:p w14:paraId="43A2F8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Arbeiten, Recht und Langfristig</w:t>
      </w:r>
    </w:p>
    <w:p w14:paraId="5E1288C6" w14:textId="77777777" w:rsidR="001F7233" w:rsidRDefault="00000000">
      <w:r>
        <w:rPr>
          <w:b/>
        </w:rPr>
        <w:t>Wie viel Urlaub steht mir in Neuseeland gesetzlich zu und was hat es mit der 90-Tage-Probezeit auf sich?</w:t>
      </w:r>
    </w:p>
    <w:p w14:paraId="0815F86A" w14:textId="77777777" w:rsidR="001F7233" w:rsidRDefault="00000000">
      <w:r>
        <w:rPr>
          <w:b/>
        </w:rPr>
        <w:t xml:space="preserve">Mehr dazu: </w:t>
      </w:r>
      <w:r>
        <w:t>Neuseeland: Arbeitswelt, Jobwechsel</w:t>
      </w:r>
    </w:p>
    <w:p w14:paraId="4DE79DE0" w14:textId="77777777" w:rsidR="001F7233" w:rsidRDefault="00000000">
      <w:r>
        <w:rPr>
          <w:b/>
        </w:rPr>
        <w:t>Wie wechsle ich mit einem AEWV den Arbeitgeber, ohne meinen Status zu gefährden?</w:t>
      </w:r>
    </w:p>
    <w:p w14:paraId="49A06A06" w14:textId="77777777" w:rsidR="001F7233" w:rsidRDefault="00000000">
      <w:r>
        <w:rPr>
          <w:b/>
        </w:rPr>
        <w:t xml:space="preserve">Mehr dazu: </w:t>
      </w:r>
      <w:r>
        <w:t>Neuseeland: Arbeitswelt, Jobwechsel</w:t>
      </w:r>
    </w:p>
    <w:p w14:paraId="2A10453E" w14:textId="77777777" w:rsidR="001F7233" w:rsidRDefault="00000000">
      <w:r>
        <w:rPr>
          <w:b/>
        </w:rPr>
        <w:t>Warum ist die neuseeländische Polizei unbewaffnet, und wie verhalte ich mich bei einer Kontrolle?</w:t>
      </w:r>
    </w:p>
    <w:p w14:paraId="4D3D25ED" w14:textId="77777777" w:rsidR="001F7233" w:rsidRDefault="00000000">
      <w:r>
        <w:rPr>
          <w:b/>
        </w:rPr>
        <w:t xml:space="preserve">Mehr dazu: </w:t>
      </w:r>
      <w:r>
        <w:t>Neuseeland: Recht, Sicherheit, Polizei</w:t>
      </w:r>
    </w:p>
    <w:p w14:paraId="3DE4DD19" w14:textId="77777777" w:rsidR="001F7233" w:rsidRDefault="00000000">
      <w:r>
        <w:rPr>
          <w:b/>
        </w:rPr>
        <w:t>Wie ernst muss ich das Erdbebenrisiko nehmen, und was deckt die staatliche Erdbebenversicherung ab?</w:t>
      </w:r>
    </w:p>
    <w:p w14:paraId="1002E66C" w14:textId="77777777" w:rsidR="001F7233" w:rsidRDefault="00000000">
      <w:r>
        <w:rPr>
          <w:b/>
        </w:rPr>
        <w:t xml:space="preserve">Mehr dazu: </w:t>
      </w:r>
      <w:r>
        <w:t>Neuseeland: Recht, Sicherheit, Polizei</w:t>
      </w:r>
    </w:p>
    <w:p w14:paraId="5A4E64A5" w14:textId="77777777" w:rsidR="001F7233" w:rsidRDefault="00000000">
      <w:r>
        <w:rPr>
          <w:b/>
        </w:rPr>
        <w:t>Wie lange dauert es, bis ich mich in Neuseeland einbürgern lassen kann?</w:t>
      </w:r>
    </w:p>
    <w:p w14:paraId="0C77FC9D" w14:textId="77777777" w:rsidR="001F7233" w:rsidRDefault="00000000">
      <w:r>
        <w:rPr>
          <w:b/>
        </w:rPr>
        <w:t xml:space="preserve">Mehr dazu: </w:t>
      </w:r>
      <w:r>
        <w:t>Neuseeland: Staatsbürgerschaft, Steuerresidenz</w:t>
      </w:r>
    </w:p>
    <w:p w14:paraId="7222D15F" w14:textId="77777777" w:rsidR="001F7233" w:rsidRDefault="00000000">
      <w:r>
        <w:rPr>
          <w:b/>
        </w:rPr>
        <w:t>Verliere ich meinen deutschen Pass, wenn ich Neuseeländer werde und muss ich nach einer Rückkehr weiter neuseeländische Steuern zahlen?</w:t>
      </w:r>
    </w:p>
    <w:p w14:paraId="3CC72E83" w14:textId="77777777" w:rsidR="001F7233" w:rsidRDefault="00000000">
      <w:r>
        <w:rPr>
          <w:b/>
        </w:rPr>
        <w:t xml:space="preserve">Mehr dazu: </w:t>
      </w:r>
      <w:r>
        <w:t>Neuseeland: Staatsbürgerschaft, Steuerresidenz</w:t>
      </w:r>
    </w:p>
    <w:p w14:paraId="40501AF3" w14:textId="77777777" w:rsidR="001F7233" w:rsidRDefault="001F7233">
      <w:pPr>
        <w:spacing w:line="180" w:lineRule="exact"/>
      </w:pPr>
    </w:p>
    <w:p w14:paraId="5C26C16E" w14:textId="77777777" w:rsidR="001F7233" w:rsidRDefault="001F7233">
      <w:pPr>
        <w:spacing w:line="220" w:lineRule="exact"/>
      </w:pPr>
    </w:p>
    <w:p w14:paraId="55D77B0B" w14:textId="77777777" w:rsidR="001F7233" w:rsidRDefault="00000000">
      <w:pPr>
        <w:pStyle w:val="Heading2"/>
      </w:pPr>
      <w:bookmarkStart w:id="163" w:name="anhang_h_deutsch"/>
      <w:r>
        <w:t>Anhang H: Der deutsche Maßstab – was im Alltag wirklich anders ist</w:t>
      </w:r>
      <w:bookmarkEnd w:id="163"/>
    </w:p>
    <w:p w14:paraId="469825EB" w14:textId="77777777" w:rsidR="001F7233" w:rsidRDefault="00000000">
      <w:r>
        <w:t xml:space="preserve">Nicht jede Umstellung ist kulturell; vieles steckt in Regeln und Alltagsroutinen. Was in Deutschland vertraut wirkt, kann im Zielland </w:t>
      </w:r>
      <w:r>
        <w:lastRenderedPageBreak/>
        <w:t>anders organisiert sein. Die Unterschiede hängen oft stärker von Aufenthaltsstatus, Bundesstaat oder Provinz und konkreter Adresse ab als vom Landesnamen.</w:t>
      </w:r>
    </w:p>
    <w:p w14:paraId="55F388CE" w14:textId="77777777" w:rsidR="001F7233" w:rsidRDefault="00000000">
      <w:r>
        <w:t>Krankenversicherung: In Deutschland ist eine Krankenversicherung verpflichtend. Im Zielland folgt daraus nicht automatisch derselbe Zugang: In den USA sind Status und Versicherungsweg wichtig. In Kanada entscheiden Provinz oder Territorium über den Zugang; Australien und Neuseeland haben eigene Anspruchsregeln. Kläre vor dem Umzug, ab wann Schutz gilt, was privat zu zahlen bleibt und welche Versicherung eine Lücke schließt.</w:t>
      </w:r>
    </w:p>
    <w:p w14:paraId="7AD417E8" w14:textId="77777777" w:rsidR="001F7233" w:rsidRDefault="00000000">
      <w:r>
        <w:t>Preis an der Kasse: In den USA und Kanada kann die Waren- oder Menükarte die örtliche Sales Tax noch nicht enthalten. Beim Essen mit Bedienung ist Trinkgeld verbreitet. In Australien und Neuseeland sollen Verbraucherpreise meist den Gesamtpreis samt GST zeigen. Zuschläge und Trinkgeld unterscheiden sich trotzdem. Vergleiche deshalb den Endbetrag, nicht nur den Regal- oder Menüpreis.</w:t>
      </w:r>
    </w:p>
    <w:p w14:paraId="35A60DA7" w14:textId="77777777" w:rsidR="001F7233" w:rsidRDefault="00000000">
      <w:r>
        <w:t>Wege und Wohnen: Wer deutsche Innenstädte mit Bahn, Bus und kurzen Wegen gewohnt ist, sollte im Zielland Arbeitsweg, Einkauf, Schule und Arzt von der konkreten Wohnadresse aus testen. Eine Metropole sagt wenig über ihren Vorort. Bei Häusern kommen je nach Ort Eigentümergemeinschaft, HOA oder Strata, Außenpflege und zusätzliche Regeln hinzu.</w:t>
      </w:r>
    </w:p>
    <w:p w14:paraId="3E668893" w14:textId="77777777" w:rsidR="001F7233" w:rsidRDefault="00000000">
      <w:r>
        <w:t>Entfernung und Jahreszeiten: Australien und Neuseeland haben entgegengesetzte Jahreszeiten. Alle vier Zielländer können große Klima- und Entfernungsunterschiede innerhalb des Landes haben. Plane Besuche bei Familie, Wetterrisiken und Alltagswege für deinen konkreten Ort. Die Länderpfade erklären die Details und führen zu den passenden Stellen.</w:t>
      </w:r>
    </w:p>
    <w:p w14:paraId="7E923F1F" w14:textId="77777777" w:rsidR="001F7233" w:rsidRDefault="00000000">
      <w:r>
        <w:t xml:space="preserve">Offizielle Einstiege: </w:t>
      </w:r>
      <w:hyperlink r:id="rId1143">
        <w:r w:rsidR="001F7233">
          <w:rPr>
            <w:color w:val="0563C1"/>
            <w:u w:val="single"/>
          </w:rPr>
          <w:t>USA: HealthCare.gov</w:t>
        </w:r>
      </w:hyperlink>
      <w:r>
        <w:t xml:space="preserve"> </w:t>
      </w:r>
      <w:hyperlink r:id="rId1144">
        <w:r w:rsidR="001F7233">
          <w:rPr>
            <w:color w:val="0563C1"/>
            <w:u w:val="single"/>
          </w:rPr>
          <w:t>Kanada: Canada Health Care System</w:t>
        </w:r>
      </w:hyperlink>
      <w:r>
        <w:t xml:space="preserve"> </w:t>
      </w:r>
      <w:hyperlink r:id="rId1145">
        <w:r w:rsidR="001F7233">
          <w:rPr>
            <w:color w:val="0563C1"/>
            <w:u w:val="single"/>
          </w:rPr>
          <w:t>Australien: Medicare eligibility</w:t>
        </w:r>
      </w:hyperlink>
      <w:r>
        <w:t xml:space="preserve"> </w:t>
      </w:r>
      <w:hyperlink r:id="rId1146">
        <w:r w:rsidR="001F7233">
          <w:rPr>
            <w:color w:val="0563C1"/>
            <w:u w:val="single"/>
          </w:rPr>
          <w:t>Neuseeland: public health eligibility</w:t>
        </w:r>
      </w:hyperlink>
      <w:r>
        <w:t xml:space="preserve"> </w:t>
      </w:r>
      <w:hyperlink r:id="rId1147">
        <w:r w:rsidR="001F7233">
          <w:rPr>
            <w:color w:val="0563C1"/>
            <w:u w:val="single"/>
          </w:rPr>
          <w:t>Australien: total price display</w:t>
        </w:r>
      </w:hyperlink>
      <w:r>
        <w:t xml:space="preserve"> </w:t>
      </w:r>
      <w:hyperlink r:id="rId1148">
        <w:r w:rsidR="001F7233">
          <w:rPr>
            <w:color w:val="0563C1"/>
            <w:u w:val="single"/>
          </w:rPr>
          <w:t>Neuseeland: consumer pricing</w:t>
        </w:r>
      </w:hyperlink>
      <w:r>
        <w:br w:type="page"/>
      </w:r>
    </w:p>
    <w:p w14:paraId="4B8C92A7" w14:textId="77777777" w:rsidR="001F7233" w:rsidRDefault="00000000">
      <w:pPr>
        <w:pStyle w:val="Heading2"/>
        <w:keepNext/>
      </w:pPr>
      <w:bookmarkStart w:id="164" w:name="AnhangI_Sachindex"/>
      <w:r>
        <w:lastRenderedPageBreak/>
        <w:t>Anhang I: Sachindex mit Direktlinks</w:t>
      </w:r>
      <w:bookmarkEnd w:id="164"/>
    </w:p>
    <w:p w14:paraId="6AE2FD63" w14:textId="77777777" w:rsidR="001F7233" w:rsidRDefault="00000000">
      <w:pPr>
        <w:spacing w:after="100"/>
      </w:pPr>
      <w:r>
        <w:rPr>
          <w:b/>
        </w:rPr>
        <w:t xml:space="preserve">USA: Visa und Status: </w:t>
      </w:r>
      <w:hyperlink w:anchor="k5">
        <w:r w:rsidR="001F7233">
          <w:rPr>
            <w:color w:val="0563C1"/>
            <w:u w:val="single"/>
          </w:rPr>
          <w:t>H-1B</w:t>
        </w:r>
      </w:hyperlink>
      <w:r>
        <w:t xml:space="preserve">  ·  </w:t>
      </w:r>
      <w:hyperlink w:anchor="idx_L_1">
        <w:r w:rsidR="001F7233">
          <w:rPr>
            <w:color w:val="0563C1"/>
            <w:u w:val="single"/>
          </w:rPr>
          <w:t>L-1</w:t>
        </w:r>
      </w:hyperlink>
      <w:r>
        <w:t xml:space="preserve">  ·  </w:t>
      </w:r>
      <w:hyperlink w:anchor="idx_O_1">
        <w:r w:rsidR="001F7233">
          <w:rPr>
            <w:color w:val="0563C1"/>
            <w:u w:val="single"/>
          </w:rPr>
          <w:t>O-1</w:t>
        </w:r>
      </w:hyperlink>
      <w:r>
        <w:t xml:space="preserve">  ·  </w:t>
      </w:r>
      <w:hyperlink w:anchor="idx_E_1___E_2">
        <w:r w:rsidR="001F7233">
          <w:rPr>
            <w:color w:val="0563C1"/>
            <w:u w:val="single"/>
          </w:rPr>
          <w:t>E-1 / E-2</w:t>
        </w:r>
      </w:hyperlink>
      <w:r>
        <w:t xml:space="preserve">  ·  </w:t>
      </w:r>
      <w:hyperlink w:anchor="idx_J_1">
        <w:r w:rsidR="001F7233">
          <w:rPr>
            <w:color w:val="0563C1"/>
            <w:u w:val="single"/>
          </w:rPr>
          <w:t>J-1</w:t>
        </w:r>
      </w:hyperlink>
      <w:r>
        <w:t xml:space="preserve">  ·  </w:t>
      </w:r>
      <w:hyperlink w:anchor="k8">
        <w:r w:rsidR="001F7233">
          <w:rPr>
            <w:color w:val="0563C1"/>
            <w:u w:val="single"/>
          </w:rPr>
          <w:t>F-1 / OPT</w:t>
        </w:r>
      </w:hyperlink>
      <w:r>
        <w:t xml:space="preserve">  ·  </w:t>
      </w:r>
      <w:hyperlink w:anchor="k6">
        <w:r w:rsidR="001F7233">
          <w:rPr>
            <w:color w:val="0563C1"/>
            <w:u w:val="single"/>
          </w:rPr>
          <w:t>Green Card</w:t>
        </w:r>
      </w:hyperlink>
      <w:r>
        <w:t xml:space="preserve">  ·  </w:t>
      </w:r>
      <w:hyperlink w:anchor="idx_Visa_Bulletin">
        <w:r w:rsidR="001F7233">
          <w:rPr>
            <w:color w:val="0563C1"/>
            <w:u w:val="single"/>
          </w:rPr>
          <w:t>Visa Bulletin</w:t>
        </w:r>
      </w:hyperlink>
      <w:r>
        <w:t xml:space="preserve">  ·  </w:t>
      </w:r>
      <w:hyperlink w:anchor="idx_I_94">
        <w:r w:rsidR="001F7233">
          <w:rPr>
            <w:color w:val="0563C1"/>
            <w:u w:val="single"/>
          </w:rPr>
          <w:t>I-94</w:t>
        </w:r>
      </w:hyperlink>
      <w:r>
        <w:t xml:space="preserve">  ·  </w:t>
      </w:r>
      <w:hyperlink w:anchor="k24">
        <w:r w:rsidR="001F7233">
          <w:rPr>
            <w:color w:val="0563C1"/>
            <w:u w:val="single"/>
          </w:rPr>
          <w:t>SSN / ITIN</w:t>
        </w:r>
      </w:hyperlink>
      <w:r>
        <w:t xml:space="preserve">  ·  </w:t>
      </w:r>
      <w:hyperlink w:anchor="k28">
        <w:r w:rsidR="001F7233">
          <w:rPr>
            <w:color w:val="0563C1"/>
            <w:u w:val="single"/>
          </w:rPr>
          <w:t>FBAR</w:t>
        </w:r>
      </w:hyperlink>
      <w:r>
        <w:t xml:space="preserve">  ·  </w:t>
      </w:r>
      <w:hyperlink w:anchor="k26">
        <w:r w:rsidR="001F7233">
          <w:rPr>
            <w:color w:val="0563C1"/>
            <w:u w:val="single"/>
          </w:rPr>
          <w:t>HMO / PPO / HDHP / HSA</w:t>
        </w:r>
      </w:hyperlink>
      <w:r>
        <w:t xml:space="preserve">  ·  </w:t>
      </w:r>
      <w:hyperlink w:anchor="sponsor_usa">
        <w:r w:rsidR="001F7233">
          <w:rPr>
            <w:color w:val="0563C1"/>
            <w:u w:val="single"/>
          </w:rPr>
          <w:t>Sponsoring-Stellen finden</w:t>
        </w:r>
      </w:hyperlink>
    </w:p>
    <w:p w14:paraId="211FAE4F" w14:textId="77777777" w:rsidR="001F7233" w:rsidRDefault="00000000">
      <w:pPr>
        <w:spacing w:after="100"/>
      </w:pPr>
      <w:r>
        <w:rPr>
          <w:b/>
        </w:rPr>
        <w:t xml:space="preserve">Kanada: Einwanderung und Ankommen: </w:t>
      </w:r>
      <w:hyperlink w:anchor="tka02">
        <w:r w:rsidR="001F7233">
          <w:rPr>
            <w:color w:val="0563C1"/>
            <w:u w:val="single"/>
          </w:rPr>
          <w:t>Express Entry</w:t>
        </w:r>
      </w:hyperlink>
      <w:r>
        <w:t xml:space="preserve">  ·  </w:t>
      </w:r>
      <w:hyperlink w:anchor="idx_CRS_score">
        <w:r w:rsidR="001F7233">
          <w:rPr>
            <w:color w:val="0563C1"/>
            <w:u w:val="single"/>
          </w:rPr>
          <w:t>CRS score</w:t>
        </w:r>
      </w:hyperlink>
      <w:r>
        <w:t xml:space="preserve">  ·  </w:t>
      </w:r>
      <w:hyperlink w:anchor="idx_LMIA">
        <w:r w:rsidR="001F7233">
          <w:rPr>
            <w:color w:val="0563C1"/>
            <w:u w:val="single"/>
          </w:rPr>
          <w:t>LMIA</w:t>
        </w:r>
      </w:hyperlink>
      <w:r>
        <w:t xml:space="preserve">  ·  </w:t>
      </w:r>
      <w:hyperlink w:anchor="tka03">
        <w:r w:rsidR="001F7233">
          <w:rPr>
            <w:color w:val="0563C1"/>
            <w:u w:val="single"/>
          </w:rPr>
          <w:t>PNP</w:t>
        </w:r>
      </w:hyperlink>
      <w:r>
        <w:t xml:space="preserve">  ·  </w:t>
      </w:r>
      <w:hyperlink w:anchor="tka07">
        <w:r w:rsidR="001F7233">
          <w:rPr>
            <w:color w:val="0563C1"/>
            <w:u w:val="single"/>
          </w:rPr>
          <w:t>SIN</w:t>
        </w:r>
      </w:hyperlink>
      <w:r>
        <w:t xml:space="preserve">  ·  </w:t>
      </w:r>
      <w:hyperlink w:anchor="tka14">
        <w:r w:rsidR="001F7233">
          <w:rPr>
            <w:color w:val="0563C1"/>
            <w:u w:val="single"/>
          </w:rPr>
          <w:t>Mindestalter für Jobs in Kanada</w:t>
        </w:r>
      </w:hyperlink>
      <w:r>
        <w:t xml:space="preserve">  ·  </w:t>
      </w:r>
      <w:hyperlink w:anchor="sponsor_canada">
        <w:r w:rsidR="001F7233">
          <w:rPr>
            <w:color w:val="0563C1"/>
            <w:u w:val="single"/>
          </w:rPr>
          <w:t>Stellen mit LMIA finden</w:t>
        </w:r>
      </w:hyperlink>
    </w:p>
    <w:p w14:paraId="576EE38A" w14:textId="77777777" w:rsidR="001F7233" w:rsidRDefault="00000000">
      <w:pPr>
        <w:spacing w:after="100"/>
      </w:pPr>
      <w:r>
        <w:rPr>
          <w:b/>
        </w:rPr>
        <w:t xml:space="preserve">Australien: Visa und Arbeit: </w:t>
      </w:r>
      <w:hyperlink w:anchor="idx_Subclass_189">
        <w:r w:rsidR="001F7233">
          <w:rPr>
            <w:color w:val="0563C1"/>
            <w:u w:val="single"/>
          </w:rPr>
          <w:t>Subclass 189</w:t>
        </w:r>
      </w:hyperlink>
      <w:r>
        <w:t xml:space="preserve">  ·  </w:t>
      </w:r>
      <w:hyperlink w:anchor="idx_Subclass_190">
        <w:r w:rsidR="001F7233">
          <w:rPr>
            <w:color w:val="0563C1"/>
            <w:u w:val="single"/>
          </w:rPr>
          <w:t>Subclass 190</w:t>
        </w:r>
      </w:hyperlink>
      <w:r>
        <w:t xml:space="preserve">  ·  </w:t>
      </w:r>
      <w:hyperlink w:anchor="idx_Subclass_482___186">
        <w:r w:rsidR="001F7233">
          <w:rPr>
            <w:color w:val="0563C1"/>
            <w:u w:val="single"/>
          </w:rPr>
          <w:t>Subclass 482 / 186</w:t>
        </w:r>
      </w:hyperlink>
      <w:r>
        <w:t xml:space="preserve">  ·  </w:t>
      </w:r>
      <w:hyperlink w:anchor="tau07">
        <w:r w:rsidR="001F7233">
          <w:rPr>
            <w:color w:val="0563C1"/>
            <w:u w:val="single"/>
          </w:rPr>
          <w:t>TFN</w:t>
        </w:r>
      </w:hyperlink>
      <w:r>
        <w:t xml:space="preserve">  ·  </w:t>
      </w:r>
      <w:hyperlink w:anchor="tau08">
        <w:r w:rsidR="001F7233">
          <w:rPr>
            <w:color w:val="0563C1"/>
            <w:u w:val="single"/>
          </w:rPr>
          <w:t>Medicare</w:t>
        </w:r>
      </w:hyperlink>
      <w:r>
        <w:t xml:space="preserve">  ·  </w:t>
      </w:r>
      <w:hyperlink w:anchor="tau16">
        <w:r w:rsidR="001F7233">
          <w:rPr>
            <w:color w:val="0563C1"/>
            <w:u w:val="single"/>
          </w:rPr>
          <w:t>DASP</w:t>
        </w:r>
      </w:hyperlink>
      <w:r>
        <w:t xml:space="preserve">  ·  </w:t>
      </w:r>
      <w:hyperlink w:anchor="sponsor_australia">
        <w:r w:rsidR="001F7233">
          <w:rPr>
            <w:color w:val="0563C1"/>
            <w:u w:val="single"/>
          </w:rPr>
          <w:t>Arbeitgeber-Sponsoring finden</w:t>
        </w:r>
      </w:hyperlink>
    </w:p>
    <w:p w14:paraId="541C12FA" w14:textId="77777777" w:rsidR="001F7233" w:rsidRDefault="00000000">
      <w:pPr>
        <w:spacing w:after="100"/>
      </w:pPr>
      <w:r>
        <w:rPr>
          <w:b/>
        </w:rPr>
        <w:t xml:space="preserve">Neuseeland: Visa und Leistungen: </w:t>
      </w:r>
      <w:hyperlink w:anchor="tnz14">
        <w:r w:rsidR="001F7233">
          <w:rPr>
            <w:color w:val="0563C1"/>
            <w:u w:val="single"/>
          </w:rPr>
          <w:t>AEWV</w:t>
        </w:r>
      </w:hyperlink>
      <w:r>
        <w:t xml:space="preserve">  ·  </w:t>
      </w:r>
      <w:hyperlink w:anchor="tnz02">
        <w:r w:rsidR="001F7233">
          <w:rPr>
            <w:color w:val="0563C1"/>
            <w:u w:val="single"/>
          </w:rPr>
          <w:t>SMC</w:t>
        </w:r>
      </w:hyperlink>
      <w:r>
        <w:t xml:space="preserve">  ·  </w:t>
      </w:r>
      <w:hyperlink w:anchor="idx_Green_List">
        <w:r w:rsidR="001F7233">
          <w:rPr>
            <w:color w:val="0563C1"/>
            <w:u w:val="single"/>
          </w:rPr>
          <w:t>Green List</w:t>
        </w:r>
      </w:hyperlink>
      <w:r>
        <w:t xml:space="preserve">  ·  </w:t>
      </w:r>
      <w:hyperlink w:anchor="tnz07">
        <w:r w:rsidR="001F7233">
          <w:rPr>
            <w:color w:val="0563C1"/>
            <w:u w:val="single"/>
          </w:rPr>
          <w:t>IRD</w:t>
        </w:r>
      </w:hyperlink>
      <w:r>
        <w:t xml:space="preserve">  ·  </w:t>
      </w:r>
      <w:hyperlink w:anchor="idx_KiwiSaver">
        <w:r w:rsidR="001F7233">
          <w:rPr>
            <w:color w:val="0563C1"/>
            <w:u w:val="single"/>
          </w:rPr>
          <w:t>KiwiSaver</w:t>
        </w:r>
      </w:hyperlink>
      <w:r>
        <w:t xml:space="preserve">  ·  </w:t>
      </w:r>
      <w:hyperlink w:anchor="tnz08">
        <w:r w:rsidR="001F7233">
          <w:rPr>
            <w:color w:val="0563C1"/>
            <w:u w:val="single"/>
          </w:rPr>
          <w:t>ACC</w:t>
        </w:r>
      </w:hyperlink>
      <w:r>
        <w:t xml:space="preserve">  ·  </w:t>
      </w:r>
      <w:hyperlink w:anchor="sponsor_nz">
        <w:r w:rsidR="001F7233">
          <w:rPr>
            <w:color w:val="0563C1"/>
            <w:u w:val="single"/>
          </w:rPr>
          <w:t>Akkreditierte Arbeitgeber finden</w:t>
        </w:r>
      </w:hyperlink>
    </w:p>
    <w:p w14:paraId="5410E599" w14:textId="77777777" w:rsidR="001F7233" w:rsidRDefault="00000000">
      <w:pPr>
        <w:spacing w:after="100"/>
      </w:pPr>
      <w:r>
        <w:rPr>
          <w:b/>
        </w:rPr>
        <w:t xml:space="preserve">Deutschland und Umzug: </w:t>
      </w:r>
      <w:hyperlink w:anchor="idx_Apostille">
        <w:r w:rsidR="001F7233">
          <w:rPr>
            <w:color w:val="0563C1"/>
            <w:u w:val="single"/>
          </w:rPr>
          <w:t>Apostille</w:t>
        </w:r>
      </w:hyperlink>
      <w:r>
        <w:t xml:space="preserve">  ·  </w:t>
      </w:r>
      <w:hyperlink w:anchor="idx_Kindergeld">
        <w:r w:rsidR="001F7233">
          <w:rPr>
            <w:color w:val="0563C1"/>
            <w:u w:val="single"/>
          </w:rPr>
          <w:t>Kindergeld</w:t>
        </w:r>
      </w:hyperlink>
      <w:r>
        <w:t xml:space="preserve">  ·  </w:t>
      </w:r>
      <w:hyperlink w:anchor="idx_Riester">
        <w:r w:rsidR="001F7233">
          <w:rPr>
            <w:color w:val="0563C1"/>
            <w:u w:val="single"/>
          </w:rPr>
          <w:t>Riester</w:t>
        </w:r>
      </w:hyperlink>
      <w:r>
        <w:t xml:space="preserve">  ·  </w:t>
      </w:r>
      <w:hyperlink w:anchor="t0003">
        <w:r w:rsidR="001F7233">
          <w:rPr>
            <w:color w:val="0563C1"/>
            <w:u w:val="single"/>
          </w:rPr>
          <w:t>Abmeldung aus Deutschland</w:t>
        </w:r>
      </w:hyperlink>
      <w:r>
        <w:t xml:space="preserve">  ·  </w:t>
      </w:r>
      <w:hyperlink w:anchor="k22">
        <w:r w:rsidR="001F7233">
          <w:rPr>
            <w:color w:val="0563C1"/>
            <w:u w:val="single"/>
          </w:rPr>
          <w:t>Haustiere mitnehmen</w:t>
        </w:r>
      </w:hyperlink>
    </w:p>
    <w:p w14:paraId="27450430" w14:textId="77777777" w:rsidR="001F7233" w:rsidRDefault="00000000">
      <w:pPr>
        <w:spacing w:after="100"/>
      </w:pPr>
      <w:r>
        <w:rPr>
          <w:b/>
        </w:rPr>
        <w:t xml:space="preserve">Wohnen und Alltagskosten: </w:t>
      </w:r>
      <w:hyperlink w:anchor="k13">
        <w:r w:rsidR="001F7233">
          <w:rPr>
            <w:color w:val="0563C1"/>
            <w:u w:val="single"/>
          </w:rPr>
          <w:t>Mieten in den USA</w:t>
        </w:r>
      </w:hyperlink>
      <w:r>
        <w:t xml:space="preserve">  ·  </w:t>
      </w:r>
      <w:hyperlink w:anchor="k14">
        <w:r w:rsidR="001F7233">
          <w:rPr>
            <w:color w:val="0563C1"/>
            <w:u w:val="single"/>
          </w:rPr>
          <w:t>Hauskauf</w:t>
        </w:r>
      </w:hyperlink>
      <w:r>
        <w:t xml:space="preserve">  ·  </w:t>
      </w:r>
      <w:hyperlink w:anchor="idx_HOA___strata___body_corporat">
        <w:r w:rsidR="001F7233">
          <w:rPr>
            <w:color w:val="0563C1"/>
            <w:u w:val="single"/>
          </w:rPr>
          <w:t>HOA / strata / body corporate</w:t>
        </w:r>
      </w:hyperlink>
      <w:r>
        <w:t xml:space="preserve">  ·  </w:t>
      </w:r>
      <w:hyperlink w:anchor="Wohnform_Check_USA">
        <w:r w:rsidR="001F7233">
          <w:rPr>
            <w:color w:val="0563C1"/>
            <w:u w:val="single"/>
          </w:rPr>
          <w:t>Housing, lot and coastal risk</w:t>
        </w:r>
      </w:hyperlink>
      <w:r>
        <w:t xml:space="preserve">  ·  </w:t>
      </w:r>
      <w:hyperlink w:anchor="idx_Termites">
        <w:r w:rsidR="001F7233">
          <w:rPr>
            <w:color w:val="0563C1"/>
            <w:u w:val="single"/>
          </w:rPr>
          <w:t>Termites</w:t>
        </w:r>
      </w:hyperlink>
      <w:r>
        <w:t xml:space="preserve">  ·  </w:t>
      </w:r>
      <w:hyperlink w:anchor="k36">
        <w:r w:rsidR="001F7233">
          <w:rPr>
            <w:color w:val="0563C1"/>
            <w:u w:val="single"/>
          </w:rPr>
          <w:t>Schulbezirke</w:t>
        </w:r>
      </w:hyperlink>
      <w:r>
        <w:t xml:space="preserve">  ·  </w:t>
      </w:r>
      <w:hyperlink w:anchor="k40">
        <w:r w:rsidR="001F7233">
          <w:rPr>
            <w:color w:val="0563C1"/>
            <w:u w:val="single"/>
          </w:rPr>
          <w:t>Small Claims / Insolvenz</w:t>
        </w:r>
      </w:hyperlink>
    </w:p>
    <w:p w14:paraId="1DBE649B" w14:textId="77777777" w:rsidR="001F7233" w:rsidRDefault="001F7233">
      <w:pPr>
        <w:spacing w:after="100"/>
      </w:pPr>
      <w:hyperlink w:anchor="density_countries">
        <w:r>
          <w:rPr>
            <w:color w:val="0563C1"/>
            <w:u w:val="single"/>
          </w:rPr>
          <w:t>Bevölkerungsdichte und Einwohnerzahl</w:t>
        </w:r>
      </w:hyperlink>
    </w:p>
    <w:p w14:paraId="2C264682" w14:textId="77777777" w:rsidR="001F7233" w:rsidRDefault="00000000">
      <w:r>
        <w:t xml:space="preserve">Anhang J: Gemeinsame Alltagsthemen — Wohnen · Gesundheit · Mobilität · Arbeit · Haushalt · Familie — </w:t>
      </w:r>
      <w:hyperlink w:anchor="Gemeinsame_Alltagsthemen">
        <w:r w:rsidR="001F7233">
          <w:rPr>
            <w:color w:val="0563C1"/>
            <w:u w:val="single"/>
          </w:rPr>
          <w:t>direkt öffnen</w:t>
        </w:r>
      </w:hyperlink>
      <w:r>
        <w:br w:type="page"/>
      </w:r>
    </w:p>
    <w:p w14:paraId="536BA58B" w14:textId="77777777" w:rsidR="001F7233" w:rsidRDefault="00000000">
      <w:pPr>
        <w:pStyle w:val="Heading2"/>
      </w:pPr>
      <w:bookmarkStart w:id="165" w:name="Gemeinsame_Alltagsthemen"/>
      <w:bookmarkEnd w:id="165"/>
      <w:r>
        <w:lastRenderedPageBreak/>
        <w:t>Anhang J: Gemeinsame Alltagsthemen</w:t>
      </w:r>
    </w:p>
    <w:p w14:paraId="63BAA7CD" w14:textId="77777777" w:rsidR="001F7233" w:rsidRDefault="00000000">
      <w:r>
        <w:t>Die Länderpfade beantworten die Regeln und Abläufe des gewählten Ziellands. Dieser optionale Abschnitt sammelt nur praktische Hinweise, die in mehreren Ländern gleich funktionieren oder sich direkt vergleichen lassen. Lies nach der Länderwahl den passenden Pfad; hierher springst du nur für diese gemeinsamen Alltagsthemen.</w:t>
      </w:r>
    </w:p>
    <w:p w14:paraId="0AC4494E" w14:textId="77777777" w:rsidR="001F7233" w:rsidRDefault="00000000">
      <w:pPr>
        <w:pStyle w:val="Heading3"/>
      </w:pPr>
      <w:bookmarkStart w:id="166" w:name="J_Wohnen"/>
      <w:r>
        <w:t>Wohnen und Nachbarschaft</w:t>
      </w:r>
      <w:bookmarkEnd w:id="166"/>
    </w:p>
    <w:p w14:paraId="273CE30B" w14:textId="77777777" w:rsidR="001F7233" w:rsidRDefault="00000000">
      <w:pPr>
        <w:pStyle w:val="Heading4"/>
      </w:pPr>
      <w:r>
        <w:t>Zäune, Grundstücksgrenzen und Nachbarschaftsruhe</w:t>
      </w:r>
    </w:p>
    <w:p w14:paraId="65DEEF31" w14:textId="77777777" w:rsidR="001F7233" w:rsidRDefault="00000000">
      <w:r>
        <w:t>Es gibt keine verlässliche landesweite Regel, ob Nachbargrundstücke mit Holzzaun, Metall- oder Steinmauer, Hecke oder gar keiner sichtbaren Einfriedung voneinander getrennt sind. Das ändert sich von Stadtteil zu Stadtteil und hängt unter anderem von Bauart, Klima, Grundstücksgröße, örtlichem Recht, Vermieter und HOA/Strata-Regeln ab. Ein fehlender Zaun bedeutet weder, dass die Fläche gemeinschaftlich ist, noch dass Haustiere sicher sind. Vor Kauf oder Miete kläre die vermessene Grundstücksgrenze, erlaubte Höhe und Bauart, Genehmigungen, Kosten und Reparaturpflichten. Lass bei Unsicherheit einen Grenzverlauf fachlich feststellen. Prüfe für Ruhe und Privatsphäre die örtliche Lärmschutzregel, Mietvertrag und Gemeinschaftsordnung. Besuche die Straße morgens, abends und am Wochenende: Verkehr, Hundegebell, spielende Kinder, Gartenarbeiten und Nachbarschaftstreffen klingen je nach Tageszeit anders. Frage, ob Hunde angeleint oder frei im Garten gehalten werden dürfen und wer für eine sichere Einfriedung verantwortlich ist.</w:t>
      </w:r>
    </w:p>
    <w:p w14:paraId="348B0E9B" w14:textId="77777777" w:rsidR="001F7233" w:rsidRDefault="00000000">
      <w:pPr>
        <w:pStyle w:val="Heading4"/>
      </w:pPr>
      <w:r>
        <w:t>Wohnen: Mieten, kaufen und mobil leben</w:t>
      </w:r>
    </w:p>
    <w:p w14:paraId="55BC280C" w14:textId="77777777" w:rsidR="001F7233" w:rsidRDefault="00000000">
      <w:pPr>
        <w:pStyle w:val="Heading5"/>
      </w:pPr>
      <w:r>
        <w:t>Laufende Kosten von Miete und Kauf</w:t>
      </w:r>
    </w:p>
    <w:p w14:paraId="2E594919" w14:textId="77777777" w:rsidR="001F7233" w:rsidRDefault="00000000">
      <w:r>
        <w:t xml:space="preserve">Mieten hält den Umzug beweglich und lässt Reparaturen meist beim Eigentümer. Kaufen kann Eigenkapital aufbauen, bindet aber Geld, Kreditwürdigkeit und Alltag an einen Ort. Eigenkapital ist kein </w:t>
      </w:r>
      <w:r>
        <w:lastRenderedPageBreak/>
        <w:t>garantierter Gewinn: Zinsen, Steuern, Versicherung, Instandhaltung, Verkaufskosten und mögliche Wertverluste gehören in die Rechnung. Rechne die gesamte Monatslast aus Kredit, Grundsteuer, Versicherung, HOA/Strata, Nebenkosten, Instandhaltung und Fahrtkosten und halte Rücklagen. Erst mieten und Gegend, Pendelweg und Regeln testen, bevor du kaufst.</w:t>
      </w:r>
    </w:p>
    <w:p w14:paraId="32561DC6" w14:textId="77777777" w:rsidR="001F7233" w:rsidRDefault="00000000">
      <w:pPr>
        <w:pStyle w:val="Heading5"/>
      </w:pPr>
      <w:r>
        <w:t>Grundstück und Nutzungsrecht</w:t>
      </w:r>
    </w:p>
    <w:p w14:paraId="2CC0F8AB" w14:textId="77777777" w:rsidR="001F7233" w:rsidRDefault="00000000">
      <w:r>
        <w:t>Bei Grundstücken vergleiche Fläche und Nutzungsrecht, nicht nur den Kaufpreis: Erschließung, Wasser/Abwasser, Zufahrt, Hochwasser, Feuer- oder Sturmrisiko, Zoning und HOA/Strata/Body-Corporate-Regeln können den scheinbaren Schnäppchenkauf verteuern. Ein günstiger Randlagenkauf kann durch Erschließung, Wasser/Abwasser, Bodenarbeiten und Pendeln teuer werden.</w:t>
      </w:r>
    </w:p>
    <w:p w14:paraId="02107365" w14:textId="77777777" w:rsidR="001F7233" w:rsidRDefault="00000000">
      <w:pPr>
        <w:pStyle w:val="Heading5"/>
      </w:pPr>
      <w:r>
        <w:t>Mobile Homes und dauerhaftes Wohnen im Fahrzeug</w:t>
      </w:r>
    </w:p>
    <w:p w14:paraId="4C2790CE" w14:textId="77777777" w:rsidR="001F7233" w:rsidRDefault="00000000">
      <w:r>
        <w:t>Ein Mobile Home/Manufactured Home auf gemietetem Grundstück trennt Haus und Land. Prüfe schriftlich Lot Rent, Erhöhungen, Laufzeit, Kündigungs- und Umzugsrecht, Versorgungsanschlüsse, Parkregeln, Versicherung und Wiederverkauf. Das Haus kann an Wert verlieren, während die Platzmiete steigt. Ein Caravan/RV-Stellplatz ist nicht automatisch ein legaler dauerhafter Wohnsitz.</w:t>
      </w:r>
    </w:p>
    <w:p w14:paraId="24EB01A3" w14:textId="77777777" w:rsidR="001F7233" w:rsidRDefault="00000000">
      <w:pPr>
        <w:pStyle w:val="Heading5"/>
      </w:pPr>
      <w:r>
        <w:t>Zusätzliche Wohnfläche: Geschosse, Keller und Dachboden</w:t>
      </w:r>
    </w:p>
    <w:p w14:paraId="66AA89AD" w14:textId="77777777" w:rsidR="001F7233" w:rsidRDefault="00000000">
      <w:r>
        <w:t>Bei teurem Bauland kann ein kleineres Grundstück mit zwei oder drei Geschossen mehr Wohnfläche schaffen. Prüfe vorher Höhen- und Flächenlimits, Abstände, Treppen, Statik, Brandschutz und Baukosten.</w:t>
      </w:r>
    </w:p>
    <w:p w14:paraId="3770AC48" w14:textId="77777777" w:rsidR="001F7233" w:rsidRDefault="00000000">
      <w:r>
        <w:t>Ob ein Keller vorhanden oder sinnvoll nutzbar ist, hängt von Region, Bauweise und Grundstück ab. Grundwasser, Hochwasser, Fels, schwieriger Boden, Erdbebenregeln und Feuchtigkeit können dagegen sprechen. Kalte Regionen haben häufiger Keller, warme oder hochwassergefährdete Gegenden öfter Bodenplatte oder Kriechkeller. Auch ein Dachboden ist nicht automatisch nutzbarer Stauraum: Dachbinder, Dämmung, Lüftung und Zugang können ihn ausschließen. Wohnraum braucht meist Genehmigung und bauliche Anpassung.</w:t>
      </w:r>
    </w:p>
    <w:p w14:paraId="788E1859" w14:textId="77777777" w:rsidR="001F7233" w:rsidRDefault="00000000">
      <w:pPr>
        <w:pStyle w:val="Heading3"/>
      </w:pPr>
      <w:r>
        <w:lastRenderedPageBreak/>
        <w:t>Gesundheit im Alltag</w:t>
      </w:r>
    </w:p>
    <w:p w14:paraId="7E49187F" w14:textId="77777777" w:rsidR="001F7233" w:rsidRDefault="00000000">
      <w:pPr>
        <w:pStyle w:val="Heading4"/>
      </w:pPr>
      <w:r>
        <w:t>Durchfall: Selbsthilfe und Warnzeichen</w:t>
      </w:r>
    </w:p>
    <w:p w14:paraId="553DBE3D" w14:textId="77777777" w:rsidR="001F7233" w:rsidRDefault="00000000">
      <w:r>
        <w:t>Pepto-Bismol (Bismutsubsalicylat) kann kurzfristig milden Durchfall und Magenverstimmung lindern, ersetzt aber keine Flüssigkeit. Zunge und Stuhl können sich harmlos dunkel färben. Bei Aspirinallergie, Blutverdünnern, Nierenproblemen, Geschwür oder Blutungsneigung, Schwangerschaft und bei Kindern/Jugendlichen erst die Apotheke fragen. Altersgrenzen unterscheiden sich nach Land und Produkt. Bei Fieber oder Blut im Stuhl nicht selbst behandeln.</w:t>
      </w:r>
    </w:p>
    <w:p w14:paraId="3CB81EF9" w14:textId="77777777" w:rsidR="001F7233" w:rsidRDefault="00000000">
      <w:pPr>
        <w:pStyle w:val="Heading3"/>
      </w:pPr>
      <w:bookmarkStart w:id="167" w:name="J_Mobilitaet"/>
      <w:r>
        <w:t>Mobilität und Sicherheit</w:t>
      </w:r>
      <w:bookmarkEnd w:id="167"/>
    </w:p>
    <w:p w14:paraId="7E89171C" w14:textId="77777777" w:rsidR="001F7233" w:rsidRDefault="00000000">
      <w:pPr>
        <w:pStyle w:val="Heading4"/>
      </w:pPr>
      <w:r>
        <w:t>Schwere Fahrzeugmängel und Unfall mit Todesfolge</w:t>
      </w:r>
    </w:p>
    <w:p w14:paraId="6C489983" w14:textId="77777777" w:rsidR="001F7233" w:rsidRDefault="00000000">
      <w:r>
        <w:t>Ein Mangel macht eine Versicherung nicht automatisch unwirksam. Wichtig sind Unfallursache, Kenntnis des Mangels, Vertrag und lokales Pflichtversicherungsrecht; Haftpflicht und Eigenschaden können anders behandelt werden. Bei Bremsen, Reifen, Lenkung oder Struktur: nicht weiterfahren, abschleppen und Befund sichern. Führt ein Unfall zum Tod, untersuchen Polizei und Staatsanwaltschaft, ob ein Verkehrs- oder Tötungsdelikt vorliegt. US-Staaten haben unterschiedliche „vehicular manslaughter“-Tatbestände; Kanada kennt unter anderem „causing death by criminal negligence“. Australien und NZ haben eigene gefährliches/fahrlässiges Fahren mit Todesfolge. Unfall oder Defekt allein beweist keine Straftat. Versicherer und örtliche Strafverteidigung sofort kontaktieren.</w:t>
      </w:r>
    </w:p>
    <w:p w14:paraId="383618AC" w14:textId="77777777" w:rsidR="001F7233" w:rsidRDefault="00000000">
      <w:pPr>
        <w:pStyle w:val="Heading4"/>
      </w:pPr>
      <w:r>
        <w:t>Bus, U-Bahn und Sicherheit: die konkrete Strecke testen</w:t>
      </w:r>
    </w:p>
    <w:p w14:paraId="0E5D4F7C" w14:textId="77777777" w:rsidR="001F7233" w:rsidRDefault="00000000">
      <w:r>
        <w:t xml:space="preserve">Wer Bus oder U-Bahn nutzt, ist nicht automatisch ohne Alternativen: Pendler, Schüler, Beschäftigte und ältere Menschen fahren aus verschiedenen Gründen. Komfort und Risiko ändern sich aber nach Linie, Uhrzeit und Haltestelle. Fahre die eigene Strecke probeweise, prüfe Takt, letzte Abfahrt, Beleuchtung, Umstieg und Störungen. In </w:t>
      </w:r>
      <w:r>
        <w:lastRenderedPageBreak/>
        <w:t>dichtem Zentrum kann Transit Auto und Parkplatz schlagen. In äußeren oder ländlichen Gebieten fährt ein Bus vielleicht selten. Entscheide nach deinem realen Weg, nicht nach dem Ruf des Systems.</w:t>
      </w:r>
    </w:p>
    <w:p w14:paraId="2CBF0916" w14:textId="77777777" w:rsidR="001F7233" w:rsidRDefault="00000000">
      <w:pPr>
        <w:pStyle w:val="Heading4"/>
      </w:pPr>
      <w:r>
        <w:t>E-Auto laden und Wasserstoff prüfen</w:t>
      </w:r>
    </w:p>
    <w:p w14:paraId="37CC5DF2" w14:textId="77777777" w:rsidR="001F7233" w:rsidRDefault="00000000">
      <w:r>
        <w:t>Vor dem Kauf eines E-Autos klärst du Stellplatz, Heimladen, Genehmigung in Mietwohnung/HOA/Strata/Condo, Steckertyp, öffentliche Netze, Apps und Zahlungswege. Eine Wallbox erfordert fachgerechte Installation; öffentliches Schnellladen kostet meist mehr als zu Hause. In Kanada Winterreichweite einplanen; in Australien und NZ Langstrecken-Ladepunkte und Ausweichmöglichkeit prüfen. Wasserstoff-Brennstoffzellenautos existieren, doch Tankstellen sind dünn und ortsgebunden: erst offizielle Stationskarte für Wohnort und Alltagsrouten prüfen, dann über Kauf nachdenken.</w:t>
      </w:r>
    </w:p>
    <w:p w14:paraId="363CD54C" w14:textId="77777777" w:rsidR="001F7233" w:rsidRDefault="00000000">
      <w:pPr>
        <w:pStyle w:val="Heading3"/>
      </w:pPr>
      <w:bookmarkStart w:id="168" w:name="J_Arbeit"/>
      <w:r>
        <w:t>Arbeit und digitale Werkzeuge</w:t>
      </w:r>
      <w:bookmarkEnd w:id="168"/>
    </w:p>
    <w:p w14:paraId="56CF89EB" w14:textId="77777777" w:rsidR="001F7233" w:rsidRDefault="00000000">
      <w:pPr>
        <w:pStyle w:val="Heading4"/>
      </w:pPr>
      <w:r>
        <w:t>Jobsuche: LinkedIn, lokale Stellenbörsen und ein sauberes Profil</w:t>
      </w:r>
    </w:p>
    <w:p w14:paraId="72EAD6E2" w14:textId="77777777" w:rsidR="001F7233" w:rsidRDefault="00000000">
      <w:r>
        <w:t>Nutze LinkedIn für Kontakte und Bewerbungen, aber suche auch direkt auf Arbeitgeber-Webseiten und bei Berufsverbänden. Lege eine E-Mail-Adresse mit deinem Namen an, prüfe Spam-Ordner und Voicemail und speichere deinen Lebenslauf als gut lesbares PDF. Passe Format und Foto an Land und Branche an. Prüfe vor einer Bewerbung, ob dein Aufenthaltsstatus Arbeit erlaubt und ob der Arbeitgeber den nötigen Visumweg unterstützt.</w:t>
      </w:r>
    </w:p>
    <w:p w14:paraId="36428620" w14:textId="77777777" w:rsidR="001F7233" w:rsidRDefault="00000000">
      <w:pPr>
        <w:pStyle w:val="Heading4"/>
      </w:pPr>
      <w:r>
        <w:t>Digitale Werkzeuge: Was dein Zielberuf tatsächlich verlangt</w:t>
      </w:r>
    </w:p>
    <w:p w14:paraId="3120545D" w14:textId="77777777" w:rsidR="001F7233" w:rsidRDefault="00000000">
      <w:r>
        <w:t>Welche digitalen Werkzeuge dir helfen, hängt von deinem Zielberuf ab. Sammle Stellenanzeigen aus deiner Zielregion und notiere, welche Kenntnisse wiederholt verlangt werden. Wähle danach eine Weiterbildung und zeige die Anwendung an einem kleinen, nachvollziehbaren Projekt.</w:t>
      </w:r>
    </w:p>
    <w:p w14:paraId="40514C5A" w14:textId="77777777" w:rsidR="001F7233" w:rsidRDefault="00000000">
      <w:pPr>
        <w:pStyle w:val="Heading3"/>
      </w:pPr>
      <w:r>
        <w:lastRenderedPageBreak/>
        <w:t>Haushalt und Nachbarschaft</w:t>
      </w:r>
    </w:p>
    <w:p w14:paraId="09EAE700" w14:textId="77777777" w:rsidR="001F7233" w:rsidRDefault="00000000">
      <w:pPr>
        <w:pStyle w:val="Heading4"/>
      </w:pPr>
      <w:r>
        <w:t>Fundraising, Haustürbesuche und Straßenansprachen</w:t>
      </w:r>
    </w:p>
    <w:p w14:paraId="13AC975C" w14:textId="77777777" w:rsidR="001F7233" w:rsidRDefault="00000000">
      <w:r>
        <w:t>Limonadenstände, mexikanisches Essen, Kaffee- oder Kuchenverkauf können Schul-, Vereins- oder persönliche Spendenaktionen sein, etwa um Operationskosten zu finanzieren. Das ist nicht automatisch ein Betrug; prüfe aber, wer organisiert, wofür gesammelt wird und ob eine Schule, Klinik oder gemeinnützige Organisation die Aktion bestätigt. Bei Lebensmitteln können lokale Gesundheits-, Veranstaltungs-, Miet- oder Straßenverkaufsregeln gelten, besonders bei Fleisch, warm gehaltenen Speisen und gewerblichem Verkauf. Haustürbesuche können von Glaubensgemeinschaften, Clubs, Wohltätigkeitsorganisationen, Fundraisern oder Verkäufern kommen. Du darfst höflich ablehnen, musst die Tür nicht öffnen und kannst eine Organisation über deren offizielle Website prüfen. Beachte örtliche Regeln zu „No Soliciting/No Canvassing“-Schildern. Sie unterscheiden sich nach Ort, Gebäude und Art der Ansprache. Gib keine Zahlungsdaten oder Zugangscodes an der Tür heraus.</w:t>
      </w:r>
    </w:p>
    <w:p w14:paraId="5F376C47" w14:textId="77777777" w:rsidR="001F7233" w:rsidRDefault="00000000">
      <w:pPr>
        <w:pStyle w:val="Heading4"/>
      </w:pPr>
      <w:r>
        <w:t>Zu Hause kochen wie vor Ort: Vorrat, Maße und Saison</w:t>
      </w:r>
    </w:p>
    <w:p w14:paraId="6C41C10C" w14:textId="77777777" w:rsidR="001F7233" w:rsidRDefault="00000000">
      <w:r>
        <w:t>Beginne mit dem, was die Nachbarn tatsächlich kaufen: Haferflocken, Brot, Eier, Milchprodukte oder Alternativen, Hülsenfrüchte, Reis, Kartoffeln und saisonales Gemüse. Eigenmarken, Wochenangebote und Bauernmärkte helfen beim Preisvergleich; ein US-Rezept rechnet oft mit Cups und Fahrenheit, Kanada mischt Maße, Australien und Neuseeland verwenden überwiegend Gramm und Celsius. Nutze eine Küchenwaage und prüfe Ofentemperatur, Portionsgröße und Packungsangabe, statt deutsche Mengen blind zu übertragen. Jahreszeiten sind auf der Südhalbkugel umgekehrt; heimische Obstsorten und Preise wechseln mit Region und Saison. Ein vertrautes Gericht gelingt oft mit örtlichem Gemüse und einer anderen Käsesorte. Das ist lokale Küche im Alltag, kein kulinarischer Eignungstest.</w:t>
      </w:r>
    </w:p>
    <w:p w14:paraId="3197E0B9" w14:textId="77777777" w:rsidR="001F7233" w:rsidRDefault="00000000">
      <w:pPr>
        <w:pStyle w:val="Heading5"/>
      </w:pPr>
      <w:r>
        <w:t>Eigene Hühner für Frühstückseier</w:t>
      </w:r>
    </w:p>
    <w:p w14:paraId="2A94DA52" w14:textId="77777777" w:rsidR="001F7233" w:rsidRDefault="00000000">
      <w:r>
        <w:lastRenderedPageBreak/>
        <w:t>Legehennen brauchen keinen Hahn, legen aber nicht das ganze Jahr gleich viele Eier. Futter, Stall, Einstreu, Schutz vor Wetter und Fressfeinden, Reinigung und Tierarzt gehören in die Rechnung. Die Versorgung muss auch während jeder Reise gesichert sein. Vor dem Kauf prüfst du beim örtlichen Council oder der Gemeinde die Regeln zu Wohnzone, Tierzahl, Stall, Abstand, Hähnen, Geruch und Lärm sowie Mietvertrag und falls nötig HOA/Strata/Body Corporate. Ein Hahn ist für Eier nicht nötig und im Wohngebiet oft der Streitpunkt. In den USA bietet University of Minnesota Extension einen kompakten Einstieg in Fütterung, Unterbringung und tägliche Arbeit: extension.umn.edu/agriculture/animals-and-livestock/poultry/raising-chickens-for-eggs. Die örtliche Regel deiner Stadt oder deines Countys entscheidet.</w:t>
      </w:r>
    </w:p>
    <w:p w14:paraId="2B884FB6" w14:textId="77777777" w:rsidR="001F7233" w:rsidRDefault="00000000">
      <w:pPr>
        <w:pStyle w:val="Heading4"/>
      </w:pPr>
      <w:r>
        <w:t>Alarmanlagen und Notrufsysteme</w:t>
      </w:r>
    </w:p>
    <w:p w14:paraId="2766BD61" w14:textId="77777777" w:rsidR="001F7233" w:rsidRDefault="00000000">
      <w:r>
        <w:t>Bei Alarmanlagen vergleiche Kaufpreis, Installation, monatliche Überwachung, Mindestlaufzeit, automatische Verlängerung und Kündigungsweg. Prüfe, was bei Strom- oder Internetausfall und Fehlalarm geschieht, ob eine örtliche Alarmgenehmigung nötig ist und welche Gebühren für Fehlalarme entstehen können. Lass dir Reaktionsweg und Weitergabe von Kamera- oder Sensordaten schriftlich erklären. Als Mieter brauchst du falls nötig Zustimmung für Bohrungen, Außenkameras oder gemeinschaftliche Flächen. Rauch- und CO-Melder sind davon getrennt zu behandeln: prüfe die örtlichen Bau-, Miet- und Brandschutzregeln. Für ältere Menschen oder Personen mit Sturzrisiko kann ein persönlicher Notrufknopf sinnvoll sein. Prüfe vor Vertragsabschluss Mobilfunkabdeckung, Sturzerkennung und deren Grenzen, erreichbare Kontaktpersonen, Notrufweiterleitung, Akku, Tragekomfort, Probealarm und Kündigung. Ein Haushaltsalarm erkennt nicht automatisch einen medizinischen Notfall.</w:t>
      </w:r>
    </w:p>
    <w:p w14:paraId="2B7BF7EC" w14:textId="77777777" w:rsidR="001F7233" w:rsidRDefault="00000000">
      <w:pPr>
        <w:pStyle w:val="Heading3"/>
      </w:pPr>
      <w:bookmarkStart w:id="169" w:name="J_Familie"/>
      <w:r>
        <w:t>Familie, Entfernung und Sprache</w:t>
      </w:r>
      <w:bookmarkEnd w:id="169"/>
    </w:p>
    <w:p w14:paraId="4DE2EFBA" w14:textId="77777777" w:rsidR="001F7233" w:rsidRDefault="00000000">
      <w:pPr>
        <w:pStyle w:val="Heading4"/>
      </w:pPr>
      <w:r>
        <w:t>Heimatbesuche rechtzeitig planen</w:t>
      </w:r>
    </w:p>
    <w:p w14:paraId="161387FE" w14:textId="77777777" w:rsidR="001F7233" w:rsidRDefault="00000000">
      <w:r>
        <w:lastRenderedPageBreak/>
        <w:t>• Buche Heimatbesuche über Weihnachten oder andere große Feiertage Monate im Voraus, nicht im akuten Tief. Wer erst im November für Weihnachten sucht, findet entweder nichts oder zahlt den Aufpreis für die eigene Verzweiflung gleich mit.</w:t>
      </w:r>
    </w:p>
    <w:p w14:paraId="0654D173" w14:textId="77777777" w:rsidR="001F7233" w:rsidRDefault="00000000">
      <w:pPr>
        <w:pStyle w:val="Heading4"/>
      </w:pPr>
      <w:r>
        <w:t>Kontakt und Vorsorge über die Distanz</w:t>
      </w:r>
    </w:p>
    <w:p w14:paraId="7EF3E8C3" w14:textId="77777777" w:rsidR="001F7233" w:rsidRDefault="00000000">
      <w:r>
        <w:t>• Die Entfernung selbst lässt sich nicht wegorganisieren, wohl aber ihre Folgen: feste Rituale statt spontaner Nähe, geplante statt improvisierte Heimreisen, eine Vollmacht statt eines hastigen Anrufs im Notfall.</w:t>
      </w:r>
    </w:p>
    <w:p w14:paraId="6E3585AF" w14:textId="77777777" w:rsidR="001F7233" w:rsidRDefault="00000000">
      <w:pPr>
        <w:pStyle w:val="Heading4"/>
      </w:pPr>
      <w:r>
        <w:t>Sprachlücke ist nicht Lernschwäche</w:t>
      </w:r>
    </w:p>
    <w:p w14:paraId="16568CBA" w14:textId="77777777" w:rsidR="001F7233" w:rsidRDefault="00000000">
      <w:r>
        <w:t>• 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p w14:paraId="116182AE" w14:textId="77777777" w:rsidR="001F7233" w:rsidRDefault="00000000">
      <w:pPr>
        <w:pStyle w:val="Heading4"/>
      </w:pPr>
      <w:r>
        <w:t>Englisch mit vertrauten Serien üben</w:t>
      </w:r>
    </w:p>
    <w:p w14:paraId="64DF0F25" w14:textId="77777777" w:rsidR="001F7233" w:rsidRDefault="00000000">
      <w:pPr>
        <w:spacing w:after="140"/>
      </w:pPr>
      <w:r>
        <w:t>Eine mögliche Übung ist, eine bereits bekannte Serie gemeinsam auf Englisch anzuschauen. Wähle Tempo und Untertitel passend zum Alter und Sprachstand deines Kindes.</w:t>
      </w:r>
      <w:r>
        <w:br w:type="page"/>
      </w:r>
    </w:p>
    <w:p w14:paraId="5C54F8A6" w14:textId="77777777" w:rsidR="001F7233" w:rsidRDefault="00000000">
      <w:pPr>
        <w:pStyle w:val="Heading2"/>
        <w:keepNext/>
        <w:spacing w:line="341" w:lineRule="auto"/>
        <w:jc w:val="center"/>
      </w:pPr>
      <w:bookmarkStart w:id="170" w:name="s119"/>
      <w:r>
        <w:rPr>
          <w:rFonts w:ascii="Amazon Ember" w:eastAsia="Amazon Ember" w:hAnsi="Amazon Ember" w:cs="Amazon Ember"/>
          <w:color w:val="0000FF"/>
          <w:sz w:val="36"/>
          <w:szCs w:val="36"/>
        </w:rPr>
        <w:lastRenderedPageBreak/>
        <w:t>Über den Autor</w:t>
      </w:r>
      <w:bookmarkEnd w:id="170"/>
    </w:p>
    <w:p w14:paraId="42D3DBF6" w14:textId="77777777" w:rsidR="001F7233" w:rsidRDefault="00000000">
      <w:pPr>
        <w:spacing w:after="140"/>
      </w:pPr>
      <w:r>
        <w:t>Kevin Drew Peters ist selbst ausgewandert und pendelt heute zwischen Bayern und Kalifornien. Wegen seines Elternhauses ist Bayern wieder ein fester Teil seines Lebens. Seine Töchter leben in Deutschland, seine Söhne in den USA. Seiner Frau ist das Leben in den USA lieber; er selbst schätzt inzwischen beide Seiten.</w:t>
      </w:r>
      <w:r>
        <w:br w:type="page"/>
      </w:r>
    </w:p>
    <w:p w14:paraId="54AA362C" w14:textId="77777777" w:rsidR="001F7233" w:rsidRDefault="00000000">
      <w:pPr>
        <w:pStyle w:val="Heading2"/>
        <w:keepNext/>
        <w:spacing w:line="341" w:lineRule="auto"/>
        <w:jc w:val="center"/>
      </w:pPr>
      <w:bookmarkStart w:id="171" w:name="s120"/>
      <w:r>
        <w:rPr>
          <w:rFonts w:ascii="Amazon Ember" w:eastAsia="Amazon Ember" w:hAnsi="Amazon Ember" w:cs="Amazon Ember"/>
          <w:color w:val="0000FF"/>
          <w:sz w:val="36"/>
          <w:szCs w:val="36"/>
        </w:rPr>
        <w:lastRenderedPageBreak/>
        <w:t>Eine kleine Bitte</w:t>
      </w:r>
      <w:bookmarkEnd w:id="171"/>
    </w:p>
    <w:p w14:paraId="20ED0C9B" w14:textId="77777777" w:rsidR="001F7233" w:rsidRDefault="00000000">
      <w:pPr>
        <w:spacing w:after="140"/>
      </w:pPr>
      <w:r>
        <w:t>Wenn dir dieses Buch bei deiner Entscheidung geholfen hat, kannst du anderen Lesern mit einer Rezension auf der Verkaufsseite helfen. Besonders nützlich sind konkrete Hinweise dazu, welche Entscheidung oder welcher praktische Schritt dir weitergeholfen hat.</w:t>
      </w:r>
    </w:p>
    <w:p w14:paraId="410948E3" w14:textId="77777777" w:rsidR="001F7233" w:rsidRDefault="00000000">
      <w:pPr>
        <w:spacing w:after="140"/>
      </w:pPr>
      <w:r>
        <w:t>Ein Satz genügt. Zum Beispiel: Was hat dir am meisten Zeit oder Geld gespart?</w:t>
      </w:r>
      <w:r>
        <w:br w:type="page"/>
      </w:r>
    </w:p>
    <w:p w14:paraId="1C3DF73F" w14:textId="77777777" w:rsidR="001F7233" w:rsidRDefault="00000000">
      <w:pPr>
        <w:pStyle w:val="Heading2"/>
        <w:keepNext/>
        <w:spacing w:line="341" w:lineRule="auto"/>
        <w:jc w:val="center"/>
      </w:pPr>
      <w:bookmarkStart w:id="172" w:name="s121"/>
      <w:r>
        <w:rPr>
          <w:rFonts w:ascii="Amazon Ember" w:eastAsia="Amazon Ember" w:hAnsi="Amazon Ember" w:cs="Amazon Ember"/>
          <w:color w:val="0000FF"/>
          <w:sz w:val="36"/>
          <w:szCs w:val="36"/>
        </w:rPr>
        <w:lastRenderedPageBreak/>
        <w:t>Dieses Buch und weitere Titel</w:t>
      </w:r>
      <w:bookmarkEnd w:id="172"/>
    </w:p>
    <w:p w14:paraId="1042EA01" w14:textId="77777777" w:rsidR="001F7233" w:rsidRDefault="00000000">
      <w:pPr>
        <w:spacing w:after="140"/>
      </w:pPr>
      <w:r>
        <w:t>Dieses Buch verbindet einen ausführlichen USA-Teil mit drei systematischen Länderpfaden für Kanada, Australien und Neuseeland sowie dem gemeinsamen Deutschland-Teil. Die USA werden bei Visum, Status und Folgefragen tiefer behandelt. Die drei anderen Länder folgen demselben Entscheidungsraster, ohne künstlich auf dieselbe Seitenzahl gebracht zu werden.</w:t>
      </w:r>
    </w:p>
    <w:p w14:paraId="7217F217" w14:textId="77777777" w:rsidR="001F7233" w:rsidRDefault="00000000">
      <w:pPr>
        <w:spacing w:after="140"/>
      </w:pPr>
      <w:r>
        <w:t xml:space="preserve">Gebühren, Beiträge und Steuersätze ändern sich. Die datierten Beträge und Rechenbeispiele in diesem Buch sind Orientierung, keine aktuelle Gebührenliste. Prüfe vor einer Zahlung oder Kündigung die zuständige Stelle: </w:t>
      </w:r>
      <w:hyperlink r:id="rId1149">
        <w:r w:rsidR="001F7233">
          <w:rPr>
            <w:color w:val="0563C1"/>
            <w:u w:val="single"/>
          </w:rPr>
          <w:t>USCIS</w:t>
        </w:r>
      </w:hyperlink>
      <w:r>
        <w:t xml:space="preserve">, IRCC, das Department of Home Affairs, die ATO oder </w:t>
      </w:r>
      <w:hyperlink r:id="rId1150">
        <w:r w:rsidR="001F7233">
          <w:rPr>
            <w:color w:val="0563C1"/>
            <w:u w:val="single"/>
          </w:rPr>
          <w:t>Inland Revenue (IRD)</w:t>
        </w:r>
      </w:hyperlink>
      <w:r>
        <w:t>. Bei Fragen zur Krankenversicherung wende dich an deinen Versicherer oder die zuständige öffentliche Stelle.</w:t>
      </w:r>
    </w:p>
    <w:p w14:paraId="1BAF525F" w14:textId="77777777" w:rsidR="001F7233" w:rsidRDefault="00000000">
      <w:r>
        <w:rPr>
          <w:rFonts w:ascii="Calibri" w:eastAsia="Calibri" w:hAnsi="Calibri"/>
          <w:b/>
          <w:color w:val="1B3A4B"/>
          <w:sz w:val="32"/>
        </w:rPr>
        <w:t>Anhang: Der persönliche Auswanderungs-Check</w:t>
      </w:r>
    </w:p>
    <w:p w14:paraId="2FF7BD49" w14:textId="77777777" w:rsidR="001F7233" w:rsidRDefault="00000000">
      <w:r>
        <w:rPr>
          <w:rFonts w:ascii="Calibri" w:eastAsia="Calibri" w:hAnsi="Calibri"/>
        </w:rPr>
        <w:t>Die Übungen übertragen das Buch auf deine Lage. Beantworte sie im Kopf oder im Notizbuch. Keine Kästchen, keine Punktzahl. Eine ehrliche Antwort ist mehr wert als eine optimistische.</w:t>
      </w:r>
    </w:p>
    <w:p w14:paraId="4E256AE4" w14:textId="77777777" w:rsidR="001F7233" w:rsidRDefault="00000000">
      <w:r>
        <w:rPr>
          <w:rFonts w:ascii="Calibri" w:eastAsia="Calibri" w:hAnsi="Calibri"/>
          <w:b/>
          <w:color w:val="1B3A4B"/>
          <w:sz w:val="26"/>
        </w:rPr>
        <w:t>Test 1: Warum willst du wirklich auswandern?</w:t>
      </w:r>
    </w:p>
    <w:p w14:paraId="0C8290B6" w14:textId="77777777" w:rsidR="001F7233" w:rsidRDefault="00000000">
      <w:r>
        <w:rPr>
          <w:rFonts w:ascii="Calibri" w:eastAsia="Calibri" w:hAnsi="Calibri"/>
        </w:rPr>
        <w:t>Die meisten schauen zuerst aufs Land. Tragfähiger ist der Blick auf den Grund. Was fehlt dir jetzt? Was versprichst du dir? Welches Problem soll der Wegzug lösen, welches nimmst du mit? Welchen Nachteil des Ziellandes nimmst du bewusst? Was würde dich nach einem Jahr enttäuschen, was zufrieden machen?</w:t>
      </w:r>
    </w:p>
    <w:p w14:paraId="07F64E78" w14:textId="77777777" w:rsidR="001F7233" w:rsidRDefault="00000000">
      <w:r>
        <w:rPr>
          <w:rFonts w:ascii="Calibri" w:eastAsia="Calibri" w:hAnsi="Calibri"/>
        </w:rPr>
        <w:t>Wenn du das ohne Ausweichen sagen kannst, hast du ein Bild der Motivation. Bleiben mehrere Antworten unklar, lies das Bereitschaftskapitel, bevor du kündigst.</w:t>
      </w:r>
    </w:p>
    <w:p w14:paraId="0F2CF57D" w14:textId="77777777" w:rsidR="001F7233" w:rsidRDefault="00000000">
      <w:r>
        <w:rPr>
          <w:rFonts w:ascii="Calibri" w:eastAsia="Calibri" w:hAnsi="Calibri"/>
          <w:b/>
          <w:color w:val="1B3A4B"/>
          <w:sz w:val="26"/>
        </w:rPr>
        <w:t>Test 2: Die Realitätsprüfung</w:t>
      </w:r>
    </w:p>
    <w:p w14:paraId="4AD2701C" w14:textId="77777777" w:rsidR="001F7233" w:rsidRDefault="00000000">
      <w:r>
        <w:rPr>
          <w:rFonts w:ascii="Calibri" w:eastAsia="Calibri" w:hAnsi="Calibri"/>
        </w:rPr>
        <w:t xml:space="preserve">Du kommst an. Die Jobsuche dauert sechs Monate länger. Die Wohnung kostet 25 Prozent mehr. Die Behörde ist umständlicher. Du kennst </w:t>
      </w:r>
      <w:r>
        <w:rPr>
          <w:rFonts w:ascii="Calibri" w:eastAsia="Calibri" w:hAnsi="Calibri"/>
        </w:rPr>
        <w:lastRenderedPageBreak/>
        <w:t>niemanden. Die ersten Monate fühlen sich wie ein Rückschritt an. Würdest du trotzdem gehen?</w:t>
      </w:r>
    </w:p>
    <w:p w14:paraId="0623C8C1" w14:textId="77777777" w:rsidR="001F7233" w:rsidRDefault="00000000">
      <w:r>
        <w:rPr>
          <w:rFonts w:ascii="Calibri" w:eastAsia="Calibri" w:hAnsi="Calibri"/>
        </w:rPr>
        <w:t>Ein Ja heißt: das Ziel trägt auch den schlechteren Verlauf. Es ist keine Garantie. Ein Nein heißt: der Plan hängt noch stärker am Wunsch als an der Reserve. Dann nachrechnen, nicht buchen.</w:t>
      </w:r>
    </w:p>
    <w:p w14:paraId="25D93AC7" w14:textId="77777777" w:rsidR="001F7233" w:rsidRDefault="00000000">
      <w:r>
        <w:rPr>
          <w:rFonts w:ascii="Calibri" w:eastAsia="Calibri" w:hAnsi="Calibri"/>
          <w:b/>
          <w:color w:val="1B3A4B"/>
          <w:sz w:val="26"/>
        </w:rPr>
        <w:t>Test 3: Die Finanz-Ampel</w:t>
      </w:r>
    </w:p>
    <w:p w14:paraId="19B0B3A5" w14:textId="77777777" w:rsidR="001F7233" w:rsidRDefault="00000000">
      <w:r>
        <w:rPr>
          <w:rFonts w:ascii="Calibri" w:eastAsia="Calibri" w:hAnsi="Calibri"/>
        </w:rPr>
        <w:t>Ja oder nein, ohne Zwischenton. Kannst du sechs Monate ohne Einkommen tragen? Liegt die Notfallreserve getrennt? Ist der ungünstige Wechselkurs drin? Sind Umzugskosten kalkuliert? Sind Gesundheitskosten drin? Hast du echte Mietpreise der Zielstadt geprüft, nicht den Landesdurchschnitt?</w:t>
      </w:r>
    </w:p>
    <w:p w14:paraId="2AE88221" w14:textId="77777777" w:rsidR="001F7233" w:rsidRDefault="00000000">
      <w:r>
        <w:rPr>
          <w:rFonts w:ascii="Calibri" w:eastAsia="Calibri" w:hAnsi="Calibri"/>
        </w:rPr>
        <w:t>Fünf oder sechs Ja: die Finanzplanung trägt den ersten Schock. Drei oder vier Ja: einzelne Posten nacharbeiten. Keins bis zwei Ja: nicht kündigen. Die Ampel ersetzt die Länderrechnung nicht.</w:t>
      </w:r>
    </w:p>
    <w:p w14:paraId="34D506E1" w14:textId="77777777" w:rsidR="001F7233" w:rsidRDefault="00000000">
      <w:r>
        <w:rPr>
          <w:rFonts w:ascii="Calibri" w:eastAsia="Calibri" w:hAnsi="Calibri"/>
          <w:b/>
          <w:color w:val="1B3A4B"/>
          <w:sz w:val="26"/>
        </w:rPr>
        <w:t>Test 4: Das Familiengespräch</w:t>
      </w:r>
    </w:p>
    <w:p w14:paraId="6B75A5E0" w14:textId="77777777" w:rsidR="001F7233" w:rsidRDefault="00000000">
      <w:r>
        <w:rPr>
          <w:rFonts w:ascii="Calibri" w:eastAsia="Calibri" w:hAnsi="Calibri"/>
        </w:rPr>
        <w:t>Wenn Partner oder Kinder mitziehen: Dieselben Erwartungen? Jeder kennt die Nachteile? Geldrisiken ausgesprochen? Schule und Betreuung geklärt? Zustimmung freiwillig, nicht nur mitgezogen?</w:t>
      </w:r>
    </w:p>
    <w:p w14:paraId="1B696ECC" w14:textId="77777777" w:rsidR="001F7233" w:rsidRDefault="00000000">
      <w:r>
        <w:rPr>
          <w:rFonts w:ascii="Calibri" w:eastAsia="Calibri" w:hAnsi="Calibri"/>
        </w:rPr>
        <w:t>Ein einziges Nein ist ein weiteres Gespräch, kein Abflugtermin.</w:t>
      </w:r>
    </w:p>
    <w:p w14:paraId="36CC5BA8" w14:textId="77777777" w:rsidR="001F7233" w:rsidRDefault="00000000">
      <w:r>
        <w:rPr>
          <w:rFonts w:ascii="Calibri" w:eastAsia="Calibri" w:hAnsi="Calibri"/>
          <w:b/>
          <w:color w:val="1B3A4B"/>
          <w:sz w:val="26"/>
        </w:rPr>
        <w:t>Test 5: Der Integrations-Check</w:t>
      </w:r>
    </w:p>
    <w:p w14:paraId="58E503D0" w14:textId="77777777" w:rsidR="001F7233" w:rsidRDefault="00000000">
      <w:r>
        <w:rPr>
          <w:rFonts w:ascii="Calibri" w:eastAsia="Calibri" w:hAnsi="Calibri"/>
        </w:rPr>
        <w:t>Viele planen Visum, Wohnung und Job. Wenige die Zeit danach. Wie findest du Freunde? Welches Hobby setzt du fort? Welchem Verein oder welcher Gruppe trittst du bei? Wo triffst du Leute aus dem Beruf, ohne den Status zu verletzen? Was tust du bei Heimweh?</w:t>
      </w:r>
    </w:p>
    <w:p w14:paraId="64D01CD9" w14:textId="77777777" w:rsidR="001F7233" w:rsidRDefault="00000000">
      <w:r>
        <w:rPr>
          <w:rFonts w:ascii="Calibri" w:eastAsia="Calibri" w:hAnsi="Calibri"/>
        </w:rPr>
        <w:t>Zwei Fragen ohne Antwort: schreib einen Integrationsplan, bevor du den Ort als gescheitert bewertest.</w:t>
      </w:r>
    </w:p>
    <w:p w14:paraId="1EEFAC51" w14:textId="77777777" w:rsidR="001F7233" w:rsidRDefault="00000000">
      <w:r>
        <w:rPr>
          <w:rFonts w:ascii="Calibri" w:eastAsia="Calibri" w:hAnsi="Calibri"/>
          <w:b/>
          <w:color w:val="1B3A4B"/>
          <w:sz w:val="26"/>
        </w:rPr>
        <w:t>Die Auswanderungs-Ampel</w:t>
      </w:r>
    </w:p>
    <w:p w14:paraId="6BB26016" w14:textId="77777777" w:rsidR="001F7233" w:rsidRDefault="00000000">
      <w:r>
        <w:rPr>
          <w:rFonts w:ascii="Calibri" w:eastAsia="Calibri" w:hAnsi="Calibri"/>
        </w:rPr>
        <w:t>Grün: Visaweg realistisch erreichbar, Reserve liegt, Familie steht dahinter, Zeitplan hat Puffer, Notfallplan ist geschrieben.</w:t>
      </w:r>
    </w:p>
    <w:p w14:paraId="351D22D4" w14:textId="77777777" w:rsidR="001F7233" w:rsidRDefault="00000000">
      <w:r>
        <w:rPr>
          <w:rFonts w:ascii="Calibri" w:eastAsia="Calibri" w:hAnsi="Calibri"/>
        </w:rPr>
        <w:t>Gelb: Dokumente fehlen, Finanzierung ist knapp, Berufsperspektive offen oder die Sprache reicht für Behörde und Beruf noch nicht. Zuerst nacharbeiten.</w:t>
      </w:r>
    </w:p>
    <w:p w14:paraId="39CDFC27" w14:textId="77777777" w:rsidR="001F7233" w:rsidRDefault="00000000">
      <w:r>
        <w:rPr>
          <w:rFonts w:ascii="Calibri" w:eastAsia="Calibri" w:hAnsi="Calibri"/>
        </w:rPr>
        <w:lastRenderedPageBreak/>
        <w:t>Rot: kein passender Visapfad, keine Reserve, offener Familienkonflikt, kein Notfallplan, oder die Entscheidung nur aus Frust. Abflug verschieben.</w:t>
      </w:r>
    </w:p>
    <w:p w14:paraId="2E4F358B" w14:textId="77777777" w:rsidR="001F7233" w:rsidRDefault="00000000">
      <w:r>
        <w:rPr>
          <w:rFonts w:ascii="Calibri" w:eastAsia="Calibri" w:hAnsi="Calibri"/>
          <w:b/>
          <w:color w:val="1B3A4B"/>
          <w:sz w:val="26"/>
        </w:rPr>
        <w:t>Die 30-Minuten-Entscheidung</w:t>
      </w:r>
    </w:p>
    <w:p w14:paraId="2FC5D303" w14:textId="77777777" w:rsidR="001F7233" w:rsidRDefault="00000000">
      <w:r>
        <w:rPr>
          <w:rFonts w:ascii="Calibri" w:eastAsia="Calibri" w:hAnsi="Calibri"/>
        </w:rPr>
        <w:t>Nach dem Buch 30 Minuten, nur eine Frage: Würdest du gehen, wenn es schwieriger, teurer und langsamer wird als erwartet?</w:t>
      </w:r>
    </w:p>
    <w:p w14:paraId="533CF8CC" w14:textId="77777777" w:rsidR="001F7233" w:rsidRDefault="00000000">
      <w:r>
        <w:rPr>
          <w:rFonts w:ascii="Calibri" w:eastAsia="Calibri" w:hAnsi="Calibri"/>
        </w:rPr>
        <w:t>Ein klares Ja ist eine bessere Grundlage als ein Abflug ohne Reserve. Es ist keine Erfolgsgarantie. Gebühren, Fristen und Voraussetzungen prüfst du vor jeder Zahlung oder Kündigung bei der zuständigen Behörde.</w:t>
      </w:r>
    </w:p>
    <w:p w14:paraId="65219ABA" w14:textId="77777777" w:rsidR="001F7233" w:rsidRDefault="00000000">
      <w:r>
        <w:rPr>
          <w:rFonts w:ascii="Calibri" w:eastAsia="Calibri" w:hAnsi="Calibri"/>
          <w:b/>
          <w:color w:val="1B3A4B"/>
          <w:sz w:val="26"/>
        </w:rPr>
        <w:t>Die wichtigste Erkenntnis</w:t>
      </w:r>
    </w:p>
    <w:p w14:paraId="5539ABA2" w14:textId="77777777" w:rsidR="001F7233" w:rsidRDefault="00000000">
      <w:r>
        <w:rPr>
          <w:rFonts w:ascii="Calibri" w:eastAsia="Calibri" w:hAnsi="Calibri"/>
        </w:rPr>
        <w:t>Auswanderung ist kein Urlaub und kein Neustart auf Knopfdruck. Ein anderes Land ändert Ort, Regeln und Kosten, nicht automatisch Gewohnheiten oder ungelöste Probleme. Tragfähig ist der Plan, der Reserve, Aufenthaltsweg und einen Rückweg schon vor der Kündigung kennt.</w:t>
      </w:r>
    </w:p>
    <w:p w14:paraId="207A4C6E" w14:textId="6A5D608E" w:rsidR="00B8323E" w:rsidRDefault="00000000">
      <w:pPr>
        <w:rPr>
          <w:rFonts w:ascii="Calibri" w:eastAsia="Calibri" w:hAnsi="Calibri"/>
        </w:rPr>
      </w:pPr>
      <w:r>
        <w:rPr>
          <w:rFonts w:ascii="Calibri" w:eastAsia="Calibri" w:hAnsi="Calibri"/>
        </w:rPr>
        <w:t>Dieser Anhang ist kein Test mit Bestehen. Er ist ein Gespräch mit dir. Je klarer die Antworten, desto besser siehst du, ob, wann und wohin der Schritt passt.</w:t>
      </w:r>
    </w:p>
    <w:p w14:paraId="1B4E28B1" w14:textId="77777777" w:rsidR="00B8323E" w:rsidRDefault="00B8323E">
      <w:pPr>
        <w:spacing w:line="240" w:lineRule="auto"/>
        <w:rPr>
          <w:rFonts w:ascii="Calibri" w:eastAsia="Calibri" w:hAnsi="Calibri"/>
        </w:rPr>
      </w:pPr>
      <w:r>
        <w:rPr>
          <w:rFonts w:ascii="Calibri" w:eastAsia="Calibri" w:hAnsi="Calibri"/>
        </w:rPr>
        <w:br w:type="page"/>
      </w:r>
    </w:p>
    <w:p w14:paraId="1AE8A70D" w14:textId="53F39FA8" w:rsidR="001F7233" w:rsidRDefault="00B8323E">
      <w:r>
        <w:rPr>
          <w:noProof/>
        </w:rPr>
        <w:lastRenderedPageBreak/>
        <w:drawing>
          <wp:anchor distT="0" distB="0" distL="114300" distR="114300" simplePos="0" relativeHeight="251659264" behindDoc="0" locked="0" layoutInCell="1" allowOverlap="1" wp14:anchorId="79C0543A" wp14:editId="573AAAA5">
            <wp:simplePos x="0" y="0"/>
            <wp:positionH relativeFrom="page">
              <wp:align>left</wp:align>
            </wp:positionH>
            <wp:positionV relativeFrom="page">
              <wp:align>bottom</wp:align>
            </wp:positionV>
            <wp:extent cx="5589270" cy="8286750"/>
            <wp:effectExtent l="0" t="0" r="0" b="0"/>
            <wp:wrapTopAndBottom/>
            <wp:docPr id="1885426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1" cstate="print">
                      <a:extLst>
                        <a:ext uri="{28A0092B-C50C-407E-A947-70E740481C1C}">
                          <a14:useLocalDpi xmlns:a14="http://schemas.microsoft.com/office/drawing/2010/main" val="0"/>
                        </a:ext>
                      </a:extLst>
                    </a:blip>
                    <a:srcRect/>
                    <a:stretch>
                      <a:fillRect/>
                    </a:stretch>
                  </pic:blipFill>
                  <pic:spPr bwMode="auto">
                    <a:xfrm>
                      <a:off x="0" y="0"/>
                      <a:ext cx="5589270" cy="82867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F7233">
      <w:headerReference w:type="default" r:id="rId1180"/>
      <w:footerReference w:type="default" r:id="rId1181"/>
      <w:pgSz w:w="8640" w:h="12983"/>
      <w:pgMar w:top="1080" w:right="1080" w:bottom="1100" w:left="108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mazon Ember">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1705"/>
    <w:multiLevelType w:val="multilevel"/>
    <w:tmpl w:val="95CC5E30"/>
    <w:lvl w:ilvl="0">
      <w:start w:val="1"/>
      <w:numFmt w:val="decimal"/>
      <w:lvlText w:val="%1."/>
      <w:lvlJc w:val="left"/>
      <w:pPr>
        <w:tabs>
          <w:tab w:val="num" w:pos="0"/>
        </w:tabs>
        <w:ind w:left="420" w:hanging="330"/>
      </w:pPr>
    </w:lvl>
    <w:lvl w:ilvl="1">
      <w:start w:val="1"/>
      <w:numFmt w:val="lowerLetter"/>
      <w:lvlText w:val="%2)"/>
      <w:lvlJc w:val="left"/>
      <w:pPr>
        <w:tabs>
          <w:tab w:val="num" w:pos="0"/>
        </w:tabs>
        <w:ind w:left="800" w:hanging="33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7756C38"/>
    <w:multiLevelType w:val="multilevel"/>
    <w:tmpl w:val="23385F96"/>
    <w:lvl w:ilvl="0">
      <w:start w:val="1"/>
      <w:numFmt w:val="bullet"/>
      <w:lvlText w:val=""/>
      <w:lvlJc w:val="left"/>
      <w:pPr>
        <w:tabs>
          <w:tab w:val="num" w:pos="0"/>
        </w:tabs>
        <w:ind w:left="360" w:hanging="240"/>
      </w:pPr>
      <w:rPr>
        <w:rFonts w:ascii="Symbol" w:hAnsi="Symbol" w:cs="Symbol" w:hint="default"/>
      </w:rPr>
    </w:lvl>
    <w:lvl w:ilvl="1">
      <w:start w:val="1"/>
      <w:numFmt w:val="bullet"/>
      <w:lvlText w:val=""/>
      <w:lvlJc w:val="left"/>
      <w:pPr>
        <w:tabs>
          <w:tab w:val="num" w:pos="0"/>
        </w:tabs>
        <w:ind w:left="720" w:hanging="24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136799414">
    <w:abstractNumId w:val="1"/>
  </w:num>
  <w:num w:numId="2" w16cid:durableId="154805295">
    <w:abstractNumId w:val="0"/>
  </w:num>
  <w:num w:numId="3" w16cid:durableId="1585337926">
    <w:abstractNumId w:val="1"/>
    <w:lvlOverride w:ilvl="0">
      <w:startOverride w:val="1"/>
    </w:lvlOverride>
  </w:num>
  <w:num w:numId="4" w16cid:durableId="167135275">
    <w:abstractNumId w:val="0"/>
    <w:lvlOverride w:ilvl="0">
      <w:startOverride w:val="1"/>
    </w:lvlOverride>
  </w:num>
  <w:num w:numId="5" w16cid:durableId="277489119">
    <w:abstractNumId w:val="0"/>
    <w:lvlOverride w:ilvl="0">
      <w:startOverride w:val="1"/>
    </w:lvlOverride>
  </w:num>
  <w:num w:numId="6" w16cid:durableId="1964339300">
    <w:abstractNumId w:val="0"/>
    <w:lvlOverride w:ilvl="0">
      <w:startOverride w:val="1"/>
    </w:lvlOverride>
  </w:num>
  <w:num w:numId="7" w16cid:durableId="731390687">
    <w:abstractNumId w:val="0"/>
    <w:lvlOverride w:ilvl="0">
      <w:startOverride w:val="1"/>
    </w:lvlOverride>
  </w:num>
  <w:num w:numId="8" w16cid:durableId="445582216">
    <w:abstractNumId w:val="0"/>
    <w:lvlOverride w:ilvl="0">
      <w:startOverride w:val="1"/>
    </w:lvlOverride>
  </w:num>
  <w:num w:numId="9" w16cid:durableId="1398626246">
    <w:abstractNumId w:val="0"/>
    <w:lvlOverride w:ilvl="0">
      <w:startOverride w:val="1"/>
    </w:lvlOverride>
  </w:num>
  <w:num w:numId="10" w16cid:durableId="178470538">
    <w:abstractNumId w:val="0"/>
    <w:lvlOverride w:ilvl="0">
      <w:startOverride w:val="1"/>
    </w:lvlOverride>
  </w:num>
  <w:num w:numId="11" w16cid:durableId="635571362">
    <w:abstractNumId w:val="0"/>
    <w:lvlOverride w:ilvl="0">
      <w:startOverride w:val="1"/>
    </w:lvlOverride>
  </w:num>
  <w:num w:numId="12" w16cid:durableId="975795018">
    <w:abstractNumId w:val="0"/>
    <w:lvlOverride w:ilvl="0">
      <w:startOverride w:val="1"/>
    </w:lvlOverride>
  </w:num>
  <w:num w:numId="13" w16cid:durableId="542253292">
    <w:abstractNumId w:val="0"/>
    <w:lvlOverride w:ilvl="0">
      <w:startOverride w:val="1"/>
    </w:lvlOverride>
  </w:num>
  <w:num w:numId="14" w16cid:durableId="674528669">
    <w:abstractNumId w:val="0"/>
    <w:lvlOverride w:ilvl="0">
      <w:startOverride w:val="1"/>
    </w:lvlOverride>
  </w:num>
  <w:num w:numId="15" w16cid:durableId="376274476">
    <w:abstractNumId w:val="0"/>
    <w:lvlOverride w:ilvl="0">
      <w:startOverride w:val="1"/>
    </w:lvlOverride>
  </w:num>
  <w:num w:numId="16" w16cid:durableId="1472207057">
    <w:abstractNumId w:val="0"/>
    <w:lvlOverride w:ilvl="0">
      <w:startOverride w:val="1"/>
    </w:lvlOverride>
  </w:num>
  <w:num w:numId="17" w16cid:durableId="357896168">
    <w:abstractNumId w:val="0"/>
    <w:lvlOverride w:ilvl="0">
      <w:startOverride w:val="1"/>
    </w:lvlOverride>
  </w:num>
  <w:num w:numId="18" w16cid:durableId="385034582">
    <w:abstractNumId w:val="0"/>
    <w:lvlOverride w:ilvl="0">
      <w:startOverride w:val="1"/>
    </w:lvlOverride>
  </w:num>
  <w:num w:numId="19" w16cid:durableId="1609846023">
    <w:abstractNumId w:val="0"/>
    <w:lvlOverride w:ilvl="0">
      <w:startOverride w:val="1"/>
    </w:lvlOverride>
  </w:num>
  <w:num w:numId="20" w16cid:durableId="1329791882">
    <w:abstractNumId w:val="0"/>
    <w:lvlOverride w:ilvl="0">
      <w:startOverride w:val="1"/>
    </w:lvlOverride>
  </w:num>
  <w:num w:numId="21" w16cid:durableId="459880186">
    <w:abstractNumId w:val="0"/>
    <w:lvlOverride w:ilvl="0">
      <w:startOverride w:val="1"/>
    </w:lvlOverride>
  </w:num>
  <w:num w:numId="22" w16cid:durableId="348607936">
    <w:abstractNumId w:val="0"/>
    <w:lvlOverride w:ilvl="0">
      <w:startOverride w:val="1"/>
    </w:lvlOverride>
  </w:num>
  <w:num w:numId="23" w16cid:durableId="1771125757">
    <w:abstractNumId w:val="0"/>
    <w:lvlOverride w:ilvl="0">
      <w:startOverride w:val="1"/>
    </w:lvlOverride>
  </w:num>
  <w:num w:numId="24" w16cid:durableId="791903508">
    <w:abstractNumId w:val="0"/>
    <w:lvlOverride w:ilvl="0">
      <w:startOverride w:val="1"/>
    </w:lvlOverride>
  </w:num>
  <w:num w:numId="25" w16cid:durableId="1023089216">
    <w:abstractNumId w:val="0"/>
    <w:lvlOverride w:ilvl="0">
      <w:startOverride w:val="1"/>
    </w:lvlOverride>
  </w:num>
  <w:num w:numId="26" w16cid:durableId="83498460">
    <w:abstractNumId w:val="0"/>
    <w:lvlOverride w:ilvl="0">
      <w:startOverride w:val="1"/>
    </w:lvlOverride>
  </w:num>
  <w:num w:numId="27" w16cid:durableId="1423063478">
    <w:abstractNumId w:val="0"/>
    <w:lvlOverride w:ilvl="0">
      <w:startOverride w:val="1"/>
    </w:lvlOverride>
  </w:num>
  <w:num w:numId="28" w16cid:durableId="818571046">
    <w:abstractNumId w:val="0"/>
    <w:lvlOverride w:ilvl="0">
      <w:startOverride w:val="1"/>
    </w:lvlOverride>
  </w:num>
  <w:num w:numId="29" w16cid:durableId="810901792">
    <w:abstractNumId w:val="0"/>
    <w:lvlOverride w:ilvl="0">
      <w:startOverride w:val="1"/>
    </w:lvlOverride>
  </w:num>
  <w:num w:numId="30" w16cid:durableId="199708068">
    <w:abstractNumId w:val="0"/>
    <w:lvlOverride w:ilvl="0">
      <w:startOverride w:val="1"/>
    </w:lvlOverride>
  </w:num>
  <w:num w:numId="31" w16cid:durableId="1365903450">
    <w:abstractNumId w:val="0"/>
    <w:lvlOverride w:ilvl="0">
      <w:startOverride w:val="1"/>
    </w:lvlOverride>
  </w:num>
  <w:num w:numId="32" w16cid:durableId="205795927">
    <w:abstractNumId w:val="0"/>
    <w:lvlOverride w:ilvl="0">
      <w:startOverride w:val="1"/>
    </w:lvlOverride>
  </w:num>
  <w:num w:numId="33" w16cid:durableId="394739473">
    <w:abstractNumId w:val="0"/>
    <w:lvlOverride w:ilvl="0">
      <w:startOverride w:val="1"/>
    </w:lvlOverride>
  </w:num>
  <w:num w:numId="34" w16cid:durableId="842739122">
    <w:abstractNumId w:val="0"/>
    <w:lvlOverride w:ilvl="0">
      <w:startOverride w:val="1"/>
    </w:lvlOverride>
  </w:num>
  <w:num w:numId="35" w16cid:durableId="1620793866">
    <w:abstractNumId w:val="0"/>
    <w:lvlOverride w:ilvl="0">
      <w:startOverride w:val="1"/>
    </w:lvlOverride>
  </w:num>
  <w:num w:numId="36" w16cid:durableId="1214972059">
    <w:abstractNumId w:val="0"/>
    <w:lvlOverride w:ilvl="0">
      <w:startOverride w:val="1"/>
    </w:lvlOverride>
  </w:num>
  <w:num w:numId="37" w16cid:durableId="371077195">
    <w:abstractNumId w:val="0"/>
    <w:lvlOverride w:ilvl="0">
      <w:startOverride w:val="1"/>
    </w:lvlOverride>
  </w:num>
  <w:num w:numId="38" w16cid:durableId="594897133">
    <w:abstractNumId w:val="0"/>
    <w:lvlOverride w:ilvl="0">
      <w:startOverride w:val="1"/>
    </w:lvlOverride>
  </w:num>
  <w:num w:numId="39" w16cid:durableId="1459566786">
    <w:abstractNumId w:val="0"/>
    <w:lvlOverride w:ilvl="0">
      <w:startOverride w:val="1"/>
    </w:lvlOverride>
  </w:num>
  <w:num w:numId="40" w16cid:durableId="704014858">
    <w:abstractNumId w:val="0"/>
    <w:lvlOverride w:ilvl="0">
      <w:startOverride w:val="1"/>
    </w:lvlOverride>
  </w:num>
  <w:num w:numId="41" w16cid:durableId="1672491714">
    <w:abstractNumId w:val="0"/>
    <w:lvlOverride w:ilvl="0">
      <w:startOverride w:val="1"/>
    </w:lvlOverride>
  </w:num>
  <w:num w:numId="42" w16cid:durableId="1570074241">
    <w:abstractNumId w:val="0"/>
    <w:lvlOverride w:ilvl="0">
      <w:startOverride w:val="1"/>
    </w:lvlOverride>
  </w:num>
  <w:num w:numId="43" w16cid:durableId="1005204570">
    <w:abstractNumId w:val="0"/>
    <w:lvlOverride w:ilvl="0">
      <w:startOverride w:val="1"/>
    </w:lvlOverride>
  </w:num>
  <w:num w:numId="44" w16cid:durableId="21784419">
    <w:abstractNumId w:val="0"/>
    <w:lvlOverride w:ilvl="0">
      <w:startOverride w:val="1"/>
    </w:lvlOverride>
  </w:num>
  <w:numIdMacAtCleanup w:val="44"/>
  <w:abstractNum w:abstractNumId="2">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45">
    <w:abstractNumId w:val="2"/>
  </w:num>
  <w:abstractNum w:abstractNumId="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6">
    <w:abstractNumId w:val="3"/>
  </w:num>
  <w:abstractNum w:abstractNumId="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7">
    <w:abstractNumId w:val="4"/>
  </w:num>
  <w:abstractNum w:abstractNumId="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8">
    <w:abstractNumId w:val="5"/>
  </w:num>
  <w:abstractNum w:abstractNumId="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9">
    <w:abstractNumId w:val="6"/>
  </w:num>
  <w:abstractNum w:abstractNumId="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0">
    <w:abstractNumId w:val="7"/>
  </w:num>
  <w:abstractNum w:abstractNumId="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1">
    <w:abstractNumId w:val="8"/>
  </w:num>
  <w:abstractNum w:abstractNumId="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2">
    <w:abstractNumId w:val="9"/>
  </w:num>
  <w:abstractNum w:abstractNumId="1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3">
    <w:abstractNumId w:val="10"/>
  </w:num>
  <w:abstractNum w:abstractNumId="1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4">
    <w:abstractNumId w:val="11"/>
  </w:num>
  <w:abstractNum w:abstractNumId="1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5">
    <w:abstractNumId w:val="12"/>
  </w:num>
  <w:abstractNum w:abstractNumId="13">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6">
    <w:abstractNumId w:val="13"/>
  </w:num>
  <w:abstractNum w:abstractNumId="14">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7">
    <w:abstractNumId w:val="14"/>
  </w:num>
  <w:abstractNum w:abstractNumId="15">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8">
    <w:abstractNumId w:val="15"/>
  </w:num>
  <w:abstractNum w:abstractNumId="16">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9">
    <w:abstractNumId w:val="16"/>
  </w:num>
  <w:abstractNum w:abstractNumId="17">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60">
    <w:abstractNumId w:val="17"/>
  </w:num>
  <w:abstractNum w:abstractNumId="1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1">
    <w:abstractNumId w:val="18"/>
  </w:num>
  <w:abstractNum w:abstractNumId="1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2">
    <w:abstractNumId w:val="19"/>
  </w:num>
  <w:abstractNum w:abstractNumId="2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3">
    <w:abstractNumId w:val="20"/>
  </w:num>
  <w:abstractNum w:abstractNumId="2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4">
    <w:abstractNumId w:val="21"/>
  </w:num>
  <w:abstractNum w:abstractNumId="2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5">
    <w:abstractNumId w:val="22"/>
  </w:num>
  <w:abstractNum w:abstractNumId="2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6">
    <w:abstractNumId w:val="23"/>
  </w:num>
  <w:abstractNum w:abstractNumId="2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7">
    <w:abstractNumId w:val="24"/>
  </w:num>
  <w:abstractNum w:abstractNumId="2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8">
    <w:abstractNumId w:val="25"/>
  </w:num>
  <w:abstractNum w:abstractNumId="2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9">
    <w:abstractNumId w:val="26"/>
  </w:num>
  <w:abstractNum w:abstractNumId="2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0">
    <w:abstractNumId w:val="27"/>
  </w:num>
  <w:abstractNum w:abstractNumId="28">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1">
    <w:abstractNumId w:val="28"/>
  </w:num>
  <w:abstractNum w:abstractNumId="29">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2">
    <w:abstractNumId w:val="29"/>
  </w:num>
  <w:abstractNum w:abstractNumId="30">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3">
    <w:abstractNumId w:val="30"/>
  </w:num>
  <w:abstractNum w:abstractNumId="3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4">
    <w:abstractNumId w:val="31"/>
  </w:num>
  <w:abstractNum w:abstractNumId="32">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5">
    <w:abstractNumId w:val="32"/>
  </w:num>
  <w:abstractNum w:abstractNumId="3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6">
    <w:abstractNumId w:val="33"/>
  </w:num>
  <w:abstractNum w:abstractNumId="3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7">
    <w:abstractNumId w:val="34"/>
  </w:num>
  <w:abstractNum w:abstractNumId="3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8">
    <w:abstractNumId w:val="35"/>
  </w:num>
  <w:abstractNum w:abstractNumId="3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9">
    <w:abstractNumId w:val="36"/>
  </w:num>
  <w:abstractNum w:abstractNumId="3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0">
    <w:abstractNumId w:val="37"/>
  </w:num>
  <w:abstractNum w:abstractNumId="3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1">
    <w:abstractNumId w:val="38"/>
  </w:num>
  <w:abstractNum w:abstractNumId="3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2">
    <w:abstractNumId w:val="39"/>
  </w:num>
  <w:abstractNum w:abstractNumId="4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3">
    <w:abstractNumId w:val="40"/>
  </w:num>
  <w:abstractNum w:abstractNumId="4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4">
    <w:abstractNumId w:val="41"/>
  </w:num>
  <w:abstractNum w:abstractNumId="4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5">
    <w:abstractNumId w:val="42"/>
  </w:num>
  <w:abstractNum w:abstractNumId="43">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8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233"/>
    <w:rsid w:val="001D1B19"/>
    <w:rsid w:val="001F7233"/>
    <w:rsid w:val="001F76D6"/>
    <w:rsid w:val="002E4D9F"/>
    <w:rsid w:val="00576E13"/>
    <w:rsid w:val="005E2E06"/>
    <w:rsid w:val="00650894"/>
    <w:rsid w:val="006B4F5E"/>
    <w:rsid w:val="007E15FC"/>
    <w:rsid w:val="007F0218"/>
    <w:rsid w:val="00B8323E"/>
    <w:rsid w:val="00D012AF"/>
    <w:rsid w:val="00EA15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655D"/>
  <w15:docId w15:val="{5BFEA62B-E9E6-435E-994D-E7F9AE25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style>
  <w:style w:type="paragraph" w:styleId="Heading1">
    <w:name w:val="heading 1"/>
    <w:uiPriority w:val="9"/>
    <w:qFormat/>
    <w:pPr>
      <w:spacing w:after="360" w:line="288" w:lineRule="auto"/>
      <w:outlineLvl w:val="0"/>
    </w:pPr>
    <w:rPr>
      <w:b/>
      <w:bCs/>
      <w:color w:val="1F3A5F"/>
      <w:sz w:val="48"/>
      <w:szCs w:val="48"/>
    </w:rPr>
  </w:style>
  <w:style w:type="paragraph" w:styleId="Heading2">
    <w:name w:val="heading 2"/>
    <w:uiPriority w:val="9"/>
    <w:unhideWhenUsed/>
    <w:qFormat/>
    <w:pPr>
      <w:spacing w:after="300" w:line="288" w:lineRule="auto"/>
      <w:outlineLvl w:val="1"/>
    </w:pPr>
    <w:rPr>
      <w:b/>
      <w:bCs/>
      <w:color w:val="1F3A5F"/>
      <w:sz w:val="34"/>
      <w:szCs w:val="34"/>
    </w:rPr>
  </w:style>
  <w:style w:type="paragraph" w:styleId="Heading3">
    <w:name w:val="heading 3"/>
    <w:uiPriority w:val="9"/>
    <w:unhideWhenUsed/>
    <w:qFormat/>
    <w:pPr>
      <w:spacing w:before="280" w:after="100" w:line="288" w:lineRule="auto"/>
      <w:outlineLvl w:val="2"/>
    </w:pPr>
    <w:rPr>
      <w:b/>
      <w:bCs/>
      <w:color w:val="1F3A5F"/>
      <w:sz w:val="26"/>
      <w:szCs w:val="26"/>
    </w:rPr>
  </w:style>
  <w:style w:type="paragraph" w:styleId="Heading4">
    <w:name w:val="heading 4"/>
    <w:uiPriority w:val="9"/>
    <w:unhideWhenUsed/>
    <w:qFormat/>
    <w:pPr>
      <w:spacing w:before="200" w:after="80" w:line="288" w:lineRule="auto"/>
      <w:outlineLvl w:val="3"/>
    </w:pPr>
    <w:rPr>
      <w:b/>
      <w:bCs/>
      <w:i/>
      <w:iCs/>
    </w:rPr>
  </w:style>
  <w:style w:type="paragraph" w:styleId="Heading5">
    <w:name w:val="heading 5"/>
    <w:uiPriority w:val="9"/>
    <w:semiHidden/>
    <w:unhideWhenUsed/>
    <w:qFormat/>
    <w:pPr>
      <w:spacing w:line="288" w:lineRule="auto"/>
      <w:outlineLvl w:val="4"/>
    </w:pPr>
    <w:rPr>
      <w:color w:val="2E74B5"/>
    </w:rPr>
  </w:style>
  <w:style w:type="paragraph" w:styleId="Heading6">
    <w:name w:val="heading 6"/>
    <w:uiPriority w:val="9"/>
    <w:semiHidden/>
    <w:unhideWhenUsed/>
    <w:qFormat/>
    <w:pPr>
      <w:spacing w:line="288" w:lineRule="auto"/>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rPr>
      <w:sz w:val="20"/>
      <w:szCs w:val="20"/>
    </w:rPr>
  </w:style>
  <w:style w:type="character" w:customStyle="1"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rPr>
      <w:sz w:val="20"/>
      <w:szCs w:val="20"/>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uiPriority w:val="10"/>
    <w:qFormat/>
    <w:pPr>
      <w:spacing w:after="300" w:line="288" w:lineRule="auto"/>
      <w:jc w:val="center"/>
    </w:pPr>
    <w:rPr>
      <w:b/>
      <w:bCs/>
      <w:sz w:val="60"/>
      <w:szCs w:val="60"/>
    </w:rPr>
  </w:style>
  <w:style w:type="paragraph" w:customStyle="1" w:styleId="Strong1">
    <w:name w:val="Strong1"/>
    <w:qFormat/>
    <w:pPr>
      <w:spacing w:line="288" w:lineRule="auto"/>
    </w:pPr>
    <w:rPr>
      <w:b/>
      <w:bCs/>
    </w:rPr>
  </w:style>
  <w:style w:type="paragraph" w:styleId="ListParagraph">
    <w:name w:val="List Paragraph"/>
    <w:qFormat/>
    <w:pPr>
      <w:spacing w:line="288" w:lineRule="auto"/>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pPr>
      <w:spacing w:before="200" w:after="60" w:line="288" w:lineRule="auto"/>
    </w:pPr>
    <w:rPr>
      <w:b/>
      <w:bCs/>
    </w:rPr>
  </w:style>
  <w:style w:type="paragraph" w:styleId="TOC2">
    <w:name w:val="toc 2"/>
    <w:pPr>
      <w:spacing w:after="30" w:line="288" w:lineRule="auto"/>
      <w:ind w:left="240"/>
    </w:pPr>
    <w:rPr>
      <w:sz w:val="20"/>
      <w:szCs w:val="20"/>
    </w:rPr>
  </w:style>
  <w:style w:type="character" w:styleId="UnresolvedMention">
    <w:name w:val="Unresolved Mention"/>
    <w:basedOn w:val="DefaultParagraphFont"/>
    <w:uiPriority w:val="99"/>
    <w:semiHidden/>
    <w:unhideWhenUsed/>
    <w:rsid w:val="00EA1518"/>
    <w:rPr>
      <w:color w:val="605E5C"/>
      <w:shd w:val="clear" w:color="auto" w:fill="E1DFDD"/>
    </w:rPr>
  </w:style>
  <w:style w:type="character" w:styleId="FollowedHyperlink">
    <w:name w:val="FollowedHyperlink"/>
    <w:basedOn w:val="DefaultParagraphFont"/>
    <w:uiPriority w:val="99"/>
    <w:semiHidden/>
    <w:unhideWhenUsed/>
    <w:rsid w:val="00B832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yperlink" Target="https://www.canada.ca/en/services/jobs/workplace/federal-labour-standards/pay-deductions.html" TargetMode="External"/><Relationship Id="rId170" Type="http://schemas.openxmlformats.org/officeDocument/2006/relationships/hyperlink" Target="https://i94.cbp.dhs.gov/" TargetMode="External"/><Relationship Id="rId268" Type="http://schemas.openxmlformats.org/officeDocument/2006/relationships/hyperlink" Target="https://gkv-spitzenverband.de/" TargetMode="External"/><Relationship Id="rId475" Type="http://schemas.openxmlformats.org/officeDocument/2006/relationships/hyperlink" Target="https://fna.usda.gov/research/cnpp/usda-food-plans" TargetMode="External"/><Relationship Id="rId682" Type="http://schemas.openxmlformats.org/officeDocument/2006/relationships/hyperlink" Target="https://service.nsw.gov.au/" TargetMode="External"/><Relationship Id="rId128" Type="http://schemas.openxmlformats.org/officeDocument/2006/relationships/hyperlink" Target="https://de.usembassy.gov/" TargetMode="External"/><Relationship Id="rId335" Type="http://schemas.openxmlformats.org/officeDocument/2006/relationships/hyperlink" Target="https://consumer.ftc.gov/articles/what-know-about-credit-freezes-fraud-alerts" TargetMode="External"/><Relationship Id="rId542" Type="http://schemas.openxmlformats.org/officeDocument/2006/relationships/hyperlink" Target="https://dea.gov/marijuana-rescheduling-regulatory-actions" TargetMode="External"/><Relationship Id="rId987" Type="http://schemas.openxmlformats.org/officeDocument/2006/relationships/hyperlink" Target="https://immigration.govt.nz/process-to-apply/applying-for-a-visa/providing-evidence-and-documents-to-support-your-visa-application/health-requirements" TargetMode="External"/><Relationship Id="rId402" Type="http://schemas.openxmlformats.org/officeDocument/2006/relationships/hyperlink" Target="https://irs.gov/tax-professionals/choosing-a-tax-professional" TargetMode="External"/><Relationship Id="rId847" Type="http://schemas.openxmlformats.org/officeDocument/2006/relationships/hyperlink" Target="https://www.heartandstroke.ca/stroke/signs-of-stroke/fast-signs-of-stroke-are-there-other-signs" TargetMode="External"/><Relationship Id="rId1032" Type="http://schemas.openxmlformats.org/officeDocument/2006/relationships/hyperlink" Target="https://immigration.govt.nz/" TargetMode="External"/><Relationship Id="rId707" Type="http://schemas.openxmlformats.org/officeDocument/2006/relationships/hyperlink" Target="https://aiatsis.gov.au/explore/first-peoples-australia" TargetMode="External"/><Relationship Id="rId914" Type="http://schemas.openxmlformats.org/officeDocument/2006/relationships/hyperlink" Target="https://jobbank.gc.ca/findajob/resources/prepare-for-interview" TargetMode="External"/><Relationship Id="rId43" Type="http://schemas.openxmlformats.org/officeDocument/2006/relationships/hyperlink" Target="https://gesetze-im-internet.de/" TargetMode="External"/><Relationship Id="rId192" Type="http://schemas.openxmlformats.org/officeDocument/2006/relationships/hyperlink" Target="https://uscis.gov/g-1055" TargetMode="External"/><Relationship Id="rId497" Type="http://schemas.openxmlformats.org/officeDocument/2006/relationships/hyperlink" Target="https://goethe.de/ins/us/en/spr/prf.html" TargetMode="External"/><Relationship Id="rId357" Type="http://schemas.openxmlformats.org/officeDocument/2006/relationships/hyperlink" Target="https://medlineplus.gov/ency/article/003126.htm" TargetMode="External"/><Relationship Id="rId217" Type="http://schemas.openxmlformats.org/officeDocument/2006/relationships/hyperlink" Target="https://reportfraud.ftc.gov/" TargetMode="External"/><Relationship Id="rId564" Type="http://schemas.openxmlformats.org/officeDocument/2006/relationships/hyperlink" Target="https://egov.uscis.gov/processing-times" TargetMode="External"/><Relationship Id="rId771" Type="http://schemas.openxmlformats.org/officeDocument/2006/relationships/hyperlink" Target="https://canada.ca/en/immigration-refugees-citizenship/services/immigrate-canada/express-entry/check-score/crs-criteria.html" TargetMode="External"/><Relationship Id="rId869" Type="http://schemas.openxmlformats.org/officeDocument/2006/relationships/hyperlink" Target="https://rcmp.ca/" TargetMode="External"/><Relationship Id="rId424" Type="http://schemas.openxmlformats.org/officeDocument/2006/relationships/hyperlink" Target="https://uscis.gov/g-1055" TargetMode="External"/><Relationship Id="rId631" Type="http://schemas.openxmlformats.org/officeDocument/2006/relationships/hyperlink" Target="https://servicesaustralia.gov.au/" TargetMode="External"/><Relationship Id="rId729" Type="http://schemas.openxmlformats.org/officeDocument/2006/relationships/hyperlink" Target="https://fairwork.gov.au/employment-conditions/right-to-disconnect" TargetMode="External"/><Relationship Id="rId1054" Type="http://schemas.openxmlformats.org/officeDocument/2006/relationships/hyperlink" Target="https://www.maritimenz.govt.nz/recreational-craft/getting-started/boating-basics/skipper-responsibilities/" TargetMode="External"/><Relationship Id="rId936" Type="http://schemas.openxmlformats.org/officeDocument/2006/relationships/hyperlink" Target="https://bmi.bund.de/" TargetMode="External"/><Relationship Id="rId1121" Type="http://schemas.openxmlformats.org/officeDocument/2006/relationships/hyperlink" Target="https://www.firearmssafety.govt.nz/manage-and-apply/visiting-or-moving-new-zealand" TargetMode="External"/><Relationship Id="rId65" Type="http://schemas.openxmlformats.org/officeDocument/2006/relationships/hyperlink" Target="https://www.arbeitsagentur.de/" TargetMode="External"/><Relationship Id="rId281" Type="http://schemas.openxmlformats.org/officeDocument/2006/relationships/hyperlink" Target="https://ece.org/" TargetMode="External"/><Relationship Id="rId141" Type="http://schemas.openxmlformats.org/officeDocument/2006/relationships/hyperlink" Target="https://uscis.gov/" TargetMode="External"/><Relationship Id="rId379" Type="http://schemas.openxmlformats.org/officeDocument/2006/relationships/hyperlink" Target="https://dmv.ny.gov/" TargetMode="External"/><Relationship Id="rId586" Type="http://schemas.openxmlformats.org/officeDocument/2006/relationships/hyperlink" Target="https://immi.homeaffairs.gov.au/" TargetMode="External"/><Relationship Id="rId793" Type="http://schemas.openxmlformats.org/officeDocument/2006/relationships/hyperlink" Target="https://www.canada.ca/en/immigration-refugees-citizenship/services/immigrate-canada/family-sponsorship/sponsor-parents-grandparents/eligibility/income.html" TargetMode="External"/><Relationship Id="rId7" Type="http://schemas.openxmlformats.org/officeDocument/2006/relationships/hyperlink" Target="https://www.uscis.gov/working-in-the-united-states" TargetMode="External"/><Relationship Id="rId239" Type="http://schemas.openxmlformats.org/officeDocument/2006/relationships/hyperlink" Target="https://www.fcc.gov/wireless/bureau-divisions/mobility-division/amateur-radio-service" TargetMode="External"/><Relationship Id="rId446" Type="http://schemas.openxmlformats.org/officeDocument/2006/relationships/hyperlink" Target="https://www.census.gov/topics/population/migration.html" TargetMode="External"/><Relationship Id="rId653" Type="http://schemas.openxmlformats.org/officeDocument/2006/relationships/hyperlink" Target="https://healthdirect.gov.au/diarrhoea" TargetMode="External"/><Relationship Id="rId1076" Type="http://schemas.openxmlformats.org/officeDocument/2006/relationships/hyperlink" Target="https://www.doc.govt.nz/get-involved/apply-for-permits/business-or-activity/filming/" TargetMode="External"/><Relationship Id="rId306" Type="http://schemas.openxmlformats.org/officeDocument/2006/relationships/hyperlink" Target="https://dab.hawaii.gov/ai" TargetMode="External"/><Relationship Id="rId860" Type="http://schemas.openxmlformats.org/officeDocument/2006/relationships/hyperlink" Target="https://natural-resources.canada.ca/energy-efficiency/home-energy-efficiency/make-your-home-more-energy-efficient" TargetMode="External"/><Relationship Id="rId958" Type="http://schemas.openxmlformats.org/officeDocument/2006/relationships/hyperlink" Target="https://immigration.govt.nz/" TargetMode="External"/><Relationship Id="rId1143" Type="http://schemas.openxmlformats.org/officeDocument/2006/relationships/hyperlink" Target="https://www.healthcare.gov/immigrants/coverage/" TargetMode="External"/><Relationship Id="rId87" Type="http://schemas.openxmlformats.org/officeDocument/2006/relationships/hyperlink" Target="https://travel.state.gov/visa" TargetMode="External"/><Relationship Id="rId513" Type="http://schemas.openxmlformats.org/officeDocument/2006/relationships/hyperlink" Target="https://irs.gov/businesses/small-businesses-self-employed/whats-new-estate-and-gift-tax" TargetMode="External"/><Relationship Id="rId720" Type="http://schemas.openxmlformats.org/officeDocument/2006/relationships/hyperlink" Target="https://www.goethe.de/ins/au/en/m/index.html" TargetMode="External"/><Relationship Id="rId818" Type="http://schemas.openxmlformats.org/officeDocument/2006/relationships/hyperlink" Target="https://canada.ca/en/employment-social-development/services/sin" TargetMode="External"/><Relationship Id="rId1003" Type="http://schemas.openxmlformats.org/officeDocument/2006/relationships/hyperlink" Target="https://ird.govt.nz/" TargetMode="External"/><Relationship Id="rId14" Type="http://schemas.openxmlformats.org/officeDocument/2006/relationships/hyperlink" Target="https://auswaertiges-amt.de/" TargetMode="External"/><Relationship Id="rId163" Type="http://schemas.openxmlformats.org/officeDocument/2006/relationships/hyperlink" Target="https://uscis.gov/working-in-the-united-states/international-entrepreneur-rule" TargetMode="External"/><Relationship Id="rId370" Type="http://schemas.openxmlformats.org/officeDocument/2006/relationships/hyperlink" Target="https://www.cdc.gov/stroke/signs-symptoms/index.html" TargetMode="External"/><Relationship Id="rId230" Type="http://schemas.openxmlformats.org/officeDocument/2006/relationships/hyperlink" Target="https://freddiemac.com/pmms" TargetMode="External"/><Relationship Id="rId468" Type="http://schemas.openxmlformats.org/officeDocument/2006/relationships/hyperlink" Target="https://www.mass.gov/orgs/massachusetts-department-of-revenue" TargetMode="External"/><Relationship Id="rId675" Type="http://schemas.openxmlformats.org/officeDocument/2006/relationships/hyperlink" Target="https://www.energy.gov.au/households/heating-and-cooling" TargetMode="External"/><Relationship Id="rId882" Type="http://schemas.openxmlformats.org/officeDocument/2006/relationships/hyperlink" Target="https://canada.ca/" TargetMode="External"/><Relationship Id="rId1098" Type="http://schemas.openxmlformats.org/officeDocument/2006/relationships/hyperlink" Target="https://era.govt.nz/" TargetMode="External"/><Relationship Id="rId328" Type="http://schemas.openxmlformats.org/officeDocument/2006/relationships/hyperlink" Target="https://ssa.gov/number-card" TargetMode="External"/><Relationship Id="rId535" Type="http://schemas.openxmlformats.org/officeDocument/2006/relationships/hyperlink" Target="https://i94.cbp.dhs.gov/" TargetMode="External"/><Relationship Id="rId742" Type="http://schemas.openxmlformats.org/officeDocument/2006/relationships/hyperlink" Target="https://tga.gov.au/" TargetMode="External"/><Relationship Id="rId602" Type="http://schemas.openxmlformats.org/officeDocument/2006/relationships/hyperlink" Target="https://immi.homeaffairs.gov.au/visas/getting-a-visa/fees-and-charges" TargetMode="External"/><Relationship Id="rId1025" Type="http://schemas.openxmlformats.org/officeDocument/2006/relationships/hyperlink" Target="https://nib.co.nz/" TargetMode="External"/><Relationship Id="rId907" Type="http://schemas.openxmlformats.org/officeDocument/2006/relationships/hyperlink" Target="https://www.jobbank.gc.ca/temporary-foreign-workers" TargetMode="External"/><Relationship Id="rId36" Type="http://schemas.openxmlformats.org/officeDocument/2006/relationships/hyperlink" Target="https://www.oecd.org/en/publications/2026/04/taxing-wages-2026_d1f39986.html" TargetMode="External"/><Relationship Id="rId185" Type="http://schemas.openxmlformats.org/officeDocument/2006/relationships/hyperlink" Target="https://travel.state.gov/" TargetMode="External"/><Relationship Id="rId392" Type="http://schemas.openxmlformats.org/officeDocument/2006/relationships/hyperlink" Target="https://dmv.ca.gov/portal/vehicle-registration/smog-inspections/" TargetMode="External"/><Relationship Id="rId697" Type="http://schemas.openxmlformats.org/officeDocument/2006/relationships/hyperlink" Target="https://ardalpha.de/" TargetMode="External"/><Relationship Id="rId252" Type="http://schemas.openxmlformats.org/officeDocument/2006/relationships/hyperlink" Target="https://germany.info/us-en/service" TargetMode="External"/><Relationship Id="rId47" Type="http://schemas.openxmlformats.org/officeDocument/2006/relationships/hyperlink" Target="https://bundesjustizamt.de/" TargetMode="External"/><Relationship Id="rId112" Type="http://schemas.openxmlformats.org/officeDocument/2006/relationships/hyperlink" Target="https://docs.justia.com/cases/federal/district-courts/california/candce/4:2025cv08454/457426/130" TargetMode="External"/><Relationship Id="rId557" Type="http://schemas.openxmlformats.org/officeDocument/2006/relationships/hyperlink" Target="https://www.aclu.org/know-your-rights/immigrants-rights" TargetMode="External"/><Relationship Id="rId764" Type="http://schemas.openxmlformats.org/officeDocument/2006/relationships/image" Target="media/image8.png"/><Relationship Id="rId971" Type="http://schemas.openxmlformats.org/officeDocument/2006/relationships/hyperlink" Target="https://www.nzqa.govt.nz/" TargetMode="External"/><Relationship Id="rId196" Type="http://schemas.openxmlformats.org/officeDocument/2006/relationships/hyperlink" Target="https://reportfraud.ftc.gov/" TargetMode="External"/><Relationship Id="rId417" Type="http://schemas.openxmlformats.org/officeDocument/2006/relationships/hyperlink" Target="https://irs.gov/retirement-plans/401k-plans" TargetMode="External"/><Relationship Id="rId624" Type="http://schemas.openxmlformats.org/officeDocument/2006/relationships/hyperlink" Target="https://bfaa.diplo.de/" TargetMode="External"/><Relationship Id="rId831" Type="http://schemas.openxmlformats.org/officeDocument/2006/relationships/hyperlink" Target="https://canada.ca/en/health-canada" TargetMode="External"/><Relationship Id="rId1047" Type="http://schemas.openxmlformats.org/officeDocument/2006/relationships/hyperlink" Target="https://tenancy.govt.nz/disputes/tribunal/" TargetMode="External"/><Relationship Id="rId263" Type="http://schemas.openxmlformats.org/officeDocument/2006/relationships/hyperlink" Target="https://irs.gov/instructions/i8621" TargetMode="External"/><Relationship Id="rId470" Type="http://schemas.openxmlformats.org/officeDocument/2006/relationships/hyperlink" Target="https://www.canada.ca/en/environment-climate-change-canada.html" TargetMode="External"/><Relationship Id="rId929" Type="http://schemas.openxmlformats.org/officeDocument/2006/relationships/hyperlink" Target="https://www2.gov.bc.ca/gov/content/environment/plants-animals-ecosystems/wildlife/human-wildlife-conflict/staying-safe-around-wildlife/wolves-coyotes" TargetMode="External"/><Relationship Id="rId1114" Type="http://schemas.openxmlformats.org/officeDocument/2006/relationships/hyperlink" Target="https://drugfoundation.org.nz/" TargetMode="External"/><Relationship Id="rId58" Type="http://schemas.openxmlformats.org/officeDocument/2006/relationships/hyperlink" Target="https://deutsche-rentenversicherung.de/" TargetMode="External"/><Relationship Id="rId123" Type="http://schemas.openxmlformats.org/officeDocument/2006/relationships/hyperlink" Target="https://travel.state.gov/visabulletin" TargetMode="External"/><Relationship Id="rId330" Type="http://schemas.openxmlformats.org/officeDocument/2006/relationships/hyperlink" Target="https://irs.gov/identity-theft-fraud-scams/get-an-identity-protection-pin" TargetMode="External"/><Relationship Id="rId568" Type="http://schemas.openxmlformats.org/officeDocument/2006/relationships/hyperlink" Target="https://germany.info/us-en" TargetMode="External"/><Relationship Id="rId775" Type="http://schemas.openxmlformats.org/officeDocument/2006/relationships/hyperlink" Target="https://canada.ca/" TargetMode="External"/><Relationship Id="rId982" Type="http://schemas.openxmlformats.org/officeDocument/2006/relationships/hyperlink" Target="https://immigration.govt.nz/" TargetMode="External"/><Relationship Id="rId428" Type="http://schemas.openxmlformats.org/officeDocument/2006/relationships/hyperlink" Target="https://dol.gov/agencies/eta/foreign-labor/programs/h-1b" TargetMode="External"/><Relationship Id="rId635" Type="http://schemas.openxmlformats.org/officeDocument/2006/relationships/hyperlink" Target="https://moneysmart.gov.au/" TargetMode="External"/><Relationship Id="rId842" Type="http://schemas.openxmlformats.org/officeDocument/2006/relationships/hyperlink" Target="https://canada.ca/en/services/benefits/ei/ei-regular-benefit/eligibility.html" TargetMode="External"/><Relationship Id="rId1058" Type="http://schemas.openxmlformats.org/officeDocument/2006/relationships/hyperlink" Target="https://nzta.govt.nz/" TargetMode="External"/><Relationship Id="rId274" Type="http://schemas.openxmlformats.org/officeDocument/2006/relationships/hyperlink" Target="https://germany.info/us-de/service" TargetMode="External"/><Relationship Id="rId481" Type="http://schemas.openxmlformats.org/officeDocument/2006/relationships/hyperlink" Target="https://alcoholpolicy.niaaa.nih.gov/" TargetMode="External"/><Relationship Id="rId702" Type="http://schemas.openxmlformats.org/officeDocument/2006/relationships/hyperlink" Target="https://youtube.com/@wired" TargetMode="External"/><Relationship Id="rId1125" Type="http://schemas.openxmlformats.org/officeDocument/2006/relationships/hyperlink" Target="https://dia.govt.nz/" TargetMode="External"/><Relationship Id="rId69" Type="http://schemas.openxmlformats.org/officeDocument/2006/relationships/hyperlink" Target="https://data.worldbank.org/" TargetMode="External"/><Relationship Id="rId134" Type="http://schemas.openxmlformats.org/officeDocument/2006/relationships/hyperlink" Target="https://travel.state.gov/" TargetMode="External"/><Relationship Id="rId579" Type="http://schemas.openxmlformats.org/officeDocument/2006/relationships/hyperlink" Target="https://immi.homeaffairs.gov.au/" TargetMode="External"/><Relationship Id="rId786" Type="http://schemas.openxmlformats.org/officeDocument/2006/relationships/hyperlink" Target="https://engineerscanada.ca/" TargetMode="External"/><Relationship Id="rId993" Type="http://schemas.openxmlformats.org/officeDocument/2006/relationships/hyperlink" Target="https://travellerdeclaration.govt.nz/" TargetMode="External"/><Relationship Id="rId341" Type="http://schemas.openxmlformats.org/officeDocument/2006/relationships/hyperlink" Target="https://consumerfinance.gov/ask-cfpb/what-is-a-debt-relief-program-and-how-do-i-know-if-i-should-use-one-en-1457/" TargetMode="External"/><Relationship Id="rId439" Type="http://schemas.openxmlformats.org/officeDocument/2006/relationships/hyperlink" Target="https://opm.gov/policy-data-oversight/pay-leave/federal-holidays" TargetMode="External"/><Relationship Id="rId646" Type="http://schemas.openxmlformats.org/officeDocument/2006/relationships/hyperlink" Target="https://ato.gov.au/" TargetMode="External"/><Relationship Id="rId1069" Type="http://schemas.openxmlformats.org/officeDocument/2006/relationships/hyperlink" Target="https://nzta.govt.nz/driving-skills/safe-driving-habits/driver-distraction/using-mobile-phones-while-driving" TargetMode="External"/><Relationship Id="rId201" Type="http://schemas.openxmlformats.org/officeDocument/2006/relationships/hyperlink" Target="https://taxfoundation.org/" TargetMode="External"/><Relationship Id="rId285" Type="http://schemas.openxmlformats.org/officeDocument/2006/relationships/hyperlink" Target="https://trumerit.org/" TargetMode="External"/><Relationship Id="rId506" Type="http://schemas.openxmlformats.org/officeDocument/2006/relationships/hyperlink" Target="https://research.collegeboard.org/trends/college-pricing" TargetMode="External"/><Relationship Id="rId853" Type="http://schemas.openxmlformats.org/officeDocument/2006/relationships/hyperlink" Target="https://statcan.gc.ca/" TargetMode="External"/><Relationship Id="rId1136" Type="http://schemas.openxmlformats.org/officeDocument/2006/relationships/hyperlink" Target="https://ird.govt.nz/" TargetMode="External"/><Relationship Id="rId492" Type="http://schemas.openxmlformats.org/officeDocument/2006/relationships/hyperlink" Target="https://ed.gov/" TargetMode="External"/><Relationship Id="rId713" Type="http://schemas.openxmlformats.org/officeDocument/2006/relationships/hyperlink" Target="https://rfs.nsw.gov.au/" TargetMode="External"/><Relationship Id="rId797" Type="http://schemas.openxmlformats.org/officeDocument/2006/relationships/hyperlink" Target="https://bzst.de/" TargetMode="External"/><Relationship Id="rId920" Type="http://schemas.openxmlformats.org/officeDocument/2006/relationships/hyperlink" Target="https://canada.ca/" TargetMode="External"/><Relationship Id="rId145" Type="http://schemas.openxmlformats.org/officeDocument/2006/relationships/hyperlink" Target="https://daad.de/" TargetMode="External"/><Relationship Id="rId352" Type="http://schemas.openxmlformats.org/officeDocument/2006/relationships/hyperlink" Target="https://census.gov/library/publications/2026/demo/p60-291.html" TargetMode="External"/><Relationship Id="rId212" Type="http://schemas.openxmlformats.org/officeDocument/2006/relationships/hyperlink" Target="https://www.domain.com.au/news/coastal-towns-where-a-beach-house-can-be-had-for-under-650000-1372705/" TargetMode="External"/><Relationship Id="rId657" Type="http://schemas.openxmlformats.org/officeDocument/2006/relationships/hyperlink" Target="https://immi.homeaffairs.gov.au/amep-subsite/Pages/default.aspx" TargetMode="External"/><Relationship Id="rId864" Type="http://schemas.openxmlformats.org/officeDocument/2006/relationships/hyperlink" Target="https://tc.canada.ca/en/aviation/drone-safety/learn-rules-you-fly-your-drone/drone-operation-categories-pilot-certificates" TargetMode="External"/><Relationship Id="rId296" Type="http://schemas.openxmlformats.org/officeDocument/2006/relationships/hyperlink" Target="https://cbp.gov/" TargetMode="External"/><Relationship Id="rId517" Type="http://schemas.openxmlformats.org/officeDocument/2006/relationships/hyperlink" Target="https://letsmakeaplan.org/" TargetMode="External"/><Relationship Id="rId724" Type="http://schemas.openxmlformats.org/officeDocument/2006/relationships/hyperlink" Target="https://immi.homeaffairs.gov.au/visas/employing-and-sponsoring-someone/sponsoring-workers/learn-about-sponsoring" TargetMode="External"/><Relationship Id="rId931" Type="http://schemas.openxmlformats.org/officeDocument/2006/relationships/hyperlink" Target="https://www.canada.ca/en/canadian-coast-guard/corporate/contact-us/contact-marine-communications-traffic-services.html" TargetMode="External"/><Relationship Id="rId1147" Type="http://schemas.openxmlformats.org/officeDocument/2006/relationships/hyperlink" Target="https://www.accc.gov.au/business/pricing/price-displays" TargetMode="External"/><Relationship Id="rId60" Type="http://schemas.openxmlformats.org/officeDocument/2006/relationships/hyperlink" Target="https://zoll.de/" TargetMode="External"/><Relationship Id="rId156" Type="http://schemas.openxmlformats.org/officeDocument/2006/relationships/hyperlink" Target="https://de.usembassy.gov/" TargetMode="External"/><Relationship Id="rId363" Type="http://schemas.openxmlformats.org/officeDocument/2006/relationships/hyperlink" Target="https://usa.gov/unemployment-benefits" TargetMode="External"/><Relationship Id="rId570" Type="http://schemas.openxmlformats.org/officeDocument/2006/relationships/hyperlink" Target="https://supremecourt.gov/opinions/25pdf/25-365_4hdj.pdf" TargetMode="External"/><Relationship Id="rId1007" Type="http://schemas.openxmlformats.org/officeDocument/2006/relationships/hyperlink" Target="https://ird.govt.nz/" TargetMode="External"/><Relationship Id="rId223" Type="http://schemas.openxmlformats.org/officeDocument/2006/relationships/hyperlink" Target="https://USA.gov/" TargetMode="External"/><Relationship Id="rId430" Type="http://schemas.openxmlformats.org/officeDocument/2006/relationships/hyperlink" Target="https://dol.gov/agencies/eta/layoffs/warn" TargetMode="External"/><Relationship Id="rId668" Type="http://schemas.openxmlformats.org/officeDocument/2006/relationships/hyperlink" Target="https://ato.gov.au/" TargetMode="External"/><Relationship Id="rId875" Type="http://schemas.openxmlformats.org/officeDocument/2006/relationships/hyperlink" Target="https://ontario.ca/laws/statute/90h08" TargetMode="External"/><Relationship Id="rId1060" Type="http://schemas.openxmlformats.org/officeDocument/2006/relationships/hyperlink" Target="https://aa.co.nz/" TargetMode="External"/><Relationship Id="rId18" Type="http://schemas.openxmlformats.org/officeDocument/2006/relationships/hyperlink" Target="https://iza.org/" TargetMode="External"/><Relationship Id="rId528" Type="http://schemas.openxmlformats.org/officeDocument/2006/relationships/hyperlink" Target="https://consumer.ftc.gov/articles/phone-scams" TargetMode="External"/><Relationship Id="rId735" Type="http://schemas.openxmlformats.org/officeDocument/2006/relationships/hyperlink" Target="https://www.legalaid.nsw.gov.au/ways-to-get-help/publications-and-resources/police-powers" TargetMode="External"/><Relationship Id="rId942" Type="http://schemas.openxmlformats.org/officeDocument/2006/relationships/hyperlink" Target="https://oecd.org/" TargetMode="External"/><Relationship Id="rId167" Type="http://schemas.openxmlformats.org/officeDocument/2006/relationships/hyperlink" Target="https://cbp.gov/travel/international-visitors/visa-waiver-program" TargetMode="External"/><Relationship Id="rId374" Type="http://schemas.openxmlformats.org/officeDocument/2006/relationships/hyperlink" Target="https://www.stjude.org/about-st-jude/unique-operating-model/what-does-st-jude-provide.html" TargetMode="External"/><Relationship Id="rId581" Type="http://schemas.openxmlformats.org/officeDocument/2006/relationships/hyperlink" Target="https://servicesaustralia.gov.au/" TargetMode="External"/><Relationship Id="rId1018" Type="http://schemas.openxmlformats.org/officeDocument/2006/relationships/hyperlink" Target="https://insolvency.govt.nz/personal-debt/" TargetMode="External"/><Relationship Id="rId71" Type="http://schemas.openxmlformats.org/officeDocument/2006/relationships/hyperlink" Target="https://freddiemac.com/pmms" TargetMode="External"/><Relationship Id="rId234" Type="http://schemas.openxmlformats.org/officeDocument/2006/relationships/hyperlink" Target="https://fema.gov/flood-maps" TargetMode="External"/><Relationship Id="rId679" Type="http://schemas.openxmlformats.org/officeDocument/2006/relationships/hyperlink" Target="https://www.casa.gov.au/drones/drone-registration/registration-requirements" TargetMode="External"/><Relationship Id="rId802" Type="http://schemas.openxmlformats.org/officeDocument/2006/relationships/hyperlink" Target="https://canada.ca/en/immigration-refugees-citizenship/services/application/medical-police/police-certificates/how/germany.html" TargetMode="External"/><Relationship Id="rId886" Type="http://schemas.openxmlformats.org/officeDocument/2006/relationships/hyperlink" Target="https://kanada.diplo.de/" TargetMode="External"/><Relationship Id="rId2" Type="http://schemas.openxmlformats.org/officeDocument/2006/relationships/styles" Target="styles.xml"/><Relationship Id="rId29" Type="http://schemas.openxmlformats.org/officeDocument/2006/relationships/hyperlink" Target="https://www150.statcan.gc.ca/n1/daily-quotidien/250924/dq250924e-eng.htm?HPA=1&amp;indgeo=8&amp;indid=4098-1" TargetMode="External"/><Relationship Id="rId441" Type="http://schemas.openxmlformats.org/officeDocument/2006/relationships/hyperlink" Target="https://journals.sagepub.com/doi/10.1177/2158244016647772" TargetMode="External"/><Relationship Id="rId539" Type="http://schemas.openxmlformats.org/officeDocument/2006/relationships/hyperlink" Target="https://sss.gov/" TargetMode="External"/><Relationship Id="rId746" Type="http://schemas.openxmlformats.org/officeDocument/2006/relationships/hyperlink" Target="https://germany.info/" TargetMode="External"/><Relationship Id="rId1071" Type="http://schemas.openxmlformats.org/officeDocument/2006/relationships/hyperlink" Target="https://tpk.govt.nz/" TargetMode="External"/><Relationship Id="rId178" Type="http://schemas.openxmlformats.org/officeDocument/2006/relationships/hyperlink" Target="https://michigan.gov/mde" TargetMode="External"/><Relationship Id="rId301" Type="http://schemas.openxmlformats.org/officeDocument/2006/relationships/hyperlink" Target="https://iec.ch/world-plugs" TargetMode="External"/><Relationship Id="rId953" Type="http://schemas.openxmlformats.org/officeDocument/2006/relationships/hyperlink" Target="https://immigration.govt.nz/" TargetMode="External"/><Relationship Id="rId1029" Type="http://schemas.openxmlformats.org/officeDocument/2006/relationships/hyperlink" Target="https://poison.co.nz/" TargetMode="External"/><Relationship Id="rId82" Type="http://schemas.openxmlformats.org/officeDocument/2006/relationships/hyperlink" Target="https://destatis.de/" TargetMode="External"/><Relationship Id="rId385" Type="http://schemas.openxmlformats.org/officeDocument/2006/relationships/hyperlink" Target="https://oregon.gov/odot/dmv" TargetMode="External"/><Relationship Id="rId592" Type="http://schemas.openxmlformats.org/officeDocument/2006/relationships/hyperlink" Target="https://immi.homeaffairs.gov.au/" TargetMode="External"/><Relationship Id="rId606" Type="http://schemas.openxmlformats.org/officeDocument/2006/relationships/hyperlink" Target="https://www.amc.org.au/" TargetMode="External"/><Relationship Id="rId813" Type="http://schemas.openxmlformats.org/officeDocument/2006/relationships/hyperlink" Target="https://www2.gov.bc.ca/gov/content/health/health-drug-coverage/msp" TargetMode="External"/><Relationship Id="rId245" Type="http://schemas.openxmlformats.org/officeDocument/2006/relationships/hyperlink" Target="https://travel.state.gov/" TargetMode="External"/><Relationship Id="rId452" Type="http://schemas.openxmlformats.org/officeDocument/2006/relationships/hyperlink" Target="https://www.hud.gov/topics/rental_assistance" TargetMode="External"/><Relationship Id="rId897" Type="http://schemas.openxmlformats.org/officeDocument/2006/relationships/hyperlink" Target="https://JustWatch.de/" TargetMode="External"/><Relationship Id="rId1082" Type="http://schemas.openxmlformats.org/officeDocument/2006/relationships/hyperlink" Target="https://plunket.org.nz/" TargetMode="External"/><Relationship Id="rId105" Type="http://schemas.openxmlformats.org/officeDocument/2006/relationships/hyperlink" Target="https://uscis.gov/" TargetMode="External"/><Relationship Id="rId312" Type="http://schemas.openxmlformats.org/officeDocument/2006/relationships/hyperlink" Target="https://uscis.gov/" TargetMode="External"/><Relationship Id="rId757" Type="http://schemas.openxmlformats.org/officeDocument/2006/relationships/hyperlink" Target="https://gov.bc.ca/" TargetMode="External"/><Relationship Id="rId964" Type="http://schemas.openxmlformats.org/officeDocument/2006/relationships/hyperlink" Target="https://immigration.govt.nz/process-to-apply/applying-for-a-visa/providing-evidence-and-documents-to-support-your-visa-application/health-requirements" TargetMode="External"/><Relationship Id="rId93" Type="http://schemas.openxmlformats.org/officeDocument/2006/relationships/hyperlink" Target="https://federalregister.gov/" TargetMode="External"/><Relationship Id="rId189" Type="http://schemas.openxmlformats.org/officeDocument/2006/relationships/hyperlink" Target="https://travel.state.gov/visas" TargetMode="External"/><Relationship Id="rId396" Type="http://schemas.openxmlformats.org/officeDocument/2006/relationships/hyperlink" Target="https://irs.gov/publications/p519" TargetMode="External"/><Relationship Id="rId617" Type="http://schemas.openxmlformats.org/officeDocument/2006/relationships/hyperlink" Target="https://immi.homeaffairs.gov.au/" TargetMode="External"/><Relationship Id="rId824" Type="http://schemas.openxmlformats.org/officeDocument/2006/relationships/hyperlink" Target="https://bmo.com/" TargetMode="External"/><Relationship Id="rId256" Type="http://schemas.openxmlformats.org/officeDocument/2006/relationships/hyperlink" Target="https://familienportal.de/" TargetMode="External"/><Relationship Id="rId463" Type="http://schemas.openxmlformats.org/officeDocument/2006/relationships/hyperlink" Target="https://www.cpsc.gov/" TargetMode="External"/><Relationship Id="rId670" Type="http://schemas.openxmlformats.org/officeDocument/2006/relationships/hyperlink" Target="https://domain.com.au/" TargetMode="External"/><Relationship Id="rId1093" Type="http://schemas.openxmlformats.org/officeDocument/2006/relationships/hyperlink" Target="https://employment.govt.nz/" TargetMode="External"/><Relationship Id="rId1107" Type="http://schemas.openxmlformats.org/officeDocument/2006/relationships/hyperlink" Target="https://netsafe.org.nz/scams/romance-scams" TargetMode="External"/><Relationship Id="rId116" Type="http://schemas.openxmlformats.org/officeDocument/2006/relationships/hyperlink" Target="https://federalregister.gov/" TargetMode="External"/><Relationship Id="rId323" Type="http://schemas.openxmlformats.org/officeDocument/2006/relationships/hyperlink" Target="https://www.usa.gov/who-can-vote" TargetMode="External"/><Relationship Id="rId530" Type="http://schemas.openxmlformats.org/officeDocument/2006/relationships/hyperlink" Target="https://consumer.ftc.gov/articles/what-know-about-romance-scams" TargetMode="External"/><Relationship Id="rId768" Type="http://schemas.openxmlformats.org/officeDocument/2006/relationships/hyperlink" Target="https://canada.ca/en/employment-social-development" TargetMode="External"/><Relationship Id="rId975" Type="http://schemas.openxmlformats.org/officeDocument/2006/relationships/hyperlink" Target="https://www.immigration.govt.nz/visas/partner-of-a-new-zealander-resident-visa/" TargetMode="External"/><Relationship Id="rId20" Type="http://schemas.openxmlformats.org/officeDocument/2006/relationships/hyperlink" Target="https://fairwork.gov.au/find-help-for/young-workers-and-students" TargetMode="External"/><Relationship Id="rId628" Type="http://schemas.openxmlformats.org/officeDocument/2006/relationships/hyperlink" Target="https://abf.gov.au/" TargetMode="External"/><Relationship Id="rId835" Type="http://schemas.openxmlformats.org/officeDocument/2006/relationships/hyperlink" Target="https://alberta.ca/ahcip" TargetMode="External"/><Relationship Id="rId267" Type="http://schemas.openxmlformats.org/officeDocument/2006/relationships/hyperlink" Target="https://gesetze-im-internet.de/" TargetMode="External"/><Relationship Id="rId474" Type="http://schemas.openxmlformats.org/officeDocument/2006/relationships/hyperlink" Target="https://www.consumerprotection.govt.nz/" TargetMode="External"/><Relationship Id="rId1020" Type="http://schemas.openxmlformats.org/officeDocument/2006/relationships/hyperlink" Target="https://consumerprotection.govt.nz/help-product-service/borrowing-money/debt-collection-repossession" TargetMode="External"/><Relationship Id="rId1118" Type="http://schemas.openxmlformats.org/officeDocument/2006/relationships/hyperlink" Target="https://civildefence.govt.nz/" TargetMode="External"/><Relationship Id="rId127" Type="http://schemas.openxmlformats.org/officeDocument/2006/relationships/hyperlink" Target="https://flag.dol.gov/processingtimes" TargetMode="External"/><Relationship Id="rId681" Type="http://schemas.openxmlformats.org/officeDocument/2006/relationships/hyperlink" Target="https://transport.vic.gov.au/" TargetMode="External"/><Relationship Id="rId779" Type="http://schemas.openxmlformats.org/officeDocument/2006/relationships/hyperlink" Target="https://www.canada.ca/en/immigration-refugees-citizenship/services/immigrate-canada/provincial-nominees.html" TargetMode="External"/><Relationship Id="rId902" Type="http://schemas.openxmlformats.org/officeDocument/2006/relationships/hyperlink" Target="https://auslandsschulwesen.de/" TargetMode="External"/><Relationship Id="rId986" Type="http://schemas.openxmlformats.org/officeDocument/2006/relationships/hyperlink" Target="https://immigration.govt.nz/assets/inz/documents/forms-and-guides/Fees-Guide-INZ-1028.pdf" TargetMode="External"/><Relationship Id="rId31" Type="http://schemas.openxmlformats.org/officeDocument/2006/relationships/hyperlink" Target="https://www.abs.gov.au/statistics/people/population/national-state-and-territory-population/jun-2025" TargetMode="External"/><Relationship Id="rId334" Type="http://schemas.openxmlformats.org/officeDocument/2006/relationships/hyperlink" Target="https://federalreserve.gov/releases/g19" TargetMode="External"/><Relationship Id="rId541" Type="http://schemas.openxmlformats.org/officeDocument/2006/relationships/hyperlink" Target="https://mapresearch.org/equality-maps" TargetMode="External"/><Relationship Id="rId639" Type="http://schemas.openxmlformats.org/officeDocument/2006/relationships/hyperlink" Target="https://westpac.com.au/" TargetMode="External"/><Relationship Id="rId180" Type="http://schemas.openxmlformats.org/officeDocument/2006/relationships/hyperlink" Target="https://uscis.gov/g-1055" TargetMode="External"/><Relationship Id="rId278" Type="http://schemas.openxmlformats.org/officeDocument/2006/relationships/hyperlink" Target="https://law.cornell.edu/cfr/text/8/103.2" TargetMode="External"/><Relationship Id="rId401" Type="http://schemas.openxmlformats.org/officeDocument/2006/relationships/hyperlink" Target="https://irs.gov/payments/failure-to-file-penalty" TargetMode="External"/><Relationship Id="rId846" Type="http://schemas.openxmlformats.org/officeDocument/2006/relationships/hyperlink" Target="https://www.heartandstroke.ca/heart-disease/emergency-signs" TargetMode="External"/><Relationship Id="rId1031" Type="http://schemas.openxmlformats.org/officeDocument/2006/relationships/hyperlink" Target="https://workandincome.govt.nz/products/a-z-benefits/jobseeker-support.html" TargetMode="External"/><Relationship Id="rId1129" Type="http://schemas.openxmlformats.org/officeDocument/2006/relationships/hyperlink" Target="https://wellington.diplo.de/" TargetMode="External"/><Relationship Id="rId485" Type="http://schemas.openxmlformats.org/officeDocument/2006/relationships/hyperlink" Target="https://nces.ed.gov/programs/digest" TargetMode="External"/><Relationship Id="rId692" Type="http://schemas.openxmlformats.org/officeDocument/2006/relationships/hyperlink" Target="https://qld.gov.au/transport/registration/numberplate/condition-visibility" TargetMode="External"/><Relationship Id="rId706" Type="http://schemas.openxmlformats.org/officeDocument/2006/relationships/hyperlink" Target="https://www.environment.nsw.gov.au/topics/parks-reserves-and-protected-areas/commercial-activities-in-parks/filming-and-photography-licences" TargetMode="External"/><Relationship Id="rId913" Type="http://schemas.openxmlformats.org/officeDocument/2006/relationships/hyperlink" Target="https://alberta.ca/employment-standards" TargetMode="External"/><Relationship Id="rId42" Type="http://schemas.openxmlformats.org/officeDocument/2006/relationships/hyperlink" Target="https://www.immigration.govt.nz/work/requirements-for-work-visas/green-list-occupations-qualifications-and-skills/green-list-roles-jobs-we-need-people-for-in-new-zealand/" TargetMode="External"/><Relationship Id="rId138" Type="http://schemas.openxmlformats.org/officeDocument/2006/relationships/hyperlink" Target="https://ecfr.gov/" TargetMode="External"/><Relationship Id="rId345" Type="http://schemas.openxmlformats.org/officeDocument/2006/relationships/hyperlink" Target="https://healthcare.gov/" TargetMode="External"/><Relationship Id="rId552" Type="http://schemas.openxmlformats.org/officeDocument/2006/relationships/hyperlink" Target="https://www.nps.gov/prwi/learn/nature/coyote.htm" TargetMode="External"/><Relationship Id="rId997" Type="http://schemas.openxmlformats.org/officeDocument/2006/relationships/hyperlink" Target="https://immigration.govt.nz/" TargetMode="External"/><Relationship Id="rId191" Type="http://schemas.openxmlformats.org/officeDocument/2006/relationships/hyperlink" Target="https://ceac.state.gov/genniv" TargetMode="External"/><Relationship Id="rId205" Type="http://schemas.openxmlformats.org/officeDocument/2006/relationships/hyperlink" Target="https://www.yourhome.gov.au/materials/construction-systems" TargetMode="External"/><Relationship Id="rId412" Type="http://schemas.openxmlformats.org/officeDocument/2006/relationships/hyperlink" Target="https://dol.gov/agencies/whd/flsa" TargetMode="External"/><Relationship Id="rId857" Type="http://schemas.openxmlformats.org/officeDocument/2006/relationships/hyperlink" Target="https://ontario.ca/" TargetMode="External"/><Relationship Id="rId1042" Type="http://schemas.openxmlformats.org/officeDocument/2006/relationships/hyperlink" Target="https://tenancy.govt.nz/" TargetMode="External"/><Relationship Id="rId289" Type="http://schemas.openxmlformats.org/officeDocument/2006/relationships/hyperlink" Target="https://law.cornell.edu/cfr/text/19/148.52" TargetMode="External"/><Relationship Id="rId496" Type="http://schemas.openxmlformats.org/officeDocument/2006/relationships/hyperlink" Target="https://tcgis.org/" TargetMode="External"/><Relationship Id="rId717" Type="http://schemas.openxmlformats.org/officeDocument/2006/relationships/hyperlink" Target="https://acara.edu.au/" TargetMode="External"/><Relationship Id="rId924" Type="http://schemas.openxmlformats.org/officeDocument/2006/relationships/hyperlink" Target="https://weather.gc.ca/" TargetMode="External"/><Relationship Id="rId53" Type="http://schemas.openxmlformats.org/officeDocument/2006/relationships/hyperlink" Target="https://www.bundesjustizamt.de/" TargetMode="External"/><Relationship Id="rId149" Type="http://schemas.openxmlformats.org/officeDocument/2006/relationships/hyperlink" Target="https://ice.gov/sevis/i901" TargetMode="External"/><Relationship Id="rId356" Type="http://schemas.openxmlformats.org/officeDocument/2006/relationships/hyperlink" Target="https://medlineplus.gov/ency/article/002123.htm" TargetMode="External"/><Relationship Id="rId563" Type="http://schemas.openxmlformats.org/officeDocument/2006/relationships/hyperlink" Target="https://uscis.gov/g-1055" TargetMode="External"/><Relationship Id="rId770" Type="http://schemas.openxmlformats.org/officeDocument/2006/relationships/hyperlink" Target="https://canada.ca/" TargetMode="External"/><Relationship Id="rId216" Type="http://schemas.openxmlformats.org/officeDocument/2006/relationships/hyperlink" Target="https://consumer.ftc.gov/articles/rental-listing-scams" TargetMode="External"/><Relationship Id="rId423" Type="http://schemas.openxmlformats.org/officeDocument/2006/relationships/hyperlink" Target="https://uscis.gov/working-in-the-united-states/h-1b-specialty-occupations" TargetMode="External"/><Relationship Id="rId868" Type="http://schemas.openxmlformats.org/officeDocument/2006/relationships/hyperlink" Target="https://saaq.gouv.qc.ca/" TargetMode="External"/><Relationship Id="rId1053" Type="http://schemas.openxmlformats.org/officeDocument/2006/relationships/hyperlink" Target="https://www.rsm.govt.nz/licensing/frequencies-for-anyone/amateur-radio-operators" TargetMode="External"/><Relationship Id="rId630" Type="http://schemas.openxmlformats.org/officeDocument/2006/relationships/hyperlink" Target="https://ato.gov.au/" TargetMode="External"/><Relationship Id="rId728" Type="http://schemas.openxmlformats.org/officeDocument/2006/relationships/hyperlink" Target="https://ato.gov.au/super" TargetMode="External"/><Relationship Id="rId935" Type="http://schemas.openxmlformats.org/officeDocument/2006/relationships/hyperlink" Target="https://cra-arc.gc.ca/" TargetMode="External"/><Relationship Id="rId64" Type="http://schemas.openxmlformats.org/officeDocument/2006/relationships/hyperlink" Target="https://www.zoll.de/" TargetMode="External"/><Relationship Id="rId367" Type="http://schemas.openxmlformats.org/officeDocument/2006/relationships/hyperlink" Target="https://states.guttmacher.org/policies/" TargetMode="External"/><Relationship Id="rId574" Type="http://schemas.openxmlformats.org/officeDocument/2006/relationships/hyperlink" Target="https://irs.gov/individuals/international-taxpayers/firpta-withholding" TargetMode="External"/><Relationship Id="rId1120" Type="http://schemas.openxmlformats.org/officeDocument/2006/relationships/hyperlink" Target="https://auswaertiges-amt.de/" TargetMode="External"/><Relationship Id="rId227" Type="http://schemas.openxmlformats.org/officeDocument/2006/relationships/hyperlink" Target="https://consumerfinance.gov/owning-a-home" TargetMode="External"/><Relationship Id="rId781" Type="http://schemas.openxmlformats.org/officeDocument/2006/relationships/hyperlink" Target="https://jobs.ontario.ca/page/ontario-workforce-priority-stream" TargetMode="External"/><Relationship Id="rId879" Type="http://schemas.openxmlformats.org/officeDocument/2006/relationships/hyperlink" Target="https://JustWatch.de/" TargetMode="External"/><Relationship Id="rId434" Type="http://schemas.openxmlformats.org/officeDocument/2006/relationships/hyperlink" Target="https://dol.gov/agencies/whd" TargetMode="External"/><Relationship Id="rId641" Type="http://schemas.openxmlformats.org/officeDocument/2006/relationships/hyperlink" Target="https://anz.com.au/" TargetMode="External"/><Relationship Id="rId739" Type="http://schemas.openxmlformats.org/officeDocument/2006/relationships/hyperlink" Target="https://rfs.nsw.gov.au/" TargetMode="External"/><Relationship Id="rId1064" Type="http://schemas.openxmlformats.org/officeDocument/2006/relationships/hyperlink" Target="https://legislation.govt.nz/act/public/1998/0110/latest/" TargetMode="External"/><Relationship Id="rId280" Type="http://schemas.openxmlformats.org/officeDocument/2006/relationships/hyperlink" Target="https://wes.org/evaluations" TargetMode="External"/><Relationship Id="rId501" Type="http://schemas.openxmlformats.org/officeDocument/2006/relationships/hyperlink" Target="https://supremecourt.gov/opinions/25pdf/25-365_4hdj.pdf" TargetMode="External"/><Relationship Id="rId946" Type="http://schemas.openxmlformats.org/officeDocument/2006/relationships/hyperlink" Target="https://ird.govt.nz/" TargetMode="External"/><Relationship Id="rId1131" Type="http://schemas.openxmlformats.org/officeDocument/2006/relationships/hyperlink" Target="https://uscis.gov/" TargetMode="External"/><Relationship Id="rId75" Type="http://schemas.openxmlformats.org/officeDocument/2006/relationships/hyperlink" Target="https://consumerfinance.gov/" TargetMode="External"/><Relationship Id="rId140" Type="http://schemas.openxmlformats.org/officeDocument/2006/relationships/hyperlink" Target="https://gesetze-im-internet.de/aufenthg_2004/__18c.html" TargetMode="External"/><Relationship Id="rId378" Type="http://schemas.openxmlformats.org/officeDocument/2006/relationships/hyperlink" Target="https://dmv.ca.gov/" TargetMode="External"/><Relationship Id="rId585" Type="http://schemas.openxmlformats.org/officeDocument/2006/relationships/hyperlink" Target="https://www.agriculture.gov.au/cats-dogs" TargetMode="External"/><Relationship Id="rId792" Type="http://schemas.openxmlformats.org/officeDocument/2006/relationships/hyperlink" Target="https://www.canada.ca/en/immigration-refugees-citizenship/services/immigrate-canada/family-sponsorship/spouse-partner-children.html" TargetMode="External"/><Relationship Id="rId806" Type="http://schemas.openxmlformats.org/officeDocument/2006/relationships/hyperlink" Target="https://bundesjustizamt.de/" TargetMode="External"/><Relationship Id="rId6" Type="http://schemas.openxmlformats.org/officeDocument/2006/relationships/image" Target="media/image2.png"/><Relationship Id="rId238" Type="http://schemas.openxmlformats.org/officeDocument/2006/relationships/hyperlink" Target="https://www.faa.gov/pilots" TargetMode="External"/><Relationship Id="rId445" Type="http://schemas.openxmlformats.org/officeDocument/2006/relationships/hyperlink" Target="https://news.ku.edu/" TargetMode="External"/><Relationship Id="rId652" Type="http://schemas.openxmlformats.org/officeDocument/2006/relationships/hyperlink" Target="https://healthdirect.gov.au/ibuprofen" TargetMode="External"/><Relationship Id="rId1075" Type="http://schemas.openxmlformats.org/officeDocument/2006/relationships/hyperlink" Target="https://employment.govt.nz/" TargetMode="External"/><Relationship Id="rId291" Type="http://schemas.openxmlformats.org/officeDocument/2006/relationships/hyperlink" Target="https://irs.gov/pub/irs-pdf/p15b.pdf" TargetMode="External"/><Relationship Id="rId305" Type="http://schemas.openxmlformats.org/officeDocument/2006/relationships/hyperlink" Target="https://aphis.usda.gov/pet-travel" TargetMode="External"/><Relationship Id="rId512" Type="http://schemas.openxmlformats.org/officeDocument/2006/relationships/hyperlink" Target="https://medicare.gov/basics/costs" TargetMode="External"/><Relationship Id="rId957" Type="http://schemas.openxmlformats.org/officeDocument/2006/relationships/hyperlink" Target="https://immigration.govt.nz/" TargetMode="External"/><Relationship Id="rId1142" Type="http://schemas.openxmlformats.org/officeDocument/2006/relationships/hyperlink" Target="https://wellington.diplo.de/" TargetMode="External"/><Relationship Id="rId86" Type="http://schemas.openxmlformats.org/officeDocument/2006/relationships/hyperlink" Target="https://uscis.gov/green-card" TargetMode="External"/><Relationship Id="rId151" Type="http://schemas.openxmlformats.org/officeDocument/2006/relationships/hyperlink" Target="https://irs.gov/individuals/international-taxpayers" TargetMode="External"/><Relationship Id="rId389" Type="http://schemas.openxmlformats.org/officeDocument/2006/relationships/hyperlink" Target="https://eia.gov/petroleum/gasdiesel" TargetMode="External"/><Relationship Id="rId596" Type="http://schemas.openxmlformats.org/officeDocument/2006/relationships/hyperlink" Target="https://immi.homeaffairs.gov.au/" TargetMode="External"/><Relationship Id="rId817" Type="http://schemas.openxmlformats.org/officeDocument/2006/relationships/hyperlink" Target="https://canada.ca/en/revenue-agency" TargetMode="External"/><Relationship Id="rId1002" Type="http://schemas.openxmlformats.org/officeDocument/2006/relationships/hyperlink" Target="https://ird.govt.nz/" TargetMode="External"/><Relationship Id="rId249" Type="http://schemas.openxmlformats.org/officeDocument/2006/relationships/hyperlink" Target="https://gesetze-im-internet.de/" TargetMode="External"/><Relationship Id="rId456" Type="http://schemas.openxmlformats.org/officeDocument/2006/relationships/hyperlink" Target="https://988lifeline.org/" TargetMode="External"/><Relationship Id="rId663" Type="http://schemas.openxmlformats.org/officeDocument/2006/relationships/hyperlink" Target="https://www.healthdirect.gov.au/stroke" TargetMode="External"/><Relationship Id="rId870" Type="http://schemas.openxmlformats.org/officeDocument/2006/relationships/hyperlink" Target="https://quebec.ca/" TargetMode="External"/><Relationship Id="rId1086" Type="http://schemas.openxmlformats.org/officeDocument/2006/relationships/hyperlink" Target="https://JustWatch.de/" TargetMode="External"/><Relationship Id="rId13" Type="http://schemas.openxmlformats.org/officeDocument/2006/relationships/image" Target="media/image5.png"/><Relationship Id="rId109" Type="http://schemas.openxmlformats.org/officeDocument/2006/relationships/hyperlink" Target="https://uscis.gov/working-in-the-united-states/h-1b-specialty-occupations" TargetMode="External"/><Relationship Id="rId316" Type="http://schemas.openxmlformats.org/officeDocument/2006/relationships/hyperlink" Target="https://federalregister.gov/d/2025-19655" TargetMode="External"/><Relationship Id="rId523" Type="http://schemas.openxmlformats.org/officeDocument/2006/relationships/hyperlink" Target="https://consumer.ftc.gov/articles/funeral-costs-pricing-checklist" TargetMode="External"/><Relationship Id="rId968" Type="http://schemas.openxmlformats.org/officeDocument/2006/relationships/hyperlink" Target="https://www.nursingcouncil.org.nz/" TargetMode="External"/><Relationship Id="rId1153" Type="http://schemas.openxmlformats.org/officeDocument/2006/relationships/theme" Target="theme/theme1.xml"/><Relationship Id="rId97" Type="http://schemas.openxmlformats.org/officeDocument/2006/relationships/hyperlink" Target="https://federalregister.gov/" TargetMode="External"/><Relationship Id="rId730" Type="http://schemas.openxmlformats.org/officeDocument/2006/relationships/hyperlink" Target="https://workforceaustralia.gov.au/individuals/coaching/job-applications/job-interviews" TargetMode="External"/><Relationship Id="rId828" Type="http://schemas.openxmlformats.org/officeDocument/2006/relationships/hyperlink" Target="https://ised-isde.canada.ca/site/office-superintendent-bankruptcy/en/you-owe-money/compare-debt-solutions" TargetMode="External"/><Relationship Id="rId1013" Type="http://schemas.openxmlformats.org/officeDocument/2006/relationships/hyperlink" Target="https://anz.co.nz/" TargetMode="External"/><Relationship Id="rId162" Type="http://schemas.openxmlformats.org/officeDocument/2006/relationships/hyperlink" Target="https://uscis.gov/g-1055" TargetMode="External"/><Relationship Id="rId467" Type="http://schemas.openxmlformats.org/officeDocument/2006/relationships/hyperlink" Target="https://www.tax.ny.gov/" TargetMode="External"/><Relationship Id="rId1097" Type="http://schemas.openxmlformats.org/officeDocument/2006/relationships/hyperlink" Target="https://www.employment.govt.nz/starting-employment/hiring/trial-periods" TargetMode="External"/><Relationship Id="rId674" Type="http://schemas.openxmlformats.org/officeDocument/2006/relationships/hyperlink" Target="https://www.energy.gov.au/households/quick-wins" TargetMode="External"/><Relationship Id="rId881" Type="http://schemas.openxmlformats.org/officeDocument/2006/relationships/hyperlink" Target="https://bpb.de/" TargetMode="External"/><Relationship Id="rId979" Type="http://schemas.openxmlformats.org/officeDocument/2006/relationships/hyperlink" Target="https://www.immigration.govt.nz/visas/parent-resident-visa/" TargetMode="External"/><Relationship Id="rId24" Type="http://schemas.openxmlformats.org/officeDocument/2006/relationships/hyperlink" Target="https://www.eia.gov/energyexplained/gasoline/price-fluctuations.php" TargetMode="External"/><Relationship Id="rId327" Type="http://schemas.openxmlformats.org/officeDocument/2006/relationships/hyperlink" Target="https://ssa.gov/international/Agreement_Pamphlets/germany.html" TargetMode="External"/><Relationship Id="rId534" Type="http://schemas.openxmlformats.org/officeDocument/2006/relationships/hyperlink" Target="https://sss.gov/" TargetMode="External"/><Relationship Id="rId741" Type="http://schemas.openxmlformats.org/officeDocument/2006/relationships/hyperlink" Target="https://health.gov.au/" TargetMode="External"/><Relationship Id="rId839" Type="http://schemas.openxmlformats.org/officeDocument/2006/relationships/hyperlink" Target="https://canada.ca/en/health-canada/services/health-care-system/canada-health-care-system-medicare/canada-health-act/how-publicly-funded-coverage-works.html" TargetMode="External"/><Relationship Id="rId173" Type="http://schemas.openxmlformats.org/officeDocument/2006/relationships/hyperlink" Target="https://uscis.gov/working-in-the-united-states/temporary-workers/l-1a-intracompany-transferee-executive-or-manager" TargetMode="External"/><Relationship Id="rId380" Type="http://schemas.openxmlformats.org/officeDocument/2006/relationships/hyperlink" Target="https://dps.texas.gov/" TargetMode="External"/><Relationship Id="rId601" Type="http://schemas.openxmlformats.org/officeDocument/2006/relationships/hyperlink" Target="https://immi.homeaffairs.gov.au/visas/working-in-australia/skillselect" TargetMode="External"/><Relationship Id="rId1024" Type="http://schemas.openxmlformats.org/officeDocument/2006/relationships/hyperlink" Target="https://southerncross.co.nz/" TargetMode="External"/><Relationship Id="rId240" Type="http://schemas.openxmlformats.org/officeDocument/2006/relationships/hyperlink" Target="https://uscgboating.org/regulations/state-boating-laws.php" TargetMode="External"/><Relationship Id="rId478" Type="http://schemas.openxmlformats.org/officeDocument/2006/relationships/hyperlink" Target="https://usda.gov/topics/organic" TargetMode="External"/><Relationship Id="rId685" Type="http://schemas.openxmlformats.org/officeDocument/2006/relationships/hyperlink" Target="https://austroads.gov.au/" TargetMode="External"/><Relationship Id="rId892" Type="http://schemas.openxmlformats.org/officeDocument/2006/relationships/hyperlink" Target="https://kidshelpphone.ca/" TargetMode="External"/><Relationship Id="rId906" Type="http://schemas.openxmlformats.org/officeDocument/2006/relationships/hyperlink" Target="https://jobbank.gc.ca/" TargetMode="External"/><Relationship Id="rId35" Type="http://schemas.openxmlformats.org/officeDocument/2006/relationships/hyperlink" Target="https://www.ehinz.ac.nz/indicators/population-vulnerability/population-size-and-change/" TargetMode="External"/><Relationship Id="rId100" Type="http://schemas.openxmlformats.org/officeDocument/2006/relationships/hyperlink" Target="https://uscis.gov/g-1055" TargetMode="External"/><Relationship Id="rId338" Type="http://schemas.openxmlformats.org/officeDocument/2006/relationships/hyperlink" Target="https://novacredit.com/credit-passport" TargetMode="External"/><Relationship Id="rId545" Type="http://schemas.openxmlformats.org/officeDocument/2006/relationships/hyperlink" Target="https://ready.gov/" TargetMode="External"/><Relationship Id="rId752" Type="http://schemas.openxmlformats.org/officeDocument/2006/relationships/hyperlink" Target="https://ato.gov.au/" TargetMode="External"/><Relationship Id="rId184" Type="http://schemas.openxmlformats.org/officeDocument/2006/relationships/hyperlink" Target="https://travel.state.gov/" TargetMode="External"/><Relationship Id="rId391" Type="http://schemas.openxmlformats.org/officeDocument/2006/relationships/hyperlink" Target="https://dmv.ca.gov/portal/vehicle-registration/license-plates-decals-and-placards/" TargetMode="External"/><Relationship Id="rId405" Type="http://schemas.openxmlformats.org/officeDocument/2006/relationships/hyperlink" Target="https://dol.gov/agencies/whd/overtime" TargetMode="External"/><Relationship Id="rId612" Type="http://schemas.openxmlformats.org/officeDocument/2006/relationships/hyperlink" Target="https://immi.homeaffairs.gov.au/" TargetMode="External"/><Relationship Id="rId1035" Type="http://schemas.openxmlformats.org/officeDocument/2006/relationships/hyperlink" Target="https://www.health.govt.nz/regulation-legislation/abortion/abortion-information-for-patients" TargetMode="External"/><Relationship Id="rId251" Type="http://schemas.openxmlformats.org/officeDocument/2006/relationships/hyperlink" Target="https://deutschepost.de/de/n/nachsendeservice.html" TargetMode="External"/><Relationship Id="rId489" Type="http://schemas.openxmlformats.org/officeDocument/2006/relationships/hyperlink" Target="https://auslandsschulwesen.de/" TargetMode="External"/><Relationship Id="rId696" Type="http://schemas.openxmlformats.org/officeDocument/2006/relationships/hyperlink" Target="https://JustWatch.de/" TargetMode="External"/><Relationship Id="rId917" Type="http://schemas.openxmlformats.org/officeDocument/2006/relationships/hyperlink" Target="https://www.justice.gc.ca/eng/csj-sjc/rfc-dlc/ccrf-ccdl/check/art10.html" TargetMode="External"/><Relationship Id="rId1102" Type="http://schemas.openxmlformats.org/officeDocument/2006/relationships/hyperlink" Target="https://trademe.co.nz/jobs" TargetMode="External"/><Relationship Id="rId46" Type="http://schemas.openxmlformats.org/officeDocument/2006/relationships/hyperlink" Target="https://bfaa.diplo.de/" TargetMode="External"/><Relationship Id="rId349" Type="http://schemas.openxmlformats.org/officeDocument/2006/relationships/hyperlink" Target="https://dol.gov/agencies/ebsa" TargetMode="External"/><Relationship Id="rId556" Type="http://schemas.openxmlformats.org/officeDocument/2006/relationships/hyperlink" Target="https://www.ice.gov/mission" TargetMode="External"/><Relationship Id="rId763" Type="http://schemas.openxmlformats.org/officeDocument/2006/relationships/hyperlink" Target="https://canada.ca/" TargetMode="External"/><Relationship Id="rId111" Type="http://schemas.openxmlformats.org/officeDocument/2006/relationships/hyperlink" Target="https://www.govinfo.gov/content/pkg/FR-2026-09-23/html/2026-19554.htm" TargetMode="External"/><Relationship Id="rId195" Type="http://schemas.openxmlformats.org/officeDocument/2006/relationships/hyperlink" Target="https://uscis.gov/avoid-scams" TargetMode="External"/><Relationship Id="rId209" Type="http://schemas.openxmlformats.org/officeDocument/2006/relationships/hyperlink" Target="https://www.cmhc-schl.gc.ca/consumers/home-buying/buying-guides/condominium/chapter-2-condominium-governance" TargetMode="External"/><Relationship Id="rId416" Type="http://schemas.openxmlformats.org/officeDocument/2006/relationships/hyperlink" Target="https://bls.gov/oes" TargetMode="External"/><Relationship Id="rId970" Type="http://schemas.openxmlformats.org/officeDocument/2006/relationships/hyperlink" Target="https://www.engineeringnz.org/" TargetMode="External"/><Relationship Id="rId1046" Type="http://schemas.openxmlformats.org/officeDocument/2006/relationships/hyperlink" Target="https://wellington.diplo.de/" TargetMode="External"/><Relationship Id="rId623" Type="http://schemas.openxmlformats.org/officeDocument/2006/relationships/hyperlink" Target="https://bundesjustizamt.de/" TargetMode="External"/><Relationship Id="rId830" Type="http://schemas.openxmlformats.org/officeDocument/2006/relationships/hyperlink" Target="https://canada.ca/" TargetMode="External"/><Relationship Id="rId928" Type="http://schemas.openxmlformats.org/officeDocument/2006/relationships/hyperlink" Target="https://www.ontario.ca/page/preventing-and-managing-conflicts-coyotes" TargetMode="External"/><Relationship Id="rId57" Type="http://schemas.openxmlformats.org/officeDocument/2006/relationships/hyperlink" Target="https://zoll.de/" TargetMode="External"/><Relationship Id="rId262" Type="http://schemas.openxmlformats.org/officeDocument/2006/relationships/hyperlink" Target="https://irs.gov/pub/irs-trty/germany.pdf" TargetMode="External"/><Relationship Id="rId567" Type="http://schemas.openxmlformats.org/officeDocument/2006/relationships/hyperlink" Target="https://bva.bund.de/" TargetMode="External"/><Relationship Id="rId1113" Type="http://schemas.openxmlformats.org/officeDocument/2006/relationships/hyperlink" Target="https://justice.govt.nz/" TargetMode="External"/><Relationship Id="rId122" Type="http://schemas.openxmlformats.org/officeDocument/2006/relationships/hyperlink" Target="https://travel.state.gov/visabulletin" TargetMode="External"/><Relationship Id="rId774" Type="http://schemas.openxmlformats.org/officeDocument/2006/relationships/hyperlink" Target="https://canada.ca/" TargetMode="External"/><Relationship Id="rId981" Type="http://schemas.openxmlformats.org/officeDocument/2006/relationships/hyperlink" Target="https://immigration.govt.nz/" TargetMode="External"/><Relationship Id="rId1057" Type="http://schemas.openxmlformats.org/officeDocument/2006/relationships/hyperlink" Target="https://world.dan.org/safety-prevention/return-to-diving-safely/health-status/" TargetMode="External"/><Relationship Id="rId427" Type="http://schemas.openxmlformats.org/officeDocument/2006/relationships/hyperlink" Target="https://federalregister.gov/" TargetMode="External"/><Relationship Id="rId634" Type="http://schemas.openxmlformats.org/officeDocument/2006/relationships/hyperlink" Target="https://servicesaustralia.gov.au/" TargetMode="External"/><Relationship Id="rId841" Type="http://schemas.openxmlformats.org/officeDocument/2006/relationships/hyperlink" Target="https://ircc.canada.ca/english/newcomers/services/index.asp" TargetMode="External"/><Relationship Id="rId273" Type="http://schemas.openxmlformats.org/officeDocument/2006/relationships/hyperlink" Target="https://fuehrungszeugnis.bund.de/" TargetMode="External"/><Relationship Id="rId480" Type="http://schemas.openxmlformats.org/officeDocument/2006/relationships/hyperlink" Target="https://epa.gov/ground-water-and-drinking-water" TargetMode="External"/><Relationship Id="rId701" Type="http://schemas.openxmlformats.org/officeDocument/2006/relationships/hyperlink" Target="https://australia.com/" TargetMode="External"/><Relationship Id="rId939" Type="http://schemas.openxmlformats.org/officeDocument/2006/relationships/hyperlink" Target="https://immigration.govt.nz/" TargetMode="External"/><Relationship Id="rId1124" Type="http://schemas.openxmlformats.org/officeDocument/2006/relationships/hyperlink" Target="https://www.surflifesaving.org.nz/stay-safe/find-a-lifeguarded-beach" TargetMode="External"/><Relationship Id="rId68" Type="http://schemas.openxmlformats.org/officeDocument/2006/relationships/hyperlink" Target="https://healthcare.gov/" TargetMode="External"/><Relationship Id="rId133" Type="http://schemas.openxmlformats.org/officeDocument/2006/relationships/hyperlink" Target="https://federalregister.gov/" TargetMode="External"/><Relationship Id="rId340" Type="http://schemas.openxmlformats.org/officeDocument/2006/relationships/hyperlink" Target="https://uscourts.gov/court-programs/bankruptcy/bankruptcy-basics" TargetMode="External"/><Relationship Id="rId578" Type="http://schemas.openxmlformats.org/officeDocument/2006/relationships/hyperlink" Target="https://daad.org/" TargetMode="External"/><Relationship Id="rId785" Type="http://schemas.openxmlformats.org/officeDocument/2006/relationships/hyperlink" Target="https://www.nnas.ca/" TargetMode="External"/><Relationship Id="rId992" Type="http://schemas.openxmlformats.org/officeDocument/2006/relationships/hyperlink" Target="https://immigration.govt.nz/" TargetMode="External"/><Relationship Id="rId200" Type="http://schemas.openxmlformats.org/officeDocument/2006/relationships/hyperlink" Target="https://census.gov/" TargetMode="External"/><Relationship Id="rId438" Type="http://schemas.openxmlformats.org/officeDocument/2006/relationships/hyperlink" Target="https://dea.gov/marijuana-rescheduling-regulatory-actions" TargetMode="External"/><Relationship Id="rId645" Type="http://schemas.openxmlformats.org/officeDocument/2006/relationships/hyperlink" Target="https://servicesaustralia.gov.au/" TargetMode="External"/><Relationship Id="rId852" Type="http://schemas.openxmlformats.org/officeDocument/2006/relationships/hyperlink" Target="https://ised-isde.canada.ca/site/office-consumer-affairs/en/buying-and-leasing-big-ticket-items/home-inspections" TargetMode="External"/><Relationship Id="rId1068" Type="http://schemas.openxmlformats.org/officeDocument/2006/relationships/hyperlink" Target="https://nzta.govt.nz/vehicles/warrants-and-certificates/warrant-of-fitness" TargetMode="External"/><Relationship Id="rId284" Type="http://schemas.openxmlformats.org/officeDocument/2006/relationships/hyperlink" Target="https://ecfmg.org/certification-pathways" TargetMode="External"/><Relationship Id="rId491" Type="http://schemas.openxmlformats.org/officeDocument/2006/relationships/hyperlink" Target="https://wida.wisc.edu/assess/screener" TargetMode="External"/><Relationship Id="rId505" Type="http://schemas.openxmlformats.org/officeDocument/2006/relationships/hyperlink" Target="https://j1visa.state.gov/programs/au-pair" TargetMode="External"/><Relationship Id="rId712" Type="http://schemas.openxmlformats.org/officeDocument/2006/relationships/hyperlink" Target="https://sls.com.au/" TargetMode="External"/><Relationship Id="rId1135" Type="http://schemas.openxmlformats.org/officeDocument/2006/relationships/hyperlink" Target="https://immi.homeaffairs.gov.au/" TargetMode="External"/><Relationship Id="rId79" Type="http://schemas.openxmlformats.org/officeDocument/2006/relationships/hyperlink" Target="https://kff.org/health-costs" TargetMode="External"/><Relationship Id="rId144" Type="http://schemas.openxmlformats.org/officeDocument/2006/relationships/hyperlink" Target="https://fulbright.de/" TargetMode="External"/><Relationship Id="rId589" Type="http://schemas.openxmlformats.org/officeDocument/2006/relationships/hyperlink" Target="https://immi.homeaffairs.gov.au/" TargetMode="External"/><Relationship Id="rId796" Type="http://schemas.openxmlformats.org/officeDocument/2006/relationships/hyperlink" Target="https://canada.ca/" TargetMode="External"/><Relationship Id="rId351" Type="http://schemas.openxmlformats.org/officeDocument/2006/relationships/hyperlink" Target="https://kff.org/health-costs/2025-employer-health-benefits-survey" TargetMode="External"/><Relationship Id="rId449" Type="http://schemas.openxmlformats.org/officeDocument/2006/relationships/hyperlink" Target="https://www.idealist.org/en/find-a-volunteer-opportunity" TargetMode="External"/><Relationship Id="rId656" Type="http://schemas.openxmlformats.org/officeDocument/2006/relationships/hyperlink" Target="https://servicesaustralia.gov.au/residence-rules-for-jobseeker-payment" TargetMode="External"/><Relationship Id="rId863" Type="http://schemas.openxmlformats.org/officeDocument/2006/relationships/hyperlink" Target="https://tc.canada.ca/en/marine-transportation/preparing-operate-your-vessel" TargetMode="External"/><Relationship Id="rId1079" Type="http://schemas.openxmlformats.org/officeDocument/2006/relationships/hyperlink" Target="https://www.goethe.de/ins/nz/en/m/index.html" TargetMode="External"/><Relationship Id="rId211" Type="http://schemas.openxmlformats.org/officeDocument/2006/relationships/hyperlink" Target="https://www.sagen.ca/wp-content/uploads/2026/02/Atlantic-Housing-Market-Update-Atlantic-2026.pdf" TargetMode="External"/><Relationship Id="rId295" Type="http://schemas.openxmlformats.org/officeDocument/2006/relationships/hyperlink" Target="https://cpsc.gov/recalls" TargetMode="External"/><Relationship Id="rId309" Type="http://schemas.openxmlformats.org/officeDocument/2006/relationships/hyperlink" Target="https://zoll.de/" TargetMode="External"/><Relationship Id="rId516" Type="http://schemas.openxmlformats.org/officeDocument/2006/relationships/hyperlink" Target="https://gesetze-im-internet.de/erbstg_1974" TargetMode="External"/><Relationship Id="rId1146" Type="http://schemas.openxmlformats.org/officeDocument/2006/relationships/hyperlink" Target="https://www.health.govt.nz/regulation-legislation/eligibility-for-publicly-funded-health-services" TargetMode="External"/><Relationship Id="rId723" Type="http://schemas.openxmlformats.org/officeDocument/2006/relationships/hyperlink" Target="https://fairwork.gov.au/" TargetMode="External"/><Relationship Id="rId930" Type="http://schemas.openxmlformats.org/officeDocument/2006/relationships/hyperlink" Target="https://parks.canada.ca/voyage-travel/regles-rules/chien-dog" TargetMode="External"/><Relationship Id="rId1006" Type="http://schemas.openxmlformats.org/officeDocument/2006/relationships/hyperlink" Target="https://ird.govt.nz/" TargetMode="External"/><Relationship Id="rId155" Type="http://schemas.openxmlformats.org/officeDocument/2006/relationships/hyperlink" Target="https://travel.state.gov/" TargetMode="External"/><Relationship Id="rId362" Type="http://schemas.openxmlformats.org/officeDocument/2006/relationships/hyperlink" Target="https://USA.gov/" TargetMode="External"/><Relationship Id="rId222" Type="http://schemas.openxmlformats.org/officeDocument/2006/relationships/hyperlink" Target="https://gesetze-im-internet.de/bgb" TargetMode="External"/><Relationship Id="rId667" Type="http://schemas.openxmlformats.org/officeDocument/2006/relationships/hyperlink" Target="https://firb.gov.au/" TargetMode="External"/><Relationship Id="rId874" Type="http://schemas.openxmlformats.org/officeDocument/2006/relationships/hyperlink" Target="https://ised-isde.canada.ca/site/spectrum-management-telecommunications/en/safety-and-compliance/compliance-and-enforcement/jammers-are-prohibited-canada-thats-law" TargetMode="External"/><Relationship Id="rId17" Type="http://schemas.openxmlformats.org/officeDocument/2006/relationships/hyperlink" Target="https://harzing.com/" TargetMode="External"/><Relationship Id="rId527" Type="http://schemas.openxmlformats.org/officeDocument/2006/relationships/hyperlink" Target="https://www.t-mobile.com/support/plans-features/help-with-scams-spam-and-fraud" TargetMode="External"/><Relationship Id="rId734" Type="http://schemas.openxmlformats.org/officeDocument/2006/relationships/hyperlink" Target="https://www.scamwatch.gov.au/about-us/news-and-alerts/spot-the-signs-of-a-relationship-scam" TargetMode="External"/><Relationship Id="rId941" Type="http://schemas.openxmlformats.org/officeDocument/2006/relationships/hyperlink" Target="https://acc.co.nz/" TargetMode="External"/><Relationship Id="rId70" Type="http://schemas.openxmlformats.org/officeDocument/2006/relationships/hyperlink" Target="https://bls.gov/oes" TargetMode="External"/><Relationship Id="rId166" Type="http://schemas.openxmlformats.org/officeDocument/2006/relationships/hyperlink" Target="https://esta.cbp.dhs.gov/" TargetMode="External"/><Relationship Id="rId373" Type="http://schemas.openxmlformats.org/officeDocument/2006/relationships/hyperlink" Target="https://www.stjude.org/care-treatment/treatment.html" TargetMode="External"/><Relationship Id="rId580" Type="http://schemas.openxmlformats.org/officeDocument/2006/relationships/hyperlink" Target="https://ato.gov.au/" TargetMode="External"/><Relationship Id="rId801" Type="http://schemas.openxmlformats.org/officeDocument/2006/relationships/hyperlink" Target="https://canada.ca/en/immigration-refugees-citizenship/corporate/partners-service-providers/panel-physicians.html" TargetMode="External"/><Relationship Id="rId1017" Type="http://schemas.openxmlformats.org/officeDocument/2006/relationships/hyperlink" Target="https://govt.nz/" TargetMode="External"/><Relationship Id="rId1" Type="http://schemas.openxmlformats.org/officeDocument/2006/relationships/numbering" Target="numbering.xml"/><Relationship Id="rId233" Type="http://schemas.openxmlformats.org/officeDocument/2006/relationships/hyperlink" Target="https://irs.gov/taxtopics/tc701" TargetMode="External"/><Relationship Id="rId440" Type="http://schemas.openxmlformats.org/officeDocument/2006/relationships/hyperlink" Target="https://alcoholpolicy.niaaa.nih.gov/" TargetMode="External"/><Relationship Id="rId678" Type="http://schemas.openxmlformats.org/officeDocument/2006/relationships/hyperlink" Target="https://www.amsa.gov.au/vessels-operators/domestic-commercial-vessels/it-domestic-commercial-vessel" TargetMode="External"/><Relationship Id="rId885" Type="http://schemas.openxmlformats.org/officeDocument/2006/relationships/hyperlink" Target="https://cbc.ca/" TargetMode="External"/><Relationship Id="rId1070" Type="http://schemas.openxmlformats.org/officeDocument/2006/relationships/hyperlink" Target="https://JustWatch.de/" TargetMode="External"/><Relationship Id="rId28" Type="http://schemas.openxmlformats.org/officeDocument/2006/relationships/hyperlink" Target="https://www.census.gov/quickfacts/fact/table/US/COM100223" TargetMode="External"/><Relationship Id="rId300" Type="http://schemas.openxmlformats.org/officeDocument/2006/relationships/hyperlink" Target="https://cpsc.gov/recalls" TargetMode="External"/><Relationship Id="rId538" Type="http://schemas.openxmlformats.org/officeDocument/2006/relationships/hyperlink" Target="https://uscis.gov/ar-11" TargetMode="External"/><Relationship Id="rId745" Type="http://schemas.openxmlformats.org/officeDocument/2006/relationships/hyperlink" Target="https://transport.nsw.gov.au/" TargetMode="External"/><Relationship Id="rId952" Type="http://schemas.openxmlformats.org/officeDocument/2006/relationships/hyperlink" Target="https://immigration.govt.nz/" TargetMode="External"/><Relationship Id="rId81" Type="http://schemas.openxmlformats.org/officeDocument/2006/relationships/hyperlink" Target="https://familienportal.de/" TargetMode="External"/><Relationship Id="rId177" Type="http://schemas.openxmlformats.org/officeDocument/2006/relationships/hyperlink" Target="https://reginfo.gov/" TargetMode="External"/><Relationship Id="rId384" Type="http://schemas.openxmlformats.org/officeDocument/2006/relationships/hyperlink" Target="https://flhsmv.gov/" TargetMode="External"/><Relationship Id="rId591" Type="http://schemas.openxmlformats.org/officeDocument/2006/relationships/hyperlink" Target="https://immi.homeaffairs.gov.au/visas/working-in-australia/skillselect" TargetMode="External"/><Relationship Id="rId605" Type="http://schemas.openxmlformats.org/officeDocument/2006/relationships/hyperlink" Target="https://www.ahpra.gov.au/" TargetMode="External"/><Relationship Id="rId812" Type="http://schemas.openxmlformats.org/officeDocument/2006/relationships/hyperlink" Target="https://ontario.ca/page/apply-ohip-and-get-health-card" TargetMode="External"/><Relationship Id="rId1028" Type="http://schemas.openxmlformats.org/officeDocument/2006/relationships/hyperlink" Target="https://info.health.nz/services-support/healthline" TargetMode="External"/><Relationship Id="rId244" Type="http://schemas.openxmlformats.org/officeDocument/2006/relationships/hyperlink" Target="https://uscis.gov/working-in-the-united-states/h-1b-specialty-occupations" TargetMode="External"/><Relationship Id="rId689" Type="http://schemas.openxmlformats.org/officeDocument/2006/relationships/hyperlink" Target="https://nrma.com.au/" TargetMode="External"/><Relationship Id="rId896" Type="http://schemas.openxmlformats.org/officeDocument/2006/relationships/hyperlink" Target="https://housing-infrastructure.canada.ca/homelessness-sans-abri/index-eng.html" TargetMode="External"/><Relationship Id="rId1081" Type="http://schemas.openxmlformats.org/officeDocument/2006/relationships/hyperlink" Target="https://lifeline.org.nz/" TargetMode="External"/><Relationship Id="rId39" Type="http://schemas.openxmlformats.org/officeDocument/2006/relationships/hyperlink" Target="https://www.canada.ca/en/immigration-refugees-citizenship/services/immigrate-canada/express-entry.html" TargetMode="External"/><Relationship Id="rId451" Type="http://schemas.openxmlformats.org/officeDocument/2006/relationships/hyperlink" Target="https://help.meetup.com/" TargetMode="External"/><Relationship Id="rId549" Type="http://schemas.openxmlformats.org/officeDocument/2006/relationships/hyperlink" Target="https://www.atf.gov/firearms/questions-and-answers?flagged=All&amp;page=10" TargetMode="External"/><Relationship Id="rId756" Type="http://schemas.openxmlformats.org/officeDocument/2006/relationships/hyperlink" Target="https://canada.ca/en/revenue-agency" TargetMode="External"/><Relationship Id="rId104" Type="http://schemas.openxmlformats.org/officeDocument/2006/relationships/hyperlink" Target="https://uscis.gov/g-1055" TargetMode="External"/><Relationship Id="rId188" Type="http://schemas.openxmlformats.org/officeDocument/2006/relationships/hyperlink" Target="https://travel.state.gov/" TargetMode="External"/><Relationship Id="rId311" Type="http://schemas.openxmlformats.org/officeDocument/2006/relationships/hyperlink" Target="https://uscis.gov/ar-11" TargetMode="External"/><Relationship Id="rId395" Type="http://schemas.openxmlformats.org/officeDocument/2006/relationships/hyperlink" Target="https://irs.gov/individuals/international-taxpayers/taxation-of-nonresident-aliens" TargetMode="External"/><Relationship Id="rId409" Type="http://schemas.openxmlformats.org/officeDocument/2006/relationships/hyperlink" Target="https://www.dol.gov/agencies/eta/foreign-labor/performance" TargetMode="External"/><Relationship Id="rId963" Type="http://schemas.openxmlformats.org/officeDocument/2006/relationships/hyperlink" Target="https://immigration.govt.nz/assets/inz/documents/forms-and-guides/Fees-Guide-INZ-1028.pdf" TargetMode="External"/><Relationship Id="rId1039" Type="http://schemas.openxmlformats.org/officeDocument/2006/relationships/hyperlink" Target="https://www.stroke.org.nz/understanding-stroke/recognising-stroke-signs/fast/" TargetMode="External"/><Relationship Id="rId92" Type="http://schemas.openxmlformats.org/officeDocument/2006/relationships/hyperlink" Target="https://uscis.gov/" TargetMode="External"/><Relationship Id="rId616" Type="http://schemas.openxmlformats.org/officeDocument/2006/relationships/hyperlink" Target="https://ato.gov.au/" TargetMode="External"/><Relationship Id="rId823" Type="http://schemas.openxmlformats.org/officeDocument/2006/relationships/hyperlink" Target="https://scotiabank.com/" TargetMode="External"/><Relationship Id="rId255" Type="http://schemas.openxmlformats.org/officeDocument/2006/relationships/hyperlink" Target="https://arbeitsagentur.de/" TargetMode="External"/><Relationship Id="rId462" Type="http://schemas.openxmlformats.org/officeDocument/2006/relationships/hyperlink" Target="https://nces.ed.gov/fastfacts/display.asp?id=50" TargetMode="External"/><Relationship Id="rId1092" Type="http://schemas.openxmlformats.org/officeDocument/2006/relationships/hyperlink" Target="https://employment.govt.nz/" TargetMode="External"/><Relationship Id="rId1106" Type="http://schemas.openxmlformats.org/officeDocument/2006/relationships/hyperlink" Target="https://www.dia.govt.nz/spam-how-to-report-scams" TargetMode="External"/><Relationship Id="rId115" Type="http://schemas.openxmlformats.org/officeDocument/2006/relationships/hyperlink" Target="https://uscis.gov/g-1055" TargetMode="External"/><Relationship Id="rId322" Type="http://schemas.openxmlformats.org/officeDocument/2006/relationships/hyperlink" Target="https://www.sss.gov/faq/" TargetMode="External"/><Relationship Id="rId767" Type="http://schemas.openxmlformats.org/officeDocument/2006/relationships/hyperlink" Target="https://ircc.canada.ca/english/information/fees" TargetMode="External"/><Relationship Id="rId974" Type="http://schemas.openxmlformats.org/officeDocument/2006/relationships/hyperlink" Target="https://immigration.govt.nz/" TargetMode="External"/><Relationship Id="rId199" Type="http://schemas.openxmlformats.org/officeDocument/2006/relationships/hyperlink" Target="https://zumper.com/rent-research" TargetMode="External"/><Relationship Id="rId627" Type="http://schemas.openxmlformats.org/officeDocument/2006/relationships/hyperlink" Target="https://immi.homeaffairs.gov.au/" TargetMode="External"/><Relationship Id="rId834" Type="http://schemas.openxmlformats.org/officeDocument/2006/relationships/hyperlink" Target="https://ramq.gouv.qc.ca/" TargetMode="External"/><Relationship Id="rId266" Type="http://schemas.openxmlformats.org/officeDocument/2006/relationships/hyperlink" Target="https://europa.eu/youreurope/citizens/health/planned-healthcare/index_de.htm" TargetMode="External"/><Relationship Id="rId473" Type="http://schemas.openxmlformats.org/officeDocument/2006/relationships/hyperlink" Target="https://www.sunsmart.org.nz/" TargetMode="External"/><Relationship Id="rId680" Type="http://schemas.openxmlformats.org/officeDocument/2006/relationships/hyperlink" Target="https://www.padi.com/courses/open-water-diver" TargetMode="External"/><Relationship Id="rId901" Type="http://schemas.openxmlformats.org/officeDocument/2006/relationships/hyperlink" Target="https://canada.ca/en/employment-social-development/campaigns/child-care.html" TargetMode="External"/><Relationship Id="rId1117" Type="http://schemas.openxmlformats.org/officeDocument/2006/relationships/hyperlink" Target="https://getready.govt.nz/" TargetMode="External"/><Relationship Id="rId30" Type="http://schemas.openxmlformats.org/officeDocument/2006/relationships/hyperlink" Target="https://www12.statcan.gc.ca/census-recensement/2021/dp-pd/prof/details/page.cfm?DGUIDlist=2021A000011124&amp;GENDERlist=1%2C2%2C3&amp;HEADERlist=0&amp;Lang=E&amp;STATISTIClist=1" TargetMode="External"/><Relationship Id="rId126" Type="http://schemas.openxmlformats.org/officeDocument/2006/relationships/hyperlink" Target="https://uscis.gov/g-1055" TargetMode="External"/><Relationship Id="rId333" Type="http://schemas.openxmlformats.org/officeDocument/2006/relationships/hyperlink" Target="https://annualcreditreport.com/" TargetMode="External"/><Relationship Id="rId540" Type="http://schemas.openxmlformats.org/officeDocument/2006/relationships/hyperlink" Target="https://law.cornell.edu/uscode/text/18/922" TargetMode="External"/><Relationship Id="rId778" Type="http://schemas.openxmlformats.org/officeDocument/2006/relationships/hyperlink" Target="https://www.canada.ca/en/immigration-refugees-citizenship/services/immigrate-canada/express-entry/who-can-apply/federal-skilled-workers.html" TargetMode="External"/><Relationship Id="rId985" Type="http://schemas.openxmlformats.org/officeDocument/2006/relationships/hyperlink" Target="https://immigration.govt.nz/" TargetMode="External"/><Relationship Id="rId638" Type="http://schemas.openxmlformats.org/officeDocument/2006/relationships/hyperlink" Target="https://commbank.com.au/" TargetMode="External"/><Relationship Id="rId845" Type="http://schemas.openxmlformats.org/officeDocument/2006/relationships/hyperlink" Target="https://food-guide.canada.ca/en/" TargetMode="External"/><Relationship Id="rId1030" Type="http://schemas.openxmlformats.org/officeDocument/2006/relationships/hyperlink" Target="https://health.govt.nz/regulation-legislation/eligibility-for-publicly-funded-health-services" TargetMode="External"/><Relationship Id="rId277" Type="http://schemas.openxmlformats.org/officeDocument/2006/relationships/hyperlink" Target="https://uscis.gov/" TargetMode="External"/><Relationship Id="rId400" Type="http://schemas.openxmlformats.org/officeDocument/2006/relationships/hyperlink" Target="https://irs.gov/pub/irs-trty/germany.pdf" TargetMode="External"/><Relationship Id="rId484" Type="http://schemas.openxmlformats.org/officeDocument/2006/relationships/hyperlink" Target="https://nces.ed.gov/fastfacts" TargetMode="External"/><Relationship Id="rId705" Type="http://schemas.openxmlformats.org/officeDocument/2006/relationships/hyperlink" Target="https://benjamins.com/catalog/pbns.277.03row" TargetMode="External"/><Relationship Id="rId1128" Type="http://schemas.openxmlformats.org/officeDocument/2006/relationships/hyperlink" Target="https://bmi.bund.de/" TargetMode="External"/><Relationship Id="rId137" Type="http://schemas.openxmlformats.org/officeDocument/2006/relationships/hyperlink" Target="https://uscis.gov/g-1055" TargetMode="External"/><Relationship Id="rId344" Type="http://schemas.openxmlformats.org/officeDocument/2006/relationships/hyperlink" Target="https://FindTreatment.gov/" TargetMode="External"/><Relationship Id="rId691" Type="http://schemas.openxmlformats.org/officeDocument/2006/relationships/hyperlink" Target="https://nsw.gov.au/driving-boating-and-transport/driving-nsw/roads-safety-and-rules/safe-driving/speed-limits-and-cameras/speed-limits" TargetMode="External"/><Relationship Id="rId789" Type="http://schemas.openxmlformats.org/officeDocument/2006/relationships/hyperlink" Target="https://canada.ca/" TargetMode="External"/><Relationship Id="rId912" Type="http://schemas.openxmlformats.org/officeDocument/2006/relationships/hyperlink" Target="https://ontario.ca/document/your-guide-employment-standards-act-0" TargetMode="External"/><Relationship Id="rId996" Type="http://schemas.openxmlformats.org/officeDocument/2006/relationships/hyperlink" Target="https://ird.govt.nz/" TargetMode="External"/><Relationship Id="rId41" Type="http://schemas.openxmlformats.org/officeDocument/2006/relationships/hyperlink" Target="https://www.immigration.govt.nz/visas/skilled-migrant-category-resident-visa/" TargetMode="External"/><Relationship Id="rId551" Type="http://schemas.openxmlformats.org/officeDocument/2006/relationships/hyperlink" Target="https://home.nps.gov/samo/learn/management/coyote-behavior.htm" TargetMode="External"/><Relationship Id="rId649" Type="http://schemas.openxmlformats.org/officeDocument/2006/relationships/hyperlink" Target="https://australien.diplo.de/" TargetMode="External"/><Relationship Id="rId856" Type="http://schemas.openxmlformats.org/officeDocument/2006/relationships/hyperlink" Target="https://gov.bc.ca/" TargetMode="External"/><Relationship Id="rId190" Type="http://schemas.openxmlformats.org/officeDocument/2006/relationships/hyperlink" Target="https://de.usembassy.gov/visas" TargetMode="External"/><Relationship Id="rId204" Type="http://schemas.openxmlformats.org/officeDocument/2006/relationships/hyperlink" Target="https://natural-resources.canada.ca/forests-forestry/forest-industry-trade/canada-s-transformed-forest-sector-competitive-resilient-relevant" TargetMode="External"/><Relationship Id="rId288" Type="http://schemas.openxmlformats.org/officeDocument/2006/relationships/hyperlink" Target="https://cbp.gov/document/forms/form-3299-declaration-free-entry-unaccompanied-articles" TargetMode="External"/><Relationship Id="rId411" Type="http://schemas.openxmlformats.org/officeDocument/2006/relationships/hyperlink" Target="https://dol.gov/agencies/whd/fmla" TargetMode="External"/><Relationship Id="rId509" Type="http://schemas.openxmlformats.org/officeDocument/2006/relationships/hyperlink" Target="https://letsmakeaplan.org/" TargetMode="External"/><Relationship Id="rId1041" Type="http://schemas.openxmlformats.org/officeDocument/2006/relationships/hyperlink" Target="https://www.mpi.govt.nz/outdoor-activities/gardening" TargetMode="External"/><Relationship Id="rId1139" Type="http://schemas.openxmlformats.org/officeDocument/2006/relationships/hyperlink" Target="https://ird.govt.nz/" TargetMode="External"/><Relationship Id="rId495" Type="http://schemas.openxmlformats.org/officeDocument/2006/relationships/hyperlink" Target="https://gissv.org/gissv-home-english/locations/saturday-school" TargetMode="External"/><Relationship Id="rId716" Type="http://schemas.openxmlformats.org/officeDocument/2006/relationships/hyperlink" Target="https://abs.gov.au/statistics/people/education/schools" TargetMode="External"/><Relationship Id="rId923" Type="http://schemas.openxmlformats.org/officeDocument/2006/relationships/hyperlink" Target="https://alertready.ca/" TargetMode="External"/><Relationship Id="rId52" Type="http://schemas.openxmlformats.org/officeDocument/2006/relationships/hyperlink" Target="https://bfaa.diplo.de/" TargetMode="External"/><Relationship Id="rId148" Type="http://schemas.openxmlformats.org/officeDocument/2006/relationships/hyperlink" Target="https://uscis.gov/g-1055" TargetMode="External"/><Relationship Id="rId355" Type="http://schemas.openxmlformats.org/officeDocument/2006/relationships/hyperlink" Target="https://medlineplus.gov/ency/article/003126.htm" TargetMode="External"/><Relationship Id="rId562" Type="http://schemas.openxmlformats.org/officeDocument/2006/relationships/hyperlink" Target="https://uscis.gov/citizenship" TargetMode="External"/><Relationship Id="rId215" Type="http://schemas.openxmlformats.org/officeDocument/2006/relationships/hyperlink" Target="https://hud.gov/fairhousing" TargetMode="External"/><Relationship Id="rId422" Type="http://schemas.openxmlformats.org/officeDocument/2006/relationships/hyperlink" Target="https://whitehouse.gov/presidential-actions" TargetMode="External"/><Relationship Id="rId867" Type="http://schemas.openxmlformats.org/officeDocument/2006/relationships/hyperlink" Target="https://icbc.com/" TargetMode="External"/><Relationship Id="rId1052" Type="http://schemas.openxmlformats.org/officeDocument/2006/relationships/hyperlink" Target="https://www.aviation.govt.nz/licensing-and-certification/pilots/pilot-licensing/" TargetMode="External"/><Relationship Id="rId299" Type="http://schemas.openxmlformats.org/officeDocument/2006/relationships/hyperlink" Target="https://nhtsa.gov/vehicle-safety/car-seats-and-booster-seats" TargetMode="External"/><Relationship Id="rId727" Type="http://schemas.openxmlformats.org/officeDocument/2006/relationships/hyperlink" Target="https://immi.homeaffairs.gov.au/visas/getting-a-visa/visa-listing/skills-in-demand-visa-subclass-482" TargetMode="External"/><Relationship Id="rId934" Type="http://schemas.openxmlformats.org/officeDocument/2006/relationships/hyperlink" Target="https://canada.ca/" TargetMode="External"/><Relationship Id="rId63" Type="http://schemas.openxmlformats.org/officeDocument/2006/relationships/hyperlink" Target="https://www.deutsche-rentenversicherung.de/" TargetMode="External"/><Relationship Id="rId159" Type="http://schemas.openxmlformats.org/officeDocument/2006/relationships/hyperlink" Target="https://dvprogram.state.gov/" TargetMode="External"/><Relationship Id="rId366" Type="http://schemas.openxmlformats.org/officeDocument/2006/relationships/hyperlink" Target="https://www.supremecourt.gov/opinions/21pdf/19-1392_6j37.pdf" TargetMode="External"/><Relationship Id="rId573" Type="http://schemas.openxmlformats.org/officeDocument/2006/relationships/hyperlink" Target="https://irs.gov/individuals/international-taxpayers/expatriation-tax" TargetMode="External"/><Relationship Id="rId780" Type="http://schemas.openxmlformats.org/officeDocument/2006/relationships/hyperlink" Target="https://ircc.canada.ca/english/information/fees/fees.asp" TargetMode="External"/><Relationship Id="rId226" Type="http://schemas.openxmlformats.org/officeDocument/2006/relationships/hyperlink" Target="https://extension.psu.edu/eastern-subterranean-termites" TargetMode="External"/><Relationship Id="rId433" Type="http://schemas.openxmlformats.org/officeDocument/2006/relationships/hyperlink" Target="https://pewresearch.org/short-reads" TargetMode="External"/><Relationship Id="rId878" Type="http://schemas.openxmlformats.org/officeDocument/2006/relationships/hyperlink" Target="https://ontario.ca/laws/statute/90h08" TargetMode="External"/><Relationship Id="rId1063" Type="http://schemas.openxmlformats.org/officeDocument/2006/relationships/hyperlink" Target="https://police.govt.nz/" TargetMode="External"/><Relationship Id="rId640" Type="http://schemas.openxmlformats.org/officeDocument/2006/relationships/hyperlink" Target="https://nab.com.au/" TargetMode="External"/><Relationship Id="rId738" Type="http://schemas.openxmlformats.org/officeDocument/2006/relationships/hyperlink" Target="https://bom.gov.au/" TargetMode="External"/><Relationship Id="rId945" Type="http://schemas.openxmlformats.org/officeDocument/2006/relationships/hyperlink" Target="https://immigration.govt.nz/" TargetMode="External"/><Relationship Id="rId74" Type="http://schemas.openxmlformats.org/officeDocument/2006/relationships/hyperlink" Target="https://irs.gov/businesses/comparison-of-form-8938-and-fbar-requirements" TargetMode="External"/><Relationship Id="rId377" Type="http://schemas.openxmlformats.org/officeDocument/2006/relationships/hyperlink" Target="https://germany.info/us-de" TargetMode="External"/><Relationship Id="rId500" Type="http://schemas.openxmlformats.org/officeDocument/2006/relationships/hyperlink" Target="https://travel.state.gov/" TargetMode="External"/><Relationship Id="rId584" Type="http://schemas.openxmlformats.org/officeDocument/2006/relationships/hyperlink" Target="https://numbeo.com/" TargetMode="External"/><Relationship Id="rId805" Type="http://schemas.openxmlformats.org/officeDocument/2006/relationships/hyperlink" Target="https://kanada.diplo.de/" TargetMode="External"/><Relationship Id="rId1130" Type="http://schemas.openxmlformats.org/officeDocument/2006/relationships/hyperlink" Target="https://rundfunkbeitrag.de/" TargetMode="External"/><Relationship Id="rId5" Type="http://schemas.openxmlformats.org/officeDocument/2006/relationships/image" Target="media/image1.jpeg"/><Relationship Id="rId237" Type="http://schemas.openxmlformats.org/officeDocument/2006/relationships/hyperlink" Target="https://www.epa.gov/watersense/home-maintenance" TargetMode="External"/><Relationship Id="rId791" Type="http://schemas.openxmlformats.org/officeDocument/2006/relationships/hyperlink" Target="https://ircc.canada.ca/english/information/fees/fees.asp" TargetMode="External"/><Relationship Id="rId889" Type="http://schemas.openxmlformats.org/officeDocument/2006/relationships/hyperlink" Target="https://kanada.diplo.de/" TargetMode="External"/><Relationship Id="rId1074" Type="http://schemas.openxmlformats.org/officeDocument/2006/relationships/hyperlink" Target="https://stats.govt.nz/" TargetMode="External"/><Relationship Id="rId444" Type="http://schemas.openxmlformats.org/officeDocument/2006/relationships/hyperlink" Target="https://www.idealist.org/en/find-a-volunteer-opportunity" TargetMode="External"/><Relationship Id="rId651" Type="http://schemas.openxmlformats.org/officeDocument/2006/relationships/hyperlink" Target="https://healthdirect.gov.au/paracetamol" TargetMode="External"/><Relationship Id="rId749" Type="http://schemas.openxmlformats.org/officeDocument/2006/relationships/hyperlink" Target="https://www.amsa.gov.au/safety-navigation/search-and-rescue" TargetMode="External"/><Relationship Id="rId290" Type="http://schemas.openxmlformats.org/officeDocument/2006/relationships/hyperlink" Target="https://aphis.usda.gov/" TargetMode="External"/><Relationship Id="rId304" Type="http://schemas.openxmlformats.org/officeDocument/2006/relationships/hyperlink" Target="https://cdc.gov/importation" TargetMode="External"/><Relationship Id="rId388" Type="http://schemas.openxmlformats.org/officeDocument/2006/relationships/hyperlink" Target="https://cbp.gov/trade/basic-import-export/importing-car" TargetMode="External"/><Relationship Id="rId511" Type="http://schemas.openxmlformats.org/officeDocument/2006/relationships/hyperlink" Target="https://ssa.gov/benefits/retirement/social-security-fairness-act.html" TargetMode="External"/><Relationship Id="rId609" Type="http://schemas.openxmlformats.org/officeDocument/2006/relationships/hyperlink" Target="https://www.engineersaustralia.org.au/" TargetMode="External"/><Relationship Id="rId956" Type="http://schemas.openxmlformats.org/officeDocument/2006/relationships/hyperlink" Target="https://immigration.govt.nz/" TargetMode="External"/><Relationship Id="rId1141" Type="http://schemas.openxmlformats.org/officeDocument/2006/relationships/hyperlink" Target="https://australien.diplo.de/" TargetMode="External"/><Relationship Id="rId85" Type="http://schemas.openxmlformats.org/officeDocument/2006/relationships/hyperlink" Target="https://uscis.gov/working-in-the-united-states" TargetMode="External"/><Relationship Id="rId150" Type="http://schemas.openxmlformats.org/officeDocument/2006/relationships/hyperlink" Target="https://travel.state.gov/" TargetMode="External"/><Relationship Id="rId595" Type="http://schemas.openxmlformats.org/officeDocument/2006/relationships/hyperlink" Target="https://immi.homeaffairs.gov.au/" TargetMode="External"/><Relationship Id="rId816" Type="http://schemas.openxmlformats.org/officeDocument/2006/relationships/hyperlink" Target="https://canada.ca/" TargetMode="External"/><Relationship Id="rId1001" Type="http://schemas.openxmlformats.org/officeDocument/2006/relationships/hyperlink" Target="https://ird.govt.nz/" TargetMode="External"/><Relationship Id="rId248" Type="http://schemas.openxmlformats.org/officeDocument/2006/relationships/hyperlink" Target="https://rundfunkbeitrag.de/" TargetMode="External"/><Relationship Id="rId455" Type="http://schemas.openxmlformats.org/officeDocument/2006/relationships/hyperlink" Target="https://therapist.com/" TargetMode="External"/><Relationship Id="rId662" Type="http://schemas.openxmlformats.org/officeDocument/2006/relationships/hyperlink" Target="https://www.healthdirect.gov.au/heart-attack" TargetMode="External"/><Relationship Id="rId1085" Type="http://schemas.openxmlformats.org/officeDocument/2006/relationships/hyperlink" Target="https://msd.govt.nz/about-msd-and-our-work/work-programmes/social-housing/index.html" TargetMode="External"/><Relationship Id="rId12" Type="http://schemas.openxmlformats.org/officeDocument/2006/relationships/image" Target="media/image4.png"/><Relationship Id="rId108" Type="http://schemas.openxmlformats.org/officeDocument/2006/relationships/hyperlink" Target="https://travel.state.gov/" TargetMode="External"/><Relationship Id="rId315" Type="http://schemas.openxmlformats.org/officeDocument/2006/relationships/hyperlink" Target="https://i94.cbp.dhs.gov/" TargetMode="External"/><Relationship Id="rId522" Type="http://schemas.openxmlformats.org/officeDocument/2006/relationships/hyperlink" Target="https://irs.gov/businesses/small-businesses-self-employed/filing-estate-and-gift-tax-returns" TargetMode="External"/><Relationship Id="rId967" Type="http://schemas.openxmlformats.org/officeDocument/2006/relationships/hyperlink" Target="https://www.mcnz.org.nz/" TargetMode="External"/><Relationship Id="rId1152" Type="http://schemas.openxmlformats.org/officeDocument/2006/relationships/fontTable" Target="fontTable.xml"/><Relationship Id="rId96" Type="http://schemas.openxmlformats.org/officeDocument/2006/relationships/hyperlink" Target="https://uscis.gov/" TargetMode="External"/><Relationship Id="rId161" Type="http://schemas.openxmlformats.org/officeDocument/2006/relationships/hyperlink" Target="https://travel.state.gov/content/travel/en/us-visas/employment/temporary-worker-visas.html" TargetMode="External"/><Relationship Id="rId399" Type="http://schemas.openxmlformats.org/officeDocument/2006/relationships/hyperlink" Target="https://irs.gov/businesses/comparison-of-form-8938-and-fbar-requirements" TargetMode="External"/><Relationship Id="rId827" Type="http://schemas.openxmlformats.org/officeDocument/2006/relationships/hyperlink" Target="https://transunion.ca/" TargetMode="External"/><Relationship Id="rId1012" Type="http://schemas.openxmlformats.org/officeDocument/2006/relationships/hyperlink" Target="https://experian.co.nz/" TargetMode="External"/><Relationship Id="rId259" Type="http://schemas.openxmlformats.org/officeDocument/2006/relationships/hyperlink" Target="https://deutsche-rentenversicherung.de/" TargetMode="External"/><Relationship Id="rId466" Type="http://schemas.openxmlformats.org/officeDocument/2006/relationships/hyperlink" Target="https://www.aad.org/" TargetMode="External"/><Relationship Id="rId673" Type="http://schemas.openxmlformats.org/officeDocument/2006/relationships/hyperlink" Target="https://www.nsw.gov.au/housing-and-construction/strata" TargetMode="External"/><Relationship Id="rId880" Type="http://schemas.openxmlformats.org/officeDocument/2006/relationships/hyperlink" Target="https://bpb.de/" TargetMode="External"/><Relationship Id="rId1096" Type="http://schemas.openxmlformats.org/officeDocument/2006/relationships/hyperlink" Target="https://employment.govt.nz/" TargetMode="External"/><Relationship Id="rId23" Type="http://schemas.openxmlformats.org/officeDocument/2006/relationships/hyperlink" Target="https://www.eia.gov/dnav/pet/pet_pri_gnd_a_epmr_pte_dpgal_w.htm" TargetMode="External"/><Relationship Id="rId119" Type="http://schemas.openxmlformats.org/officeDocument/2006/relationships/hyperlink" Target="https://travel.state.gov/" TargetMode="External"/><Relationship Id="rId326" Type="http://schemas.openxmlformats.org/officeDocument/2006/relationships/hyperlink" Target="https://ssa.gov/forms/ss-5.pdf" TargetMode="External"/><Relationship Id="rId533" Type="http://schemas.openxmlformats.org/officeDocument/2006/relationships/hyperlink" Target="https://i94.cbp.dhs.gov/" TargetMode="External"/><Relationship Id="rId978" Type="http://schemas.openxmlformats.org/officeDocument/2006/relationships/hyperlink" Target="https://www.immigration.govt.nz/visas/active-investor-plus-visa/" TargetMode="External"/><Relationship Id="rId740" Type="http://schemas.openxmlformats.org/officeDocument/2006/relationships/hyperlink" Target="https://cfa.vic.gov.au/" TargetMode="External"/><Relationship Id="rId838" Type="http://schemas.openxmlformats.org/officeDocument/2006/relationships/hyperlink" Target="https://canada.ca/en/health-canada/services/drugs-medical-devices/acetaminophen.html" TargetMode="External"/><Relationship Id="rId1023" Type="http://schemas.openxmlformats.org/officeDocument/2006/relationships/hyperlink" Target="https://acc.co.nz/" TargetMode="External"/><Relationship Id="rId172" Type="http://schemas.openxmlformats.org/officeDocument/2006/relationships/hyperlink" Target="https://uscis.gov/g-1055" TargetMode="External"/><Relationship Id="rId477" Type="http://schemas.openxmlformats.org/officeDocument/2006/relationships/hyperlink" Target="https://bls.gov/" TargetMode="External"/><Relationship Id="rId600" Type="http://schemas.openxmlformats.org/officeDocument/2006/relationships/hyperlink" Target="https://immi.homeaffairs.gov.au/" TargetMode="External"/><Relationship Id="rId684" Type="http://schemas.openxmlformats.org/officeDocument/2006/relationships/hyperlink" Target="https://australien.diplo.de/" TargetMode="External"/><Relationship Id="rId337" Type="http://schemas.openxmlformats.org/officeDocument/2006/relationships/hyperlink" Target="https://irs.gov/identity-theft-fraud-scams/get-an-identity-protection-pin" TargetMode="External"/><Relationship Id="rId891" Type="http://schemas.openxmlformats.org/officeDocument/2006/relationships/hyperlink" Target="https://988.ca/" TargetMode="External"/><Relationship Id="rId905" Type="http://schemas.openxmlformats.org/officeDocument/2006/relationships/hyperlink" Target="https://calgarygermanschool.com/" TargetMode="External"/><Relationship Id="rId989" Type="http://schemas.openxmlformats.org/officeDocument/2006/relationships/hyperlink" Target="https://iaa.govt.nz/" TargetMode="External"/><Relationship Id="rId34" Type="http://schemas.openxmlformats.org/officeDocument/2006/relationships/hyperlink" Target="https://www.stats.govt.nz/information-releases/2023-census-population-counts-by-ethnic-group-age-and-maori-descent-and-dwelling-counts/" TargetMode="External"/><Relationship Id="rId544" Type="http://schemas.openxmlformats.org/officeDocument/2006/relationships/hyperlink" Target="https://identitytheft.gov/" TargetMode="External"/><Relationship Id="rId751" Type="http://schemas.openxmlformats.org/officeDocument/2006/relationships/hyperlink" Target="https://homeaffairs.gov.au/" TargetMode="External"/><Relationship Id="rId849" Type="http://schemas.openxmlformats.org/officeDocument/2006/relationships/hyperlink" Target="https://rentals.ca/" TargetMode="External"/><Relationship Id="rId183" Type="http://schemas.openxmlformats.org/officeDocument/2006/relationships/hyperlink" Target="https://travel.state.gov/" TargetMode="External"/><Relationship Id="rId390" Type="http://schemas.openxmlformats.org/officeDocument/2006/relationships/hyperlink" Target="https://gps.gov/information-about-gps-jamming" TargetMode="External"/><Relationship Id="rId404" Type="http://schemas.openxmlformats.org/officeDocument/2006/relationships/hyperlink" Target="https://bls.gov/oes" TargetMode="External"/><Relationship Id="rId611" Type="http://schemas.openxmlformats.org/officeDocument/2006/relationships/hyperlink" Target="https://immi.homeaffairs.gov.au/" TargetMode="External"/><Relationship Id="rId1034" Type="http://schemas.openxmlformats.org/officeDocument/2006/relationships/hyperlink" Target="https://www.cancer.org.nz/en/how-we-can-help/want-local-support/" TargetMode="External"/><Relationship Id="rId250" Type="http://schemas.openxmlformats.org/officeDocument/2006/relationships/hyperlink" Target="https://rundfunkbeitrag.de/" TargetMode="External"/><Relationship Id="rId488" Type="http://schemas.openxmlformats.org/officeDocument/2006/relationships/hyperlink" Target="https://mischooldata.org/" TargetMode="External"/><Relationship Id="rId695" Type="http://schemas.openxmlformats.org/officeDocument/2006/relationships/hyperlink" Target="https://www.service.nsw.gov.au/transaction/get-a-safety-inspection-report-pink-slip" TargetMode="External"/><Relationship Id="rId709" Type="http://schemas.openxmlformats.org/officeDocument/2006/relationships/hyperlink" Target="https://australien.diplo.de/" TargetMode="External"/><Relationship Id="rId916" Type="http://schemas.openxmlformats.org/officeDocument/2006/relationships/hyperlink" Target="https://centreantifraude-antifraudcentre.ca/scams-fraudes/romance-rencontre-eng.htm?wbdisable=true" TargetMode="External"/><Relationship Id="rId1101" Type="http://schemas.openxmlformats.org/officeDocument/2006/relationships/hyperlink" Target="https://seek.co.nz/" TargetMode="External"/><Relationship Id="rId45" Type="http://schemas.openxmlformats.org/officeDocument/2006/relationships/hyperlink" Target="https://deutsche-rentenversicherung.de/" TargetMode="External"/><Relationship Id="rId110" Type="http://schemas.openxmlformats.org/officeDocument/2006/relationships/hyperlink" Target="https://uscis.gov/newsroom/alerts/h-1b-faq" TargetMode="External"/><Relationship Id="rId348" Type="http://schemas.openxmlformats.org/officeDocument/2006/relationships/hyperlink" Target="https://cms.gov/nosurprises/consumers" TargetMode="External"/><Relationship Id="rId555" Type="http://schemas.openxmlformats.org/officeDocument/2006/relationships/hyperlink" Target="https://www.usmarshals.gov/" TargetMode="External"/><Relationship Id="rId762" Type="http://schemas.openxmlformats.org/officeDocument/2006/relationships/hyperlink" Target="https://numbeo.com/" TargetMode="External"/><Relationship Id="rId194" Type="http://schemas.openxmlformats.org/officeDocument/2006/relationships/hyperlink" Target="https://egov.uscis.gov/processing-times" TargetMode="External"/><Relationship Id="rId208" Type="http://schemas.openxmlformats.org/officeDocument/2006/relationships/hyperlink" Target="https://www.consumerfinance.gov/archive/blog/making-decision-rent-or-buy/" TargetMode="External"/><Relationship Id="rId415" Type="http://schemas.openxmlformats.org/officeDocument/2006/relationships/hyperlink" Target="https://bls.gov/ebs" TargetMode="External"/><Relationship Id="rId622" Type="http://schemas.openxmlformats.org/officeDocument/2006/relationships/hyperlink" Target="https://portal.mara.gov.au/" TargetMode="External"/><Relationship Id="rId1045" Type="http://schemas.openxmlformats.org/officeDocument/2006/relationships/hyperlink" Target="https://naturalhazards.govt.nz/" TargetMode="External"/><Relationship Id="rId261" Type="http://schemas.openxmlformats.org/officeDocument/2006/relationships/hyperlink" Target="https://bundesfinanzministerium.de/" TargetMode="External"/><Relationship Id="rId499" Type="http://schemas.openxmlformats.org/officeDocument/2006/relationships/hyperlink" Target="https://ielts.org/" TargetMode="External"/><Relationship Id="rId927" Type="http://schemas.openxmlformats.org/officeDocument/2006/relationships/hyperlink" Target="https://rcmp.ca/en/firearms/licensing/non-residents" TargetMode="External"/><Relationship Id="rId1112" Type="http://schemas.openxmlformats.org/officeDocument/2006/relationships/hyperlink" Target="https://firearmssafety.govt.nz/" TargetMode="External"/><Relationship Id="rId56" Type="http://schemas.openxmlformats.org/officeDocument/2006/relationships/hyperlink" Target="https://ready.gov/kit" TargetMode="External"/><Relationship Id="rId359" Type="http://schemas.openxmlformats.org/officeDocument/2006/relationships/hyperlink" Target="https://healthcare.gov/coverage-outside-open-enrollment/special-enrollment-period/" TargetMode="External"/><Relationship Id="rId566" Type="http://schemas.openxmlformats.org/officeDocument/2006/relationships/hyperlink" Target="https://irs.gov/individuals/international-taxpayers/expatriation-tax" TargetMode="External"/><Relationship Id="rId773" Type="http://schemas.openxmlformats.org/officeDocument/2006/relationships/hyperlink" Target="https://canada.ca/" TargetMode="External"/><Relationship Id="rId121" Type="http://schemas.openxmlformats.org/officeDocument/2006/relationships/hyperlink" Target="https://uscis.gov/green-card" TargetMode="External"/><Relationship Id="rId219" Type="http://schemas.openxmlformats.org/officeDocument/2006/relationships/hyperlink" Target="https://seattle.gov/rentinginseattle" TargetMode="External"/><Relationship Id="rId426" Type="http://schemas.openxmlformats.org/officeDocument/2006/relationships/hyperlink" Target="https://uscis.gov/ar-11" TargetMode="External"/><Relationship Id="rId633" Type="http://schemas.openxmlformats.org/officeDocument/2006/relationships/hyperlink" Target="https://ato.gov.au/" TargetMode="External"/><Relationship Id="rId980" Type="http://schemas.openxmlformats.org/officeDocument/2006/relationships/hyperlink" Target="https://workandincome.govt.nz/" TargetMode="External"/><Relationship Id="rId1056" Type="http://schemas.openxmlformats.org/officeDocument/2006/relationships/hyperlink" Target="https://www.padi.com/courses/open-water-diver" TargetMode="External"/><Relationship Id="rId840" Type="http://schemas.openxmlformats.org/officeDocument/2006/relationships/hyperlink" Target="https://canada.ca/en/immigration-refugees-citizenship/services/settle-canada/health-care/universal-system.html" TargetMode="External"/><Relationship Id="rId938" Type="http://schemas.openxmlformats.org/officeDocument/2006/relationships/hyperlink" Target="https://ird.govt.nz/" TargetMode="External"/><Relationship Id="rId67" Type="http://schemas.openxmlformats.org/officeDocument/2006/relationships/hyperlink" Target="https://irs.gov/" TargetMode="External"/><Relationship Id="rId272" Type="http://schemas.openxmlformats.org/officeDocument/2006/relationships/hyperlink" Target="https://cbp.gov/" TargetMode="External"/><Relationship Id="rId577" Type="http://schemas.openxmlformats.org/officeDocument/2006/relationships/hyperlink" Target="https://zoll.de/" TargetMode="External"/><Relationship Id="rId700" Type="http://schemas.openxmlformats.org/officeDocument/2006/relationships/hyperlink" Target="https://fairwork.gov.au/" TargetMode="External"/><Relationship Id="rId1123" Type="http://schemas.openxmlformats.org/officeDocument/2006/relationships/hyperlink" Target="https://www.coastguard.nz/boating-essentials/safety-on-the-water/safety-articles/what-to-do-in-an-emergency" TargetMode="External"/><Relationship Id="rId132" Type="http://schemas.openxmlformats.org/officeDocument/2006/relationships/hyperlink" Target="https://uscis.gov/" TargetMode="External"/><Relationship Id="rId784" Type="http://schemas.openxmlformats.org/officeDocument/2006/relationships/hyperlink" Target="https://mcc.ca/" TargetMode="External"/><Relationship Id="rId991" Type="http://schemas.openxmlformats.org/officeDocument/2006/relationships/hyperlink" Target="https://bundesjustizamt.de/" TargetMode="External"/><Relationship Id="rId1067" Type="http://schemas.openxmlformats.org/officeDocument/2006/relationships/hyperlink" Target="https://police.govt.nz/about-us/publication/third-party-access-secure-digital-radio-network-police-manual-chapter" TargetMode="External"/><Relationship Id="rId437" Type="http://schemas.openxmlformats.org/officeDocument/2006/relationships/hyperlink" Target="https://uscis.gov/policy-manual" TargetMode="External"/><Relationship Id="rId644" Type="http://schemas.openxmlformats.org/officeDocument/2006/relationships/hyperlink" Target="https://moneysmart.gov.au/managing-debt" TargetMode="External"/><Relationship Id="rId851" Type="http://schemas.openxmlformats.org/officeDocument/2006/relationships/hyperlink" Target="https://www.canada.ca/en/conservation-institute/services/agents-deterioration/pests/insects-diagnostic-signs.html" TargetMode="External"/><Relationship Id="rId283" Type="http://schemas.openxmlformats.org/officeDocument/2006/relationships/hyperlink" Target="https://ncees.org/engineering/pe" TargetMode="External"/><Relationship Id="rId490" Type="http://schemas.openxmlformats.org/officeDocument/2006/relationships/hyperlink" Target="https://collegeboard.org/" TargetMode="External"/><Relationship Id="rId504" Type="http://schemas.openxmlformats.org/officeDocument/2006/relationships/hyperlink" Target="https://childcareaware.org/" TargetMode="External"/><Relationship Id="rId711" Type="http://schemas.openxmlformats.org/officeDocument/2006/relationships/hyperlink" Target="https://lifeline.org.au/" TargetMode="External"/><Relationship Id="rId949" Type="http://schemas.openxmlformats.org/officeDocument/2006/relationships/hyperlink" Target="https://immigration.govt.nz/" TargetMode="External"/><Relationship Id="rId1134" Type="http://schemas.openxmlformats.org/officeDocument/2006/relationships/hyperlink" Target="https://i94.cbp.dhs.gov/" TargetMode="External"/><Relationship Id="rId78" Type="http://schemas.openxmlformats.org/officeDocument/2006/relationships/hyperlink" Target="https://irs.gov/individuals/tax-withholding-estimator" TargetMode="External"/><Relationship Id="rId143" Type="http://schemas.openxmlformats.org/officeDocument/2006/relationships/hyperlink" Target="https://travel.state.gov/" TargetMode="External"/><Relationship Id="rId350" Type="http://schemas.openxmlformats.org/officeDocument/2006/relationships/hyperlink" Target="https://irs.gov/publications/p969" TargetMode="External"/><Relationship Id="rId588" Type="http://schemas.openxmlformats.org/officeDocument/2006/relationships/image" Target="media/image7.png"/><Relationship Id="rId795" Type="http://schemas.openxmlformats.org/officeDocument/2006/relationships/hyperlink" Target="https://www.canada.ca/en/immigration-refugees-citizenship/services/immigrate-canada/start-visa/apply.html" TargetMode="External"/><Relationship Id="rId809" Type="http://schemas.openxmlformats.org/officeDocument/2006/relationships/hyperlink" Target="https://cbsa-asfc.gc.ca/" TargetMode="External"/><Relationship Id="rId9" Type="http://schemas.openxmlformats.org/officeDocument/2006/relationships/hyperlink" Target="https://immi.homeaffairs.gov.au/what-we-do/skilled-migration-program" TargetMode="External"/><Relationship Id="rId210" Type="http://schemas.openxmlformats.org/officeDocument/2006/relationships/hyperlink" Target="https://www.travelandleisure.com/best-affordable-beach-towns-for-2026-12011303" TargetMode="External"/><Relationship Id="rId448" Type="http://schemas.openxmlformats.org/officeDocument/2006/relationships/hyperlink" Target="https://www.goethe.de/ins/us/en/m/index.html" TargetMode="External"/><Relationship Id="rId655" Type="http://schemas.openxmlformats.org/officeDocument/2006/relationships/hyperlink" Target="https://healthdirect.gov.au/cancer" TargetMode="External"/><Relationship Id="rId862" Type="http://schemas.openxmlformats.org/officeDocument/2006/relationships/hyperlink" Target="https://ised-isde.canada.ca/site/spectrum-management-telecommunications/en/licences-and-certificates/radio-authorizations/amateur-radio-operator-certification" TargetMode="External"/><Relationship Id="rId1078" Type="http://schemas.openxmlformats.org/officeDocument/2006/relationships/hyperlink" Target="https://wellington.diplo.de/" TargetMode="External"/><Relationship Id="rId294" Type="http://schemas.openxmlformats.org/officeDocument/2006/relationships/hyperlink" Target="https://zoll.de/" TargetMode="External"/><Relationship Id="rId308" Type="http://schemas.openxmlformats.org/officeDocument/2006/relationships/hyperlink" Target="https://fws.gov/" TargetMode="External"/><Relationship Id="rId515" Type="http://schemas.openxmlformats.org/officeDocument/2006/relationships/hyperlink" Target="https://deutsche-rentenversicherung.de/" TargetMode="External"/><Relationship Id="rId722" Type="http://schemas.openxmlformats.org/officeDocument/2006/relationships/hyperlink" Target="https://fairwork.gov.au/" TargetMode="External"/><Relationship Id="rId1145" Type="http://schemas.openxmlformats.org/officeDocument/2006/relationships/hyperlink" Target="https://www.servicesaustralia.gov.au/enrolling-medicare?context=60092" TargetMode="External"/><Relationship Id="rId89" Type="http://schemas.openxmlformats.org/officeDocument/2006/relationships/hyperlink" Target="https://ice.gov/sevis" TargetMode="External"/><Relationship Id="rId154" Type="http://schemas.openxmlformats.org/officeDocument/2006/relationships/hyperlink" Target="https://opendoorsdata.org/" TargetMode="External"/><Relationship Id="rId361" Type="http://schemas.openxmlformats.org/officeDocument/2006/relationships/hyperlink" Target="https://uscis.gov/sites/default/files/document/guides/M-618.pdf" TargetMode="External"/><Relationship Id="rId599" Type="http://schemas.openxmlformats.org/officeDocument/2006/relationships/hyperlink" Target="https://immi.homeaffairs.gov.au/" TargetMode="External"/><Relationship Id="rId1005" Type="http://schemas.openxmlformats.org/officeDocument/2006/relationships/hyperlink" Target="https://ird.govt.nz/" TargetMode="External"/><Relationship Id="rId459" Type="http://schemas.openxmlformats.org/officeDocument/2006/relationships/hyperlink" Target="https://psychologytoday.com/us/therapists/german" TargetMode="External"/><Relationship Id="rId666" Type="http://schemas.openxmlformats.org/officeDocument/2006/relationships/hyperlink" Target="https://www.vba.vic.gov.au/consumers/guides/termites" TargetMode="External"/><Relationship Id="rId873" Type="http://schemas.openxmlformats.org/officeDocument/2006/relationships/hyperlink" Target="https://kanada.diplo.de/" TargetMode="External"/><Relationship Id="rId1089" Type="http://schemas.openxmlformats.org/officeDocument/2006/relationships/hyperlink" Target="https://education.govt.nz/" TargetMode="External"/><Relationship Id="rId16" Type="http://schemas.openxmlformats.org/officeDocument/2006/relationships/hyperlink" Target="https://raphaelswerk.de/" TargetMode="External"/><Relationship Id="rId221" Type="http://schemas.openxmlformats.org/officeDocument/2006/relationships/hyperlink" Target="https://commerce.wa.gov/housing-policy/hb1217-landlord-resource-center" TargetMode="External"/><Relationship Id="rId319" Type="http://schemas.openxmlformats.org/officeDocument/2006/relationships/hyperlink" Target="https://reportfraud.ftc.gov/" TargetMode="External"/><Relationship Id="rId526" Type="http://schemas.openxmlformats.org/officeDocument/2006/relationships/hyperlink" Target="https://consumer.ftc.gov/consumer-alerts/2022/08/contacted-about-long-lost-relatives-inheritance-hold-minute" TargetMode="External"/><Relationship Id="rId733" Type="http://schemas.openxmlformats.org/officeDocument/2006/relationships/hyperlink" Target="https://www.acma.gov.au/caller-id-scams" TargetMode="External"/><Relationship Id="rId940" Type="http://schemas.openxmlformats.org/officeDocument/2006/relationships/hyperlink" Target="https://ird.govt.nz/" TargetMode="External"/><Relationship Id="rId1016" Type="http://schemas.openxmlformats.org/officeDocument/2006/relationships/hyperlink" Target="https://bnz.co.nz/" TargetMode="External"/><Relationship Id="rId165" Type="http://schemas.openxmlformats.org/officeDocument/2006/relationships/hyperlink" Target="https://travel.state.gov/content/travel/en/us-visas/business/b-1-fact-sheet.html" TargetMode="External"/><Relationship Id="rId372" Type="http://schemas.openxmlformats.org/officeDocument/2006/relationships/hyperlink" Target="https://www.cityofhope.org/patients/clinical-trials" TargetMode="External"/><Relationship Id="rId677" Type="http://schemas.openxmlformats.org/officeDocument/2006/relationships/hyperlink" Target="https://www.acma.gov.au/qualifications-operate-amateur-radio" TargetMode="External"/><Relationship Id="rId800" Type="http://schemas.openxmlformats.org/officeDocument/2006/relationships/hyperlink" Target="https://canada.ca/en/immigration-refugees-citizenship/services/application/check-processing-times.html" TargetMode="External"/><Relationship Id="rId232" Type="http://schemas.openxmlformats.org/officeDocument/2006/relationships/hyperlink" Target="https://irs.gov/publications/p936" TargetMode="External"/><Relationship Id="rId884" Type="http://schemas.openxmlformats.org/officeDocument/2006/relationships/hyperlink" Target="https://lexology.com/" TargetMode="External"/><Relationship Id="rId27" Type="http://schemas.openxmlformats.org/officeDocument/2006/relationships/hyperlink" Target="https://research.collegeboard.org/trends/college-pricing" TargetMode="External"/><Relationship Id="rId537" Type="http://schemas.openxmlformats.org/officeDocument/2006/relationships/hyperlink" Target="https://uscis.gov/alienregistration" TargetMode="External"/><Relationship Id="rId744" Type="http://schemas.openxmlformats.org/officeDocument/2006/relationships/hyperlink" Target="https://acic.gov.au/" TargetMode="External"/><Relationship Id="rId951" Type="http://schemas.openxmlformats.org/officeDocument/2006/relationships/hyperlink" Target="https://immigration.govt.nz/" TargetMode="External"/><Relationship Id="rId80" Type="http://schemas.openxmlformats.org/officeDocument/2006/relationships/hyperlink" Target="https://uscis.gov/green-card/green-card-eligibility/green-card-for-employment-based-immigrants" TargetMode="External"/><Relationship Id="rId176" Type="http://schemas.openxmlformats.org/officeDocument/2006/relationships/hyperlink" Target="https://i94.cbp.dhs.gov/" TargetMode="External"/><Relationship Id="rId383" Type="http://schemas.openxmlformats.org/officeDocument/2006/relationships/hyperlink" Target="https://ncdot.gov/dmv" TargetMode="External"/><Relationship Id="rId590" Type="http://schemas.openxmlformats.org/officeDocument/2006/relationships/hyperlink" Target="https://immi.homeaffairs.gov.au/" TargetMode="External"/><Relationship Id="rId604" Type="http://schemas.openxmlformats.org/officeDocument/2006/relationships/hyperlink" Target="https://immi.homeaffairs.gov.au/" TargetMode="External"/><Relationship Id="rId811" Type="http://schemas.openxmlformats.org/officeDocument/2006/relationships/hyperlink" Target="https://canada.ca/en/employment-social-development/services/sin.html" TargetMode="External"/><Relationship Id="rId1027" Type="http://schemas.openxmlformats.org/officeDocument/2006/relationships/hyperlink" Target="https://info.health.nz/services-support/healthline" TargetMode="External"/><Relationship Id="rId243" Type="http://schemas.openxmlformats.org/officeDocument/2006/relationships/hyperlink" Target="https://egov.uscis.gov/processing-times" TargetMode="External"/><Relationship Id="rId450" Type="http://schemas.openxmlformats.org/officeDocument/2006/relationships/hyperlink" Target="https://uscis.gov/" TargetMode="External"/><Relationship Id="rId688" Type="http://schemas.openxmlformats.org/officeDocument/2006/relationships/hyperlink" Target="https://csiro.au/" TargetMode="External"/><Relationship Id="rId895" Type="http://schemas.openxmlformats.org/officeDocument/2006/relationships/hyperlink" Target="https://calgarygermanschool.com/" TargetMode="External"/><Relationship Id="rId909" Type="http://schemas.openxmlformats.org/officeDocument/2006/relationships/hyperlink" Target="https://canada.ca/en/immigration-refugees-citizenship/services/work-canada" TargetMode="External"/><Relationship Id="rId1080" Type="http://schemas.openxmlformats.org/officeDocument/2006/relationships/hyperlink" Target="https://1737.org.nz/" TargetMode="External"/><Relationship Id="rId38" Type="http://schemas.openxmlformats.org/officeDocument/2006/relationships/hyperlink" Target="https://www.gesetze-im-internet.de/stag/" TargetMode="External"/><Relationship Id="rId103" Type="http://schemas.openxmlformats.org/officeDocument/2006/relationships/hyperlink" Target="https://travel.state.gov/" TargetMode="External"/><Relationship Id="rId310" Type="http://schemas.openxmlformats.org/officeDocument/2006/relationships/hyperlink" Target="https://i94.cbp.dhs.gov/" TargetMode="External"/><Relationship Id="rId548" Type="http://schemas.openxmlformats.org/officeDocument/2006/relationships/hyperlink" Target="https://www.aclu.org/know-your-rights/recording-and-documenting-police-and-federal-agents" TargetMode="External"/><Relationship Id="rId755" Type="http://schemas.openxmlformats.org/officeDocument/2006/relationships/hyperlink" Target="https://germany.info/" TargetMode="External"/><Relationship Id="rId962" Type="http://schemas.openxmlformats.org/officeDocument/2006/relationships/hyperlink" Target="https://www.immigration.govt.nz/live/resident-visas-to-live-in-new-zealand/skilled-residence-pathways-in-new-zealand/skilled-migrant-category-pathway-to-residence/pay-rates-for-the-skilled-migrant-category-resident-visa/" TargetMode="External"/><Relationship Id="rId91" Type="http://schemas.openxmlformats.org/officeDocument/2006/relationships/hyperlink" Target="https://uscis.gov/g-1055" TargetMode="External"/><Relationship Id="rId187" Type="http://schemas.openxmlformats.org/officeDocument/2006/relationships/hyperlink" Target="https://uscis.gov/g-1055" TargetMode="External"/><Relationship Id="rId394" Type="http://schemas.openxmlformats.org/officeDocument/2006/relationships/hyperlink" Target="https://irs.gov/" TargetMode="External"/><Relationship Id="rId408" Type="http://schemas.openxmlformats.org/officeDocument/2006/relationships/hyperlink" Target="https://www.uscis.gov/tools/reports-and-studies/h-1b-employer-data-hub" TargetMode="External"/><Relationship Id="rId615" Type="http://schemas.openxmlformats.org/officeDocument/2006/relationships/hyperlink" Target="https://immi.homeaffairs.gov.au/visas/getting-a-visa/visa-processing-times" TargetMode="External"/><Relationship Id="rId822" Type="http://schemas.openxmlformats.org/officeDocument/2006/relationships/hyperlink" Target="https://td.com/" TargetMode="External"/><Relationship Id="rId1038" Type="http://schemas.openxmlformats.org/officeDocument/2006/relationships/hyperlink" Target="https://www.heartfoundation.org.nz/your-heart/heart-attack-warning-signs/" TargetMode="External"/><Relationship Id="rId254" Type="http://schemas.openxmlformats.org/officeDocument/2006/relationships/hyperlink" Target="https://vorsorgeregister.de/" TargetMode="External"/><Relationship Id="rId699" Type="http://schemas.openxmlformats.org/officeDocument/2006/relationships/hyperlink" Target="https://australien.diplo.de/" TargetMode="External"/><Relationship Id="rId1091" Type="http://schemas.openxmlformats.org/officeDocument/2006/relationships/hyperlink" Target="https://www.goethe.de/ins/nz/en/m/index.html" TargetMode="External"/><Relationship Id="rId1105" Type="http://schemas.openxmlformats.org/officeDocument/2006/relationships/hyperlink" Target="https://immigration.govt.nz/" TargetMode="External"/><Relationship Id="rId49" Type="http://schemas.openxmlformats.org/officeDocument/2006/relationships/hyperlink" Target="https://www.gesetze-im-internet.de/" TargetMode="External"/><Relationship Id="rId114" Type="http://schemas.openxmlformats.org/officeDocument/2006/relationships/hyperlink" Target="https://www.govinfo.gov/content/pkg/FR-2025-12-29/html/2025-23853.htm" TargetMode="External"/><Relationship Id="rId461" Type="http://schemas.openxmlformats.org/officeDocument/2006/relationships/hyperlink" Target="https://opm.gov/" TargetMode="External"/><Relationship Id="rId559" Type="http://schemas.openxmlformats.org/officeDocument/2006/relationships/hyperlink" Target="https://travel.state.gov/" TargetMode="External"/><Relationship Id="rId766" Type="http://schemas.openxmlformats.org/officeDocument/2006/relationships/hyperlink" Target="https://canada.ca/" TargetMode="External"/><Relationship Id="rId198" Type="http://schemas.openxmlformats.org/officeDocument/2006/relationships/hyperlink" Target="https://nar.realtor/" TargetMode="External"/><Relationship Id="rId321" Type="http://schemas.openxmlformats.org/officeDocument/2006/relationships/hyperlink" Target="https://www.sss.gov/register/who-needs-to-register/" TargetMode="External"/><Relationship Id="rId419" Type="http://schemas.openxmlformats.org/officeDocument/2006/relationships/hyperlink" Target="https://careeronestop.org/" TargetMode="External"/><Relationship Id="rId626" Type="http://schemas.openxmlformats.org/officeDocument/2006/relationships/hyperlink" Target="https://www.agriculture.gov.au/cats-dogs" TargetMode="External"/><Relationship Id="rId973" Type="http://schemas.openxmlformats.org/officeDocument/2006/relationships/hyperlink" Target="https://immigration.govt.nz/" TargetMode="External"/><Relationship Id="rId1049" Type="http://schemas.openxmlformats.org/officeDocument/2006/relationships/hyperlink" Target="https://www.eeca.govt.nz/for-homes/energy-saving-technology/home-energy-savings-calculator/" TargetMode="External"/><Relationship Id="rId833" Type="http://schemas.openxmlformats.org/officeDocument/2006/relationships/hyperlink" Target="https://www2.gov.bc.ca/gov/content/health/health-drug-coverage/msp" TargetMode="External"/><Relationship Id="rId1116" Type="http://schemas.openxmlformats.org/officeDocument/2006/relationships/hyperlink" Target="https://geonet.org.nz/" TargetMode="External"/><Relationship Id="rId265" Type="http://schemas.openxmlformats.org/officeDocument/2006/relationships/hyperlink" Target="https://www.bundesgesundheitsministerium.de/krankenversicherung-im-ausland" TargetMode="External"/><Relationship Id="rId472" Type="http://schemas.openxmlformats.org/officeDocument/2006/relationships/hyperlink" Target="https://www.accc.gov.au/" TargetMode="External"/><Relationship Id="rId900" Type="http://schemas.openxmlformats.org/officeDocument/2006/relationships/hyperlink" Target="https://quebec.ca/" TargetMode="External"/><Relationship Id="rId125" Type="http://schemas.openxmlformats.org/officeDocument/2006/relationships/hyperlink" Target="https://uscis.gov/green-card" TargetMode="External"/><Relationship Id="rId332" Type="http://schemas.openxmlformats.org/officeDocument/2006/relationships/hyperlink" Target="https://myfico.com/" TargetMode="External"/><Relationship Id="rId777" Type="http://schemas.openxmlformats.org/officeDocument/2006/relationships/hyperlink" Target="https://www.canada.ca/en/immigration-refugees-citizenship/services/immigrate-canada/express-entry/check-score/crs-criteria.html" TargetMode="External"/><Relationship Id="rId984" Type="http://schemas.openxmlformats.org/officeDocument/2006/relationships/hyperlink" Target="https://iaa.govt.nz/" TargetMode="External"/><Relationship Id="rId637" Type="http://schemas.openxmlformats.org/officeDocument/2006/relationships/hyperlink" Target="https://experian.com.au/" TargetMode="External"/><Relationship Id="rId844" Type="http://schemas.openxmlformats.org/officeDocument/2006/relationships/hyperlink" Target="https://www.canada.ca/en/public-health/services/sexual-health/abortion-canada.html" TargetMode="External"/><Relationship Id="rId276" Type="http://schemas.openxmlformats.org/officeDocument/2006/relationships/hyperlink" Target="https://bundesjustizamt.de/" TargetMode="External"/><Relationship Id="rId483" Type="http://schemas.openxmlformats.org/officeDocument/2006/relationships/hyperlink" Target="https://auslandsschulwesen.de/" TargetMode="External"/><Relationship Id="rId690" Type="http://schemas.openxmlformats.org/officeDocument/2006/relationships/hyperlink" Target="https://racv.com.au/" TargetMode="External"/><Relationship Id="rId704" Type="http://schemas.openxmlformats.org/officeDocument/2006/relationships/hyperlink" Target="https://justwatch.de/" TargetMode="External"/><Relationship Id="rId911" Type="http://schemas.openxmlformats.org/officeDocument/2006/relationships/hyperlink" Target="https://jobbank.gc.ca/" TargetMode="External"/><Relationship Id="rId1127" Type="http://schemas.openxmlformats.org/officeDocument/2006/relationships/hyperlink" Target="https://ird.govt.nz/" TargetMode="External"/><Relationship Id="rId40" Type="http://schemas.openxmlformats.org/officeDocument/2006/relationships/hyperlink" Target="https://immi.homeaffairs.gov.au/visas/working-in-australia/skillselect/expression-of-interest" TargetMode="External"/><Relationship Id="rId136" Type="http://schemas.openxmlformats.org/officeDocument/2006/relationships/hyperlink" Target="https://flag.dol.gov/processingtimes" TargetMode="External"/><Relationship Id="rId343" Type="http://schemas.openxmlformats.org/officeDocument/2006/relationships/hyperlink" Target="https://healthcare.gov/" TargetMode="External"/><Relationship Id="rId550" Type="http://schemas.openxmlformats.org/officeDocument/2006/relationships/hyperlink" Target="https://www.911.gov/" TargetMode="External"/><Relationship Id="rId788" Type="http://schemas.openxmlformats.org/officeDocument/2006/relationships/hyperlink" Target="https://www.canada.ca/" TargetMode="External"/><Relationship Id="rId995" Type="http://schemas.openxmlformats.org/officeDocument/2006/relationships/hyperlink" Target="https://www.mpi.govt.nz/" TargetMode="External"/><Relationship Id="rId203" Type="http://schemas.openxmlformats.org/officeDocument/2006/relationships/hyperlink" Target="https://www.cpsc.gov/safety-education/safety-guides/pools-and-spas/safety-barrier-guidelines-home-pools" TargetMode="External"/><Relationship Id="rId648" Type="http://schemas.openxmlformats.org/officeDocument/2006/relationships/hyperlink" Target="https://privatehealth.gov.au/" TargetMode="External"/><Relationship Id="rId855" Type="http://schemas.openxmlformats.org/officeDocument/2006/relationships/hyperlink" Target="https://canada.ca/" TargetMode="External"/><Relationship Id="rId1040" Type="http://schemas.openxmlformats.org/officeDocument/2006/relationships/hyperlink" Target="https://www.mpi.govt.nz/dmsdocument/3416/direct" TargetMode="External"/><Relationship Id="rId287" Type="http://schemas.openxmlformats.org/officeDocument/2006/relationships/hyperlink" Target="https://fidi.org/" TargetMode="External"/><Relationship Id="rId410" Type="http://schemas.openxmlformats.org/officeDocument/2006/relationships/hyperlink" Target="https://bls.gov/oes" TargetMode="External"/><Relationship Id="rId494" Type="http://schemas.openxmlformats.org/officeDocument/2006/relationships/hyperlink" Target="https://aefla.ed.gov/" TargetMode="External"/><Relationship Id="rId508" Type="http://schemas.openxmlformats.org/officeDocument/2006/relationships/hyperlink" Target="https://daad.org/en/study-research-in-germany/study-in-germany/undergraduate" TargetMode="External"/><Relationship Id="rId715" Type="http://schemas.openxmlformats.org/officeDocument/2006/relationships/hyperlink" Target="https://www.aihw.gov.au/reports/australias-welfare/homelessness-and-homelessness-services" TargetMode="External"/><Relationship Id="rId922" Type="http://schemas.openxmlformats.org/officeDocument/2006/relationships/hyperlink" Target="https://cbsa-asfc.gc.ca/" TargetMode="External"/><Relationship Id="rId1138" Type="http://schemas.openxmlformats.org/officeDocument/2006/relationships/hyperlink" Target="https://immigration.govt.nz/" TargetMode="External"/><Relationship Id="rId147" Type="http://schemas.openxmlformats.org/officeDocument/2006/relationships/hyperlink" Target="https://uscis.gov/working-in-the-united-states/students-and-exchange-visitors" TargetMode="External"/><Relationship Id="rId354" Type="http://schemas.openxmlformats.org/officeDocument/2006/relationships/hyperlink" Target="https://findtreatment.gov/" TargetMode="External"/><Relationship Id="rId799" Type="http://schemas.openxmlformats.org/officeDocument/2006/relationships/hyperlink" Target="https://ircc.canada.ca/english/information/fees/fees.asp" TargetMode="External"/><Relationship Id="rId51" Type="http://schemas.openxmlformats.org/officeDocument/2006/relationships/hyperlink" Target="https://www.rundfunkbeitrag.de/" TargetMode="External"/><Relationship Id="rId561" Type="http://schemas.openxmlformats.org/officeDocument/2006/relationships/hyperlink" Target="https://uscis.gov/n-400" TargetMode="External"/><Relationship Id="rId659" Type="http://schemas.openxmlformats.org/officeDocument/2006/relationships/hyperlink" Target="https://www.cancer.org.au/about-us/partnerships/navigation-updates" TargetMode="External"/><Relationship Id="rId866" Type="http://schemas.openxmlformats.org/officeDocument/2006/relationships/hyperlink" Target="https://drivetest.ca/" TargetMode="External"/><Relationship Id="rId214" Type="http://schemas.openxmlformats.org/officeDocument/2006/relationships/hyperlink" Target="https://Realtor.com/" TargetMode="External"/><Relationship Id="rId298" Type="http://schemas.openxmlformats.org/officeDocument/2006/relationships/hyperlink" Target="https://federalregister.gov/" TargetMode="External"/><Relationship Id="rId421" Type="http://schemas.openxmlformats.org/officeDocument/2006/relationships/hyperlink" Target="https://federalregister.gov/" TargetMode="External"/><Relationship Id="rId519" Type="http://schemas.openxmlformats.org/officeDocument/2006/relationships/hyperlink" Target="https://irs.gov/businesses/small-businesses-self-employed/frequently-asked-questions-on-estate-taxes" TargetMode="External"/><Relationship Id="rId1051" Type="http://schemas.openxmlformats.org/officeDocument/2006/relationships/hyperlink" Target="https://www.watercare.co.nz/residents/learn/why-is-water-so-important/saving-water-at-home" TargetMode="External"/><Relationship Id="rId1149" Type="http://schemas.openxmlformats.org/officeDocument/2006/relationships/hyperlink" Target="https://uscis.gov/g-1055" TargetMode="External"/><Relationship Id="rId158" Type="http://schemas.openxmlformats.org/officeDocument/2006/relationships/hyperlink" Target="https://dvprogram.state.gov/" TargetMode="External"/><Relationship Id="rId726" Type="http://schemas.openxmlformats.org/officeDocument/2006/relationships/hyperlink" Target="https://fwc.gov.au/" TargetMode="External"/><Relationship Id="rId933" Type="http://schemas.openxmlformats.org/officeDocument/2006/relationships/hyperlink" Target="https://canada.ca/" TargetMode="External"/><Relationship Id="rId1009" Type="http://schemas.openxmlformats.org/officeDocument/2006/relationships/hyperlink" Target="https://immigration.govt.nz/" TargetMode="External"/><Relationship Id="rId62" Type="http://schemas.openxmlformats.org/officeDocument/2006/relationships/hyperlink" Target="https://www.gkv-spitzenverband.de/" TargetMode="External"/><Relationship Id="rId365" Type="http://schemas.openxmlformats.org/officeDocument/2006/relationships/hyperlink" Target="https://www.cancer.gov/about-cancer/managing-care/finding-cancer-care" TargetMode="External"/><Relationship Id="rId572" Type="http://schemas.openxmlformats.org/officeDocument/2006/relationships/hyperlink" Target="https://uscis.gov/i-131" TargetMode="External"/><Relationship Id="rId225" Type="http://schemas.openxmlformats.org/officeDocument/2006/relationships/hyperlink" Target="https://extension.uga.edu/publications/detail.html?number=B1241&amp;title=termite-control-services-information-for-the-georgia-property-owner" TargetMode="External"/><Relationship Id="rId432" Type="http://schemas.openxmlformats.org/officeDocument/2006/relationships/hyperlink" Target="https://pewresearch.org/religion" TargetMode="External"/><Relationship Id="rId877" Type="http://schemas.openxmlformats.org/officeDocument/2006/relationships/hyperlink" Target="https://ontario.ca/page/safety-standards-certificate" TargetMode="External"/><Relationship Id="rId1062" Type="http://schemas.openxmlformats.org/officeDocument/2006/relationships/hyperlink" Target="https://consumerprotection.govt.nz/" TargetMode="External"/><Relationship Id="rId737" Type="http://schemas.openxmlformats.org/officeDocument/2006/relationships/hyperlink" Target="https://afdrs.com.au/" TargetMode="External"/><Relationship Id="rId944" Type="http://schemas.openxmlformats.org/officeDocument/2006/relationships/hyperlink" Target="https://stats.govt.nz/" TargetMode="External"/><Relationship Id="rId73" Type="http://schemas.openxmlformats.org/officeDocument/2006/relationships/hyperlink" Target="https://irs.gov/pub/irs-trty/germany.pdf" TargetMode="External"/><Relationship Id="rId169" Type="http://schemas.openxmlformats.org/officeDocument/2006/relationships/hyperlink" Target="https://de.usembassy.gov/" TargetMode="External"/><Relationship Id="rId376" Type="http://schemas.openxmlformats.org/officeDocument/2006/relationships/hyperlink" Target="https://travel.state.gov/content/travel/en/us-visas/tourism-visit/visitor.html" TargetMode="External"/><Relationship Id="rId583" Type="http://schemas.openxmlformats.org/officeDocument/2006/relationships/hyperlink" Target="https://oecd.org/" TargetMode="External"/><Relationship Id="rId790" Type="http://schemas.openxmlformats.org/officeDocument/2006/relationships/hyperlink" Target="https://canada.ca/" TargetMode="External"/><Relationship Id="rId804" Type="http://schemas.openxmlformats.org/officeDocument/2006/relationships/hyperlink" Target="https://visa.vfsglobal.com/deu/de/can" TargetMode="External"/><Relationship Id="rId4" Type="http://schemas.openxmlformats.org/officeDocument/2006/relationships/webSettings" Target="webSettings.xml"/><Relationship Id="rId236" Type="http://schemas.openxmlformats.org/officeDocument/2006/relationships/hyperlink" Target="https://www.energystar.gov/saveathome/heating-cooling" TargetMode="External"/><Relationship Id="rId443" Type="http://schemas.openxmlformats.org/officeDocument/2006/relationships/hyperlink" Target="https://www.irs.gov/filing/taxable-income" TargetMode="External"/><Relationship Id="rId650" Type="http://schemas.openxmlformats.org/officeDocument/2006/relationships/hyperlink" Target="https://healthdirect.gov.au/diarrhoea" TargetMode="External"/><Relationship Id="rId888" Type="http://schemas.openxmlformats.org/officeDocument/2006/relationships/hyperlink" Target="https://www.canada.ca/en/revenue-agency/programs/about-canada-revenue-agency/compliance/platform-economy/social-media-influencers.html" TargetMode="External"/><Relationship Id="rId1073" Type="http://schemas.openxmlformats.org/officeDocument/2006/relationships/hyperlink" Target="https://mch.govt.nz/" TargetMode="External"/><Relationship Id="rId303" Type="http://schemas.openxmlformats.org/officeDocument/2006/relationships/hyperlink" Target="https://cdc.gov/importation" TargetMode="External"/><Relationship Id="rId748" Type="http://schemas.openxmlformats.org/officeDocument/2006/relationships/hyperlink" Target="https://www.parks.act.gov.au/before-you-go/wildlife" TargetMode="External"/><Relationship Id="rId955" Type="http://schemas.openxmlformats.org/officeDocument/2006/relationships/hyperlink" Target="https://immigration.govt.nz/" TargetMode="External"/><Relationship Id="rId1140" Type="http://schemas.openxmlformats.org/officeDocument/2006/relationships/hyperlink" Target="https://kanada.diplo.de/" TargetMode="External"/><Relationship Id="rId84" Type="http://schemas.openxmlformats.org/officeDocument/2006/relationships/hyperlink" Target="https://uscis.gov/" TargetMode="External"/><Relationship Id="rId387" Type="http://schemas.openxmlformats.org/officeDocument/2006/relationships/hyperlink" Target="https://tsa.gov/real-id" TargetMode="External"/><Relationship Id="rId510" Type="http://schemas.openxmlformats.org/officeDocument/2006/relationships/hyperlink" Target="https://ssa.gov/international/Agreement_Pamphlets/germany.html" TargetMode="External"/><Relationship Id="rId594" Type="http://schemas.openxmlformats.org/officeDocument/2006/relationships/hyperlink" Target="https://immi.homeaffairs.gov.au/visas/getting-a-visa/fees-and-charges" TargetMode="External"/><Relationship Id="rId608" Type="http://schemas.openxmlformats.org/officeDocument/2006/relationships/hyperlink" Target="https://www.aitsl.edu.au/" TargetMode="External"/><Relationship Id="rId815" Type="http://schemas.openxmlformats.org/officeDocument/2006/relationships/hyperlink" Target="https://kanada.diplo.de/" TargetMode="External"/><Relationship Id="rId247" Type="http://schemas.openxmlformats.org/officeDocument/2006/relationships/hyperlink" Target="https://deutsche-rentenversicherung.de/" TargetMode="External"/><Relationship Id="rId899" Type="http://schemas.openxmlformats.org/officeDocument/2006/relationships/hyperlink" Target="https://education.gouv.qc.ca/" TargetMode="External"/><Relationship Id="rId1000" Type="http://schemas.openxmlformats.org/officeDocument/2006/relationships/hyperlink" Target="https://ird.govt.nz/" TargetMode="External"/><Relationship Id="rId1084" Type="http://schemas.openxmlformats.org/officeDocument/2006/relationships/hyperlink" Target="https://www.workandincome.govt.nz/housing/nowhere-to-stay/emergency-housing.html" TargetMode="External"/><Relationship Id="rId107" Type="http://schemas.openxmlformats.org/officeDocument/2006/relationships/hyperlink" Target="https://federalregister.gov/" TargetMode="External"/><Relationship Id="rId454" Type="http://schemas.openxmlformats.org/officeDocument/2006/relationships/hyperlink" Target="https://FindTreatment.gov/" TargetMode="External"/><Relationship Id="rId661" Type="http://schemas.openxmlformats.org/officeDocument/2006/relationships/hyperlink" Target="https://www.healthdirect.gov.au/healthy-heart-diet" TargetMode="External"/><Relationship Id="rId759" Type="http://schemas.openxmlformats.org/officeDocument/2006/relationships/hyperlink" Target="https://taxtips.ca/" TargetMode="External"/><Relationship Id="rId966" Type="http://schemas.openxmlformats.org/officeDocument/2006/relationships/hyperlink" Target="https://www.immigration.govt.nz/" TargetMode="External"/><Relationship Id="rId11" Type="http://schemas.openxmlformats.org/officeDocument/2006/relationships/image" Target="media/image3.png"/><Relationship Id="rId314" Type="http://schemas.openxmlformats.org/officeDocument/2006/relationships/hyperlink" Target="https://cbp.gov/travel/international-visitors/i-94" TargetMode="External"/><Relationship Id="rId398" Type="http://schemas.openxmlformats.org/officeDocument/2006/relationships/hyperlink" Target="https://irs.gov/businesses/small-businesses-self-employed/report-of-foreign-bank-and-financial-accounts-fbar" TargetMode="External"/><Relationship Id="rId521" Type="http://schemas.openxmlformats.org/officeDocument/2006/relationships/hyperlink" Target="https://irs.gov/instructions/i709" TargetMode="External"/><Relationship Id="rId619" Type="http://schemas.openxmlformats.org/officeDocument/2006/relationships/hyperlink" Target="https://immi.homeaffairs.gov.au/" TargetMode="External"/><Relationship Id="rId1151" Type="http://schemas.openxmlformats.org/officeDocument/2006/relationships/image" Target="media/image10.jpeg"/><Relationship Id="rId95" Type="http://schemas.openxmlformats.org/officeDocument/2006/relationships/hyperlink" Target="https://pay.gov/" TargetMode="External"/><Relationship Id="rId160" Type="http://schemas.openxmlformats.org/officeDocument/2006/relationships/hyperlink" Target="https://dvprogram.state.gov/" TargetMode="External"/><Relationship Id="rId826" Type="http://schemas.openxmlformats.org/officeDocument/2006/relationships/hyperlink" Target="https://equifax.ca/" TargetMode="External"/><Relationship Id="rId1011" Type="http://schemas.openxmlformats.org/officeDocument/2006/relationships/hyperlink" Target="https://equifax.co.nz/nz" TargetMode="External"/><Relationship Id="rId1109" Type="http://schemas.openxmlformats.org/officeDocument/2006/relationships/hyperlink" Target="https://getready.govt.nz/" TargetMode="External"/><Relationship Id="rId258" Type="http://schemas.openxmlformats.org/officeDocument/2006/relationships/hyperlink" Target="https://gesetze-im-internet.de/" TargetMode="External"/><Relationship Id="rId465" Type="http://schemas.openxmlformats.org/officeDocument/2006/relationships/hyperlink" Target="https://www.weather.gov/safety/cold-wind-chill-chart" TargetMode="External"/><Relationship Id="rId672" Type="http://schemas.openxmlformats.org/officeDocument/2006/relationships/hyperlink" Target="https://australien.diplo.de/" TargetMode="External"/><Relationship Id="rId1095" Type="http://schemas.openxmlformats.org/officeDocument/2006/relationships/hyperlink" Target="https://www.immigration.govt.nz/work/for-employers/getting-accreditation-or-approval-to-hire/employer-accreditation-for-the-aewv/aewv-employer-accreditation-and-job-check-process/" TargetMode="External"/><Relationship Id="rId22" Type="http://schemas.openxmlformats.org/officeDocument/2006/relationships/hyperlink" Target="https://employment.govt.nz/starting-employment/hiring/hiring-young-people" TargetMode="External"/><Relationship Id="rId118" Type="http://schemas.openxmlformats.org/officeDocument/2006/relationships/hyperlink" Target="https://dol.gov/agencies/whd/immigration/h1b/projectfirewall" TargetMode="External"/><Relationship Id="rId325" Type="http://schemas.openxmlformats.org/officeDocument/2006/relationships/hyperlink" Target="https://reportfraud.ftc.gov/" TargetMode="External"/><Relationship Id="rId532" Type="http://schemas.openxmlformats.org/officeDocument/2006/relationships/hyperlink" Target="https://disasterassistance.gov/" TargetMode="External"/><Relationship Id="rId977" Type="http://schemas.openxmlformats.org/officeDocument/2006/relationships/hyperlink" Target="https://immigration.govt.nz/about-us/news-centre" TargetMode="External"/><Relationship Id="rId171" Type="http://schemas.openxmlformats.org/officeDocument/2006/relationships/hyperlink" Target="https://uscis.gov/i-765" TargetMode="External"/><Relationship Id="rId837" Type="http://schemas.openxmlformats.org/officeDocument/2006/relationships/hyperlink" Target="https://healthlinkbc.ca/healthwise/gastroenteritis-adults-and-older-children" TargetMode="External"/><Relationship Id="rId1022" Type="http://schemas.openxmlformats.org/officeDocument/2006/relationships/hyperlink" Target="https://health.govt.nz/" TargetMode="External"/><Relationship Id="rId269" Type="http://schemas.openxmlformats.org/officeDocument/2006/relationships/hyperlink" Target="https://tk.de/" TargetMode="External"/><Relationship Id="rId476" Type="http://schemas.openxmlformats.org/officeDocument/2006/relationships/hyperlink" Target="https://fna.usda.gov/nslp" TargetMode="External"/><Relationship Id="rId683" Type="http://schemas.openxmlformats.org/officeDocument/2006/relationships/hyperlink" Target="https://tmr.qld.gov.au/" TargetMode="External"/><Relationship Id="rId890" Type="http://schemas.openxmlformats.org/officeDocument/2006/relationships/hyperlink" Target="https://www.goethe.de/ins/ca/en/m/index.html" TargetMode="External"/><Relationship Id="rId904" Type="http://schemas.openxmlformats.org/officeDocument/2006/relationships/hyperlink" Target="https://vwgs.org/" TargetMode="External"/><Relationship Id="rId33" Type="http://schemas.openxmlformats.org/officeDocument/2006/relationships/hyperlink" Target="https://www.stats.govt.nz/search?Search=National+population+estimates%3A+At+30+June+2025" TargetMode="External"/><Relationship Id="rId129" Type="http://schemas.openxmlformats.org/officeDocument/2006/relationships/hyperlink" Target="https://federalregister.gov/" TargetMode="External"/><Relationship Id="rId336" Type="http://schemas.openxmlformats.org/officeDocument/2006/relationships/hyperlink" Target="https://identitytheft.gov/" TargetMode="External"/><Relationship Id="rId543" Type="http://schemas.openxmlformats.org/officeDocument/2006/relationships/hyperlink" Target="https://reportfraud.ftc.gov/" TargetMode="External"/><Relationship Id="rId988" Type="http://schemas.openxmlformats.org/officeDocument/2006/relationships/hyperlink" Target="https://immigration.govt.nz/process-to-apply/applying-for-a-visa/providing-evidence-and-documents-to-support-your-visa-application/good-character-requirements-and-police-certificates/police-certificates" TargetMode="External"/><Relationship Id="rId182" Type="http://schemas.openxmlformats.org/officeDocument/2006/relationships/hyperlink" Target="https://ceac.state.gov/genniv" TargetMode="External"/><Relationship Id="rId403" Type="http://schemas.openxmlformats.org/officeDocument/2006/relationships/hyperlink" Target="https://irs.gov/newsroom/tax-scams-consumer-alerts" TargetMode="External"/><Relationship Id="rId750" Type="http://schemas.openxmlformats.org/officeDocument/2006/relationships/hyperlink" Target="https://lifesaving.com.au/safety-info/flags-signs" TargetMode="External"/><Relationship Id="rId848" Type="http://schemas.openxmlformats.org/officeDocument/2006/relationships/hyperlink" Target="https://rentals.ca/" TargetMode="External"/><Relationship Id="rId1033" Type="http://schemas.openxmlformats.org/officeDocument/2006/relationships/hyperlink" Target="https://acc.co.nz/" TargetMode="External"/><Relationship Id="rId487" Type="http://schemas.openxmlformats.org/officeDocument/2006/relationships/hyperlink" Target="https://greatschools.org/gk/ratings" TargetMode="External"/><Relationship Id="rId610" Type="http://schemas.openxmlformats.org/officeDocument/2006/relationships/hyperlink" Target="https://www.tradesrecognitionaustralia.gov.au/" TargetMode="External"/><Relationship Id="rId694" Type="http://schemas.openxmlformats.org/officeDocument/2006/relationships/hyperlink" Target="https://nsw.gov.au/driving-boating-and-transport/driving-nsw/roads-safety-and-rules/safe-driving/mobiles-screens-and-gps" TargetMode="External"/><Relationship Id="rId708" Type="http://schemas.openxmlformats.org/officeDocument/2006/relationships/hyperlink" Target="https://community.ato.gov.au/s/article/a079s000000ZeOG/tax-tips-for-social-media-influencers-and-content-creators" TargetMode="External"/><Relationship Id="rId915" Type="http://schemas.openxmlformats.org/officeDocument/2006/relationships/hyperlink" Target="https://crtc.gc.ca/eng/phone/telemarketing/" TargetMode="External"/><Relationship Id="rId347" Type="http://schemas.openxmlformats.org/officeDocument/2006/relationships/hyperlink" Target="https://healthcare.gov/" TargetMode="External"/><Relationship Id="rId999" Type="http://schemas.openxmlformats.org/officeDocument/2006/relationships/hyperlink" Target="https://wellington.diplo.de/" TargetMode="External"/><Relationship Id="rId1100" Type="http://schemas.openxmlformats.org/officeDocument/2006/relationships/hyperlink" Target="https://legislation.govt.nz/" TargetMode="External"/><Relationship Id="rId44" Type="http://schemas.openxmlformats.org/officeDocument/2006/relationships/hyperlink" Target="https://rundfunkbeitrag.de/" TargetMode="External"/><Relationship Id="rId554" Type="http://schemas.openxmlformats.org/officeDocument/2006/relationships/hyperlink" Target="https://www.noaa.gov/stories/handling-waves-and-currents-how-to-stay-safe-in-water" TargetMode="External"/><Relationship Id="rId761" Type="http://schemas.openxmlformats.org/officeDocument/2006/relationships/hyperlink" Target="https://oecd.org/" TargetMode="External"/><Relationship Id="rId859" Type="http://schemas.openxmlformats.org/officeDocument/2006/relationships/hyperlink" Target="https://canada.ca/en/financial-consumer-agency/services/renting-first-apartment.html" TargetMode="External"/><Relationship Id="rId193" Type="http://schemas.openxmlformats.org/officeDocument/2006/relationships/hyperlink" Target="https://uscis.gov/working-in-the-united-states/h-1b-specialty-occupations" TargetMode="External"/><Relationship Id="rId207" Type="http://schemas.openxmlformats.org/officeDocument/2006/relationships/hyperlink" Target="https://www.stats.govt.nz/assets/Reports/Housing-in-Aotearoa-New-Zealand-2025/Housing-in-aotearoa-new-zealand-2025.pdf" TargetMode="External"/><Relationship Id="rId414" Type="http://schemas.openxmlformats.org/officeDocument/2006/relationships/hyperlink" Target="https://ftc.gov/" TargetMode="External"/><Relationship Id="rId498" Type="http://schemas.openxmlformats.org/officeDocument/2006/relationships/hyperlink" Target="https://ets.org/toefl" TargetMode="External"/><Relationship Id="rId621" Type="http://schemas.openxmlformats.org/officeDocument/2006/relationships/hyperlink" Target="https://immi.homeaffairs.gov.au/visas/getting-a-visa/visa-processing-times" TargetMode="External"/><Relationship Id="rId1044" Type="http://schemas.openxmlformats.org/officeDocument/2006/relationships/hyperlink" Target="https://reinz.co.nz/" TargetMode="External"/><Relationship Id="rId260" Type="http://schemas.openxmlformats.org/officeDocument/2006/relationships/hyperlink" Target="https://bzst.de/" TargetMode="External"/><Relationship Id="rId719" Type="http://schemas.openxmlformats.org/officeDocument/2006/relationships/hyperlink" Target="https://auslandsschulwesen.de/" TargetMode="External"/><Relationship Id="rId926" Type="http://schemas.openxmlformats.org/officeDocument/2006/relationships/hyperlink" Target="https://rcmp.ca/en/firearms/licensing/licensing-information" TargetMode="External"/><Relationship Id="rId1111" Type="http://schemas.openxmlformats.org/officeDocument/2006/relationships/hyperlink" Target="https://police.govt.nz/" TargetMode="External"/><Relationship Id="rId55" Type="http://schemas.openxmlformats.org/officeDocument/2006/relationships/hyperlink" Target="https://sss.gov/register/who-needs-to-register/" TargetMode="External"/><Relationship Id="rId120" Type="http://schemas.openxmlformats.org/officeDocument/2006/relationships/hyperlink" Target="https://de.usembassy.gov/visas" TargetMode="External"/><Relationship Id="rId358" Type="http://schemas.openxmlformats.org/officeDocument/2006/relationships/hyperlink" Target="https://HealthCare.gov/" TargetMode="External"/><Relationship Id="rId565" Type="http://schemas.openxmlformats.org/officeDocument/2006/relationships/hyperlink" Target="https://travel.state.gov/" TargetMode="External"/><Relationship Id="rId772" Type="http://schemas.openxmlformats.org/officeDocument/2006/relationships/hyperlink" Target="https://canada.ca/ircc" TargetMode="External"/><Relationship Id="rId218" Type="http://schemas.openxmlformats.org/officeDocument/2006/relationships/hyperlink" Target="https://nyc.gov/site/dca/about/FAQ-Broker-Fees.page" TargetMode="External"/><Relationship Id="rId425" Type="http://schemas.openxmlformats.org/officeDocument/2006/relationships/hyperlink" Target="https://uscis.gov/policy-manual/volume-7-part-e-chapter-5" TargetMode="External"/><Relationship Id="rId632" Type="http://schemas.openxmlformats.org/officeDocument/2006/relationships/hyperlink" Target="https://australien.diplo.de/" TargetMode="External"/><Relationship Id="rId1055" Type="http://schemas.openxmlformats.org/officeDocument/2006/relationships/hyperlink" Target="https://www.aviation.govt.nz/drones/regulations/part-101-rules-for-drones/" TargetMode="External"/><Relationship Id="rId271" Type="http://schemas.openxmlformats.org/officeDocument/2006/relationships/hyperlink" Target="https://cdc.gov/vaccines" TargetMode="External"/><Relationship Id="rId937" Type="http://schemas.openxmlformats.org/officeDocument/2006/relationships/hyperlink" Target="https://kanada.diplo.de/" TargetMode="External"/><Relationship Id="rId1122" Type="http://schemas.openxmlformats.org/officeDocument/2006/relationships/hyperlink" Target="https://www.doc.govt.nz/nature/native-animals/" TargetMode="External"/><Relationship Id="rId66" Type="http://schemas.openxmlformats.org/officeDocument/2006/relationships/hyperlink" Target="https://uscis.gov/working-in-the-united-states" TargetMode="External"/><Relationship Id="rId131" Type="http://schemas.openxmlformats.org/officeDocument/2006/relationships/hyperlink" Target="https://sss.gov/" TargetMode="External"/><Relationship Id="rId369" Type="http://schemas.openxmlformats.org/officeDocument/2006/relationships/hyperlink" Target="https://www.heart.org/en/health-topics/heart-attack/warning-signs-of-a-heart-attack" TargetMode="External"/><Relationship Id="rId576" Type="http://schemas.openxmlformats.org/officeDocument/2006/relationships/hyperlink" Target="https://deutsche-rentenversicherung.de/" TargetMode="External"/><Relationship Id="rId783" Type="http://schemas.openxmlformats.org/officeDocument/2006/relationships/hyperlink" Target="https://canada.ca/" TargetMode="External"/><Relationship Id="rId990" Type="http://schemas.openxmlformats.org/officeDocument/2006/relationships/hyperlink" Target="https://wellington.diplo.de/" TargetMode="External"/><Relationship Id="rId229" Type="http://schemas.openxmlformats.org/officeDocument/2006/relationships/hyperlink" Target="https://hud.gov/sites/default/files/OCHCO/documents/2025-09hsgml.pdf" TargetMode="External"/><Relationship Id="rId436" Type="http://schemas.openxmlformats.org/officeDocument/2006/relationships/hyperlink" Target="https://fec.gov/" TargetMode="External"/><Relationship Id="rId643" Type="http://schemas.openxmlformats.org/officeDocument/2006/relationships/hyperlink" Target="https://afsa.gov.au/i-cant-pay-my-debts/bankruptcy/consequences-bankruptcy" TargetMode="External"/><Relationship Id="rId1066" Type="http://schemas.openxmlformats.org/officeDocument/2006/relationships/hyperlink" Target="https://nzta.govt.nz/vehicles/licensing-rego/number-plates" TargetMode="External"/><Relationship Id="rId850" Type="http://schemas.openxmlformats.org/officeDocument/2006/relationships/hyperlink" Target="https://kijiji.ca/" TargetMode="External"/><Relationship Id="rId948" Type="http://schemas.openxmlformats.org/officeDocument/2006/relationships/hyperlink" Target="https://immigration.govt.nz/" TargetMode="External"/><Relationship Id="rId1133" Type="http://schemas.openxmlformats.org/officeDocument/2006/relationships/hyperlink" Target="https://federalregister.gov/" TargetMode="External"/><Relationship Id="rId77" Type="http://schemas.openxmlformats.org/officeDocument/2006/relationships/hyperlink" Target="https://bundesfinanzministerium.de/" TargetMode="External"/><Relationship Id="rId282" Type="http://schemas.openxmlformats.org/officeDocument/2006/relationships/hyperlink" Target="https://naces.org/members" TargetMode="External"/><Relationship Id="rId503" Type="http://schemas.openxmlformats.org/officeDocument/2006/relationships/hyperlink" Target="https://dol.gov/agencies/whd/fmla" TargetMode="External"/><Relationship Id="rId587" Type="http://schemas.openxmlformats.org/officeDocument/2006/relationships/hyperlink" Target="https://ato.gov.au/" TargetMode="External"/><Relationship Id="rId710" Type="http://schemas.openxmlformats.org/officeDocument/2006/relationships/hyperlink" Target="https://www.goethe.de/ins/au/en/m/index.html" TargetMode="External"/><Relationship Id="rId808" Type="http://schemas.openxmlformats.org/officeDocument/2006/relationships/hyperlink" Target="https://inspection.canada.ca/en/importing-food-plants-animals/pets" TargetMode="External"/><Relationship Id="rId8" Type="http://schemas.openxmlformats.org/officeDocument/2006/relationships/hyperlink" Target="https://www.canada.ca/en/immigration-refugees-citizenship/services/immigrate-canada/express-entry.html" TargetMode="External"/><Relationship Id="rId142" Type="http://schemas.openxmlformats.org/officeDocument/2006/relationships/hyperlink" Target="https://federalregister.gov/" TargetMode="External"/><Relationship Id="rId447" Type="http://schemas.openxmlformats.org/officeDocument/2006/relationships/hyperlink" Target="https://ekd.de/auslandsgemeinden-amerika-47196.htm" TargetMode="External"/><Relationship Id="rId794" Type="http://schemas.openxmlformats.org/officeDocument/2006/relationships/hyperlink" Target="https://www.canada.ca/en/immigration-refugees-citizenship/services/visit-canada/parent-grandparent-super-visa/eligibility.html" TargetMode="External"/><Relationship Id="rId1077" Type="http://schemas.openxmlformats.org/officeDocument/2006/relationships/hyperlink" Target="https://www.ird.govt.nz/digital-content-creators" TargetMode="External"/><Relationship Id="rId654" Type="http://schemas.openxmlformats.org/officeDocument/2006/relationships/hyperlink" Target="https://servicesaustralia.gov.au/enrolling-medicare" TargetMode="External"/><Relationship Id="rId861" Type="http://schemas.openxmlformats.org/officeDocument/2006/relationships/hyperlink" Target="https://tc.canada.ca/en/aviation/licensing-pilots-personnel/flight-crew-licences-permits-ratings/licensing-foreign-pilots" TargetMode="External"/><Relationship Id="rId959" Type="http://schemas.openxmlformats.org/officeDocument/2006/relationships/hyperlink" Target="https://immigration.govt.nz/new-zealand-visas/visas/visa/accredited-employer-work-visa" TargetMode="External"/><Relationship Id="rId293" Type="http://schemas.openxmlformats.org/officeDocument/2006/relationships/hyperlink" Target="https://fmcsa.dot.gov/" TargetMode="External"/><Relationship Id="rId307" Type="http://schemas.openxmlformats.org/officeDocument/2006/relationships/hyperlink" Target="https://maricopa.gov/226/Dog-License" TargetMode="External"/><Relationship Id="rId514" Type="http://schemas.openxmlformats.org/officeDocument/2006/relationships/hyperlink" Target="https://irs.gov/instructions/i3520" TargetMode="External"/><Relationship Id="rId721" Type="http://schemas.openxmlformats.org/officeDocument/2006/relationships/hyperlink" Target="https://uac.edu.au/" TargetMode="External"/><Relationship Id="rId1144" Type="http://schemas.openxmlformats.org/officeDocument/2006/relationships/hyperlink" Target="https://www.canada.ca/en/health-canada/services/canada-health-care-system.html" TargetMode="External"/><Relationship Id="rId88" Type="http://schemas.openxmlformats.org/officeDocument/2006/relationships/hyperlink" Target="https://travel.state.gov/visa-bulletin" TargetMode="External"/><Relationship Id="rId153" Type="http://schemas.openxmlformats.org/officeDocument/2006/relationships/hyperlink" Target="https://fulbright.de/" TargetMode="External"/><Relationship Id="rId360" Type="http://schemas.openxmlformats.org/officeDocument/2006/relationships/hyperlink" Target="https://cms.gov/initiatives/your-patient-rights/medical-bill-rights/get-help/medical-bill-guides-resources/apply-medical-bill-financial-assistance" TargetMode="External"/><Relationship Id="rId598" Type="http://schemas.openxmlformats.org/officeDocument/2006/relationships/hyperlink" Target="https://immi.homeaffairs.gov.au/" TargetMode="External"/><Relationship Id="rId819" Type="http://schemas.openxmlformats.org/officeDocument/2006/relationships/hyperlink" Target="https://www2.gov.bc.ca/gov/content/taxes/income-taxes" TargetMode="External"/><Relationship Id="rId1004" Type="http://schemas.openxmlformats.org/officeDocument/2006/relationships/hyperlink" Target="https://ird.govt.nz/" TargetMode="External"/><Relationship Id="rId220" Type="http://schemas.openxmlformats.org/officeDocument/2006/relationships/hyperlink" Target="https://michiganlegalhelp.org/" TargetMode="External"/><Relationship Id="rId458" Type="http://schemas.openxmlformats.org/officeDocument/2006/relationships/hyperlink" Target="https://findtreatment.gov/" TargetMode="External"/><Relationship Id="rId665" Type="http://schemas.openxmlformats.org/officeDocument/2006/relationships/hyperlink" Target="https://www.nsw.gov.au/housing-and-construction/buying-and-selling-property/buying-property-nsw/inspecting-a-property/inspection-reports" TargetMode="External"/><Relationship Id="rId872" Type="http://schemas.openxmlformats.org/officeDocument/2006/relationships/hyperlink" Target="https://rates.ca/" TargetMode="External"/><Relationship Id="rId1088" Type="http://schemas.openxmlformats.org/officeDocument/2006/relationships/hyperlink" Target="https://nzqa.govt.nz/" TargetMode="External"/><Relationship Id="rId15" Type="http://schemas.openxmlformats.org/officeDocument/2006/relationships/hyperlink" Target="https://bva.bund.de/" TargetMode="External"/><Relationship Id="rId318" Type="http://schemas.openxmlformats.org/officeDocument/2006/relationships/hyperlink" Target="https://irs.gov/forms-pubs/about-form-w-4" TargetMode="External"/><Relationship Id="rId525" Type="http://schemas.openxmlformats.org/officeDocument/2006/relationships/hyperlink" Target="https://nsopw.gov/" TargetMode="External"/><Relationship Id="rId732" Type="http://schemas.openxmlformats.org/officeDocument/2006/relationships/hyperlink" Target="https://immi.homeaffairs.gov.au/" TargetMode="External"/><Relationship Id="rId99" Type="http://schemas.openxmlformats.org/officeDocument/2006/relationships/hyperlink" Target="https://uscis.gov/g-1055" TargetMode="External"/><Relationship Id="rId164" Type="http://schemas.openxmlformats.org/officeDocument/2006/relationships/hyperlink" Target="https://exchanges.state.gov/" TargetMode="External"/><Relationship Id="rId371" Type="http://schemas.openxmlformats.org/officeDocument/2006/relationships/hyperlink" Target="https://www.cityofhope.org/patients/refer-a-patient/international-referrals" TargetMode="External"/><Relationship Id="rId1015" Type="http://schemas.openxmlformats.org/officeDocument/2006/relationships/hyperlink" Target="https://westpac.co.nz/" TargetMode="External"/><Relationship Id="rId469" Type="http://schemas.openxmlformats.org/officeDocument/2006/relationships/hyperlink" Target="https://ised-isde.canada.ca/" TargetMode="External"/><Relationship Id="rId676" Type="http://schemas.openxmlformats.org/officeDocument/2006/relationships/hyperlink" Target="https://www.casa.gov.au/licences-and-certificates/pilots/pilot-licences/getting-recreational-pilot-licence-rpl" TargetMode="External"/><Relationship Id="rId883" Type="http://schemas.openxmlformats.org/officeDocument/2006/relationships/hyperlink" Target="https://quebec.ca/" TargetMode="External"/><Relationship Id="rId1099" Type="http://schemas.openxmlformats.org/officeDocument/2006/relationships/hyperlink" Target="https://immigration.govt.nz/visas/accredited-employer-work-visa" TargetMode="External"/><Relationship Id="rId26" Type="http://schemas.openxmlformats.org/officeDocument/2006/relationships/hyperlink" Target="https://www.daad.de/de/in-deutschland-studieren/leben-in-deutschland/finanzen/" TargetMode="External"/><Relationship Id="rId231" Type="http://schemas.openxmlformats.org/officeDocument/2006/relationships/hyperlink" Target="https://fhfa.gov/" TargetMode="External"/><Relationship Id="rId329" Type="http://schemas.openxmlformats.org/officeDocument/2006/relationships/hyperlink" Target="https://irs.gov/individuals/how-do-i-apply-for-an-itin" TargetMode="External"/><Relationship Id="rId536" Type="http://schemas.openxmlformats.org/officeDocument/2006/relationships/hyperlink" Target="https://sss.gov/" TargetMode="External"/><Relationship Id="rId175" Type="http://schemas.openxmlformats.org/officeDocument/2006/relationships/hyperlink" Target="https://uscis.gov/policy-manual/volume-7-part-a-chapter-7" TargetMode="External"/><Relationship Id="rId743" Type="http://schemas.openxmlformats.org/officeDocument/2006/relationships/hyperlink" Target="https://legislation.act.gov.au/" TargetMode="External"/><Relationship Id="rId950" Type="http://schemas.openxmlformats.org/officeDocument/2006/relationships/hyperlink" Target="https://immigration.govt.nz/" TargetMode="External"/><Relationship Id="rId1026" Type="http://schemas.openxmlformats.org/officeDocument/2006/relationships/hyperlink" Target="https://healthpoint.co.nz/" TargetMode="External"/><Relationship Id="rId382" Type="http://schemas.openxmlformats.org/officeDocument/2006/relationships/hyperlink" Target="https://dmv.colorado.gov/" TargetMode="External"/><Relationship Id="rId603" Type="http://schemas.openxmlformats.org/officeDocument/2006/relationships/hyperlink" Target="https://dewr.gov.au/" TargetMode="External"/><Relationship Id="rId687" Type="http://schemas.openxmlformats.org/officeDocument/2006/relationships/hyperlink" Target="https://kangaroomanagementtaskforce.com.au/" TargetMode="External"/><Relationship Id="rId810" Type="http://schemas.openxmlformats.org/officeDocument/2006/relationships/hyperlink" Target="https://inspection.canada.ca/en/importing-food-plants-animals/pets" TargetMode="External"/><Relationship Id="rId908" Type="http://schemas.openxmlformats.org/officeDocument/2006/relationships/hyperlink" Target="https://canada.ca/en/employment-social-development/services/foreign-workers" TargetMode="External"/><Relationship Id="rId242" Type="http://schemas.openxmlformats.org/officeDocument/2006/relationships/hyperlink" Target="https://www.padi.com/courses/open-water-diver" TargetMode="External"/><Relationship Id="rId894" Type="http://schemas.openxmlformats.org/officeDocument/2006/relationships/hyperlink" Target="https://vwgs.org/" TargetMode="External"/><Relationship Id="rId37" Type="http://schemas.openxmlformats.org/officeDocument/2006/relationships/hyperlink" Target="https://www.oecd.org/en/publications/taxing-wages-2026_3a5169ef-en/full-report/new-zealand-2025-2026-income-tax-year_a458d8d2.html" TargetMode="External"/><Relationship Id="rId102" Type="http://schemas.openxmlformats.org/officeDocument/2006/relationships/hyperlink" Target="https://uscis.gov/g-1055" TargetMode="External"/><Relationship Id="rId547" Type="http://schemas.openxmlformats.org/officeDocument/2006/relationships/hyperlink" Target="https://germany.info/us-de/service/hilfe" TargetMode="External"/><Relationship Id="rId754" Type="http://schemas.openxmlformats.org/officeDocument/2006/relationships/hyperlink" Target="https://auswaertiges-amt.de/" TargetMode="External"/><Relationship Id="rId961" Type="http://schemas.openxmlformats.org/officeDocument/2006/relationships/hyperlink" Target="https://www.immigration.govt.nz/work/requirements-for-work-visas/green-list-occupations-qualifications-and-skills/" TargetMode="External"/><Relationship Id="rId90" Type="http://schemas.openxmlformats.org/officeDocument/2006/relationships/hyperlink" Target="https://cbp.gov/travel" TargetMode="External"/><Relationship Id="rId186" Type="http://schemas.openxmlformats.org/officeDocument/2006/relationships/hyperlink" Target="https://ceac.state.gov/" TargetMode="External"/><Relationship Id="rId393" Type="http://schemas.openxmlformats.org/officeDocument/2006/relationships/hyperlink" Target="https://insurance.ca.gov/01-consumers/105-type/95-guides/01-auto/hadaccident.cfm" TargetMode="External"/><Relationship Id="rId407" Type="http://schemas.openxmlformats.org/officeDocument/2006/relationships/hyperlink" Target="https://careeronestop.org/" TargetMode="External"/><Relationship Id="rId614" Type="http://schemas.openxmlformats.org/officeDocument/2006/relationships/hyperlink" Target="https://immi.homeaffairs.gov.au/" TargetMode="External"/><Relationship Id="rId821" Type="http://schemas.openxmlformats.org/officeDocument/2006/relationships/hyperlink" Target="https://rbc.com/" TargetMode="External"/><Relationship Id="rId1037" Type="http://schemas.openxmlformats.org/officeDocument/2006/relationships/hyperlink" Target="https://www.health.govt.nz/publications/eating-and-activity-guidelines-for-new-zealand-adults" TargetMode="External"/><Relationship Id="rId253" Type="http://schemas.openxmlformats.org/officeDocument/2006/relationships/hyperlink" Target="https://auswaertiges-amt.de/" TargetMode="External"/><Relationship Id="rId460" Type="http://schemas.openxmlformats.org/officeDocument/2006/relationships/hyperlink" Target="https://openpathcollective.org/" TargetMode="External"/><Relationship Id="rId698" Type="http://schemas.openxmlformats.org/officeDocument/2006/relationships/hyperlink" Target="https://culturalatlas.sbs.com.au/" TargetMode="External"/><Relationship Id="rId919" Type="http://schemas.openxmlformats.org/officeDocument/2006/relationships/hyperlink" Target="https://rcmp.ca/en/firearms" TargetMode="External"/><Relationship Id="rId1090" Type="http://schemas.openxmlformats.org/officeDocument/2006/relationships/hyperlink" Target="https://auslandsschulwesen.de/" TargetMode="External"/><Relationship Id="rId1104" Type="http://schemas.openxmlformats.org/officeDocument/2006/relationships/hyperlink" Target="https://employment.govt.nz/" TargetMode="External"/><Relationship Id="rId48" Type="http://schemas.openxmlformats.org/officeDocument/2006/relationships/hyperlink" Target="https://rundfunkbeitrag.de/" TargetMode="External"/><Relationship Id="rId113" Type="http://schemas.openxmlformats.org/officeDocument/2006/relationships/hyperlink" Target="https://www.ca1.uscourts.gov/content/26-1699o_6828777" TargetMode="External"/><Relationship Id="rId320" Type="http://schemas.openxmlformats.org/officeDocument/2006/relationships/hyperlink" Target="https://germany.info/" TargetMode="External"/><Relationship Id="rId558" Type="http://schemas.openxmlformats.org/officeDocument/2006/relationships/hyperlink" Target="https://www.nationalguard.mil/About-the-Guard/Army-National-Guard/FAQ/lang/en/" TargetMode="External"/><Relationship Id="rId765" Type="http://schemas.openxmlformats.org/officeDocument/2006/relationships/hyperlink" Target="https://canada.ca/en/immigration-refugees-citizenship" TargetMode="External"/><Relationship Id="rId972" Type="http://schemas.openxmlformats.org/officeDocument/2006/relationships/hyperlink" Target="https://www.vetcouncil.org.nz/" TargetMode="External"/><Relationship Id="rId197" Type="http://schemas.openxmlformats.org/officeDocument/2006/relationships/hyperlink" Target="https://bls.gov/" TargetMode="External"/><Relationship Id="rId418" Type="http://schemas.openxmlformats.org/officeDocument/2006/relationships/hyperlink" Target="https://dol.gov/agencies/eta/foreign-labor/programs/h-1b" TargetMode="External"/><Relationship Id="rId625" Type="http://schemas.openxmlformats.org/officeDocument/2006/relationships/hyperlink" Target="https://australien.diplo.de/" TargetMode="External"/><Relationship Id="rId832" Type="http://schemas.openxmlformats.org/officeDocument/2006/relationships/hyperlink" Target="https://ontario.ca/page/apply-ohip-and-get-health-card" TargetMode="External"/><Relationship Id="rId1048" Type="http://schemas.openxmlformats.org/officeDocument/2006/relationships/hyperlink" Target="https://aucklandcouncil.govt.nz/licences-regulations/noise/Pages/default.aspx" TargetMode="External"/><Relationship Id="rId264" Type="http://schemas.openxmlformats.org/officeDocument/2006/relationships/hyperlink" Target="https://wwwnc.cdc.gov/travel/page/medical-tourism" TargetMode="External"/><Relationship Id="rId471" Type="http://schemas.openxmlformats.org/officeDocument/2006/relationships/hyperlink" Target="https://www.sunsmart.com.au/" TargetMode="External"/><Relationship Id="rId1115" Type="http://schemas.openxmlformats.org/officeDocument/2006/relationships/hyperlink" Target="https://police.govt.nz/" TargetMode="External"/><Relationship Id="rId59" Type="http://schemas.openxmlformats.org/officeDocument/2006/relationships/hyperlink" Target="https://zoll.de/" TargetMode="External"/><Relationship Id="rId124" Type="http://schemas.openxmlformats.org/officeDocument/2006/relationships/hyperlink" Target="https://travel.state.gov/visabulletin" TargetMode="External"/><Relationship Id="rId569" Type="http://schemas.openxmlformats.org/officeDocument/2006/relationships/hyperlink" Target="https://bundeswahlleiterin.de/" TargetMode="External"/><Relationship Id="rId776" Type="http://schemas.openxmlformats.org/officeDocument/2006/relationships/hyperlink" Target="https://canada.ca/en/immigration-refugees-citizenship/services/immigrate-canada/express-entry.html" TargetMode="External"/><Relationship Id="rId983" Type="http://schemas.openxmlformats.org/officeDocument/2006/relationships/hyperlink" Target="https://immigration.govt.nz/" TargetMode="External"/><Relationship Id="rId331" Type="http://schemas.openxmlformats.org/officeDocument/2006/relationships/hyperlink" Target="https://consumer.ftc.gov/articles/what-know-about-credit-freezes-fraud-alerts" TargetMode="External"/><Relationship Id="rId429" Type="http://schemas.openxmlformats.org/officeDocument/2006/relationships/hyperlink" Target="https://dol.gov/general/topic/health-plans/cobra" TargetMode="External"/><Relationship Id="rId636" Type="http://schemas.openxmlformats.org/officeDocument/2006/relationships/hyperlink" Target="https://equifax.com.au/" TargetMode="External"/><Relationship Id="rId1059" Type="http://schemas.openxmlformats.org/officeDocument/2006/relationships/hyperlink" Target="https://nzta.govt.nz/" TargetMode="External"/><Relationship Id="rId843" Type="http://schemas.openxmlformats.org/officeDocument/2006/relationships/hyperlink" Target="https://cancer.ca/en/living-with-cancer/coping-with-changes/working-with-your-healthcare-team/getting-a-second-opinion" TargetMode="External"/><Relationship Id="rId1126" Type="http://schemas.openxmlformats.org/officeDocument/2006/relationships/hyperlink" Target="https://immigration.govt.nz/" TargetMode="External"/><Relationship Id="rId275" Type="http://schemas.openxmlformats.org/officeDocument/2006/relationships/hyperlink" Target="https://bfaa.diplo.de/" TargetMode="External"/><Relationship Id="rId482" Type="http://schemas.openxmlformats.org/officeDocument/2006/relationships/hyperlink" Target="https://cbp.gov/" TargetMode="External"/><Relationship Id="rId703" Type="http://schemas.openxmlformats.org/officeDocument/2006/relationships/hyperlink" Target="https://ardalpha.de/" TargetMode="External"/><Relationship Id="rId910" Type="http://schemas.openxmlformats.org/officeDocument/2006/relationships/hyperlink" Target="https://canada.ca/en/immigration-refugees-citizenship/services/work-canada/permit/temporary/vulnerable-workers.html" TargetMode="External"/><Relationship Id="rId135" Type="http://schemas.openxmlformats.org/officeDocument/2006/relationships/hyperlink" Target="https://uscis.gov/" TargetMode="External"/><Relationship Id="rId342" Type="http://schemas.openxmlformats.org/officeDocument/2006/relationships/hyperlink" Target="https://irs.gov/taxtopics/tc431" TargetMode="External"/><Relationship Id="rId787" Type="http://schemas.openxmlformats.org/officeDocument/2006/relationships/hyperlink" Target="https://www.red-seal.ca/" TargetMode="External"/><Relationship Id="rId994" Type="http://schemas.openxmlformats.org/officeDocument/2006/relationships/hyperlink" Target="https://mpi.govt.nz/" TargetMode="External"/><Relationship Id="rId202" Type="http://schemas.openxmlformats.org/officeDocument/2006/relationships/hyperlink" Target="https://uscis.gov/" TargetMode="External"/><Relationship Id="rId647" Type="http://schemas.openxmlformats.org/officeDocument/2006/relationships/hyperlink" Target="https://immi.homeaffairs.gov.au/" TargetMode="External"/><Relationship Id="rId854" Type="http://schemas.openxmlformats.org/officeDocument/2006/relationships/hyperlink" Target="https://cmhc-schl.gc.ca/" TargetMode="External"/><Relationship Id="rId286" Type="http://schemas.openxmlformats.org/officeDocument/2006/relationships/hyperlink" Target="https://nclex.com/" TargetMode="External"/><Relationship Id="rId493" Type="http://schemas.openxmlformats.org/officeDocument/2006/relationships/hyperlink" Target="https://law.cornell.edu/uscode/text/20/6312" TargetMode="External"/><Relationship Id="rId507" Type="http://schemas.openxmlformats.org/officeDocument/2006/relationships/hyperlink" Target="https://studentaid.gov/" TargetMode="External"/><Relationship Id="rId714" Type="http://schemas.openxmlformats.org/officeDocument/2006/relationships/hyperlink" Target="https://ses.nsw.gov.au/" TargetMode="External"/><Relationship Id="rId921" Type="http://schemas.openxmlformats.org/officeDocument/2006/relationships/hyperlink" Target="https://canada.ca/en/health-canada/services/drugs-medication/cannabis.html" TargetMode="External"/><Relationship Id="rId1137" Type="http://schemas.openxmlformats.org/officeDocument/2006/relationships/hyperlink" Target="https://healthcare.gov/" TargetMode="External"/><Relationship Id="rId50" Type="http://schemas.openxmlformats.org/officeDocument/2006/relationships/hyperlink" Target="https://www.deutsche-rentenversicherung.de/" TargetMode="External"/><Relationship Id="rId146" Type="http://schemas.openxmlformats.org/officeDocument/2006/relationships/hyperlink" Target="https://studyinthestates.dhs.gov/" TargetMode="External"/><Relationship Id="rId353" Type="http://schemas.openxmlformats.org/officeDocument/2006/relationships/hyperlink" Target="https://988lifeline.org/" TargetMode="External"/><Relationship Id="rId560" Type="http://schemas.openxmlformats.org/officeDocument/2006/relationships/hyperlink" Target="https://uscis.gov/citizenship" TargetMode="External"/><Relationship Id="rId798" Type="http://schemas.openxmlformats.org/officeDocument/2006/relationships/hyperlink" Target="https://canada.ca/" TargetMode="External"/><Relationship Id="rId213" Type="http://schemas.openxmlformats.org/officeDocument/2006/relationships/hyperlink" Target="https://Apartments.com/" TargetMode="External"/><Relationship Id="rId420" Type="http://schemas.openxmlformats.org/officeDocument/2006/relationships/hyperlink" Target="https://careeronestop.org/JobSearch/Interview/interview-tips.aspx" TargetMode="External"/><Relationship Id="rId658" Type="http://schemas.openxmlformats.org/officeDocument/2006/relationships/hyperlink" Target="https://connect.cancer.org.au/cancer-information/understanding-cancer/just-diagnosed/when-you-find-out-you-have-cancer" TargetMode="External"/><Relationship Id="rId865" Type="http://schemas.openxmlformats.org/officeDocument/2006/relationships/hyperlink" Target="https://www.padi.com/courses/open-water-diver" TargetMode="External"/><Relationship Id="rId1050" Type="http://schemas.openxmlformats.org/officeDocument/2006/relationships/hyperlink" Target="https://www.eeca.govt.nz/for-homes/energy-saving-technology/heating-and-cooling/heat-and-cool-efficiently-at-home/" TargetMode="External"/><Relationship Id="rId297" Type="http://schemas.openxmlformats.org/officeDocument/2006/relationships/hyperlink" Target="https://ecfr.gov/" TargetMode="External"/><Relationship Id="rId518" Type="http://schemas.openxmlformats.org/officeDocument/2006/relationships/hyperlink" Target="https://irs.gov/instructions/i706" TargetMode="External"/><Relationship Id="rId725" Type="http://schemas.openxmlformats.org/officeDocument/2006/relationships/hyperlink" Target="https://fairwork.gov.au/" TargetMode="External"/><Relationship Id="rId932" Type="http://schemas.openxmlformats.org/officeDocument/2006/relationships/hyperlink" Target="https://www.canada.ca/en/canadian-coast-guard/services/search-rescue/search-rescue-stations.html" TargetMode="External"/><Relationship Id="rId1148" Type="http://schemas.openxmlformats.org/officeDocument/2006/relationships/hyperlink" Target="https://www.comcom.govt.nz/consumers/dealing-with-typical-situations/buying-goods-and-services/pricing/" TargetMode="External"/><Relationship Id="rId157" Type="http://schemas.openxmlformats.org/officeDocument/2006/relationships/hyperlink" Target="https://esta.cbp.dhs.gov/" TargetMode="External"/><Relationship Id="rId364" Type="http://schemas.openxmlformats.org/officeDocument/2006/relationships/hyperlink" Target="https://www.cancer.gov/about-cancer/coping/questions" TargetMode="External"/><Relationship Id="rId1008" Type="http://schemas.openxmlformats.org/officeDocument/2006/relationships/hyperlink" Target="https://ird.govt.nz/" TargetMode="External"/><Relationship Id="rId61" Type="http://schemas.openxmlformats.org/officeDocument/2006/relationships/hyperlink" Target="https://www.gesetze-im-internet.de/" TargetMode="External"/><Relationship Id="rId571" Type="http://schemas.openxmlformats.org/officeDocument/2006/relationships/hyperlink" Target="https://uscis.gov/green-card" TargetMode="External"/><Relationship Id="rId669" Type="http://schemas.openxmlformats.org/officeDocument/2006/relationships/hyperlink" Target="https://fairtrading.nsw.gov.au/" TargetMode="External"/><Relationship Id="rId876" Type="http://schemas.openxmlformats.org/officeDocument/2006/relationships/hyperlink" Target="https://ised-isde.canada.ca/site/spectrum-management-telecommunications/en/devices-and-equipment/radio-equipment-standards/radio-standards-specifications-rss/rss-135-digital-scanner-receivers" TargetMode="External"/><Relationship Id="rId19" Type="http://schemas.openxmlformats.org/officeDocument/2006/relationships/hyperlink" Target="https://dol.gov/agencies/whd/child-labor/nonagriculture" TargetMode="External"/><Relationship Id="rId224" Type="http://schemas.openxmlformats.org/officeDocument/2006/relationships/hyperlink" Target="https://usa.gov/tenant-rights" TargetMode="External"/><Relationship Id="rId431" Type="http://schemas.openxmlformats.org/officeDocument/2006/relationships/hyperlink" Target="https://JustWatch.de/" TargetMode="External"/><Relationship Id="rId529" Type="http://schemas.openxmlformats.org/officeDocument/2006/relationships/hyperlink" Target="https://consumercomplaints.fcc.gov/hc/en-us/articles/115002234203-Unwanted-Calls-Texts-Phone" TargetMode="External"/><Relationship Id="rId736" Type="http://schemas.openxmlformats.org/officeDocument/2006/relationships/hyperlink" Target="https://www.legalaid.vic.gov.au/speaking-police" TargetMode="External"/><Relationship Id="rId1061" Type="http://schemas.openxmlformats.org/officeDocument/2006/relationships/hyperlink" Target="https://transport.govt.nz/" TargetMode="External"/><Relationship Id="rId168" Type="http://schemas.openxmlformats.org/officeDocument/2006/relationships/hyperlink" Target="https://dvprogram.state.gov/" TargetMode="External"/><Relationship Id="rId943" Type="http://schemas.openxmlformats.org/officeDocument/2006/relationships/hyperlink" Target="https://numbeo.com/" TargetMode="External"/><Relationship Id="rId1019" Type="http://schemas.openxmlformats.org/officeDocument/2006/relationships/hyperlink" Target="https://insolvency.govt.nz/personal-debt/no-asset-procedures" TargetMode="External"/><Relationship Id="rId72" Type="http://schemas.openxmlformats.org/officeDocument/2006/relationships/hyperlink" Target="https://uscis.gov/" TargetMode="External"/><Relationship Id="rId375" Type="http://schemas.openxmlformats.org/officeDocument/2006/relationships/hyperlink" Target="https://www.shrinerschildrens.org/en/patient-information/international-patients" TargetMode="External"/><Relationship Id="rId582" Type="http://schemas.openxmlformats.org/officeDocument/2006/relationships/hyperlink" Target="https://ato.gov.au/" TargetMode="External"/><Relationship Id="rId803" Type="http://schemas.openxmlformats.org/officeDocument/2006/relationships/hyperlink" Target="https://college-ic.ca/" TargetMode="External"/><Relationship Id="rId3" Type="http://schemas.openxmlformats.org/officeDocument/2006/relationships/settings" Target="settings.xml"/><Relationship Id="rId235" Type="http://schemas.openxmlformats.org/officeDocument/2006/relationships/hyperlink" Target="https://gesetze-im-internet.de/estg/__23.html" TargetMode="External"/><Relationship Id="rId442" Type="http://schemas.openxmlformats.org/officeDocument/2006/relationships/hyperlink" Target="https://www.nps.gov/aboutus/news/film-and-photo-permits.htm" TargetMode="External"/><Relationship Id="rId887" Type="http://schemas.openxmlformats.org/officeDocument/2006/relationships/hyperlink" Target="https://parks.canada.ca/agence-agency/courriel-email/tournages-photos-filming" TargetMode="External"/><Relationship Id="rId1072" Type="http://schemas.openxmlformats.org/officeDocument/2006/relationships/hyperlink" Target="https://newzealand.govt.nz/" TargetMode="External"/><Relationship Id="rId302" Type="http://schemas.openxmlformats.org/officeDocument/2006/relationships/hyperlink" Target="https://zoll.de/" TargetMode="External"/><Relationship Id="rId747" Type="http://schemas.openxmlformats.org/officeDocument/2006/relationships/hyperlink" Target="https://www.homeaffairs.gov.au/criminal-justice/Pages/firearms.aspx" TargetMode="External"/><Relationship Id="rId954" Type="http://schemas.openxmlformats.org/officeDocument/2006/relationships/hyperlink" Target="https://immigration.govt.nz/" TargetMode="External"/><Relationship Id="rId83" Type="http://schemas.openxmlformats.org/officeDocument/2006/relationships/image" Target="media/image6.png"/><Relationship Id="rId179" Type="http://schemas.openxmlformats.org/officeDocument/2006/relationships/hyperlink" Target="https://travel.state.gov/" TargetMode="External"/><Relationship Id="rId386" Type="http://schemas.openxmlformats.org/officeDocument/2006/relationships/hyperlink" Target="https://dld.utah.gov/" TargetMode="External"/><Relationship Id="rId593" Type="http://schemas.openxmlformats.org/officeDocument/2006/relationships/hyperlink" Target="https://immi.homeaffairs.gov.au/" TargetMode="External"/><Relationship Id="rId607" Type="http://schemas.openxmlformats.org/officeDocument/2006/relationships/hyperlink" Target="https://www.anmac.org.au/" TargetMode="External"/><Relationship Id="rId814" Type="http://schemas.openxmlformats.org/officeDocument/2006/relationships/hyperlink" Target="https://canada.ca/en/revenue-agency/services/tax/individuals/international-tax/newcomers-canada-immigrants.html" TargetMode="External"/><Relationship Id="rId246" Type="http://schemas.openxmlformats.org/officeDocument/2006/relationships/hyperlink" Target="https://gesetze-im-internet.de/" TargetMode="External"/><Relationship Id="rId453" Type="http://schemas.openxmlformats.org/officeDocument/2006/relationships/hyperlink" Target="https://www.usa.gov/who-can-vote" TargetMode="External"/><Relationship Id="rId660" Type="http://schemas.openxmlformats.org/officeDocument/2006/relationships/hyperlink" Target="https://www.health.gov.au/topics/sexual-health/sexual-and-reproductive-health-and-young-people" TargetMode="External"/><Relationship Id="rId898" Type="http://schemas.openxmlformats.org/officeDocument/2006/relationships/hyperlink" Target="https://ontario.ca/page/education-and-training" TargetMode="External"/><Relationship Id="rId1083" Type="http://schemas.openxmlformats.org/officeDocument/2006/relationships/hyperlink" Target="https://fireandemergency.nz/" TargetMode="External"/><Relationship Id="rId106" Type="http://schemas.openxmlformats.org/officeDocument/2006/relationships/hyperlink" Target="https://uscis.gov/" TargetMode="External"/><Relationship Id="rId313" Type="http://schemas.openxmlformats.org/officeDocument/2006/relationships/hyperlink" Target="https://reportfraud.ftc.gov/" TargetMode="External"/><Relationship Id="rId758" Type="http://schemas.openxmlformats.org/officeDocument/2006/relationships/hyperlink" Target="https://taxtips.ca/" TargetMode="External"/><Relationship Id="rId965" Type="http://schemas.openxmlformats.org/officeDocument/2006/relationships/hyperlink" Target="https://immigration.govt.nz/" TargetMode="External"/><Relationship Id="rId1150" Type="http://schemas.openxmlformats.org/officeDocument/2006/relationships/hyperlink" Target="https://ird.govt.nz/" TargetMode="External"/><Relationship Id="rId10" Type="http://schemas.openxmlformats.org/officeDocument/2006/relationships/hyperlink" Target="https://www.immigration.govt.nz/new-zealand-visas/" TargetMode="External"/><Relationship Id="rId94" Type="http://schemas.openxmlformats.org/officeDocument/2006/relationships/hyperlink" Target="https://uscis.gov/g-1055" TargetMode="External"/><Relationship Id="rId397" Type="http://schemas.openxmlformats.org/officeDocument/2006/relationships/hyperlink" Target="https://irs.gov/credits-deductions/individuals/child-tax-credit" TargetMode="External"/><Relationship Id="rId520" Type="http://schemas.openxmlformats.org/officeDocument/2006/relationships/hyperlink" Target="https://irs.gov/instructions/i706na" TargetMode="External"/><Relationship Id="rId618" Type="http://schemas.openxmlformats.org/officeDocument/2006/relationships/hyperlink" Target="https://bfaa.diplo.de/" TargetMode="External"/><Relationship Id="rId825" Type="http://schemas.openxmlformats.org/officeDocument/2006/relationships/hyperlink" Target="https://cibc.com/" TargetMode="External"/><Relationship Id="rId257" Type="http://schemas.openxmlformats.org/officeDocument/2006/relationships/hyperlink" Target="https://bmvg.de/" TargetMode="External"/><Relationship Id="rId464" Type="http://schemas.openxmlformats.org/officeDocument/2006/relationships/hyperlink" Target="https://www.ftc.gov/" TargetMode="External"/><Relationship Id="rId1010" Type="http://schemas.openxmlformats.org/officeDocument/2006/relationships/hyperlink" Target="https://centrix.co.nz/" TargetMode="External"/><Relationship Id="rId1094" Type="http://schemas.openxmlformats.org/officeDocument/2006/relationships/hyperlink" Target="https://www.immigration.govt.nz/work/requirements-for-work-visas/approved-employers/accredited-employer-list/" TargetMode="External"/><Relationship Id="rId1108" Type="http://schemas.openxmlformats.org/officeDocument/2006/relationships/hyperlink" Target="https://www.police.govt.nz/advice/personal-community/new-arrivals/english/rights" TargetMode="External"/><Relationship Id="rId117" Type="http://schemas.openxmlformats.org/officeDocument/2006/relationships/hyperlink" Target="https://dol.gov/agencies/eta/foreign-labor/programs/h-1b" TargetMode="External"/><Relationship Id="rId671" Type="http://schemas.openxmlformats.org/officeDocument/2006/relationships/hyperlink" Target="https://cotality.com/" TargetMode="External"/><Relationship Id="rId769" Type="http://schemas.openxmlformats.org/officeDocument/2006/relationships/hyperlink" Target="https://canada.ca/" TargetMode="External"/><Relationship Id="rId976" Type="http://schemas.openxmlformats.org/officeDocument/2006/relationships/hyperlink" Target="https://immigration.govt.nz/assets/inz/documents/forms-and-guides/Fees-Guide-INZ-1028.pdf" TargetMode="External"/><Relationship Id="rId324" Type="http://schemas.openxmlformats.org/officeDocument/2006/relationships/hyperlink" Target="https://www.usa.gov/voting-political-party" TargetMode="External"/><Relationship Id="rId531" Type="http://schemas.openxmlformats.org/officeDocument/2006/relationships/hyperlink" Target="https://weather.gov/" TargetMode="External"/><Relationship Id="rId629" Type="http://schemas.openxmlformats.org/officeDocument/2006/relationships/hyperlink" Target="https://www.agriculture.gov.au/cats-dogs" TargetMode="External"/><Relationship Id="rId836" Type="http://schemas.openxmlformats.org/officeDocument/2006/relationships/hyperlink" Target="https://saskatchewan.ca/residents/health" TargetMode="External"/><Relationship Id="rId1021" Type="http://schemas.openxmlformats.org/officeDocument/2006/relationships/hyperlink" Target="https://immigration.govt.nz/" TargetMode="External"/><Relationship Id="rId1119" Type="http://schemas.openxmlformats.org/officeDocument/2006/relationships/hyperlink" Target="https://naturalhazards.govt.nz/" TargetMode="External"/><Relationship Id="rId903" Type="http://schemas.openxmlformats.org/officeDocument/2006/relationships/hyperlink" Target="https://gistonline.ca/" TargetMode="External"/><Relationship Id="rId32" Type="http://schemas.openxmlformats.org/officeDocument/2006/relationships/hyperlink" Target="https://www.abs.gov.au/statistics/people/population/regional-population/2024-25" TargetMode="External"/><Relationship Id="rId181" Type="http://schemas.openxmlformats.org/officeDocument/2006/relationships/hyperlink" Target="https://ailalawyer.com/" TargetMode="External"/><Relationship Id="rId279" Type="http://schemas.openxmlformats.org/officeDocument/2006/relationships/hyperlink" Target="https://travel.state.gov/" TargetMode="External"/><Relationship Id="rId486" Type="http://schemas.openxmlformats.org/officeDocument/2006/relationships/hyperlink" Target="https://ed.gov/" TargetMode="External"/><Relationship Id="rId693" Type="http://schemas.openxmlformats.org/officeDocument/2006/relationships/hyperlink" Target="https://acma.gov.au/jammers-are-illegal-australia" TargetMode="External"/><Relationship Id="rId139" Type="http://schemas.openxmlformats.org/officeDocument/2006/relationships/hyperlink" Target="https://federalregister.gov/" TargetMode="External"/><Relationship Id="rId346" Type="http://schemas.openxmlformats.org/officeDocument/2006/relationships/hyperlink" Target="https://healthcare.gov/" TargetMode="External"/><Relationship Id="rId553" Type="http://schemas.openxmlformats.org/officeDocument/2006/relationships/hyperlink" Target="https://www.dco.uscg.mil/Our-Organization/Assistant-Commandant-for-Response-Policy-CG-5R/Office-of-Incident-Management-Preparedness-CG-5RI/US-Coast-Guard-Office-of-Search-and-Rescue-CG-SAR/Contact-USCG-SAR/quot/" TargetMode="External"/><Relationship Id="rId760" Type="http://schemas.openxmlformats.org/officeDocument/2006/relationships/hyperlink" Target="https://ircc.canada.ca/english/information/fees" TargetMode="External"/><Relationship Id="rId998" Type="http://schemas.openxmlformats.org/officeDocument/2006/relationships/hyperlink" Target="https://tenancy.govt.nz/" TargetMode="External"/><Relationship Id="rId206" Type="http://schemas.openxmlformats.org/officeDocument/2006/relationships/hyperlink" Target="https://www.building.govt.nz/getting-started/smarter-homes-guides/construction-and-materials/timber-construction" TargetMode="External"/><Relationship Id="rId413" Type="http://schemas.openxmlformats.org/officeDocument/2006/relationships/hyperlink" Target="https://eeoc.gov/" TargetMode="External"/><Relationship Id="rId858" Type="http://schemas.openxmlformats.org/officeDocument/2006/relationships/hyperlink" Target="https://kanada.diplo.de/" TargetMode="External"/><Relationship Id="rId1043" Type="http://schemas.openxmlformats.org/officeDocument/2006/relationships/hyperlink" Target="https://linz.govt.nz/" TargetMode="External"/><Relationship Id="rId620" Type="http://schemas.openxmlformats.org/officeDocument/2006/relationships/hyperlink" Target="https://immi.homeaffairs.gov.au/visas/working-in-australia/skillselect" TargetMode="External"/><Relationship Id="rId718" Type="http://schemas.openxmlformats.org/officeDocument/2006/relationships/hyperlink" Target="https://education.nsw.gov.au/" TargetMode="External"/><Relationship Id="rId925" Type="http://schemas.openxmlformats.org/officeDocument/2006/relationships/hyperlink" Target="https://auswaertiges-amt.de/" TargetMode="External"/><Relationship Id="rId1110" Type="http://schemas.openxmlformats.org/officeDocument/2006/relationships/hyperlink" Target="https://getready.govt.nz/" TargetMode="External"/><Relationship Id="rId54" Type="http://schemas.openxmlformats.org/officeDocument/2006/relationships/hyperlink" Target="https://www.arbeitsagentur.de/" TargetMode="External"/><Relationship Id="rId270" Type="http://schemas.openxmlformats.org/officeDocument/2006/relationships/hyperlink" Target="https://kff.org/" TargetMode="External"/><Relationship Id="rId130" Type="http://schemas.openxmlformats.org/officeDocument/2006/relationships/hyperlink" Target="https://irs.gov/individuals/international-taxpayers" TargetMode="External"/><Relationship Id="rId368" Type="http://schemas.openxmlformats.org/officeDocument/2006/relationships/hyperlink" Target="https://www.heart.org/en/healthy-living/healthy-eating/eat-smart/nutrition-basics/aha-diet-and-lifestyle-recommendations" TargetMode="External"/><Relationship Id="rId575" Type="http://schemas.openxmlformats.org/officeDocument/2006/relationships/hyperlink" Target="https://gesetze-im-internet.de/sgb_5" TargetMode="External"/><Relationship Id="rId782" Type="http://schemas.openxmlformats.org/officeDocument/2006/relationships/hyperlink" Target="https://www.welcomebc.ca/immigrate-to-b-c/about-the-bc-provincial-nominee-program/the-bc-provincial-nominee-program" TargetMode="External"/><Relationship Id="rId228" Type="http://schemas.openxmlformats.org/officeDocument/2006/relationships/hyperlink" Target="https://selling-guide.fanniemae.com/" TargetMode="External"/><Relationship Id="rId435" Type="http://schemas.openxmlformats.org/officeDocument/2006/relationships/hyperlink" Target="https://ftc.gov/" TargetMode="External"/><Relationship Id="rId642" Type="http://schemas.openxmlformats.org/officeDocument/2006/relationships/hyperlink" Target="https://mygov.au/" TargetMode="External"/><Relationship Id="rId1065" Type="http://schemas.openxmlformats.org/officeDocument/2006/relationships/hyperlink" Target="https://legislation.govt.nz/regulation/public/2011/0079/latest/" TargetMode="External"/><Relationship Id="rId502" Type="http://schemas.openxmlformats.org/officeDocument/2006/relationships/hyperlink" Target="https://germany.info/" TargetMode="External"/><Relationship Id="rId947" Type="http://schemas.openxmlformats.org/officeDocument/2006/relationships/image" Target="media/image9.png"/><Relationship Id="rId1132" Type="http://schemas.openxmlformats.org/officeDocument/2006/relationships/hyperlink" Target="https://uscis.gov/" TargetMode="External"/><Relationship Id="rId76" Type="http://schemas.openxmlformats.org/officeDocument/2006/relationships/hyperlink" Target="https://childcareaware.org/" TargetMode="External"/><Relationship Id="rId807" Type="http://schemas.openxmlformats.org/officeDocument/2006/relationships/hyperlink" Target="https://ircc.canada.ca/" TargetMode="External"/><Relationship Id="rId292" Type="http://schemas.openxmlformats.org/officeDocument/2006/relationships/hyperlink" Target="https://fidi.org/" TargetMode="External"/><Relationship Id="rId597" Type="http://schemas.openxmlformats.org/officeDocument/2006/relationships/hyperlink" Target="https://immi.homeaffairs.gov.au/" TargetMode="External"/><Relationship Id="rId152" Type="http://schemas.openxmlformats.org/officeDocument/2006/relationships/hyperlink" Target="https://daad.de/" TargetMode="External"/><Relationship Id="rId457" Type="http://schemas.openxmlformats.org/officeDocument/2006/relationships/hyperlink" Target="https://samhsa.gov/mental-health/988/faqs" TargetMode="External"/><Relationship Id="rId1087" Type="http://schemas.openxmlformats.org/officeDocument/2006/relationships/hyperlink" Target="https://education.govt.nz/" TargetMode="External"/><Relationship Id="rId664" Type="http://schemas.openxmlformats.org/officeDocument/2006/relationships/hyperlink" Target="https://realestate.com.au/" TargetMode="External"/><Relationship Id="rId871" Type="http://schemas.openxmlformats.org/officeDocument/2006/relationships/hyperlink" Target="https://wildlifecollisions.ca/" TargetMode="External"/><Relationship Id="rId969" Type="http://schemas.openxmlformats.org/officeDocument/2006/relationships/hyperlink" Target="https://teachingcouncil.nz/" TargetMode="External"/><Relationship Id="rId317" Type="http://schemas.openxmlformats.org/officeDocument/2006/relationships/hyperlink" Target="https://uscis.gov/i-9" TargetMode="External"/><Relationship Id="rId524" Type="http://schemas.openxmlformats.org/officeDocument/2006/relationships/hyperlink" Target="https://cde.fbi.gov/" TargetMode="External"/><Relationship Id="rId731" Type="http://schemas.openxmlformats.org/officeDocument/2006/relationships/hyperlink" Target="https://fairwork.gov.au/" TargetMode="External"/><Relationship Id="rId98" Type="http://schemas.openxmlformats.org/officeDocument/2006/relationships/hyperlink" Target="https://uscis.gov/g-1055" TargetMode="External"/><Relationship Id="rId829" Type="http://schemas.openxmlformats.org/officeDocument/2006/relationships/hyperlink" Target="https://canada.ca/en/financial-consumer-agency/services/debt.html" TargetMode="External"/><Relationship Id="rId1014" Type="http://schemas.openxmlformats.org/officeDocument/2006/relationships/hyperlink" Target="https://asb.co.nz/" TargetMode="External"/><Relationship Id="rId25" Type="http://schemas.openxmlformats.org/officeDocument/2006/relationships/hyperlink" Target="https://www.healthcare.gov/glossary/out-of-pocket-maximum-limit/" TargetMode="External"/><Relationship Id="rId174" Type="http://schemas.openxmlformats.org/officeDocument/2006/relationships/hyperlink" Target="https://uscis.gov/policy-manual/volume-6-part-b-chapter-6" TargetMode="External"/><Relationship Id="rId381" Type="http://schemas.openxmlformats.org/officeDocument/2006/relationships/hyperlink" Target="https://dol.wa.gov/" TargetMode="External"/><Relationship Id="rId241" Type="http://schemas.openxmlformats.org/officeDocument/2006/relationships/hyperlink" Target="https://www.faa.gov/uas/recreational_flyers/knowledge_test_updates" TargetMode="External"/><Relationship Id="rId479" Type="http://schemas.openxmlformats.org/officeDocument/2006/relationships/hyperlink" Target="https://www.fda.gov/industry/color-additives/fdc-red-no-3" TargetMode="External"/><Relationship Id="rId686" Type="http://schemas.openxmlformats.org/officeDocument/2006/relationships/hyperlink" Target="https://nsw.gov.au/" TargetMode="External"/><Relationship Id="rId893" Type="http://schemas.openxmlformats.org/officeDocument/2006/relationships/hyperlink" Target="https://canada.ca/" TargetMode="External"/><Relationship Id="rId339" Type="http://schemas.openxmlformats.org/officeDocument/2006/relationships/hyperlink" Target="https://wise.com/" TargetMode="External"/><Relationship Id="rId546" Type="http://schemas.openxmlformats.org/officeDocument/2006/relationships/hyperlink" Target="https://weather.gov/" TargetMode="External"/><Relationship Id="rId753" Type="http://schemas.openxmlformats.org/officeDocument/2006/relationships/hyperlink" Target="https://bmi.bund.de/" TargetMode="External"/><Relationship Id="rId101" Type="http://schemas.openxmlformats.org/officeDocument/2006/relationships/hyperlink" Target="https://travel.state.gov/" TargetMode="External"/><Relationship Id="rId406" Type="http://schemas.openxmlformats.org/officeDocument/2006/relationships/hyperlink" Target="https://careeronestop.org/JobSearch/Resumes" TargetMode="External"/><Relationship Id="rId960" Type="http://schemas.openxmlformats.org/officeDocument/2006/relationships/hyperlink" Target="https://immigration.govt.nz/new-zealand-visas/visas/visa/skilled-migrant-category-resident-visa" TargetMode="External"/><Relationship Id="rId1036" Type="http://schemas.openxmlformats.org/officeDocument/2006/relationships/hyperlink" Target="https://www.decide.org.nz/" TargetMode="External"/><Relationship Id="rId613" Type="http://schemas.openxmlformats.org/officeDocument/2006/relationships/hyperlink" Target="https://immi.homeaffairs.gov.au/" TargetMode="External"/><Relationship Id="rId820" Type="http://schemas.openxmlformats.org/officeDocument/2006/relationships/hyperlink" Target="https://taxtips.ca/" TargetMode="External"/><Relationship Id="rId918" Type="http://schemas.openxmlformats.org/officeDocument/2006/relationships/hyperlink" Target="https://rcmp.ca/en/bc/corporate-information/newcomers-guide/interactions-police" TargetMode="External"/><Relationship Id="rId1103" Type="http://schemas.openxmlformats.org/officeDocument/2006/relationships/hyperlink" Target="https://www.careers.govt.nz/job-hunting/finding-work/10-steps-to-job-hunting/" TargetMode="External"/><Relationship Id="rId1154" Type="http://schemas.openxmlformats.org/officeDocument/2006/relationships/hyperlink" Target="https://healthcare.gov" TargetMode="External"/><Relationship Id="rId1155" Type="http://schemas.openxmlformats.org/officeDocument/2006/relationships/hyperlink" Target="https://www.healthcare.gov/immigrants/lawfully-present-immigrants/" TargetMode="External"/><Relationship Id="rId1156" Type="http://schemas.openxmlformats.org/officeDocument/2006/relationships/hyperlink" Target="https://www.cms.gov/medicare/enrollment-renewal/original-part-a-b" TargetMode="External"/><Relationship Id="rId1157" Type="http://schemas.openxmlformats.org/officeDocument/2006/relationships/hyperlink" Target="https://988lifeline.org" TargetMode="External"/><Relationship Id="rId1158" Type="http://schemas.openxmlformats.org/officeDocument/2006/relationships/hyperlink" Target="https://findtreatment.gov" TargetMode="External"/><Relationship Id="rId1159" Type="http://schemas.openxmlformats.org/officeDocument/2006/relationships/hyperlink" Target="https://www.hrsa.gov/get-health-care" TargetMode="External"/><Relationship Id="rId1160" Type="http://schemas.openxmlformats.org/officeDocument/2006/relationships/hyperlink" Target="https://immi.homeaffairs.gov.au/Visa-subsite/Pages/family/820-partner-temporary.aspx" TargetMode="External"/><Relationship Id="rId1161" Type="http://schemas.openxmlformats.org/officeDocument/2006/relationships/hyperlink" Target="https://immi.homeaffairs.gov.au/form-listing/forms/1496i.pdf" TargetMode="External"/><Relationship Id="rId1162" Type="http://schemas.openxmlformats.org/officeDocument/2006/relationships/hyperlink" Target="https://immi.homeaffairs.gov.au/what-we-do/family-migration-program/visa-options/about-partner-visas" TargetMode="External"/><Relationship Id="rId1163" Type="http://schemas.openxmlformats.org/officeDocument/2006/relationships/hyperlink" Target="https://www.1800respect.org.au/" TargetMode="External"/><Relationship Id="rId1164" Type="http://schemas.openxmlformats.org/officeDocument/2006/relationships/hyperlink" Target="https://immi.homeaffairs.gov.au/what-we-do/family-migration-program/visa-options" TargetMode="External"/><Relationship Id="rId1165" Type="http://schemas.openxmlformats.org/officeDocument/2006/relationships/hyperlink" Target="https://immi.homeaffairs.gov.au/what-we-do/family-migration-program/visa-options/about-other-family-visas" TargetMode="External"/><Relationship Id="rId1166" Type="http://schemas.openxmlformats.org/officeDocument/2006/relationships/hyperlink" Target="https://immi.homeaffairs.gov.au" TargetMode="External"/><Relationship Id="rId1167" Type="http://schemas.openxmlformats.org/officeDocument/2006/relationships/hyperlink" Target="https://ato.gov.au" TargetMode="External"/><Relationship Id="rId1168" Type="http://schemas.openxmlformats.org/officeDocument/2006/relationships/hyperlink" Target="https://hamilton.govt.nz/your-city/our-citys-economy/economic-development" TargetMode="External"/><Relationship Id="rId1169" Type="http://schemas.openxmlformats.org/officeDocument/2006/relationships/hyperlink" Target="https://www.tauranga.govt.nz/council/how-the-council-works/our-direction/supporting-business-and-education" TargetMode="External"/><Relationship Id="rId1170" Type="http://schemas.openxmlformats.org/officeDocument/2006/relationships/hyperlink" Target="https://www.dunedin.govt.nz/__data/assets/pdf_file/0004/1026589/Draft-Dunedin-Future-Development-Strategy-2024-2054.pdf" TargetMode="External"/><Relationship Id="rId1171" Type="http://schemas.openxmlformats.org/officeDocument/2006/relationships/hyperlink" Target="https://www.tenancy.govt.nz/rent-bond-and-bills/bond/" TargetMode="External"/><Relationship Id="rId1172" Type="http://schemas.openxmlformats.org/officeDocument/2006/relationships/hyperlink" Target="https://www.tenancy.govt.nz/starting-a-tenancy/tenancy-agreements/required-statements-for-tenancy-agreements/" TargetMode="External"/><Relationship Id="rId1173" Type="http://schemas.openxmlformats.org/officeDocument/2006/relationships/hyperlink" Target="https://www.settled.govt.nz/before-you-bid-look-under-the-lid/" TargetMode="External"/><Relationship Id="rId1174" Type="http://schemas.openxmlformats.org/officeDocument/2006/relationships/hyperlink" Target="https://www.linz.govt.nz/guidance/overseas-investment/buying-residential-property-live" TargetMode="External"/><Relationship Id="rId1175" Type="http://schemas.openxmlformats.org/officeDocument/2006/relationships/hyperlink" Target="https://www.govt.nz/browse/history-culture-and-heritage/nz-history/maori-history/" TargetMode="External"/><Relationship Id="rId1176" Type="http://schemas.openxmlformats.org/officeDocument/2006/relationships/hyperlink" Target="https://www.linz.govt.nz/guidance/land-registration/land-registration-guide/maori-land/maori-land-faqs" TargetMode="External"/><Relationship Id="rId1177" Type="http://schemas.openxmlformats.org/officeDocument/2006/relationships/hyperlink" Target="https://reinz.co.nz" TargetMode="External"/><Relationship Id="rId1178" Type="http://schemas.openxmlformats.org/officeDocument/2006/relationships/hyperlink" Target="https://naturalhazards.govt.nz" TargetMode="External"/><Relationship Id="rId1179" Type="http://schemas.openxmlformats.org/officeDocument/2006/relationships/hyperlink" Target="https://wellington.diplo.de" TargetMode="External"/><Relationship Id="rId1180" Type="http://schemas.openxmlformats.org/officeDocument/2006/relationships/header" Target="header1.xml"/><Relationship Id="rId118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1653</Pages>
  <Words>380673</Words>
  <Characters>2169841</Characters>
  <Application>Microsoft Office Word</Application>
  <DocSecurity>0</DocSecurity>
  <Lines>18082</Lines>
  <Paragraphs>5090</Paragraphs>
  <ScaleCrop>false</ScaleCrop>
  <Company/>
  <LinksUpToDate>false</LinksUpToDate>
  <CharactersWithSpaces>2545424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Auswandern in die USA, nach Kanada, Australien oder Neuseeland?</dc:title>
  <dc:subject>REV 119 â€” Ã¼berarbeitete Kindle-Ausgabe; Manuskriptstand September 2026</dc:subject>
  <dc:creator>Kevin Drew Peters</dc:creator>
  <dc:description>REV 119 â€” Ã¼berarbeitete Kindle-Ausgabe; Manuskriptstand September 2026</dc:description>
  <cp:lastModifiedBy>Lothar Musiol</cp:lastModifiedBy>
  <cp:revision>119</cp:revision>
  <dcterms:created xsi:type="dcterms:W3CDTF">2026-10-09T04:06:00Z</dcterms:created>
  <dcterms:modified xsi:type="dcterms:W3CDTF">2026-10-09T17:51:00Z</dcterms:modified>
  <cp:category>Ratgeber</cp:category>
  <dc:language>de-DE</dc:language>
</cp:coreProperties>
</file>