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External Spinors and Polarization</w:t>
      </w:r>
    </w:p>
    <w:p>
      <w:pPr>
        <w:pStyle w:val="Subtitle"/>
        <w:jc w:val="center"/>
      </w:pPr>
      <w:r>
        <w:t>Lesson 52 of Quantum, Actually, Volume 2: A QED Course</w:t>
      </w:r>
    </w:p>
    <w:p>
      <w:pPr>
        <w:jc w:val="center"/>
      </w:pPr>
      <w:r>
        <w:t>Lothar J. Musiol</w:t>
      </w:r>
    </w:p>
    <w:p>
      <w:r>
        <w:br/>
      </w:r>
    </w:p>
    <w:p>
      <w:pPr>
        <w:jc w:val="center"/>
      </w:pPr>
      <w:r>
        <w:rPr>
          <w:b/>
          <w:sz w:val="26"/>
        </w:rPr>
        <w:t>The general master formula converting a squared, spin-summed spinor sandwich into a gamma-matrix trace, spin averaging, and the covariant photon polarization sum</w:t>
      </w:r>
    </w:p>
    <w:p>
      <w:r>
        <w:br/>
        <w:br/>
      </w:r>
    </w:p>
    <w:p>
      <w:pPr>
        <w:jc w:val="center"/>
      </w:pPr>
      <w:r>
        <w:t>First edition, 2026</w:t>
      </w:r>
    </w:p>
    <w:p>
      <w:r>
        <w:br w:type="page"/>
      </w:r>
    </w:p>
    <w:p>
      <w:pPr>
        <w:pStyle w:val="Heading2"/>
      </w:pPr>
      <w:r>
        <w:t>How to use this lesson</w:t>
      </w:r>
    </w:p>
    <w:p>
      <w:r>
        <w:t>Lesson 21 built a complete toolkit of gamma-matrix trace identities and previewed, without deriving, that they would be needed "for computing |amplitude|² summed over spins" in this lesson. Lesson 22 built the completeness relations Σu</w:t>
      </w:r>
      <w:r>
        <w:rPr>
          <w:vertAlign w:val="subscript"/>
        </w:rPr>
        <w:t>s</w:t>
      </w:r>
      <w:r>
        <w:t>ū</w:t>
      </w:r>
      <w:r>
        <w:rPr>
          <w:vertAlign w:val="subscript"/>
        </w:rPr>
        <w:t>s</w:t>
      </w:r>
      <w:r>
        <w:t>=p̸+m and Σv</w:t>
      </w:r>
      <w:r>
        <w:rPr>
          <w:vertAlign w:val="subscript"/>
        </w:rPr>
        <w:t>s</w:t>
      </w:r>
      <w:r>
        <w:t>v̄</w:t>
      </w:r>
      <w:r>
        <w:rPr>
          <w:vertAlign w:val="subscript"/>
        </w:rPr>
        <w:t>s</w:t>
      </w:r>
      <w:r>
        <w:t>=p̸−m and previewed the same thing. Neither lesson closed the loop: neither showed exactly how a squared, spin-summed amplitude becomes a trace in the first place. This lesson supplies that missing link, in general form, for any vertex structure Γ, then specializes it to the QED vertex γ</w:t>
      </w:r>
      <w:r>
        <w:rPr>
          <w:vertAlign w:val="superscript"/>
        </w:rPr>
        <w:t>μ</w:t>
      </w:r>
      <w:r>
        <w:t>,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w:t>
      </w:r>
      <w:r>
        <w:rPr>
          <w:vertAlign w:val="subscript"/>
        </w:rPr>
        <w:t>spins</w:t>
      </w:r>
      <w:r>
        <w:t>|ū(p′)Γu(p)|²=Tr[Γ(p̸+m)Γ̄(p̸′+m)] by combining this conjugation identity with the completeness relations of Lesson 22.</w:t>
      </w:r>
    </w:p>
    <w:p>
      <w:pPr>
        <w:pStyle w:val="ListBullet"/>
      </w:pPr>
      <w:r>
        <w:t>Specialize the master formula to Γ=γ</w:t>
      </w:r>
      <w:r>
        <w:rPr>
          <w:vertAlign w:val="superscript"/>
        </w:rPr>
        <w:t>μ</w:t>
      </w:r>
      <w:r>
        <w:t>, showing Γ̄=γ</w:t>
      </w:r>
      <w:r>
        <w:rPr>
          <w:vertAlign w:val="superscript"/>
        </w:rPr>
        <w:t>μ</w:t>
      </w:r>
      <w:r>
        <w:t>, and connect the result to Lesson 21's showcased trace Tr[(p̸′+m)γ</w:t>
      </w:r>
      <w:r>
        <w:rPr>
          <w:vertAlign w:val="superscript"/>
        </w:rPr>
        <w:t>μ</w:t>
      </w:r>
      <w:r>
        <w:t>(p̸+m)γ</w:t>
      </w:r>
      <w:r>
        <w:rPr>
          <w:vertAlign w:val="superscript"/>
        </w:rPr>
        <w:t>ν</w:t>
      </w:r>
      <w:r>
        <w:t>].</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and the covariant replacement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→−g</w:t>
      </w:r>
      <w:r>
        <w:rPr>
          <w:vertAlign w:val="superscript"/>
        </w:rPr>
        <w:t>μν</w:t>
      </w:r>
      <w:r>
        <w:t xml:space="preserve">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w:t>
            </w:r>
            <w:r>
              <w:rPr>
                <w:vertAlign w:val="superscript"/>
              </w:rPr>
              <w:t>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w:t>
            </w:r>
            <w:r>
              <w:rPr>
                <w:vertAlign w:val="subscript"/>
              </w:rPr>
              <w:t>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w:t>
            </w:r>
            <w:r>
              <w:rPr>
                <w:vertAlign w:val="subscript"/>
              </w:rPr>
              <w:t>initial</w:t>
            </w:r>
          </w:p>
        </w:tc>
        <w:tc>
          <w:tcPr>
            <w:tcW w:type="dxa" w:w="7632"/>
            <w:vAlign w:val="center"/>
            <w:shd w:fill="EAF2F8"/>
            <w:tcMar>
              <w:top w:w="100" w:type="dxa"/>
              <w:start w:w="100" w:type="dxa"/>
              <w:bottom w:w="100" w:type="dxa"/>
              <w:end w:w="100" w:type="dxa"/>
            </w:tcMar>
          </w:tcPr>
          <w:p>
            <w:r>
              <w:t>Spin average over an unmeasured initial fermion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Spin sums turn |ūΓu|² into traces: Σuū = p̸ + m, Σvv̄ = p̸ − m, and the photon polarization sum can be replaced by −g</w:t>
            </w:r>
            <w:r>
              <w:rPr>
                <w:vertAlign w:val="subscript"/>
              </w:rPr>
              <w:t>μν</w:t>
            </w:r>
            <w:r>
              <w:t>.</w:t>
            </w:r>
          </w:p>
          <w:p>
            <w:pPr>
              <w:spacing w:after="60"/>
            </w:pPr>
            <w:r>
              <w:t>This converts every unpolarized cross section into gamma-matrix traces (Lesson 21). High-risk topic: watch the signs.</w:t>
            </w:r>
          </w:p>
        </w:tc>
      </w:tr>
    </w:tbl>
    <w:p>
      <w:pPr>
        <w:spacing w:after="80"/>
      </w:pPr>
    </w:p>
    <w:p>
      <w:pPr>
        <w:pStyle w:val="Heading2"/>
      </w:pPr>
      <w:r>
        <w:t>1 Why sum and why average</w:t>
      </w:r>
    </w:p>
    <w:p>
      <w:pPr>
        <w:pStyle w:val="Heading3"/>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w:t>
      </w:r>
      <w:r>
        <w:rPr>
          <w:vertAlign w:val="subscript"/>
        </w:rPr>
        <w:t>(s)</w:t>
      </w:r>
      <w:r>
        <w:t>; for two unmeasured initial fermions, (1/2)(1/2)Σ</w:t>
      </w:r>
      <w:r>
        <w:rPr>
          <w:vertAlign w:val="subscript"/>
        </w:rPr>
        <w:t>s,s₂</w:t>
      </w:r>
      <w:r>
        <w:t>,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w:t>
      </w:r>
      <w:r>
        <w:rPr>
          <w:vertAlign w:val="subscript"/>
        </w:rPr>
        <w:t>s′</w:t>
      </w:r>
      <w:r>
        <w:t>(p′)Γu</w:t>
      </w:r>
      <w:r>
        <w:rPr>
          <w:vertAlign w:val="subscript"/>
        </w:rPr>
        <w:t>s</w:t>
      </w:r>
      <w:r>
        <w:t>(p)|²=[ū</w:t>
      </w:r>
      <w:r>
        <w:rPr>
          <w:vertAlign w:val="subscript"/>
        </w:rPr>
        <w:t>s′</w:t>
      </w:r>
      <w:r>
        <w:t>(p′)Γu</w:t>
      </w:r>
      <w:r>
        <w:rPr>
          <w:vertAlign w:val="subscript"/>
        </w:rPr>
        <w:t>s</w:t>
      </w:r>
      <w:r>
        <w:t>(p)][ū</w:t>
      </w:r>
      <w:r>
        <w:rPr>
          <w:vertAlign w:val="subscript"/>
        </w:rPr>
        <w:t>s</w:t>
      </w:r>
      <w:r>
        <w:t>(p)Γ̄u</w:t>
      </w:r>
      <w:r>
        <w:rPr>
          <w:vertAlign w:val="subscript"/>
        </w:rPr>
        <w:t>s′</w:t>
      </w:r>
      <w:r>
        <w:t>(p′)].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w:t>
      </w:r>
      <w:r>
        <w:rPr>
          <w:vertAlign w:val="subscript"/>
        </w:rPr>
        <w:t>s</w:t>
      </w:r>
      <w:r>
        <w:t>u</w:t>
      </w:r>
      <w:r>
        <w:rPr>
          <w:vertAlign w:val="subscript"/>
        </w:rPr>
        <w:t>s</w:t>
      </w:r>
      <w:r>
        <w:t>(p)ū</w:t>
      </w:r>
      <w:r>
        <w:rPr>
          <w:vertAlign w:val="subscript"/>
        </w:rPr>
        <w:t>s</w:t>
      </w:r>
      <w:r>
        <w:t>(p)=p̸+m and Σ</w:t>
      </w:r>
      <w:r>
        <w:rPr>
          <w:vertAlign w:val="subscript"/>
        </w:rPr>
        <w:t>s′</w:t>
      </w:r>
      <w:r>
        <w:t>u</w:t>
      </w:r>
      <w:r>
        <w:rPr>
          <w:vertAlign w:val="subscript"/>
        </w:rPr>
        <w:t>s′</w:t>
      </w:r>
      <w:r>
        <w:t>(p′)ū</w:t>
      </w:r>
      <w:r>
        <w:rPr>
          <w:vertAlign w:val="subscript"/>
        </w:rPr>
        <w:t>s′</w:t>
      </w:r>
      <w:r>
        <w:t>(p′)=p̸′+m (Lesson 22,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w:t>
      </w:r>
      <w:r>
        <w:rPr>
          <w:vertAlign w:val="subscript"/>
        </w:rPr>
        <w:t>s</w:t>
      </w:r>
      <w:r>
        <w:t>(p)ū</w:t>
      </w:r>
      <w:r>
        <w:rPr>
          <w:vertAlign w:val="subscript"/>
        </w:rPr>
        <w:t>s</w:t>
      </w:r>
      <w:r>
        <w:t>(p)=p̸+m,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w:t>
      </w:r>
      <w:r>
        <w:rPr>
          <w:vertAlign w:val="superscript"/>
        </w:rPr>
        <w:t>μ</w:t>
      </w:r>
    </w:p>
    <w:p>
      <w:r>
        <w:t>For the QED vertex, Γ=γ</w:t>
      </w:r>
      <w:r>
        <w:rPr>
          <w:vertAlign w:val="superscript"/>
        </w:rPr>
        <w:t>μ</w:t>
      </w:r>
      <w:r>
        <w:t>, and Γ̄=γ⁰(γ</w:t>
      </w:r>
      <w:r>
        <w:rPr>
          <w:vertAlign w:val="superscript"/>
        </w:rPr>
        <w:t>μ</w:t>
      </w:r>
      <w:r>
        <w:t>)†γ⁰=γ</w:t>
      </w:r>
      <w:r>
        <w:rPr>
          <w:vertAlign w:val="superscript"/>
        </w:rPr>
        <w:t>μ</w:t>
      </w:r>
      <w:r>
        <w:t>, using the gamma matrices' Hermiticity property already established in Lesson 21 (γ⁰ is Hermitian, γ</w:t>
      </w:r>
      <w:r>
        <w:rPr>
          <w:vertAlign w:val="superscript"/>
        </w:rPr>
        <w:t>i</w:t>
      </w:r>
      <w:r>
        <w:t xml:space="preserve"> is anti-Hermitian, and γ⁰(γ</w:t>
      </w:r>
      <w:r>
        <w:rPr>
          <w:vertAlign w:val="superscript"/>
        </w:rPr>
        <w:t>μ</w:t>
      </w:r>
      <w:r>
        <w:t>)†γ⁰=γ</w:t>
      </w:r>
      <w:r>
        <w:rPr>
          <w:vertAlign w:val="superscript"/>
        </w:rPr>
        <w:t>μ</w:t>
      </w:r>
      <w:r>
        <w:t xml:space="preserve"> holds uniformly for all four values of μ). So Γ̄=Γ for the vertex itself: the vertex is, in this specific sense, self-adjoint.</w:t>
      </w:r>
    </w:p>
    <w:p>
      <w:pPr>
        <w:pStyle w:val="Heading3"/>
      </w:pPr>
      <w:r>
        <w:t>3.2 The building-block trace</w:t>
      </w:r>
    </w:p>
    <w:p>
      <w:r>
        <w:t>For two possibly different vertex indices μ, ν (as arise when an amplitude squared involves two copies of the same diagram contracted with different external polarization indices),</w:t>
      </w:r>
    </w:p>
    <w:p>
      <w:pPr>
        <w:keepNext/>
        <w:spacing w:before="160" w:after="40"/>
        <w:jc w:val="center"/>
      </w:pPr>
      <w:r>
        <w:drawing>
          <wp:inline xmlns:a="http://schemas.openxmlformats.org/drawingml/2006/main" xmlns:pic="http://schemas.openxmlformats.org/drawingml/2006/picture">
            <wp:extent cx="5669280" cy="788861"/>
            <wp:docPr id="1" name="Picture 1"/>
            <wp:cNvGraphicFramePr>
              <a:graphicFrameLocks noChangeAspect="1"/>
            </wp:cNvGraphicFramePr>
            <a:graphic>
              <a:graphicData uri="http://schemas.openxmlformats.org/drawingml/2006/picture">
                <pic:pic>
                  <pic:nvPicPr>
                    <pic:cNvPr id="0" name="L52_trace.png"/>
                    <pic:cNvPicPr/>
                  </pic:nvPicPr>
                  <pic:blipFill>
                    <a:blip r:embed="rId11"/>
                    <a:stretch>
                      <a:fillRect/>
                    </a:stretch>
                  </pic:blipFill>
                  <pic:spPr>
                    <a:xfrm>
                      <a:off x="0" y="0"/>
                      <a:ext cx="5669280" cy="788861"/>
                    </a:xfrm>
                    <a:prstGeom prst="rect"/>
                  </pic:spPr>
                </pic:pic>
              </a:graphicData>
            </a:graphic>
          </wp:inline>
        </w:drawing>
      </w:r>
    </w:p>
    <w:p>
      <w:pPr>
        <w:spacing w:after="200"/>
        <w:jc w:val="center"/>
      </w:pPr>
      <w:r>
        <w:rPr>
          <w:i/>
          <w:sz w:val="19"/>
        </w:rPr>
        <w:t>Figure 52.1. How a spin sum becomes a trace: the amplitude times its conjugate, summed with Σuū = p̸ + m, closes into Tr[…].</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exactly the trace Lesson 21,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21, Section 5's result,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(the explicit expansion carried out there), state what this gives for Section 3.2's trace with p₁→p, p₂→p′ after using the cyclicity of the trace to match the ordering. Cyclicity gives Tr[γ</w:t>
      </w:r>
      <w:r>
        <w:rPr>
          <w:vertAlign w:val="superscript"/>
        </w:rPr>
        <w:t>μ</w:t>
      </w:r>
      <w:r>
        <w:t>(p̸+m)γ</w:t>
      </w:r>
      <w:r>
        <w:rPr>
          <w:vertAlign w:val="superscript"/>
        </w:rPr>
        <w:t>ν</w:t>
      </w:r>
      <w:r>
        <w:t>(p̸′+m)]=Tr[(p̸′+m)γ</w:t>
      </w:r>
      <w:r>
        <w:rPr>
          <w:vertAlign w:val="superscript"/>
        </w:rPr>
        <w:t>μ</w:t>
      </w:r>
      <w:r>
        <w:t>(p̸+m)γ</w:t>
      </w:r>
      <w:r>
        <w:rPr>
          <w:vertAlign w:val="superscript"/>
        </w:rPr>
        <w:t>ν</w:t>
      </w:r>
      <w:r>
        <w:t>], matching Lesson 21's pattern with p₁→p′, p₂→p, so the result is 4[p′</w:t>
      </w:r>
      <w:r>
        <w:rPr>
          <w:vertAlign w:val="superscript"/>
        </w:rPr>
        <w:t>μ</w:t>
      </w:r>
      <w:r>
        <w:t>p</w:t>
      </w:r>
      <w:r>
        <w:rPr>
          <w:vertAlign w:val="superscript"/>
        </w:rPr>
        <w:t>ν</w:t>
      </w:r>
      <w:r>
        <w:t>−(p′·p−m²)g</w:t>
      </w:r>
      <w:r>
        <w:rPr>
          <w:vertAlign w:val="superscript"/>
        </w:rPr>
        <w:t>μν</w:t>
      </w:r>
      <w:r>
        <w:t>+p′</w:t>
      </w:r>
      <w:r>
        <w:rPr>
          <w:vertAlign w:val="superscript"/>
        </w:rPr>
        <w:t>ν</w:t>
      </w:r>
      <w:r>
        <w:t>p</w:t>
      </w:r>
      <w:r>
        <w:rPr>
          <w:vertAlign w:val="superscript"/>
        </w:rPr>
        <w:t>μ</w:t>
      </w:r>
      <w:r>
        <w:t>],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w:t>
      </w:r>
      <w:r>
        <w:rPr>
          <w:vertAlign w:val="subscript"/>
        </w:rPr>
        <w:t>s,s′</w:t>
      </w:r>
      <w:r>
        <w:t>|ℳ|², directly using Section 2.2's master formula for the sum and Section 1.2's factor of 1/2 for the average, giving (1/2)Tr[Γ(p̸+m)Γ̄(p̸′+m)] for the vertex piece of a larger calculation.</w:t>
      </w:r>
    </w:p>
    <w:p>
      <w:pPr>
        <w:pStyle w:val="Heading3"/>
      </w:pPr>
      <w:r>
        <w:t>4.2 Multiple vertices</w:t>
      </w:r>
    </w:p>
    <w:p>
      <w:r>
        <w:t>For a diagram with more than one vertex (such as Compton scattering, Lesson 50), the same master formula applies to the complete amplitude ℳ (built from multiple vertex factors and a propagator,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w:t>
      </w:r>
      <w:r>
        <w:rPr>
          <w:vertAlign w:val="superscript"/>
        </w:rPr>
        <w:t>α</w:t>
      </w:r>
      <w:r>
        <w:t>[i(q̸+m)/(q²−m²+iε)]γ</w:t>
      </w:r>
      <w:r>
        <w:rPr>
          <w:vertAlign w:val="superscript"/>
        </w:rPr>
        <w:t>β</w:t>
      </w:r>
      <w:r>
        <w:t xml:space="preserve"> (up to overall constants), so the master formula applies directly.</w:t>
      </w:r>
    </w:p>
    <w:p>
      <w:pPr>
        <w:pStyle w:val="Heading2"/>
      </w:pPr>
      <w:r>
        <w:t>5 The photon polarization sum</w:t>
      </w:r>
    </w:p>
    <w:p>
      <w:pPr>
        <w:pStyle w:val="Heading3"/>
      </w:pPr>
      <w:r>
        <w:t>5.1 The honest sum</w:t>
      </w:r>
    </w:p>
    <w:p>
      <w:r>
        <w:t>Lesson 38 fixed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48, Section 4.2, computed the difference between the two explicitly, in the spatial-spatial block, as ik̂</w:t>
      </w:r>
      <w:r>
        <w:rPr>
          <w:vertAlign w:val="superscript"/>
        </w:rPr>
        <w:t>i</w:t>
      </w:r>
      <w:r>
        <w:t>k̂</w:t>
      </w:r>
      <w:r>
        <w:rPr>
          <w:vertAlign w:val="superscript"/>
        </w:rPr>
        <w:t>j</w:t>
      </w:r>
      <w:r>
        <w:t xml:space="preserve">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r>
        <w:t>This course has not yet proven that the replacement of Section 5.2 leaves every physical cross section unchanged; Lesson 48 gave a first, partial argument (current conservation kills terms proportional to k</w:t>
      </w:r>
      <w:r>
        <w:rPr>
          <w:vertAlign w:val="superscript"/>
        </w:rPr>
        <w:t>μ</w:t>
      </w:r>
      <w:r>
        <w:t>),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w:t>
      </w:r>
      <w:r>
        <w:rPr>
          <w:vertAlign w:val="superscript"/>
        </w:rPr>
        <w:t>μν</w:t>
      </w:r>
      <w:r>
        <w:t>, an object differing from the true polarization sum by k-dependent terms, to reproduce the correct, physical answer; the fact that it does is a nontrivial, checkable consequence of QED's gauge symmetry, not an algebraic identity, which is exactly why Lesson 72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54 onward</w:t>
            </w:r>
          </w:p>
        </w:tc>
      </w:tr>
      <w:tr>
        <w:tc>
          <w:tcPr>
            <w:tcW w:type="dxa" w:w="3264"/>
            <w:vAlign w:val="center"/>
            <w:shd w:fill="EAF2F8"/>
            <w:tcMar>
              <w:top w:w="100" w:type="dxa"/>
              <w:start w:w="100" w:type="dxa"/>
              <w:bottom w:w="100" w:type="dxa"/>
              <w:end w:w="100" w:type="dxa"/>
            </w:tcMar>
          </w:tcPr>
          <w:p>
            <w:r>
              <w:t>Γ̄=γ</w:t>
            </w:r>
            <w:r>
              <w:rPr>
                <w:vertAlign w:val="superscript"/>
              </w:rPr>
              <w:t>μ</w:t>
            </w:r>
            <w:r>
              <w:t xml:space="preserve"> for the QED vertex</w:t>
            </w:r>
          </w:p>
        </w:tc>
        <w:tc>
          <w:tcPr>
            <w:tcW w:type="dxa" w:w="6528"/>
            <w:vAlign w:val="center"/>
            <w:shd w:fill="EAF2F8"/>
            <w:tcMar>
              <w:top w:w="100" w:type="dxa"/>
              <w:start w:w="100" w:type="dxa"/>
              <w:bottom w:w="100" w:type="dxa"/>
              <w:end w:w="100" w:type="dxa"/>
            </w:tcMar>
          </w:tcPr>
          <w:p>
            <w:r>
              <w:t>Confirms the vertex trace matches Lesson 21's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w:t>
            </w:r>
            <w:r>
              <w:rPr>
                <w:vertAlign w:val="superscript"/>
              </w:rPr>
              <w:t>μ</w:t>
            </w:r>
            <w:r>
              <w:t>ε</w:t>
            </w:r>
            <w:r>
              <w:rPr>
                <w:vertAlign w:val="superscript"/>
              </w:rPr>
              <w:t>ν</w:t>
            </w:r>
            <w:r>
              <w:t>→−g</w:t>
            </w:r>
            <w:r>
              <w:rPr>
                <w:vertAlign w:val="superscript"/>
              </w:rPr>
              <w:t>μν</w:t>
            </w:r>
          </w:p>
        </w:tc>
        <w:tc>
          <w:tcPr>
            <w:tcW w:type="dxa" w:w="6528"/>
            <w:vAlign w:val="center"/>
            <w:shd w:fill="EAF2F8"/>
            <w:tcMar>
              <w:top w:w="100" w:type="dxa"/>
              <w:start w:w="100" w:type="dxa"/>
              <w:bottom w:w="100" w:type="dxa"/>
              <w:end w:w="100" w:type="dxa"/>
            </w:tcMar>
          </w:tcPr>
          <w:p>
            <w:r>
              <w:t>Used for every external photon polarization sum from Lesson 54 onward</w:t>
            </w:r>
          </w:p>
        </w:tc>
      </w:tr>
      <w:tr>
        <w:tc>
          <w:tcPr>
            <w:tcW w:type="dxa" w:w="3264"/>
            <w:vAlign w:val="center"/>
            <w:tcMar>
              <w:top w:w="100" w:type="dxa"/>
              <w:start w:w="100" w:type="dxa"/>
              <w:bottom w:w="100" w:type="dxa"/>
              <w:end w:w="100" w:type="dxa"/>
            </w:tcMar>
          </w:tcPr>
          <w:p>
            <w:r>
              <w:t>Provisional justification, completed in Lesson 72</w:t>
            </w:r>
          </w:p>
        </w:tc>
        <w:tc>
          <w:tcPr>
            <w:tcW w:type="dxa" w:w="6528"/>
            <w:vAlign w:val="center"/>
            <w:tcMar>
              <w:top w:w="100" w:type="dxa"/>
              <w:start w:w="100" w:type="dxa"/>
              <w:bottom w:w="100" w:type="dxa"/>
              <w:end w:w="100" w:type="dxa"/>
            </w:tcMar>
          </w:tcPr>
          <w:p>
            <w:r>
              <w:t>Flags exactly what remains an open, honestly-stated gap until then</w:t>
            </w:r>
          </w:p>
        </w:tc>
      </w:tr>
    </w:tbl>
    <w:p>
      <w:r>
        <w:t>Lesson 53 now develops the kinematic language (Mandelstam variables) needed to express the traces of this lesson in terms of physical scattering angles and energies, and Lesson 54 puts every piece together for electron-muon scattering.</w:t>
      </w:r>
    </w:p>
    <w:p>
      <w:pPr>
        <w:pStyle w:val="Heading2"/>
      </w:pPr>
      <w:r>
        <w:t>7 Summary</w:t>
      </w:r>
    </w:p>
    <w:p>
      <w:pPr>
        <w:pStyle w:val="ListNumber"/>
        <w:numPr>
          <w:ilvl w:val="0"/>
          <w:numId w:val="10"/>
        </w:numPr>
      </w:pPr>
      <w:r>
        <w:t>An unpolarized experiment sums |ℳ|² over unmeasured final spins and averages over unmeasured initial spins, with a factor of 1/2 per unmeasured initial fermion.</w:t>
      </w:r>
    </w:p>
    <w:p>
      <w:pPr>
        <w:pStyle w:val="ListNumber"/>
        <w:numPr>
          <w:ilvl w:val="0"/>
          <w:numId w:val="10"/>
        </w:numPr>
      </w:pPr>
      <w:r>
        <w:t>Conjugating a spinor sandwich gives [ū(p′)Γu(p)]*=ū(p)Γ̄u(p′), with Γ̄=γ⁰Γ†γ⁰.</w:t>
      </w:r>
    </w:p>
    <w:p>
      <w:pPr>
        <w:pStyle w:val="ListNumber"/>
        <w:numPr>
          <w:ilvl w:val="0"/>
          <w:numId w:val="10"/>
        </w:numPr>
      </w:pPr>
      <w:r>
        <w:t>Summing over both spins using the completeness relations of Lesson 22 gives the master formula Σ|ū(p′)Γu(p)|²=Tr[Γ(p̸+m)Γ̄(p̸′+m)].</w:t>
      </w:r>
    </w:p>
    <w:p>
      <w:pPr>
        <w:pStyle w:val="ListNumber"/>
        <w:numPr>
          <w:ilvl w:val="0"/>
          <w:numId w:val="10"/>
        </w:numPr>
      </w:pPr>
      <w:r>
        <w:t>For the QED vertex, Γ=γ</w:t>
      </w:r>
      <w:r>
        <w:rPr>
          <w:vertAlign w:val="superscript"/>
        </w:rPr>
        <w:t>μ</w:t>
      </w:r>
      <w:r>
        <w:t>, Γ̄=γ</w:t>
      </w:r>
      <w:r>
        <w:rPr>
          <w:vertAlign w:val="superscript"/>
        </w:rPr>
        <w:t>μ</w:t>
      </w:r>
      <w:r>
        <w:t>, and the resulting trace matches Lesson 21's already-showcased building block exactly.</w:t>
      </w:r>
    </w:p>
    <w:p>
      <w:pPr>
        <w:pStyle w:val="ListNumber"/>
        <w:numPr>
          <w:ilvl w:val="0"/>
          <w:numId w:val="10"/>
        </w:numPr>
      </w:pPr>
      <w:r>
        <w:t>The same master formula applies unchanged to a full, multi-vertex amplitude, with Γ standing for whatever combination of matrices the complete diagram produces.</w:t>
      </w:r>
    </w:p>
    <w:p>
      <w:pPr>
        <w:pStyle w:val="ListNumber"/>
        <w:numPr>
          <w:ilvl w:val="0"/>
          <w:numId w:val="10"/>
        </w:numPr>
      </w:pPr>
      <w:r>
        <w:t>The honest photon polarization sum is Σε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in practice this course uses the covariant replacement Σε</w:t>
      </w:r>
      <w:r>
        <w:rPr>
          <w:vertAlign w:val="superscript"/>
        </w:rPr>
        <w:t>μ</w:t>
      </w:r>
      <w:r>
        <w:t>ε</w:t>
      </w:r>
      <w:r>
        <w:rPr>
          <w:vertAlign w:val="superscript"/>
        </w:rPr>
        <w:t>ν</w:t>
      </w:r>
      <w:r>
        <w:t>→−g</w:t>
      </w:r>
      <w:r>
        <w:rPr>
          <w:vertAlign w:val="superscript"/>
        </w:rPr>
        <w:t>μν</w:t>
      </w:r>
      <w:r>
        <w:t>, justified only provisionally until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Γ̄=γ</w:t>
            </w:r>
            <w:r>
              <w:rPr>
                <w:vertAlign w:val="superscript"/>
              </w:rPr>
              <w:t>μ</w:t>
            </w:r>
            <w:r>
              <w:t xml:space="preserve"> for Γ=γ</w:t>
            </w:r>
            <w:r>
              <w:rPr>
                <w:vertAlign w:val="superscript"/>
              </w:rPr>
              <w:t>μ</w:t>
            </w:r>
            <w:r>
              <w:t xml:space="preserve"> using γ⁰(γ</w:t>
            </w:r>
            <w:r>
              <w:rPr>
                <w:vertAlign w:val="superscript"/>
              </w:rPr>
              <w:t>μ</w:t>
            </w:r>
            <w:r>
              <w:t>)†γ⁰=γ</w:t>
            </w:r>
            <w:r>
              <w:rPr>
                <w:vertAlign w:val="superscript"/>
              </w:rPr>
              <w:t>μ</w:t>
            </w:r>
            <w:r>
              <w:t>,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State Lesson 21, Section 5's trace Tr[(p̸₁+m)γ</w:t>
            </w:r>
            <w:r>
              <w:rPr>
                <w:vertAlign w:val="superscript"/>
              </w:rPr>
              <w:t>μ</w:t>
            </w:r>
            <w:r>
              <w:t>(p̸₂+m)γ</w:t>
            </w:r>
            <w:r>
              <w:rPr>
                <w:vertAlign w:val="superscript"/>
              </w:rPr>
              <w:t>ν</w:t>
            </w:r>
            <w:r>
              <w:t>] and use trace cyclicity to match it to Section 3.2's Tr[γ</w:t>
            </w:r>
            <w:r>
              <w:rPr>
                <w:vertAlign w:val="superscript"/>
              </w:rPr>
              <w:t>μ</w:t>
            </w:r>
            <w:r>
              <w:t>(p̸+m)γ</w:t>
            </w:r>
            <w:r>
              <w:rPr>
                <w:vertAlign w:val="superscript"/>
              </w:rPr>
              <w:t>ν</w:t>
            </w:r>
            <w:r>
              <w:t>(p̸′+m)].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Worked example 3's explicit expansion, evaluate Section 3.2's trace for the specific case μ=ν (contracting the two vertex indices together, using g</w:t>
            </w:r>
            <w:r>
              <w:rPr>
                <w:vertAlign w:val="subscript"/>
              </w:rPr>
              <w:t>μμ</w:t>
            </w:r>
            <w:r>
              <w:t>=4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Worked example 4's argument shows the master formula applies to Compton scattering's full two-vertex amplitude (Lesson 50)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Restate the honest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from Lesson 38,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the covariant replacement Σε</w:t>
            </w:r>
            <w:r>
              <w:rPr>
                <w:vertAlign w:val="superscript"/>
              </w:rPr>
              <w:t>μ</w:t>
            </w:r>
            <w:r>
              <w:t>ε</w:t>
            </w:r>
            <w:r>
              <w:rPr>
                <w:vertAlign w:val="superscript"/>
              </w:rPr>
              <w:t>ν</w:t>
            </w:r>
            <w:r>
              <w:t>→−g</w:t>
            </w:r>
            <w:r>
              <w:rPr>
                <w:vertAlign w:val="superscript"/>
              </w:rPr>
              <w:t>μν</w:t>
            </w:r>
            <w:r>
              <w:t>, and explain, citing Lesson 48,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why a term in an amplitude proportional to k</w:t>
            </w:r>
            <w:r>
              <w:rPr>
                <w:vertAlign w:val="superscript"/>
              </w:rPr>
              <w:t>μ</w:t>
            </w:r>
            <w:r>
              <w:t xml:space="preserve">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w:t>
      </w:r>
      <w:r>
        <w:rPr>
          <w:vertAlign w:val="subscript"/>
        </w:rPr>
        <w:t>s₁,s₂</w:t>
      </w:r>
      <w:r>
        <w:t>=(1/4)Σ</w:t>
      </w:r>
      <w:r>
        <w:rPr>
          <w:vertAlign w:val="subscript"/>
        </w:rPr>
        <w:t>s₁,s₂</w:t>
      </w:r>
      <w:r>
        <w:t>,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r>
        <w:rPr>
          <w:b/>
        </w:rPr>
        <w:t>4.</w:t>
      </w:r>
      <w:r>
        <w:t xml:space="preserve"> </w:t>
      </w:r>
      <w:r>
        <w:t>Γ̄=γ⁰(γ</w:t>
      </w:r>
      <w:r>
        <w:rPr>
          <w:vertAlign w:val="superscript"/>
        </w:rPr>
        <w:t>μ</w:t>
      </w:r>
      <w:r>
        <w:t>)†γ⁰. Lesson 21 established γ⁰(γ</w:t>
      </w:r>
      <w:r>
        <w:rPr>
          <w:vertAlign w:val="superscript"/>
        </w:rPr>
        <w:t>μ</w:t>
      </w:r>
      <w:r>
        <w:t>)†γ⁰=γ</w:t>
      </w:r>
      <w:r>
        <w:rPr>
          <w:vertAlign w:val="superscript"/>
        </w:rPr>
        <w:t>μ</w:t>
      </w:r>
      <w:r>
        <w:t xml:space="preserve"> for all four values of μ (γ⁰ Hermitian, each γ</w:t>
      </w:r>
      <w:r>
        <w:rPr>
          <w:vertAlign w:val="superscript"/>
        </w:rPr>
        <w:t>i</w:t>
      </w:r>
      <w:r>
        <w:t xml:space="preserve"> anti-Hermitian, and the sandwich by γ⁰ converting the anti-Hermiticity into the same relation uniformly), so Γ̄=γ</w:t>
      </w:r>
      <w:r>
        <w:rPr>
          <w:vertAlign w:val="superscript"/>
        </w:rPr>
        <w:t>μ</w:t>
      </w:r>
      <w:r>
        <w:t>=Γ.</w:t>
      </w:r>
    </w:p>
    <w:p>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w:t>
      </w:r>
      <w:r>
        <w:rPr>
          <w:vertAlign w:val="subscript"/>
        </w:rPr>
        <w:t>s′</w:t>
      </w:r>
      <w:r>
        <w:t>(p′)Γu</w:t>
      </w:r>
      <w:r>
        <w:rPr>
          <w:vertAlign w:val="subscript"/>
        </w:rPr>
        <w:t>s</w:t>
      </w:r>
      <w:r>
        <w:t>(p)=ū</w:t>
      </w:r>
      <w:r>
        <w:rPr>
          <w:vertAlign w:val="subscript"/>
        </w:rPr>
        <w:t>s′</w:t>
      </w:r>
      <w:r>
        <w:rPr>
          <w:vertAlign w:val="subscript"/>
        </w:rPr>
        <w:t>a</w:t>
      </w:r>
      <w:r>
        <w:t>(p′)Γ</w:t>
      </w:r>
      <w:r>
        <w:rPr>
          <w:vertAlign w:val="subscript"/>
        </w:rPr>
        <w:t>a</w:t>
      </w:r>
      <w:r>
        <w:t>b u</w:t>
      </w:r>
      <w:r>
        <w:rPr>
          <w:vertAlign w:val="subscript"/>
        </w:rPr>
        <w:t>s</w:t>
      </w:r>
      <w:r>
        <w:rPr>
          <w:vertAlign w:val="subscript"/>
        </w:rPr>
        <w:t>b</w:t>
      </w:r>
      <w:r>
        <w:t>(p) and ū</w:t>
      </w:r>
      <w:r>
        <w:rPr>
          <w:vertAlign w:val="subscript"/>
        </w:rPr>
        <w:t>s</w:t>
      </w:r>
      <w:r>
        <w:t>(p)Γ̄u</w:t>
      </w:r>
      <w:r>
        <w:rPr>
          <w:vertAlign w:val="subscript"/>
        </w:rPr>
        <w:t>s′</w:t>
      </w:r>
      <w:r>
        <w:t>(p′)=ū</w:t>
      </w:r>
      <w:r>
        <w:rPr>
          <w:vertAlign w:val="subscript"/>
        </w:rPr>
        <w:t>s</w:t>
      </w:r>
      <w:r>
        <w:rPr>
          <w:vertAlign w:val="subscript"/>
        </w:rPr>
        <w:t>c</w:t>
      </w:r>
      <w:r>
        <w:t>(p)Γ̄</w:t>
      </w:r>
      <w:r>
        <w:rPr>
          <w:vertAlign w:val="subscript"/>
        </w:rPr>
        <w:t>c</w:t>
      </w:r>
      <w:r>
        <w:t>d u</w:t>
      </w:r>
      <w:r>
        <w:rPr>
          <w:vertAlign w:val="subscript"/>
        </w:rPr>
        <w:t>s′</w:t>
      </w:r>
      <w:r>
        <w:rPr>
          <w:vertAlign w:val="subscript"/>
        </w:rPr>
        <w:t>d</w:t>
      </w:r>
      <w:r>
        <w:t>(p′) (spinor indices a,b,c,d), the product summed over s and s′ is Σ</w:t>
      </w:r>
      <w:r>
        <w:rPr>
          <w:vertAlign w:val="subscript"/>
        </w:rPr>
        <w:t>s,s′</w:t>
      </w:r>
      <w:r>
        <w:t xml:space="preserve"> ū</w:t>
      </w:r>
      <w:r>
        <w:rPr>
          <w:vertAlign w:val="subscript"/>
        </w:rPr>
        <w:t>s′</w:t>
      </w:r>
      <w:r>
        <w:rPr>
          <w:vertAlign w:val="subscript"/>
        </w:rPr>
        <w:t>a</w:t>
      </w:r>
      <w:r>
        <w:t>(p′)Γ</w:t>
      </w:r>
      <w:r>
        <w:rPr>
          <w:vertAlign w:val="subscript"/>
        </w:rPr>
        <w:t>a</w:t>
      </w:r>
      <w:r>
        <w:t>b u</w:t>
      </w:r>
      <w:r>
        <w:rPr>
          <w:vertAlign w:val="subscript"/>
        </w:rPr>
        <w:t>s</w:t>
      </w:r>
      <w:r>
        <w:rPr>
          <w:vertAlign w:val="subscript"/>
        </w:rPr>
        <w:t>b</w:t>
      </w:r>
      <w:r>
        <w:t>(p) ū</w:t>
      </w:r>
      <w:r>
        <w:rPr>
          <w:vertAlign w:val="subscript"/>
        </w:rPr>
        <w:t>s</w:t>
      </w:r>
      <w:r>
        <w:rPr>
          <w:vertAlign w:val="subscript"/>
        </w:rPr>
        <w:t>c</w:t>
      </w:r>
      <w:r>
        <w:t>(p) Γ̄</w:t>
      </w:r>
      <w:r>
        <w:rPr>
          <w:vertAlign w:val="subscript"/>
        </w:rPr>
        <w:t>c</w:t>
      </w:r>
      <w:r>
        <w:t>d u</w:t>
      </w:r>
      <w:r>
        <w:rPr>
          <w:vertAlign w:val="subscript"/>
        </w:rPr>
        <w:t>s′</w:t>
      </w:r>
      <w:r>
        <w:rPr>
          <w:vertAlign w:val="subscript"/>
        </w:rPr>
        <w:t>d</w:t>
      </w:r>
      <w:r>
        <w:t>(p′) = Γ</w:t>
      </w:r>
      <w:r>
        <w:rPr>
          <w:vertAlign w:val="subscript"/>
        </w:rPr>
        <w:t>a</w:t>
      </w:r>
      <w:r>
        <w:t>b Γ̄</w:t>
      </w:r>
      <w:r>
        <w:rPr>
          <w:vertAlign w:val="subscript"/>
        </w:rPr>
        <w:t>c</w:t>
      </w:r>
      <w:r>
        <w:t>d [Σ</w:t>
      </w:r>
      <w:r>
        <w:rPr>
          <w:vertAlign w:val="subscript"/>
        </w:rPr>
        <w:t>s</w:t>
      </w:r>
      <w:r>
        <w:t xml:space="preserve"> u</w:t>
      </w:r>
      <w:r>
        <w:rPr>
          <w:vertAlign w:val="subscript"/>
        </w:rPr>
        <w:t>s</w:t>
      </w:r>
      <w:r>
        <w:rPr>
          <w:vertAlign w:val="subscript"/>
        </w:rPr>
        <w:t>b</w:t>
      </w:r>
      <w:r>
        <w:t>(p)ū</w:t>
      </w:r>
      <w:r>
        <w:rPr>
          <w:vertAlign w:val="subscript"/>
        </w:rPr>
        <w:t>s</w:t>
      </w:r>
      <w:r>
        <w:rPr>
          <w:vertAlign w:val="subscript"/>
        </w:rPr>
        <w:t>c</w:t>
      </w:r>
      <w:r>
        <w:t>(p)][Σ</w:t>
      </w:r>
      <w:r>
        <w:rPr>
          <w:vertAlign w:val="subscript"/>
        </w:rPr>
        <w:t>s′</w:t>
      </w:r>
      <w:r>
        <w:t>u</w:t>
      </w:r>
      <w:r>
        <w:rPr>
          <w:vertAlign w:val="subscript"/>
        </w:rPr>
        <w:t>s′</w:t>
      </w:r>
      <w:r>
        <w:rPr>
          <w:vertAlign w:val="subscript"/>
        </w:rPr>
        <w:t>d</w:t>
      </w:r>
      <w:r>
        <w:t>(p′)ū</w:t>
      </w:r>
      <w:r>
        <w:rPr>
          <w:vertAlign w:val="subscript"/>
        </w:rPr>
        <w:t>s′</w:t>
      </w:r>
      <w:r>
        <w:rPr>
          <w:vertAlign w:val="subscript"/>
        </w:rPr>
        <w:t>a</w:t>
      </w:r>
      <w:r>
        <w:t>(p′)] = Γ</w:t>
      </w:r>
      <w:r>
        <w:rPr>
          <w:vertAlign w:val="subscript"/>
        </w:rPr>
        <w:t>a</w:t>
      </w:r>
      <w:r>
        <w:t>b Γ̄</w:t>
      </w:r>
      <w:r>
        <w:rPr>
          <w:vertAlign w:val="subscript"/>
        </w:rPr>
        <w:t>c</w:t>
      </w:r>
      <w:r>
        <w:t>d (p̸+m)</w:t>
      </w:r>
      <w:r>
        <w:rPr>
          <w:vertAlign w:val="subscript"/>
        </w:rPr>
        <w:t>b</w:t>
      </w:r>
      <w:r>
        <w:t>c (p̸′+m)</w:t>
      </w:r>
      <w:r>
        <w:rPr>
          <w:vertAlign w:val="subscript"/>
        </w:rPr>
        <w:t>d</w:t>
      </w:r>
      <w:r>
        <w:t>a, using the completeness relations to replace each spin sum by a single matrix.</w:t>
      </w:r>
    </w:p>
    <w:p>
      <w:r>
        <w:rPr>
          <w:b/>
        </w:rPr>
        <w:t>7.</w:t>
      </w:r>
      <w:r>
        <w:t xml:space="preserve"> </w:t>
      </w:r>
      <w:r>
        <w:t>The final expression Γ</w:t>
      </w:r>
      <w:r>
        <w:rPr>
          <w:vertAlign w:val="subscript"/>
        </w:rPr>
        <w:t>a</w:t>
      </w:r>
      <w:r>
        <w:t>b(p̸+m)</w:t>
      </w:r>
      <w:r>
        <w:rPr>
          <w:vertAlign w:val="subscript"/>
        </w:rPr>
        <w:t>b</w:t>
      </w:r>
      <w:r>
        <w:t>cΓ̄</w:t>
      </w:r>
      <w:r>
        <w:rPr>
          <w:vertAlign w:val="subscript"/>
        </w:rPr>
        <w:t>c</w:t>
      </w:r>
      <w:r>
        <w:t>d(p̸′+m)</w:t>
      </w:r>
      <w:r>
        <w:rPr>
          <w:vertAlign w:val="subscript"/>
        </w:rPr>
        <w:t>d</w:t>
      </w:r>
      <w:r>
        <w:t>a has its last index, d, matching the first index of the entire chain, a, exactly the closure condition that defines a trace (Tr[M]=M</w:t>
      </w:r>
      <w:r>
        <w:rPr>
          <w:vertAlign w:val="subscript"/>
        </w:rPr>
        <w:t>a</w:t>
      </w:r>
      <w:r>
        <w:t>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21 gives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Using cyclicity, Tr[γ</w:t>
      </w:r>
      <w:r>
        <w:rPr>
          <w:vertAlign w:val="superscript"/>
        </w:rPr>
        <w:t>μ</w:t>
      </w:r>
      <w:r>
        <w:t>(p̸+m)γ</w:t>
      </w:r>
      <w:r>
        <w:rPr>
          <w:vertAlign w:val="superscript"/>
        </w:rPr>
        <w:t>ν</w:t>
      </w:r>
      <w:r>
        <w:t>(p̸′+m)]=Tr[(p̸′+m)γ</w:t>
      </w:r>
      <w:r>
        <w:rPr>
          <w:vertAlign w:val="superscript"/>
        </w:rPr>
        <w:t>μ</w:t>
      </w:r>
      <w:r>
        <w:t>(p̸+m)γ</w:t>
      </w:r>
      <w:r>
        <w:rPr>
          <w:vertAlign w:val="superscript"/>
        </w:rPr>
        <w:t>ν</w:t>
      </w:r>
      <w:r>
        <w:t>] (cycling the last factor to the front), matching Lesson 21's pattern with p₁→p′, p₂→p.</w:t>
      </w:r>
    </w:p>
    <w:p>
      <w:r>
        <w:rPr>
          <w:b/>
        </w:rPr>
        <w:t>9.</w:t>
      </w:r>
      <w:r>
        <w:t xml:space="preserve"> </w:t>
      </w:r>
      <w:r>
        <w:t>Setting ν=μ in Worked example 3's result and summing over μ (using g</w:t>
      </w:r>
      <w:r>
        <w:rPr>
          <w:vertAlign w:val="superscript"/>
        </w:rPr>
        <w:t>μ</w:t>
      </w:r>
      <w:r>
        <w:rPr>
          <w:vertAlign w:val="subscript"/>
        </w:rPr>
        <w:t>μ</w:t>
      </w:r>
      <w:r>
        <w:t>=4, Lesson 4/20's trace of the metric with itself): 4[p′</w:t>
      </w:r>
      <w:r>
        <w:rPr>
          <w:vertAlign w:val="superscript"/>
        </w:rPr>
        <w:t>μ</w:t>
      </w:r>
      <w:r>
        <w:t>p</w:t>
      </w:r>
      <w:r>
        <w:rPr>
          <w:vertAlign w:val="subscript"/>
        </w:rPr>
        <w:t>μ</w:t>
      </w:r>
      <w:r>
        <w:t>−(p′·p−m²)g</w:t>
      </w:r>
      <w:r>
        <w:rPr>
          <w:vertAlign w:val="superscript"/>
        </w:rPr>
        <w:t>μ</w:t>
      </w:r>
      <w:r>
        <w:rPr>
          <w:vertAlign w:val="subscript"/>
        </w:rPr>
        <w:t>μ</w:t>
      </w:r>
      <w:r>
        <w:t>+p′</w:t>
      </w:r>
      <w:r>
        <w:rPr>
          <w:vertAlign w:val="superscript"/>
        </w:rPr>
        <w:t>μ</w:t>
      </w:r>
      <w:r>
        <w:t>p</w:t>
      </w:r>
      <w:r>
        <w:rPr>
          <w:vertAlign w:val="subscript"/>
        </w:rPr>
        <w:t>μ</w:t>
      </w:r>
      <w:r>
        <w:t>]=4[p′·p−4(p′·p−m²)+p′·p]=4[2p′·p−4p′·p+4m²]=4[4m²−2p′·p]=16m²−8p′·p,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50's Compton amplitude, iℳ=(ieγ</w:t>
      </w:r>
      <w:r>
        <w:rPr>
          <w:vertAlign w:val="superscript"/>
        </w:rPr>
        <w:t>α</w:t>
      </w:r>
      <w:r>
        <w:t>)[propagator]γ</w:t>
      </w:r>
      <w:r>
        <w:rPr>
          <w:vertAlign w:val="superscript"/>
        </w:rPr>
        <w:t>β</w:t>
      </w:r>
      <w:r>
        <w:t>)u(p) sandwiched with ū(p′), is already exactly of this form once the propagator's explicit matrix structure is substituted in, so no new derivation is needed to apply the master formula to it.</w:t>
      </w:r>
    </w:p>
    <w:p>
      <w:r>
        <w:rPr>
          <w:b/>
        </w:rPr>
        <w:t>11.</w:t>
      </w:r>
      <w:r>
        <w:t xml:space="preserve"> </w:t>
      </w:r>
      <w:r>
        <w:t>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(Lesson 38); Lesson 48 was the first to use it in building a propagator, specifically the Coulomb-gauge photon propagator D</w:t>
      </w:r>
      <w:r>
        <w:rPr>
          <w:vertAlign w:val="subscript"/>
        </w:rPr>
        <w:t>F</w:t>
      </w:r>
      <w:r>
        <w:rPr>
          <w:vertAlign w:val="superscript"/>
        </w:rPr>
        <w:t>ij</w:t>
      </w:r>
      <w:r>
        <w:t>(k) of Lesson 48, Section 3.1.</w:t>
      </w:r>
    </w:p>
    <w:p>
      <w:r>
        <w:rPr>
          <w:b/>
        </w:rPr>
        <w:t>12.</w:t>
      </w:r>
      <w:r>
        <w:t xml:space="preserve"> </w:t>
      </w:r>
      <w:r>
        <w:t>Σε</w:t>
      </w:r>
      <w:r>
        <w:rPr>
          <w:vertAlign w:val="superscript"/>
        </w:rPr>
        <w:t>μ</w:t>
      </w:r>
      <w:r>
        <w:t>ε</w:t>
      </w:r>
      <w:r>
        <w:rPr>
          <w:vertAlign w:val="superscript"/>
        </w:rPr>
        <w:t>ν</w:t>
      </w:r>
      <w:r>
        <w:t>→−g</w:t>
      </w:r>
      <w:r>
        <w:rPr>
          <w:vertAlign w:val="superscript"/>
        </w:rPr>
        <w:t>μν</w:t>
      </w:r>
      <w:r>
        <w:t>; Lesson 48, Section 4.2, computed that the spatial-spatial block of this covariant object, −g</w:t>
      </w:r>
      <w:r>
        <w:rPr>
          <w:vertAlign w:val="superscript"/>
        </w:rPr>
        <w:t>ij</w:t>
      </w:r>
      <w:r>
        <w:t>=δ</w:t>
      </w:r>
      <w:r>
        <w:rPr>
          <w:vertAlign w:val="superscript"/>
        </w:rPr>
        <w:t>ij</w:t>
      </w:r>
      <w:r>
        <w:t>, differs from the honest Coulomb-gauge sum δ</w:t>
      </w:r>
      <w:r>
        <w:rPr>
          <w:vertAlign w:val="superscript"/>
        </w:rPr>
        <w:t>ij</w:t>
      </w:r>
      <w:r>
        <w:t>−k̂</w:t>
      </w:r>
      <w:r>
        <w:rPr>
          <w:vertAlign w:val="superscript"/>
        </w:rPr>
        <w:t>i</w:t>
      </w:r>
      <w:r>
        <w:t>k̂</w:t>
      </w:r>
      <w:r>
        <w:rPr>
          <w:vertAlign w:val="superscript"/>
        </w:rPr>
        <w:t>j</w:t>
      </w:r>
      <w:r>
        <w:t xml:space="preserve"> by exactly k̂</w:t>
      </w:r>
      <w:r>
        <w:rPr>
          <w:vertAlign w:val="superscript"/>
        </w:rPr>
        <w:t>i</w:t>
      </w:r>
      <w:r>
        <w:t>k̂</w:t>
      </w:r>
      <w:r>
        <w:rPr>
          <w:vertAlign w:val="superscript"/>
        </w:rPr>
        <w:t>j</w:t>
      </w:r>
      <w:r>
        <w:t>,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48, Section 4.3) that terms proportional to k</w:t>
      </w:r>
      <w:r>
        <w:rPr>
          <w:vertAlign w:val="superscript"/>
        </w:rPr>
        <w:t>μ</w:t>
      </w:r>
      <w:r>
        <w:t xml:space="preserve">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r>
        <w:rPr>
          <w:b/>
        </w:rPr>
        <w:t>14.</w:t>
      </w:r>
      <w:r>
        <w:t xml:space="preserve"> </w:t>
      </w:r>
      <w:r>
        <w:t>Lesson 72 supplies the missing proof, establishing the Ward identity, the precise statement that guarantees amplitudes built from ℒ</w:t>
      </w:r>
      <w:r>
        <w:rPr>
          <w:vertAlign w:val="subscript"/>
        </w:rPr>
        <w:t>QED</w:t>
      </w:r>
      <w:r>
        <w:t xml:space="preserve"> are insensitive to this kind of k</w:t>
      </w:r>
      <w:r>
        <w:rPr>
          <w:vertAlign w:val="superscript"/>
        </w:rPr>
        <w:t>μ</w:t>
      </w:r>
      <w:r>
        <w:t>-proportional ambiguity in the photon propagator or polarization sum.</w:t>
      </w:r>
    </w:p>
    <w:p>
      <w:r>
        <w:rPr>
          <w:b/>
        </w:rPr>
        <w:t>15.</w:t>
      </w:r>
      <w:r>
        <w:t xml:space="preserve"> </w:t>
      </w:r>
      <w:r>
        <w:t>This relies on Lesson 42, Section 5.1's derivation of current conservation, ∂</w:t>
      </w:r>
      <w:r>
        <w:rPr>
          <w:vertAlign w:val="subscript"/>
        </w:rPr>
        <w:t>μ</w:t>
      </w:r>
      <w:r>
        <w:t>j</w:t>
      </w:r>
      <w:r>
        <w:rPr>
          <w:vertAlign w:val="superscript"/>
        </w:rPr>
        <w:t>μ</w:t>
      </w:r>
      <w:r>
        <w:t>=0, which becomes k</w:t>
      </w:r>
      <w:r>
        <w:rPr>
          <w:vertAlign w:val="subscript"/>
        </w:rPr>
        <w:t>μ</w:t>
      </w:r>
      <w:r>
        <w:t>j</w:t>
      </w:r>
      <w:r>
        <w:rPr>
          <w:vertAlign w:val="superscript"/>
        </w:rPr>
        <w:t>μ</w:t>
      </w:r>
      <w:r>
        <w:t>(k)=0 in momentum space; a term proportional to k</w:t>
      </w:r>
      <w:r>
        <w:rPr>
          <w:vertAlign w:val="superscript"/>
        </w:rPr>
        <w:t>μ</w:t>
      </w:r>
      <w:r>
        <w:t>, contracted with such a current, gives zero by this relation directly, the same argument already given in Lesson 48, Section 4.3, for the propagator and extended here to the external polarization sum.</w:t>
      </w:r>
    </w:p>
    <w:p>
      <w:r>
        <w:rPr>
          <w:b/>
        </w:rPr>
        <w:t>16.</w:t>
      </w:r>
      <w:r>
        <w:t xml:space="preserve"> </w:t>
      </w:r>
      <w:r>
        <w:t>Schematically, (1/2)Σ</w:t>
      </w:r>
      <w:r>
        <w:rPr>
          <w:vertAlign w:val="subscript"/>
        </w:rPr>
        <w:t>(s)</w:t>
      </w:r>
      <w:r>
        <w:t xml:space="preserve"> (1/2)Σ</w:t>
      </w:r>
      <w:r>
        <w:rPr>
          <w:vertAlign w:val="subscript"/>
        </w:rPr>
        <w:t>λ</w:t>
      </w:r>
      <w:r>
        <w:t xml:space="preserve"> Σ</w:t>
      </w:r>
      <w:r>
        <w:rPr>
          <w:vertAlign w:val="subscript"/>
        </w:rPr>
        <w:t>s′</w:t>
      </w:r>
      <w:r>
        <w:t xml:space="preserve"> Σ</w:t>
      </w:r>
      <w:r>
        <w:rPr>
          <w:vertAlign w:val="subscript"/>
        </w:rPr>
        <w:t>λ′</w:t>
      </w:r>
      <w:r>
        <w:t xml:space="preserve">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21's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r>
        <w:t>Lesson 53 develops the kinematic bookkeeping, the Mandelstam variables, needed to turn the traces this lesson produces into functions of physically meaningful scattering angles and energies, completing the toolkit Lesson 54 applies to electron-muon scattering.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Spinors and Polarization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