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Amplitude to Cross Section</w:t>
      </w:r>
    </w:p>
    <w:p>
      <w:pPr>
        <w:pStyle w:val="Subtitle"/>
        <w:jc w:val="center"/>
      </w:pPr>
      <w:r>
        <w:t>Lesson 59 of Quantum, Actually, Volume 2: A QED Course</w:t>
      </w:r>
    </w:p>
    <w:p>
      <w:pPr>
        <w:jc w:val="center"/>
      </w:pPr>
      <w:r>
        <w:t>Lothar J. Musiol</w:t>
      </w:r>
    </w:p>
    <w:p>
      <w:r>
        <w:br/>
      </w:r>
    </w:p>
    <w:p>
      <w:pPr>
        <w:jc w:val="center"/>
      </w:pPr>
      <w:r>
        <w:rPr>
          <w:b/>
          <w:sz w:val="26"/>
        </w:rPr>
        <w:t>Deriving the two-body center-of-momentum formula dσ/dΩ=|ℳ|²/(64π²s), the tool every calculation since Lesson 54 has borrowed without proof</w:t>
      </w:r>
    </w:p>
    <w:p>
      <w:r>
        <w:br/>
        <w:br/>
      </w:r>
    </w:p>
    <w:p>
      <w:pPr>
        <w:jc w:val="center"/>
      </w:pPr>
      <w:r>
        <w:t>First edition, 2026</w:t>
      </w:r>
    </w:p>
    <w:p>
      <w:r>
        <w:br w:type="page"/>
      </w:r>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w:t>
            </w:r>
            <w:r>
              <w:rPr>
                <w:vertAlign w:val="subscript"/>
              </w:rPr>
              <w:t>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w:t>
            </w:r>
            <w:r>
              <w:rPr>
                <w:vertAlign w:val="subscript"/>
              </w:rPr>
              <w:t>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w:t>
            </w:r>
            <w:r>
              <w:rPr>
                <w:vertAlign w:val="subscript"/>
              </w:rPr>
              <w:t>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tc>
      </w:tr>
    </w:tbl>
    <w:p>
      <w:pPr>
        <w:spacing w:after="80"/>
      </w:pPr>
    </w:p>
    <w:p>
      <w:pPr>
        <w:pStyle w:val="Heading2"/>
      </w:pPr>
      <w:r>
        <w:t>1 What remains to be done</w:t>
      </w:r>
    </w:p>
    <w:p>
      <w:pPr>
        <w:pStyle w:val="Heading3"/>
      </w:pPr>
      <w:r>
        <w:t>1.1 The starting point</w:t>
      </w:r>
    </w:p>
    <w:p>
      <w:r>
        <w:t>Lesson 51,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drawing>
          <wp:inline xmlns:a="http://schemas.openxmlformats.org/drawingml/2006/main" xmlns:pic="http://schemas.openxmlformats.org/drawingml/2006/picture">
            <wp:extent cx="4754880" cy="1645373"/>
            <wp:docPr id="1" name="Picture 1"/>
            <wp:cNvGraphicFramePr>
              <a:graphicFrameLocks noChangeAspect="1"/>
            </wp:cNvGraphicFramePr>
            <a:graphic>
              <a:graphicData uri="http://schemas.openxmlformats.org/drawingml/2006/picture">
                <pic:pic>
                  <pic:nvPicPr>
                    <pic:cNvPr id="0" name="L59_cm.png"/>
                    <pic:cNvPicPr/>
                  </pic:nvPicPr>
                  <pic:blipFill>
                    <a:blip r:embed="rId11"/>
                    <a:stretch>
                      <a:fillRect/>
                    </a:stretch>
                  </pic:blipFill>
                  <pic:spPr>
                    <a:xfrm>
                      <a:off x="0" y="0"/>
                      <a:ext cx="4754880" cy="1645373"/>
                    </a:xfrm>
                    <a:prstGeom prst="rect"/>
                  </pic:spPr>
                </pic:pic>
              </a:graphicData>
            </a:graphic>
          </wp:inline>
        </w:drawing>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w:t>
      </w:r>
      <w:r>
        <w:rPr>
          <w:vertAlign w:val="subscript"/>
        </w:rPr>
        <w:t>f</w:t>
      </w:r>
      <w:r>
        <w:t>, not p</w:t>
      </w:r>
      <w:r>
        <w:rPr>
          <w:vertAlign w:val="subscript"/>
        </w:rPr>
        <w:t>i</w:t>
      </w:r>
      <w:r>
        <w:t>, appears in this result. The radial integral runs over the magnitude of the outgoing momentum p₃, so the delta function's root is by definition the value that magnitude takes once energy is balanced, p</w:t>
      </w:r>
      <w:r>
        <w:rPr>
          <w:vertAlign w:val="subscript"/>
        </w:rPr>
        <w:t>f</w:t>
      </w:r>
      <w:r>
        <w:t>; p</w:t>
      </w:r>
      <w:r>
        <w:rPr>
          <w:vertAlign w:val="subscript"/>
        </w:rPr>
        <w:t>i</w:t>
      </w:r>
      <w:r>
        <w:t xml:space="preserve"> enters only later, through the flux factor built from the incoming particles.</w:t>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Compare this cancellation to a similar one seen earlier in the course. Lesson 44,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w:t>
      </w:r>
      <w:r>
        <w:rPr>
          <w:vertAlign w:val="subscript"/>
        </w:rPr>
        <w:t>i</w:t>
      </w:r>
      <w:r>
        <w:t>.</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formula quoted without proof since Lesson 54.</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w:t>
            </w:r>
            <w:r>
              <w:rPr>
                <w:vertAlign w:val="subscript"/>
              </w:rPr>
              <w:t>f</w:t>
            </w:r>
            <w:r>
              <w:t>/p</w:t>
            </w:r>
            <w:r>
              <w:rPr>
                <w:vertAlign w:val="subscript"/>
              </w:rPr>
              <w:t>i</w:t>
            </w:r>
            <w:r>
              <w:t>)|ℳ|²/(64π²s)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54–58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w:t>
            </w:r>
            <w:r>
              <w:rPr>
                <w:vertAlign w:val="subscript"/>
              </w:rPr>
              <w:t>i</w:t>
            </w:r>
            <w:r>
              <w:t>√s</w:t>
            </w:r>
          </w:p>
        </w:tc>
        <w:tc>
          <w:tcPr>
            <w:tcW w:type="dxa" w:w="6528"/>
            <w:vAlign w:val="center"/>
            <w:shd w:fill="EAF2F8"/>
            <w:tcMar>
              <w:top w:w="100" w:type="dxa"/>
              <w:start w:w="100" w:type="dxa"/>
              <w:bottom w:w="100" w:type="dxa"/>
              <w:end w:w="100" w:type="dxa"/>
            </w:tcMar>
          </w:tcPr>
          <w:p>
            <w:r>
              <w:t>The flux factor's compact center-of-momentum form</w:t>
            </w:r>
          </w:p>
        </w:tc>
      </w:tr>
    </w:tbl>
    <w:p>
      <w:r>
        <w:t>Lesson 61 uses this formula, applied to the results already computed, to state this course's first full set of experimental predictions; Lesson 60 first extends the same reduction technique to particle decay.</w:t>
      </w:r>
    </w:p>
    <w:p>
      <w:pPr>
        <w:pStyle w:val="Heading2"/>
      </w:pPr>
      <w:r>
        <w:t>7 Summary</w:t>
      </w:r>
    </w:p>
    <w:p>
      <w:pPr>
        <w:pStyle w:val="ListNumber"/>
        <w:numPr>
          <w:ilvl w:val="0"/>
          <w:numId w:val="10"/>
        </w:numPr>
      </w:pPr>
      <w:r>
        <w:t>Lesson 51's cross-section formula, restricted to the center-of-momentum frame, has its p₄ integral removed by the spatial delta function, leaving a single energy constraint on p₃'s magnitude.</w:t>
      </w:r>
    </w:p>
    <w:p>
      <w:pPr>
        <w:pStyle w:val="ListNumber"/>
        <w:numPr>
          <w:ilvl w:val="0"/>
          <w:numId w:val="10"/>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10"/>
        </w:numPr>
      </w:pPr>
      <w:r>
        <w:t>The flux factor reduces to F=4p</w:t>
      </w:r>
      <w:r>
        <w:rPr>
          <w:vertAlign w:val="subscript"/>
        </w:rPr>
        <w:t>i</w:t>
      </w:r>
      <w:r>
        <w:t>√s in this frame, with the individual particle energies cancelling out.</w:t>
      </w:r>
    </w:p>
    <w:p>
      <w:pPr>
        <w:pStyle w:val="ListNumber"/>
        <w:numPr>
          <w:ilvl w:val="0"/>
          <w:numId w:val="10"/>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10"/>
        </w:numPr>
      </w:pPr>
      <w:r>
        <w:t>Every calculation in Lessons 54–58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51's general cross-section formula and identify each of its four structural pieces, following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Evaluate f′(p) at the root p=p</w:t>
            </w:r>
            <w:r>
              <w:rPr>
                <w:vertAlign w:val="subscript"/>
              </w:rPr>
              <w:t>f</w:t>
            </w:r>
            <w:r>
              <w:t>, using E₃+E₄=√s there, and simplify to −p</w:t>
            </w:r>
            <w:r>
              <w:rPr>
                <w:vertAlign w:val="subscript"/>
              </w:rPr>
              <w:t>f</w:t>
            </w:r>
            <w:r>
              <w:t>√s/(E₃E₄).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Combine Exercises 4–7 to derive ∫p²dp δ(f(p))=p</w:t>
            </w:r>
            <w:r>
              <w:rPr>
                <w:vertAlign w:val="subscript"/>
              </w:rPr>
              <w:t>f</w:t>
            </w:r>
            <w:r>
              <w:t>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the general definition of the flux factor from Lesson 51, and write v₁, v₂ in the center-of-momentum frame in terms of p</w:t>
            </w:r>
            <w:r>
              <w:rPr>
                <w:vertAlign w:val="subscript"/>
              </w:rPr>
              <w:t>i</w:t>
            </w:r>
            <w:r>
              <w:t>,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|v₁−v₂|=p</w:t>
            </w:r>
            <w:r>
              <w:rPr>
                <w:vertAlign w:val="subscript"/>
              </w:rPr>
              <w:t>i</w:t>
            </w:r>
            <w:r>
              <w:t>√s/(E₁E₂)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Exercise 10 into F=4E₁E₂|v₁−v₂| and confirm the E₁E₂ factors cancel, leaving F=4p</w:t>
            </w:r>
            <w:r>
              <w:rPr>
                <w:vertAlign w:val="subscript"/>
              </w:rPr>
              <w:t>i</w:t>
            </w:r>
            <w:r>
              <w:t>√s.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Confirm the elastic special case using p</w:t>
            </w:r>
            <w:r>
              <w:rPr>
                <w:vertAlign w:val="subscript"/>
              </w:rPr>
              <w:t>f</w:t>
            </w:r>
            <w:r>
              <w:t>=p</w:t>
            </w:r>
            <w:r>
              <w:rPr>
                <w:vertAlign w:val="subscript"/>
              </w:rPr>
              <w:t>i</w:t>
            </w:r>
            <w:r>
              <w:t xml:space="preserve"> (Lesson 53,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referring to Lesson 54,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60 turns from scattering to decay, deriving the analogous phase-space reduction for a single initial particle breaking apart into two or more products.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Amplitude to Cross Section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