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78 of Quantum, Actually, Volume 2: A QED Course</w:t>
      </w:r>
    </w:p>
    <w:p>
      <w:pPr>
        <w:jc w:val="center"/>
      </w:pPr>
      <w:r>
        <w:t>Lothar J. Musiol</w:t>
      </w:r>
    </w:p>
    <w:p>
      <w:r>
        <w:br/>
      </w:r>
    </w:p>
    <w:p>
      <w:pPr>
        <w:jc w:val="center"/>
      </w:pPr>
      <w:r>
        <w:rPr>
          <w:b/>
          <w:sz w:val="26"/>
        </w:rPr>
        <w:t>Lesson 69's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First edition, 2026</w:t>
      </w:r>
    </w:p>
    <w:p>
      <w:r>
        <w:br w:type="page"/>
      </w:r>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w:t>
            </w:r>
            <w:r>
              <w:rPr>
                <w:vertAlign w:val="subscript"/>
              </w:rPr>
              <w:t>U</w:t>
            </w:r>
            <w:r>
              <w:t>(r)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w:t>
            </w:r>
            <w:r>
              <w:rPr>
                <w:vertAlign w:val="subscript"/>
              </w:rPr>
              <w:t>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tc>
      </w:tr>
    </w:tbl>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69,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77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drawing>
          <wp:inline xmlns:a="http://schemas.openxmlformats.org/drawingml/2006/main" xmlns:pic="http://schemas.openxmlformats.org/drawingml/2006/picture">
            <wp:extent cx="4754880" cy="2762794"/>
            <wp:docPr id="1" name="Picture 1"/>
            <wp:cNvGraphicFramePr>
              <a:graphicFrameLocks noChangeAspect="1"/>
            </wp:cNvGraphicFramePr>
            <a:graphic>
              <a:graphicData uri="http://schemas.openxmlformats.org/drawingml/2006/picture">
                <pic:pic>
                  <pic:nvPicPr>
                    <pic:cNvPr id="0" name="L78_uehling.png"/>
                    <pic:cNvPicPr/>
                  </pic:nvPicPr>
                  <pic:blipFill>
                    <a:blip r:embed="rId11"/>
                    <a:stretch>
                      <a:fillRect/>
                    </a:stretch>
                  </pic:blipFill>
                  <pic:spPr>
                    <a:xfrm>
                      <a:off x="0" y="0"/>
                      <a:ext cx="4754880" cy="2762794"/>
                    </a:xfrm>
                    <a:prstGeom prst="rect"/>
                  </pic:spPr>
                </pic:pic>
              </a:graphicData>
            </a:graphic>
          </wp:inline>
        </w:drawing>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69,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w:t>
            </w:r>
            <w:r>
              <w:rPr>
                <w:vertAlign w:val="subscript"/>
              </w:rPr>
              <w:t>n</w:t>
            </w:r>
            <w:r>
              <w:t>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w:t>
            </w:r>
            <w:r>
              <w:rPr>
                <w:vertAlign w:val="subscript"/>
              </w:rPr>
              <w:t>p</w:t>
            </w:r>
            <w:r>
              <w:t>/fm)²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w:t>
            </w:r>
            <w:r>
              <w:rPr>
                <w:vertAlign w:val="subscript"/>
              </w:rPr>
              <w:t>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69's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ΔE</w:t>
            </w:r>
            <w:r>
              <w:rPr>
                <w:vertAlign w:val="subscript"/>
              </w:rPr>
              <w:t>n</w:t>
            </w:r>
            <w:r>
              <w:t>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1/(2m</w:t>
            </w:r>
            <w:r>
              <w:rPr>
                <w:vertAlign w:val="subscript"/>
              </w:rPr>
              <w:t>e</w:t>
            </w:r>
            <w:r>
              <w:t>)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206.03 meV − 5.23 meV × (r/fm)² = 202.37 meV, solve for r</w:t>
            </w:r>
            <w:r>
              <w:rPr>
                <w:vertAlign w:val="subscript"/>
              </w:rPr>
              <w:t>p</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Estimate the electron-loop contribution to a</w:t>
            </w:r>
            <w:r>
              <w:rPr>
                <w:vertAlign w:val="subscript"/>
              </w:rPr>
              <w:t>μ</w:t>
            </w:r>
            <w:r>
              <w:t xml:space="preserve"> from (1/3)ln(m</w:t>
            </w:r>
            <w:r>
              <w:rPr>
                <w:vertAlign w:val="subscript"/>
              </w:rPr>
              <w:t>μ</w:t>
            </w:r>
            <w:r>
              <w:t>/m</w:t>
            </w:r>
            <w:r>
              <w:rPr>
                <w:vertAlign w:val="subscript"/>
              </w:rPr>
              <w:t>e</w:t>
            </w:r>
            <w:r>
              <w:t>)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hadronic contribution to a</w:t>
            </w:r>
            <w:r>
              <w:rPr>
                <w:vertAlign w:val="subscript"/>
              </w:rPr>
              <w:t>μ</w:t>
            </w:r>
            <w:r>
              <w:t xml:space="preserve"> is dominated by low-energy hadronic states, such as the ρ meson, and what this means for its calculation.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79,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Vacuum Polarization and Precision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