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7: Gods and Kings — Mesopotamia, Egypt, and the First Empires</w:t>
      </w:r>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It is, dolphin historians note, a remarkably efficient system of governance: no evidence required, no audit possible, and no term limit that heaven felt any particular urgency about enforcing.</w:t>
      </w:r>
    </w:p>
    <w:p>
      <w:pPr>
        <w:spacing w:after="200"/>
      </w:pPr>
      <w:r>
        <w:t xml:space="preserve">Around 2334 BCE, Sargon of Akkad did something no Mesopotamian ruler had managed before: he conquered multiple Sumerian city-states and held them together as one state, arguably the first empire in the modern sense, with a professional standing army instead of a coalition of city militias.</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basalt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Dolphin historians treat this chapter as a turning point distinct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2026-09-23T20:42:52.466Z</dcterms:created>
  <dcterms:modified xsi:type="dcterms:W3CDTF">2026-09-23T20:42:52.466Z</dcterms:modified>
</cp:coreProperties>
</file>

<file path=docProps/custom.xml><?xml version="1.0" encoding="utf-8"?>
<Properties xmlns="http://schemas.openxmlformats.org/officeDocument/2006/custom-properties" xmlns:vt="http://schemas.openxmlformats.org/officeDocument/2006/docPropsVTypes"/>
</file>