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outlineLvl w:val="0"/>
      </w:pPr>
      <w:r>
        <w:rPr>
          <w:b/>
          <w:bCs/>
        </w:rPr>
        <w:t xml:space="preserve">Chapter 20: Spain, Convivencia and the General</w:t>
      </w:r>
    </w:p>
    <w:p>
      <w:pPr>
        <w:spacing w:after="200"/>
      </w:pPr>
      <w:r>
        <w:t xml:space="preserve">Dolphin historians open this chapter earlier than its 20th-century subject, because Spain's pattern of genius and catastrophe has already run once before, on a different set of terms entirely.</w:t>
      </w:r>
    </w:p>
    <w:p>
      <w:pPr>
        <w:spacing w:after="200"/>
      </w:pPr>
      <w:r>
        <w:t xml:space="preserve">Medieval al-Andalus, the Muslim-ruled portion of the Iberian Peninsula, sustained centuries of coexistence and scholarship among Muslim, Christian, and Jewish communities — convivencia — with Córdoba and Toledo among the era's great centers of translation and learning, preserving and extending Greek philosophy, mathematics, and medicine at a time large parts of Christian Europe had less access to them.</w:t>
      </w:r>
    </w:p>
    <w:p>
      <w:pPr>
        <w:spacing w:after="200"/>
      </w:pPr>
      <w:r>
        <w:t xml:space="preserve">That convivencia ended deliberately. The Reconquista's completion in January 1492, with the fall of Granada, was followed within months by the Alhambra Decree expelling Spain's Jewish population — the same year, not coincidentally, Spain funded the voyage that opened the Americas to European conquest in the chapter on exploration.</w:t>
      </w:r>
    </w:p>
    <w:p>
      <w:pPr>
        <w:spacing w:after="200"/>
      </w:pPr>
      <w:r>
        <w:t xml:space="preserve">The Spanish Golden Age that followed in the 16th and 17th centuries, Cervantes writing Don Quixote, Velázquez painting, arrived hand in hand with the Inquisition's religious enforcement and a colonial empire built on the conquest already described elsewhere in this book. Genius and catastrophe, in Spain's case, are not sequential the way they are for Germany or Japan. They arrived together, repeatedly.</w:t>
      </w:r>
    </w:p>
    <w:p>
      <w:pPr>
        <w:spacing w:after="200"/>
      </w:pPr>
      <w:r>
        <w:t xml:space="preserve">The 20th-century case proper begins with the instability of Spain's Second Republic, declared in 1931, and the military uprising of July 1936 that turned that instability into the Spanish Civil War. Foreign powers intervened on both sides: the Soviet Union backed the Republic, while Germany and Italy backed the Nationalist rebellion under General Francisco Franco. Germany's Condor Legion bombed the Basque town of Guernica in April 1937, a deliberate rehearsal of the aerial terror tactics that would soon be turned on far larger cities.</w:t>
      </w:r>
    </w:p>
    <w:p>
      <w:pPr>
        <w:spacing w:after="200"/>
      </w:pPr>
      <w:r>
        <w:t xml:space="preserve">Franco's victory in 1939 opened a dictatorship that lasted until his death in 1975, nearly four decades, and a stark outlier in one specific way: unlike Germany, Japan, and Italy, Franco's Spain was never defeated from outside. There was no occupying army, no unconditional surrender, and no external constitution imposed on it.</w:t>
      </w:r>
    </w:p>
    <w:p>
      <w:pPr>
        <w:spacing w:after="200"/>
      </w:pPr>
      <w:r>
        <w:rPr>
          <w:i/>
          <w:iCs/>
        </w:rPr>
        <w:t xml:space="preserve">“The others were corrected by their enemies,” dolphin historians noted. “Spain had to correct itself, decades late, on its own schedule, or not at all.”</w:t>
      </w:r>
    </w:p>
    <w:p>
      <w:pPr>
        <w:spacing w:after="200"/>
      </w:pPr>
      <w:r>
        <w:t xml:space="preserve">It did, eventually. Franco's own designated succession plan, intended to preserve the regime, instead installed King Juan Carlos I, who oversaw a largely peaceful transition to constitutional democracy between 1975 and 1978, an outcome few observers had confidently predicted while Franco was still alive.</w:t>
      </w:r>
    </w:p>
    <w:p>
      <w:pPr>
        <w:spacing w:after="100"/>
      </w:pPr>
      <w:r>
        <w:rPr>
          <w:b/>
          <w:bCs/>
        </w:rPr>
        <w:t xml:space="preserve">Dolphin verdict:</w:t>
      </w:r>
    </w:p>
    <w:p>
      <w:pPr>
        <w:spacing w:after="200"/>
      </w:pPr>
      <w:r>
        <w:rPr>
          <w:i/>
          <w:iCs/>
        </w:rPr>
        <w:t xml:space="preserve">Spain ran the genius-and-catastrophe pattern twice, centuries apart, and supplied the slowest correction of the three fascist-era European cases: no defeat, no liberating army, just one old dictator's death and, remarkably, a peaceful landing afterward. The convivencia proved good ideas do not protect themselves. The transition after Franco proved bad ones do not always require outside force to end, either — sometimes they simply outlive the one man holding them up.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2026-09-20T15:47:26.170Z</dcterms:created>
  <dcterms:modified xsi:type="dcterms:W3CDTF">2026-09-20T15:47:26.170Z</dcterms:modified>
</cp:coreProperties>
</file>

<file path=docProps/custom.xml><?xml version="1.0" encoding="utf-8"?>
<Properties xmlns="http://schemas.openxmlformats.org/officeDocument/2006/custom-properties" xmlns:vt="http://schemas.openxmlformats.org/officeDocument/2006/docPropsVTypes"/>
</file>