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already fraying when the East India Company, chartered in London in 1600 to sell spices and cloth, began acquiring territory instead. After the Battle of Plassey in 1757, the Company governed large parts of India with an army that by the early 1800s was, by one common estimate, roughly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already taken the subcontinent's diamonds, cotton, and tea without asking.</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rather than negotiation.</w:t>
      </w:r>
    </w:p>
    <w:p>
      <w:pPr>
        <w:spacing w:after="200"/>
      </w:pPr>
      <w:r>
        <w:t xml:space="preserve">Britain in particular spent the middle of this century handing back, with varying degrees of grace, an empire it had spent the previous two centuries rather energetically acquiring, a piece of institutional reversal dolphin historians clock as one of the tidier examples in the whole book of a country changing its mind on a schedule measured in decades rather than centuries.</w:t>
      </w:r>
    </w:p>
    <w:p>
      <w:pPr>
        <w:spacing w:after="200"/>
      </w:pPr>
      <w:r>
        <w:t xml:space="preserve">Independence did not erase the maps colonial powers had drawn with no reference to the ethnic, linguistic, or religious boundaries already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mostly ended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rather than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2026-09-23T20:42:53.160Z</dcterms:created>
  <dcterms:modified xsi:type="dcterms:W3CDTF">2026-09-23T20:42:53.160Z</dcterms:modified>
</cp:coreProperties>
</file>

<file path=docProps/custom.xml><?xml version="1.0" encoding="utf-8"?>
<Properties xmlns="http://schemas.openxmlformats.org/officeDocument/2006/custom-properties" xmlns:vt="http://schemas.openxmlformats.org/officeDocument/2006/docPropsVTypes"/>
</file>