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25: Spain, Convivencia and the General</w:t>
      </w:r>
    </w:p>
    <w:p>
      <w:pPr>
        <w:spacing w:after="200"/>
      </w:pPr>
      <w:r>
        <w:t xml:space="preserve">Dolphin historians open this chapter earlier than its 20th-century subject, because Spain's pattern of genius and catastrophe has already run once before, on a different set of terms entirely.</w:t>
      </w:r>
    </w:p>
    <w:p>
      <w:pPr>
        <w:spacing w:after="200"/>
      </w:pPr>
      <w:r>
        <w:t xml:space="preserve">Medieval al-Andalus, the Muslim-ruled portion of the Iberian Peninsula, sustained centuries of coexistence and scholarship among Muslim, Christian, and Jewish communities — convivencia — with Córdoba and Toledo among the era's great centers of translation and learning, preserving and extending Greek philosophy, mathematics, and medicine at a time large parts of Christian Europe had less access to them.</w:t>
      </w:r>
    </w:p>
    <w:p>
      <w:pPr>
        <w:spacing w:after="200"/>
      </w:pPr>
      <w:r>
        <w:t xml:space="preserve">Convivencia's most famous graduate was born in Córdoba around 1135-38: Maimonides, a Jewish philosopher and physician who wrote his greatest works in Arabic and went on to shape Jewish, Islamic, and Christian scholastic thought alike, a single career that could not have happened in a Córdoba of only one faith.</w:t>
      </w:r>
    </w:p>
    <w:p>
      <w:pPr>
        <w:spacing w:after="200"/>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spacing w:after="200"/>
      </w:pPr>
      <w:r>
        <w:t xml:space="preserve">The Spanish Golden Age that followed in the 16th and 17th centuries, Cervantes writing Don Quixote, Velázquez painting, arrived hand in hand with the Inquisition's religious enforcement and a colonial empire built on the conquest covered elsewhere in this book. Genius and catastrophe, in Spain's case, are not sequential the way they are for Germany or Japan. They arrived together, repeatedly.</w:t>
      </w:r>
    </w:p>
    <w:p>
      <w:pPr>
        <w:spacing w:after="200"/>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 deliberate rehearsal of the aerial terror tactics that would soon be turned on far larger cities.</w:t>
      </w:r>
    </w:p>
    <w:p>
      <w:pPr>
        <w:spacing w:after="200"/>
      </w:pPr>
      <w:r>
        <w:t xml:space="preserve">Picasso's painting of the bombing, Guernica, stayed abroad on his instructions until Spain was a democracy again; it came home in 1981, eight years after his death.</w:t>
      </w:r>
    </w:p>
    <w:p>
      <w:pPr>
        <w:spacing w:after="200"/>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spacing w:after="200"/>
      </w:pPr>
      <w:r>
        <w:rPr>
          <w:i/>
          <w:iCs/>
        </w:rPr>
        <w:t xml:space="preserve">“The others were corrected by their enemies,” dolphin scholars remarked. “Spain had to correct itself, decades late, on its own schedule, or not at all.”</w:t>
      </w:r>
    </w:p>
    <w:p>
      <w:pPr>
        <w:spacing w:after="200"/>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spacing w:after="200"/>
      </w:pPr>
      <w:r>
        <w:t xml:space="preserve">The transition rested on a specific bargain historians call the Pacto del Olvido, the pact of forgetting: an informal, near-universal agreement among the new democracy's politicians, left and right, not to prosecute crimes from the civil war or the dictatorship, formalized by a 1977 amnesty law. It bought the transition its calm. It also meant Spain took far longer than Germany to build anything like an official reckoning with what had happened, and the argument over exhuming the dictatorship's mass graves and renaming its streets was still active decades later, under a 2007 law and a further one in 2022.</w:t>
      </w:r>
    </w:p>
    <w:p>
      <w:pPr>
        <w:spacing w:after="200"/>
      </w:pPr>
      <w:r>
        <w:t xml:space="preserve">The landing was not without incident. On February 23, 1981, a lieutenant colonel of the Civil Guard, Antonio Tejero, burst into the Spanish parliament with armed men and fired shots into the ceiling, and the coup attempt failed chiefly because King Juan Carlos went on television that night and declared for the constitution. And in 2019, more than four decades after his death, Franco's body was finally moved out of the monumental Valley of the Fallen, and Spain went on arguing, as several countries in this book do, about how to remember what it had done.</w:t>
      </w:r>
    </w:p>
    <w:p>
      <w:pPr>
        <w:spacing w:after="100"/>
      </w:pPr>
      <w:r>
        <w:rPr>
          <w:b/>
          <w:bCs/>
        </w:rPr>
        <w:t xml:space="preserve">Dolphin verdict:</w:t>
      </w:r>
    </w:p>
    <w:p>
      <w:pPr>
        <w:spacing w:after="200"/>
      </w:pPr>
      <w:r>
        <w:rPr>
          <w:i/>
          <w:iCs/>
        </w:rPr>
        <w:t xml:space="preserve">Spain ran the genius-and-catastrophe pattern twice, centuries apart, and supplied the slowest correction of the three fascist-era European cases: no defeat, no liberating army, just one old dictator's death and, remarkably, a peaceful landing afterward. The convivencia proved good ideas do not protect themselves. The transition after Franco proved bad ones do not always require outside force to end, either — sometimes they simply outlive the one man holding them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2026-10-01T18:57:31.881Z</dcterms:created>
  <dcterms:modified xsi:type="dcterms:W3CDTF">2026-10-01T18:57:31.881Z</dcterms:modified>
</cp:coreProperties>
</file>

<file path=docProps/custom.xml><?xml version="1.0" encoding="utf-8"?>
<Properties xmlns="http://schemas.openxmlformats.org/officeDocument/2006/custom-properties" xmlns:vt="http://schemas.openxmlformats.org/officeDocument/2006/docPropsVTypes"/>
</file>