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OPTIMIZATION</w:t>
      </w:r>
    </w:p>
    <w:p>
      <w:pPr>
        <w:spacing w:after="200"/>
        <w:jc w:val="center"/>
      </w:pPr>
      <w:r>
        <w:rPr>
          <w:rFonts w:ascii="Georgia" w:cs="Georgia" w:eastAsia="Georgia" w:hAnsi="Georgia"/>
          <w:b/>
          <w:bCs/>
          <w:color w:val="1F4E79"/>
          <w:sz w:val="36"/>
          <w:szCs w:val="36"/>
        </w:rPr>
        <w:t xml:space="preserve">(ADVANCED)</w:t>
      </w:r>
    </w:p>
    <w:p>
      <w:pPr>
        <w:spacing w:after="500"/>
        <w:jc w:val="center"/>
      </w:pPr>
      <w:r>
        <w:rPr>
          <w:rFonts w:ascii="Georgia" w:cs="Georgia" w:eastAsia="Georgia" w:hAnsi="Georgia"/>
          <w:i/>
          <w:iCs/>
          <w:color w:val="5B9BD5"/>
          <w:sz w:val="18"/>
          <w:szCs w:val="18"/>
        </w:rPr>
        <w:t xml:space="preserve">Nonconvex Landscapes, Stochastic Methods, and the Art of Hard Optimization</w:t>
      </w:r>
    </w:p>
    <w:p>
      <w:pPr>
        <w:spacing w:before="600"/>
        <w:jc w:val="center"/>
      </w:pPr>
      <w:r>
        <w:rPr>
          <w:rFonts w:ascii="Georgia" w:cs="Georgia" w:eastAsia="Georgia" w:hAnsi="Georgia"/>
          <w:color w:val="666666"/>
          <w:sz w:val="22"/>
          <w:szCs w:val="22"/>
        </w:rPr>
        <w:t xml:space="preserve">Book 48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800" w:id="4800"/>
      <w:r>
        <w:rPr>
          <w:rFonts w:ascii="Georgia" w:cs="Georgia" w:eastAsia="Georgia" w:hAnsi="Georgia"/>
          <w:b/>
          <w:bCs/>
          <w:sz w:val="32"/>
          <w:szCs w:val="32"/>
        </w:rPr>
        <w:t xml:space="preserve">Preface</w:t>
      </w:r>
      <w:bookmarkEnd w:id="4800"/>
    </w:p>
    <w:p>
      <w:pPr>
        <w:spacing w:after="200"/>
      </w:pPr>
      <w:r>
        <w:rPr>
          <w:rFonts w:ascii="Georgia" w:cs="Georgia" w:eastAsia="Georgia" w:hAnsi="Georgia"/>
          <w:i/>
          <w:iCs/>
          <w:sz w:val="22"/>
          <w:szCs w:val="22"/>
        </w:rPr>
        <w:t xml:space="preserve">(Or: How We Learned to Optimize When Convexity Is Gone and the Dimension Is High)</w:t>
      </w:r>
    </w:p>
    <w:p>
      <w:pPr>
        <w:spacing w:after="200" w:line="276"/>
      </w:pPr>
      <w:r>
        <w:rPr>
          <w:rFonts w:ascii="Georgia" w:cs="Georgia" w:eastAsia="Georgia" w:hAnsi="Georgia"/>
          <w:sz w:val="22"/>
          <w:szCs w:val="22"/>
        </w:rPr>
        <w:t xml:space="preserve">Books 28 and 30 developed the foundations of optimization and the principal algorithms for convex and smooth problems. The present book treats the settings in which those foundations are insufficient: nonconvex landscapes with many critical points, stochastic and online environments, high-dimensional problems where the ambient dimension dwarfs the sample size, and problems whose combinatorial structure makes exact solution intractable.</w:t>
      </w:r>
    </w:p>
    <w:p>
      <w:pPr>
        <w:spacing w:after="200" w:line="276"/>
      </w:pPr>
      <w:r>
        <w:rPr>
          <w:rFonts w:ascii="Georgia" w:cs="Georgia" w:eastAsia="Georgia" w:hAnsi="Georgia"/>
          <w:sz w:val="22"/>
          <w:szCs w:val="22"/>
        </w:rPr>
        <w:t xml:space="preserve">The modern theory draws on landscape analysis (strict saddle properties, benign nonconvexity), stochastic approximation, variance reduction, adaptive gradient methods, and the interface with statistical learning theory. Complexity lower bounds certify that certain rates are optimal; matching upper bounds show that the rates are achievable. The same circle of ideas underpins the training of deep neural networks and the analysis of nonconvex statistical estimators.</w:t>
      </w:r>
    </w:p>
    <w:p>
      <w:pPr>
        <w:spacing w:after="200" w:line="276"/>
      </w:pPr>
      <w:r>
        <w:rPr>
          <w:rFonts w:ascii="Georgia" w:cs="Georgia" w:eastAsia="Georgia" w:hAnsi="Georgia"/>
          <w:sz w:val="22"/>
          <w:szCs w:val="22"/>
        </w:rPr>
        <w:t xml:space="preserve">This book develops the core: nonconvex landscape geometry, stochastic gradient methods and their variants, high-dimensional and structured nonconvex problems, minimax optimization, and a selection of applications in statistics and machine learning. The treatment assumes the convex and smooth theory of the earlier books.</w:t>
      </w:r>
    </w:p>
    <w:p>
      <w:pPr>
        <w:spacing w:after="200" w:line="276"/>
      </w:pPr>
      <w:r>
        <w:rPr>
          <w:rFonts w:ascii="Georgia" w:cs="Georgia" w:eastAsia="Georgia" w:hAnsi="Georgia"/>
          <w:sz w:val="22"/>
          <w:szCs w:val="22"/>
        </w:rPr>
        <w:t xml:space="preserve">A small confession: advanced optimization is the subject in which the optimistic theorems of convex optimization meet the pessimistic reality of nonconvexity — and sometimes discover that the pessimism was overstated. Many nonconvex problems that arise in practice have hidden structure that makes local methods globally successful. Identifying that structure is the art.</w:t>
      </w:r>
    </w:p>
    <w:p>
      <w:pPr>
        <w:spacing w:after="200" w:line="276"/>
      </w:pPr>
      <w:r>
        <w:rPr>
          <w:rFonts w:ascii="Georgia" w:cs="Georgia" w:eastAsia="Georgia" w:hAnsi="Georgia"/>
          <w:sz w:val="22"/>
          <w:szCs w:val="22"/>
        </w:rPr>
        <w:t xml:space="preserve">If convex optimization taught us what is tractable, advanced optimization teaches us what remains possible when tractability is no longer guaranteed.</w:t>
      </w:r>
    </w:p>
    <w:p>
      <w:pPr>
        <w:spacing w:after="200" w:line="276"/>
      </w:pPr>
      <w:r>
        <w:rPr>
          <w:rFonts w:ascii="Georgia" w:cs="Georgia" w:eastAsia="Georgia" w:hAnsi="Georgia"/>
          <w:sz w:val="22"/>
          <w:szCs w:val="22"/>
        </w:rPr>
        <w:t xml:space="preserve">Let’s climb the nonconvex landscape.</w:t>
      </w:r>
    </w:p>
    <w:p>
      <w:r>
        <w:br w:type="page"/>
      </w:r>
    </w:p>
    <w:p>
      <w:pPr>
        <w:pStyle w:val="Heading1"/>
        <w:spacing w:after="240" w:before="360"/>
      </w:pPr>
      <w:bookmarkStart w:name="4801" w:id="4801"/>
      <w:r>
        <w:rPr>
          <w:rFonts w:ascii="Georgia" w:cs="Georgia" w:eastAsia="Georgia" w:hAnsi="Georgia"/>
          <w:b/>
          <w:bCs/>
          <w:sz w:val="32"/>
          <w:szCs w:val="32"/>
        </w:rPr>
        <w:t xml:space="preserve">Table of Contents</w:t>
      </w:r>
      <w:bookmarkEnd w:id="4801"/>
    </w:p>
    <w:p>
      <w:pPr>
        <w:spacing w:after="120"/>
      </w:pPr>
      <w:hyperlink w:history="1" w:anchor="4802">
        <w:r>
          <w:rPr>
            <w:rFonts w:ascii="Georgia" w:cs="Georgia" w:eastAsia="Georgia" w:hAnsi="Georgia"/>
            <w:color w:val="0563C1"/>
            <w:sz w:val="22"/>
            <w:szCs w:val="22"/>
            <w:u w:val="single"/>
          </w:rPr>
          <w:t xml:space="preserve">1. The Landscape of Nonconvex Optimization</w:t>
        </w:r>
      </w:hyperlink>
    </w:p>
    <w:p>
      <w:pPr>
        <w:spacing w:after="120"/>
      </w:pPr>
      <w:hyperlink w:history="1" w:anchor="4803">
        <w:r>
          <w:rPr>
            <w:rFonts w:ascii="Georgia" w:cs="Georgia" w:eastAsia="Georgia" w:hAnsi="Georgia"/>
            <w:color w:val="0563C1"/>
            <w:sz w:val="22"/>
            <w:szCs w:val="22"/>
            <w:u w:val="single"/>
          </w:rPr>
          <w:t xml:space="preserve">2. Critical Points, Saddles, and Landscape Geometry</w:t>
        </w:r>
      </w:hyperlink>
    </w:p>
    <w:p>
      <w:pPr>
        <w:spacing w:after="120"/>
      </w:pPr>
      <w:hyperlink w:history="1" w:anchor="4804">
        <w:r>
          <w:rPr>
            <w:rFonts w:ascii="Georgia" w:cs="Georgia" w:eastAsia="Georgia" w:hAnsi="Georgia"/>
            <w:color w:val="0563C1"/>
            <w:sz w:val="22"/>
            <w:szCs w:val="22"/>
            <w:u w:val="single"/>
          </w:rPr>
          <w:t xml:space="preserve">3. Stochastic Gradient Methods</w:t>
        </w:r>
      </w:hyperlink>
    </w:p>
    <w:p>
      <w:pPr>
        <w:spacing w:after="120"/>
      </w:pPr>
      <w:hyperlink w:history="1" w:anchor="4805">
        <w:r>
          <w:rPr>
            <w:rFonts w:ascii="Georgia" w:cs="Georgia" w:eastAsia="Georgia" w:hAnsi="Georgia"/>
            <w:color w:val="0563C1"/>
            <w:sz w:val="22"/>
            <w:szCs w:val="22"/>
            <w:u w:val="single"/>
          </w:rPr>
          <w:t xml:space="preserve">4. Variance Reduction and Adaptive Methods</w:t>
        </w:r>
      </w:hyperlink>
    </w:p>
    <w:p>
      <w:pPr>
        <w:spacing w:after="120"/>
      </w:pPr>
      <w:hyperlink w:history="1" w:anchor="4806">
        <w:r>
          <w:rPr>
            <w:rFonts w:ascii="Georgia" w:cs="Georgia" w:eastAsia="Georgia" w:hAnsi="Georgia"/>
            <w:color w:val="0563C1"/>
            <w:sz w:val="22"/>
            <w:szCs w:val="22"/>
            <w:u w:val="single"/>
          </w:rPr>
          <w:t xml:space="preserve">5. High-Dimensional and Structured Nonconvex Problems</w:t>
        </w:r>
      </w:hyperlink>
    </w:p>
    <w:p>
      <w:pPr>
        <w:spacing w:after="120"/>
      </w:pPr>
      <w:hyperlink w:history="1" w:anchor="4807">
        <w:r>
          <w:rPr>
            <w:rFonts w:ascii="Georgia" w:cs="Georgia" w:eastAsia="Georgia" w:hAnsi="Georgia"/>
            <w:color w:val="0563C1"/>
            <w:sz w:val="22"/>
            <w:szCs w:val="22"/>
            <w:u w:val="single"/>
          </w:rPr>
          <w:t xml:space="preserve">6. Minimax Optimization and GANs</w:t>
        </w:r>
      </w:hyperlink>
    </w:p>
    <w:p>
      <w:pPr>
        <w:spacing w:after="120"/>
      </w:pPr>
      <w:hyperlink w:history="1" w:anchor="4808">
        <w:r>
          <w:rPr>
            <w:rFonts w:ascii="Georgia" w:cs="Georgia" w:eastAsia="Georgia" w:hAnsi="Georgia"/>
            <w:color w:val="0563C1"/>
            <w:sz w:val="22"/>
            <w:szCs w:val="22"/>
            <w:u w:val="single"/>
          </w:rPr>
          <w:t xml:space="preserve">7. Complexity Lower Bounds and Optimal Rates</w:t>
        </w:r>
      </w:hyperlink>
    </w:p>
    <w:p>
      <w:pPr>
        <w:spacing w:after="120"/>
      </w:pPr>
      <w:hyperlink w:history="1" w:anchor="4809">
        <w:r>
          <w:rPr>
            <w:rFonts w:ascii="Georgia" w:cs="Georgia" w:eastAsia="Georgia" w:hAnsi="Georgia"/>
            <w:color w:val="0563C1"/>
            <w:sz w:val="22"/>
            <w:szCs w:val="22"/>
            <w:u w:val="single"/>
          </w:rPr>
          <w:t xml:space="preserve">8. Optimization for Statistical Learning</w:t>
        </w:r>
      </w:hyperlink>
    </w:p>
    <w:p>
      <w:pPr>
        <w:spacing w:after="120"/>
      </w:pPr>
      <w:hyperlink w:history="1" w:anchor="4810">
        <w:r>
          <w:rPr>
            <w:rFonts w:ascii="Georgia" w:cs="Georgia" w:eastAsia="Georgia" w:hAnsi="Georgia"/>
            <w:color w:val="0563C1"/>
            <w:sz w:val="22"/>
            <w:szCs w:val="22"/>
            <w:u w:val="single"/>
          </w:rPr>
          <w:t xml:space="preserve">9. Looking Ahead: From Advanced Optimization to Deep Learning, Distributed Methods, and Open Problems</w:t>
        </w:r>
      </w:hyperlink>
    </w:p>
    <w:p>
      <w:r>
        <w:br w:type="page"/>
      </w:r>
    </w:p>
    <w:p>
      <w:pPr>
        <w:pStyle w:val="Heading1"/>
        <w:spacing w:after="240" w:before="360"/>
      </w:pPr>
      <w:bookmarkStart w:name="4802" w:id="4802"/>
      <w:r>
        <w:rPr>
          <w:rFonts w:ascii="Georgia" w:cs="Georgia" w:eastAsia="Georgia" w:hAnsi="Georgia"/>
          <w:b/>
          <w:bCs/>
          <w:sz w:val="32"/>
          <w:szCs w:val="32"/>
        </w:rPr>
        <w:t xml:space="preserve">Chapter 1  ·  The Landscape of Nonconvex Optimization</w:t>
      </w:r>
      <w:bookmarkEnd w:id="4802"/>
    </w:p>
    <w:p>
      <w:pPr>
        <w:spacing w:after="200" w:line="276"/>
      </w:pPr>
      <w:r>
        <w:rPr>
          <w:rFonts w:ascii="Georgia" w:cs="Georgia" w:eastAsia="Georgia" w:hAnsi="Georgia"/>
          <w:sz w:val="22"/>
          <w:szCs w:val="22"/>
        </w:rPr>
        <w:t xml:space="preserve">Nonconvex optimization seeks minimizers of functions that lack the global geometry of convexity. Local minima need not be global; saddle points can trap first-order methods; the number of critical points can grow exponentially with dimension. Yet many problems of practical interest — phase retrieval, low-rank matrix recovery, neural-network training — possess </w:t>
      </w:r>
      <w:hyperlink w:history="1" r:id="rIdyelvhkgt6ppnpoikr5xlj">
        <w:r>
          <w:rPr>
            <w:rFonts w:ascii="Georgia" w:cs="Georgia" w:eastAsia="Georgia" w:hAnsi="Georgia"/>
            <w:color w:val="0563C1"/>
            <w:sz w:val="22"/>
            <w:szCs w:val="22"/>
            <w:u w:val="single"/>
          </w:rPr>
          <w:t xml:space="preserve">benign nonconvexity</w:t>
        </w:r>
      </w:hyperlink>
      <w:r>
        <w:rPr>
          <w:rFonts w:ascii="Georgia" w:cs="Georgia" w:eastAsia="Georgia" w:hAnsi="Georgia"/>
          <w:sz w:val="22"/>
          <w:szCs w:val="22"/>
        </w:rPr>
        <w:t xml:space="preserve">: every local minimum is global, or every strict saddle is escapable.</w:t>
      </w:r>
    </w:p>
    <w:p>
      <w:pPr>
        <w:spacing w:after="200" w:line="276"/>
      </w:pPr>
      <w:r>
        <w:rPr>
          <w:rFonts w:ascii="Georgia" w:cs="Georgia" w:eastAsia="Georgia" w:hAnsi="Georgia"/>
          <w:sz w:val="22"/>
          <w:szCs w:val="22"/>
        </w:rPr>
        <w:t xml:space="preserve">The modern program is to identify structural conditions (strict saddle property, landscape connectivity, restricted strong convexity) that restore global guarantees for local algorithms, and to design algorithms that exploit those conditions.</w:t>
      </w:r>
    </w:p>
    <w:p>
      <w:pPr>
        <w:spacing w:after="200" w:line="276"/>
      </w:pPr>
      <w:r>
        <w:rPr>
          <w:rFonts w:ascii="Georgia" w:cs="Georgia" w:eastAsia="Georgia" w:hAnsi="Georgia"/>
          <w:sz w:val="22"/>
          <w:szCs w:val="22"/>
        </w:rPr>
        <w:t xml:space="preserve">Nonconvex optimization is no longer a synonym for intractability; it is a landscape to be mapped.</w:t>
      </w:r>
    </w:p>
    <w:p>
      <w:r>
        <w:br w:type="page"/>
      </w:r>
    </w:p>
    <w:p>
      <w:pPr>
        <w:pStyle w:val="Heading1"/>
        <w:spacing w:after="240" w:before="360"/>
      </w:pPr>
      <w:bookmarkStart w:name="4803" w:id="4803"/>
      <w:r>
        <w:rPr>
          <w:rFonts w:ascii="Georgia" w:cs="Georgia" w:eastAsia="Georgia" w:hAnsi="Georgia"/>
          <w:b/>
          <w:bCs/>
          <w:sz w:val="32"/>
          <w:szCs w:val="32"/>
        </w:rPr>
        <w:t xml:space="preserve">Chapter 2  ·  Critical Points, Saddles, and Landscape Geometry</w:t>
      </w:r>
      <w:bookmarkEnd w:id="4803"/>
    </w:p>
    <w:p>
      <w:pPr>
        <w:spacing w:after="200" w:line="276"/>
      </w:pPr>
      <w:r>
        <w:rPr>
          <w:rFonts w:ascii="Georgia" w:cs="Georgia" w:eastAsia="Georgia" w:hAnsi="Georgia"/>
          <w:sz w:val="22"/>
          <w:szCs w:val="22"/>
        </w:rPr>
        <w:t xml:space="preserve">First-order critical points satisfy ∇f = 0; second-order critical points additionally have positive-semidefinite Hessian. Strict saddles have a negative curvature direction. The strict-saddle property asserts that every critical point is either a local minimum or a strict saddle; under that property, perturbed gradient methods escape saddles and converge to local minima.</w:t>
      </w:r>
    </w:p>
    <w:p>
      <w:pPr>
        <w:spacing w:after="200" w:line="276"/>
      </w:pPr>
      <w:r>
        <w:rPr>
          <w:rFonts w:ascii="Georgia" w:cs="Georgia" w:eastAsia="Georgia" w:hAnsi="Georgia"/>
          <w:sz w:val="22"/>
          <w:szCs w:val="22"/>
        </w:rPr>
        <w:t xml:space="preserve">Landscape analysis studies the geometry of sublevel sets, the connectivity of the set of global minima, and the absence of spurious local minima. For several statistical estimation problems the landscape is benign with high probability under suitable sample-size conditions.</w:t>
      </w:r>
    </w:p>
    <w:p>
      <w:pPr>
        <w:spacing w:after="200" w:line="276"/>
      </w:pPr>
      <w:r>
        <w:rPr>
          <w:rFonts w:ascii="Georgia" w:cs="Georgia" w:eastAsia="Georgia" w:hAnsi="Georgia"/>
          <w:sz w:val="22"/>
          <w:szCs w:val="22"/>
        </w:rPr>
        <w:t xml:space="preserve">Understanding the landscape is the geometric prerequisite for algorithmic success.</w:t>
      </w:r>
    </w:p>
    <w:p>
      <w:r>
        <w:br w:type="page"/>
      </w:r>
    </w:p>
    <w:p>
      <w:pPr>
        <w:pStyle w:val="Heading1"/>
        <w:spacing w:after="240" w:before="360"/>
      </w:pPr>
      <w:bookmarkStart w:name="4804" w:id="4804"/>
      <w:r>
        <w:rPr>
          <w:rFonts w:ascii="Georgia" w:cs="Georgia" w:eastAsia="Georgia" w:hAnsi="Georgia"/>
          <w:b/>
          <w:bCs/>
          <w:sz w:val="32"/>
          <w:szCs w:val="32"/>
        </w:rPr>
        <w:t xml:space="preserve">Chapter 3  ·  Stochastic Gradient Methods</w:t>
      </w:r>
      <w:bookmarkEnd w:id="4804"/>
    </w:p>
    <w:p>
      <w:pPr>
        <w:spacing w:after="200" w:line="276"/>
      </w:pPr>
      <w:r>
        <w:rPr>
          <w:rFonts w:ascii="Georgia" w:cs="Georgia" w:eastAsia="Georgia" w:hAnsi="Georgia"/>
          <w:sz w:val="22"/>
          <w:szCs w:val="22"/>
        </w:rPr>
        <w:t xml:space="preserve">Stochastic gradient descent (SGD) replaces the full gradient by an unbiased estimate computed from a single sample or a mini-batch. The method is the workhorse of large-scale machine learning. Convergence rates depend on the noise level, the step-size schedule, and the curvature of the objective.</w:t>
      </w:r>
    </w:p>
    <w:p>
      <w:pPr>
        <w:spacing w:after="200" w:line="276"/>
      </w:pPr>
      <w:r>
        <w:rPr>
          <w:rFonts w:ascii="Georgia" w:cs="Georgia" w:eastAsia="Georgia" w:hAnsi="Georgia"/>
          <w:sz w:val="22"/>
          <w:szCs w:val="22"/>
        </w:rPr>
        <w:t xml:space="preserve">In the nonconvex setting SGD converges to first-order critical points; with appropriate perturbations or noise it escapes strict saddles. Almost-sure convergence, convergence in expectation, and high-probability bounds are the principal modes of analysis. The role of batch size, learning-rate decay, and momentum is both theoretically and practically important.</w:t>
      </w:r>
    </w:p>
    <w:p>
      <w:pPr>
        <w:spacing w:after="200" w:line="276"/>
      </w:pPr>
      <w:r>
        <w:rPr>
          <w:rFonts w:ascii="Georgia" w:cs="Georgia" w:eastAsia="Georgia" w:hAnsi="Georgia"/>
          <w:sz w:val="22"/>
          <w:szCs w:val="22"/>
        </w:rPr>
        <w:t xml:space="preserve">SGD is the algorithm that made large-scale nonconvex optimization routine.</w:t>
      </w:r>
    </w:p>
    <w:p>
      <w:r>
        <w:br w:type="page"/>
      </w:r>
    </w:p>
    <w:p>
      <w:pPr>
        <w:pStyle w:val="Heading1"/>
        <w:spacing w:after="240" w:before="360"/>
      </w:pPr>
      <w:bookmarkStart w:name="4805" w:id="4805"/>
      <w:r>
        <w:rPr>
          <w:rFonts w:ascii="Georgia" w:cs="Georgia" w:eastAsia="Georgia" w:hAnsi="Georgia"/>
          <w:b/>
          <w:bCs/>
          <w:sz w:val="32"/>
          <w:szCs w:val="32"/>
        </w:rPr>
        <w:t xml:space="preserve">Chapter 4  ·  Variance Reduction and Adaptive Methods</w:t>
      </w:r>
      <w:bookmarkEnd w:id="4805"/>
    </w:p>
    <w:p>
      <w:pPr>
        <w:spacing w:after="200" w:line="276"/>
      </w:pPr>
      <w:r>
        <w:rPr>
          <w:rFonts w:ascii="Georgia" w:cs="Georgia" w:eastAsia="Georgia" w:hAnsi="Georgia"/>
          <w:sz w:val="22"/>
          <w:szCs w:val="22"/>
        </w:rPr>
        <w:t xml:space="preserve">Variance-reduction techniques (SVRG, SAGA, SARAH) construct gradient estimators whose variance vanishes as the iterate approaches a critical point, restoring linear convergence for finite-sum problems under strong convexity or the Polyak–Łojasiewicz condition. The same ideas extend to nonconvex finite-sum problems with appropriate rates.</w:t>
      </w:r>
    </w:p>
    <w:p>
      <w:pPr>
        <w:spacing w:after="200" w:line="276"/>
      </w:pPr>
      <w:r>
        <w:rPr>
          <w:rFonts w:ascii="Georgia" w:cs="Georgia" w:eastAsia="Georgia" w:hAnsi="Georgia"/>
          <w:sz w:val="22"/>
          <w:szCs w:val="22"/>
        </w:rPr>
        <w:t xml:space="preserve">Adaptive methods (AdaGrad, RMSProp, Adam) adjust step sizes coordinate-wise on the basis of historical gradient magnitudes. They are the default optimizers for deep learning. Theoretical understanding of their success — and of the conditions under which they outperform SGD — remains an active research area.</w:t>
      </w:r>
    </w:p>
    <w:p>
      <w:pPr>
        <w:spacing w:after="200" w:line="276"/>
      </w:pPr>
      <w:r>
        <w:rPr>
          <w:rFonts w:ascii="Georgia" w:cs="Georgia" w:eastAsia="Georgia" w:hAnsi="Georgia"/>
          <w:sz w:val="22"/>
          <w:szCs w:val="22"/>
        </w:rPr>
        <w:t xml:space="preserve">Variance reduction and adaptation are the two principal refinements of basic stochastic gradient descent.</w:t>
      </w:r>
    </w:p>
    <w:p>
      <w:r>
        <w:br w:type="page"/>
      </w:r>
    </w:p>
    <w:p>
      <w:pPr>
        <w:pStyle w:val="Heading1"/>
        <w:spacing w:after="240" w:before="360"/>
      </w:pPr>
      <w:bookmarkStart w:name="4806" w:id="4806"/>
      <w:r>
        <w:rPr>
          <w:rFonts w:ascii="Georgia" w:cs="Georgia" w:eastAsia="Georgia" w:hAnsi="Georgia"/>
          <w:b/>
          <w:bCs/>
          <w:sz w:val="32"/>
          <w:szCs w:val="32"/>
        </w:rPr>
        <w:t xml:space="preserve">Chapter 5  ·  High-Dimensional and Structured Nonconvex Problems</w:t>
      </w:r>
      <w:bookmarkEnd w:id="4806"/>
    </w:p>
    <w:p>
      <w:pPr>
        <w:spacing w:after="200" w:line="276"/>
      </w:pPr>
      <w:r>
        <w:rPr>
          <w:rFonts w:ascii="Georgia" w:cs="Georgia" w:eastAsia="Georgia" w:hAnsi="Georgia"/>
          <w:sz w:val="22"/>
          <w:szCs w:val="22"/>
        </w:rPr>
        <w:t xml:space="preserve">High-dimensional statistical estimation problems — sparse regression, low-rank matrix completion, phase retrieval, blind deconvolution — are naturally nonconvex when formulated in the natural parameters. Convex relaxations (ℓ¹, nuclear norm) succeed under restricted eigenvalue or RIP conditions; nonconvex methods (projected gradient, alternating minimization, Wirtinger flow) often match or exceed their performance with lower computational cost.</w:t>
      </w:r>
    </w:p>
    <w:p>
      <w:pPr>
        <w:spacing w:after="200" w:line="276"/>
      </w:pPr>
      <w:r>
        <w:rPr>
          <w:rFonts w:ascii="Georgia" w:cs="Georgia" w:eastAsia="Georgia" w:hAnsi="Georgia"/>
          <w:sz w:val="22"/>
          <w:szCs w:val="22"/>
        </w:rPr>
        <w:t xml:space="preserve">The analysis combines landscape geometry with concentration of measure and with the restricted strong convexity / smoothness properties that hold in a neighborhood of the truth. Sample-size thresholds and computational-statistical gaps are the central theoretical questions.</w:t>
      </w:r>
    </w:p>
    <w:p>
      <w:pPr>
        <w:spacing w:after="200" w:line="276"/>
      </w:pPr>
      <w:r>
        <w:rPr>
          <w:rFonts w:ascii="Georgia" w:cs="Georgia" w:eastAsia="Georgia" w:hAnsi="Georgia"/>
          <w:sz w:val="22"/>
          <w:szCs w:val="22"/>
        </w:rPr>
        <w:t xml:space="preserve">Structured nonconvexity is the setting in which advanced optimization meets high-dimensional statistics.</w:t>
      </w:r>
    </w:p>
    <w:p>
      <w:r>
        <w:br w:type="page"/>
      </w:r>
    </w:p>
    <w:p>
      <w:pPr>
        <w:pStyle w:val="Heading1"/>
        <w:spacing w:after="240" w:before="360"/>
      </w:pPr>
      <w:bookmarkStart w:name="4807" w:id="4807"/>
      <w:r>
        <w:rPr>
          <w:rFonts w:ascii="Georgia" w:cs="Georgia" w:eastAsia="Georgia" w:hAnsi="Georgia"/>
          <w:b/>
          <w:bCs/>
          <w:sz w:val="32"/>
          <w:szCs w:val="32"/>
        </w:rPr>
        <w:t xml:space="preserve">Chapter 6  ·  Minimax Optimization and GANs</w:t>
      </w:r>
      <w:bookmarkEnd w:id="4807"/>
    </w:p>
    <w:p>
      <w:pPr>
        <w:spacing w:after="200" w:line="276"/>
      </w:pPr>
      <w:r>
        <w:rPr>
          <w:rFonts w:ascii="Georgia" w:cs="Georgia" w:eastAsia="Georgia" w:hAnsi="Georgia"/>
          <w:sz w:val="22"/>
          <w:szCs w:val="22"/>
        </w:rPr>
        <w:t xml:space="preserve">Minimax problems minimize over one variable and maximize over another: min_x max_y f(x,y). They arise in game theory, in robust optimization, and in the training of generative adversarial networks (GANs). Stationarity notions (Nash equilibria, Stackelberg equilibria, variational inequalities) replace the single-objective notion of criticality.</w:t>
      </w:r>
    </w:p>
    <w:p>
      <w:pPr>
        <w:spacing w:after="200" w:line="276"/>
      </w:pPr>
      <w:r>
        <w:rPr>
          <w:rFonts w:ascii="Georgia" w:cs="Georgia" w:eastAsia="Georgia" w:hAnsi="Georgia"/>
          <w:sz w:val="22"/>
          <w:szCs w:val="22"/>
        </w:rPr>
        <w:t xml:space="preserve">Gradient-descent-ascent and its extragradient and optimistic variants converge under convex-concave assumptions; nonconvex-nonconcave minimax problems are considerably harder and can exhibit limit cycles and other non-convergent behavior. The design of reliable training algorithms for GANs remains an active interface between optimization and machine learning.</w:t>
      </w:r>
    </w:p>
    <w:p>
      <w:pPr>
        <w:spacing w:after="200" w:line="276"/>
      </w:pPr>
      <w:r>
        <w:rPr>
          <w:rFonts w:ascii="Georgia" w:cs="Georgia" w:eastAsia="Georgia" w:hAnsi="Georgia"/>
          <w:sz w:val="22"/>
          <w:szCs w:val="22"/>
        </w:rPr>
        <w:t xml:space="preserve">Minimax optimization extends the reach of the theory from single-objective to competitive multi-objective settings.</w:t>
      </w:r>
    </w:p>
    <w:p>
      <w:r>
        <w:br w:type="page"/>
      </w:r>
    </w:p>
    <w:p>
      <w:pPr>
        <w:pStyle w:val="Heading1"/>
        <w:spacing w:after="240" w:before="360"/>
      </w:pPr>
      <w:bookmarkStart w:name="4808" w:id="4808"/>
      <w:r>
        <w:rPr>
          <w:rFonts w:ascii="Georgia" w:cs="Georgia" w:eastAsia="Georgia" w:hAnsi="Georgia"/>
          <w:b/>
          <w:bCs/>
          <w:sz w:val="32"/>
          <w:szCs w:val="32"/>
        </w:rPr>
        <w:t xml:space="preserve">Chapter 7  ·  Complexity Lower Bounds and Optimal Rates</w:t>
      </w:r>
      <w:bookmarkEnd w:id="4808"/>
    </w:p>
    <w:p>
      <w:pPr>
        <w:spacing w:after="200" w:line="276"/>
      </w:pPr>
      <w:r>
        <w:rPr>
          <w:rFonts w:ascii="Georgia" w:cs="Georgia" w:eastAsia="Georgia" w:hAnsi="Georgia"/>
          <w:sz w:val="22"/>
          <w:szCs w:val="22"/>
        </w:rPr>
        <w:t xml:space="preserve">Oracle complexity lower bounds establish the best possible rates for first-order methods on classes of functions (smooth, smooth convex, strongly convex, nonconvex with Lipschitz Hessian, etc.). Matching upper bounds show that gradient descent, accelerated gradient, and their stochastic counterparts are optimal for their respective classes.</w:t>
      </w:r>
    </w:p>
    <w:p>
      <w:pPr>
        <w:spacing w:after="200" w:line="276"/>
      </w:pPr>
      <w:r>
        <w:rPr>
          <w:rFonts w:ascii="Georgia" w:cs="Georgia" w:eastAsia="Georgia" w:hAnsi="Georgia"/>
          <w:sz w:val="22"/>
          <w:szCs w:val="22"/>
        </w:rPr>
        <w:t xml:space="preserve">In the nonconvex setting the best known rates for finding ε-critical points are O(1/ε²) for deterministic gradient descent and O(1/ε⁴) for SGD under standard assumptions; improvements under additional structure (PL condition, strict saddle) are possible. Information-based complexity and continuous optimization lower bounds supply the rigorous limits.</w:t>
      </w:r>
    </w:p>
    <w:p>
      <w:pPr>
        <w:spacing w:after="200" w:line="276"/>
      </w:pPr>
      <w:r>
        <w:rPr>
          <w:rFonts w:ascii="Georgia" w:cs="Georgia" w:eastAsia="Georgia" w:hAnsi="Georgia"/>
          <w:sz w:val="22"/>
          <w:szCs w:val="22"/>
        </w:rPr>
        <w:t xml:space="preserve">Lower bounds convert “we do not know a faster algorithm” into “no faster algorithm exists within the given oracle model.”</w:t>
      </w:r>
    </w:p>
    <w:p>
      <w:r>
        <w:br w:type="page"/>
      </w:r>
    </w:p>
    <w:p>
      <w:pPr>
        <w:pStyle w:val="Heading1"/>
        <w:spacing w:after="240" w:before="360"/>
      </w:pPr>
      <w:bookmarkStart w:name="4809" w:id="4809"/>
      <w:r>
        <w:rPr>
          <w:rFonts w:ascii="Georgia" w:cs="Georgia" w:eastAsia="Georgia" w:hAnsi="Georgia"/>
          <w:b/>
          <w:bCs/>
          <w:sz w:val="32"/>
          <w:szCs w:val="32"/>
        </w:rPr>
        <w:t xml:space="preserve">Chapter 8  ·  Optimization for Statistical Learning</w:t>
      </w:r>
      <w:bookmarkEnd w:id="4809"/>
    </w:p>
    <w:p>
      <w:pPr>
        <w:spacing w:after="200" w:line="276"/>
      </w:pPr>
      <w:r>
        <w:rPr>
          <w:rFonts w:ascii="Georgia" w:cs="Georgia" w:eastAsia="Georgia" w:hAnsi="Georgia"/>
          <w:sz w:val="22"/>
          <w:szCs w:val="22"/>
        </w:rPr>
        <w:t xml:space="preserve">The interface between optimization and statistical learning asks how algorithmic choices (step size, regularization, early stopping, batch size) affect statistical risk. Implicit regularization of gradient methods on overparameterized models, the role of interpolation regimes, and the computational-statistical trade-offs of approximate optimization are the central themes.</w:t>
      </w:r>
    </w:p>
    <w:p>
      <w:pPr>
        <w:spacing w:after="200" w:line="276"/>
      </w:pPr>
      <w:r>
        <w:rPr>
          <w:rFonts w:ascii="Georgia" w:cs="Georgia" w:eastAsia="Georgia" w:hAnsi="Georgia"/>
          <w:sz w:val="22"/>
          <w:szCs w:val="22"/>
        </w:rPr>
        <w:t xml:space="preserve">Online learning and sequential prediction supply regret bounds that are both optimization and statistical guarantees. The same techniques analyze the generalization of models trained by SGD.</w:t>
      </w:r>
    </w:p>
    <w:p>
      <w:pPr>
        <w:spacing w:after="200" w:line="276"/>
      </w:pPr>
      <w:r>
        <w:rPr>
          <w:rFonts w:ascii="Georgia" w:cs="Georgia" w:eastAsia="Georgia" w:hAnsi="Georgia"/>
          <w:sz w:val="22"/>
          <w:szCs w:val="22"/>
        </w:rPr>
        <w:t xml:space="preserve">Optimization is not merely a tool for minimizing training loss; it is part of the statistical procedure itself.</w:t>
      </w:r>
    </w:p>
    <w:p>
      <w:r>
        <w:br w:type="page"/>
      </w:r>
    </w:p>
    <w:p>
      <w:pPr>
        <w:pStyle w:val="Heading1"/>
        <w:spacing w:after="240" w:before="360"/>
      </w:pPr>
      <w:bookmarkStart w:name="4810" w:id="4810"/>
      <w:r>
        <w:rPr>
          <w:rFonts w:ascii="Georgia" w:cs="Georgia" w:eastAsia="Georgia" w:hAnsi="Georgia"/>
          <w:b/>
          <w:bCs/>
          <w:sz w:val="32"/>
          <w:szCs w:val="32"/>
        </w:rPr>
        <w:t xml:space="preserve">Chapter 9  ·  Looking Ahead: From Advanced Optimization to Deep Learning, Distributed Methods, and Open Problems</w:t>
      </w:r>
      <w:bookmarkEnd w:id="4810"/>
    </w:p>
    <w:p>
      <w:pPr>
        <w:spacing w:after="200" w:line="276"/>
      </w:pPr>
      <w:r>
        <w:rPr>
          <w:rFonts w:ascii="Georgia" w:cs="Georgia" w:eastAsia="Georgia" w:hAnsi="Georgia"/>
          <w:sz w:val="22"/>
          <w:szCs w:val="22"/>
        </w:rPr>
        <w:t xml:space="preserve">We have now acquired the core of advanced optimization: nonconvex landscape geometry, stochastic and adaptive methods, structured high-dimensional problems, minimax optimization, complexity lower bounds, and the interface with statistical learning.</w:t>
      </w:r>
    </w:p>
    <w:p>
      <w:pPr>
        <w:spacing w:after="200" w:line="276"/>
      </w:pPr>
      <w:r>
        <w:rPr>
          <w:rFonts w:ascii="Georgia" w:cs="Georgia" w:eastAsia="Georgia" w:hAnsi="Georgia"/>
          <w:sz w:val="22"/>
          <w:szCs w:val="22"/>
        </w:rPr>
        <w:t xml:space="preserve">These tools open onto the training of deep neural networks (architecture-dependent landscapes, batch normalization, attention mechanisms), distributed and federated optimization (communication efficiency, heterogeneity), second-order and quasi-Newton methods for large-scale problems, and the many open questions that remain: sharp rates for nonconvex-nonconcave minimax problems, the theoretical foundation of adaptive methods, and the precise characterization of benign nonconvexity for modern architectures.</w:t>
      </w:r>
    </w:p>
    <w:p>
      <w:pPr>
        <w:spacing w:after="200" w:line="276"/>
      </w:pPr>
      <w:r>
        <w:rPr>
          <w:rFonts w:ascii="Georgia" w:cs="Georgia" w:eastAsia="Georgia" w:hAnsi="Georgia"/>
          <w:sz w:val="22"/>
          <w:szCs w:val="22"/>
        </w:rPr>
        <w:t xml:space="preserve">The deeper lesson is that nonconvexity is not an obstacle to be avoided but a landscape to be understood — and that understanding yields algorithms that succeed far beyond the classical convex regime.</w:t>
      </w:r>
    </w:p>
    <w:p>
      <w:pPr>
        <w:spacing w:after="200" w:line="276"/>
      </w:pPr>
      <w:r>
        <w:rPr>
          <w:rFonts w:ascii="Georgia" w:cs="Georgia" w:eastAsia="Georgia" w:hAnsi="Georgia"/>
          <w:sz w:val="22"/>
          <w:szCs w:val="22"/>
        </w:rPr>
        <w:t xml:space="preserve">Advanced optimization is the mathematics of hard, high-dimensional, and stochastic decision-making.</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climb the nonconvex landscape.</w:t>
      </w:r>
    </w:p>
    <w:p>
      <w:pPr>
        <w:spacing w:after="200" w:line="276"/>
      </w:pPr>
      <w:r>
        <w:rPr>
          <w:rFonts w:ascii="Georgia" w:cs="Georgia" w:eastAsia="Georgia" w:hAnsi="Georgia"/>
          <w:sz w:val="22"/>
          <w:szCs w:val="22"/>
        </w:rPr>
        <w:t xml:space="preserve">End of Book 48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Optimization (Advanced)  ·  Book 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elvhkgt6ppnpoikr5xlj" Type="http://schemas.openxmlformats.org/officeDocument/2006/relationships/hyperlink" Target="https://en.wikipedia.org/wiki/Non-convex_func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2026-08-22T06:22:49.728Z</dcterms:created>
  <dcterms:modified xsi:type="dcterms:W3CDTF">2026-08-22T06:22:49.728Z</dcterms:modified>
</cp:coreProperties>
</file>

<file path=docProps/custom.xml><?xml version="1.0" encoding="utf-8"?>
<Properties xmlns="http://schemas.openxmlformats.org/officeDocument/2006/custom-properties" xmlns:vt="http://schemas.openxmlformats.org/officeDocument/2006/docPropsVTypes"/>
</file>