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2"/>
          <w:szCs w:val="42"/>
        </w:rPr>
        <w:t xml:space="preserve">APPLIED MATHEMATICS</w:t>
      </w:r>
    </w:p>
    <w:p>
      <w:pPr>
        <w:spacing w:after="200"/>
        <w:jc w:val="center"/>
      </w:pPr>
      <w:r>
        <w:rPr>
          <w:rFonts w:ascii="Georgia" w:cs="Georgia" w:eastAsia="Georgia" w:hAnsi="Georgia"/>
          <w:b/>
          <w:bCs/>
          <w:color w:val="1F4E79"/>
          <w:sz w:val="42"/>
          <w:szCs w:val="42"/>
        </w:rPr>
        <w:t xml:space="preserve">– MODELING</w:t>
      </w:r>
    </w:p>
    <w:p>
      <w:pPr>
        <w:spacing w:after="500"/>
        <w:jc w:val="center"/>
      </w:pPr>
      <w:r>
        <w:rPr>
          <w:rFonts w:ascii="Georgia" w:cs="Georgia" w:eastAsia="Georgia" w:hAnsi="Georgia"/>
          <w:i/>
          <w:iCs/>
          <w:color w:val="5B9BD5"/>
          <w:sz w:val="18"/>
          <w:szCs w:val="18"/>
        </w:rPr>
        <w:t xml:space="preserve">From Phenomenon to Equation, and the Art of Making Mathematics Speak About the World</w:t>
      </w:r>
    </w:p>
    <w:p>
      <w:pPr>
        <w:spacing w:before="600"/>
        <w:jc w:val="center"/>
      </w:pPr>
      <w:r>
        <w:rPr>
          <w:rFonts w:ascii="Georgia" w:cs="Georgia" w:eastAsia="Georgia" w:hAnsi="Georgia"/>
          <w:color w:val="666666"/>
          <w:sz w:val="22"/>
          <w:szCs w:val="22"/>
        </w:rPr>
        <w:t xml:space="preserve">Book 50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5000" w:id="5000"/>
      <w:r>
        <w:rPr>
          <w:rFonts w:ascii="Georgia" w:cs="Georgia" w:eastAsia="Georgia" w:hAnsi="Georgia"/>
          <w:b/>
          <w:bCs/>
          <w:sz w:val="32"/>
          <w:szCs w:val="32"/>
        </w:rPr>
        <w:t xml:space="preserve">Preface</w:t>
      </w:r>
      <w:bookmarkEnd w:id="5000"/>
    </w:p>
    <w:p>
      <w:pPr>
        <w:spacing w:after="200"/>
      </w:pPr>
      <w:r>
        <w:rPr>
          <w:rFonts w:ascii="Georgia" w:cs="Georgia" w:eastAsia="Georgia" w:hAnsi="Georgia"/>
          <w:i/>
          <w:iCs/>
          <w:sz w:val="22"/>
          <w:szCs w:val="22"/>
        </w:rPr>
        <w:t xml:space="preserve">(Or: How We Learned to Turn the World into Equations — and Equations Back into Understanding)</w:t>
      </w:r>
    </w:p>
    <w:p>
      <w:pPr>
        <w:spacing w:after="200" w:line="276"/>
      </w:pPr>
      <w:r>
        <w:rPr>
          <w:rFonts w:ascii="Georgia" w:cs="Georgia" w:eastAsia="Georgia" w:hAnsi="Georgia"/>
          <w:sz w:val="22"/>
          <w:szCs w:val="22"/>
        </w:rPr>
        <w:t xml:space="preserve">The preceding forty-nine books built a tower of mathematical tools: from counting and algebra through calculus, geometry, analysis, probability, and computation. The present book is about using that tower. Mathematical modeling is the art of translating a phenomenon — physical, biological, social, technological — into a mathematical structure, analyzing the structure, and interpreting the results as statements about the phenomenon.</w:t>
      </w:r>
    </w:p>
    <w:p>
      <w:pPr>
        <w:spacing w:after="200" w:line="276"/>
      </w:pPr>
      <w:r>
        <w:rPr>
          <w:rFonts w:ascii="Georgia" w:cs="Georgia" w:eastAsia="Georgia" w:hAnsi="Georgia"/>
          <w:sz w:val="22"/>
          <w:szCs w:val="22"/>
        </w:rPr>
        <w:t xml:space="preserve">A model is never the world; it is a deliberate simplification chosen so that the mathematics is tractable and the conclusions are relevant. The modeler’s craft lies in deciding what to include, what to omit, what to approximate, and how to check that the omissions and approximations have not destroyed the connection to reality. Dimensional analysis, scaling, asymptotic reasoning, and the confrontation of model predictions with data are the daily instruments of that craft.</w:t>
      </w:r>
    </w:p>
    <w:p>
      <w:pPr>
        <w:spacing w:after="200" w:line="276"/>
      </w:pPr>
      <w:r>
        <w:rPr>
          <w:rFonts w:ascii="Georgia" w:cs="Georgia" w:eastAsia="Georgia" w:hAnsi="Georgia"/>
          <w:sz w:val="22"/>
          <w:szCs w:val="22"/>
        </w:rPr>
        <w:t xml:space="preserve">This book develops the modeling process itself: the stages from observation to equation to analysis to validation, the principal classes of models (discrete, continuous, stochastic, hybrid), and a selection of case studies drawn from mechanics, biology, epidemiology, finance, and data-driven modeling. The treatment is synthetic: it assumes the mathematical tools of the series and focuses on how those tools are chosen and combined.</w:t>
      </w:r>
    </w:p>
    <w:p>
      <w:pPr>
        <w:spacing w:after="200" w:line="276"/>
      </w:pPr>
      <w:r>
        <w:rPr>
          <w:rFonts w:ascii="Georgia" w:cs="Georgia" w:eastAsia="Georgia" w:hAnsi="Georgia"/>
          <w:sz w:val="22"/>
          <w:szCs w:val="22"/>
        </w:rPr>
        <w:t xml:space="preserve">A small confession: modeling is the least tidy of mathematical activities. Real phenomena do not announce which equation they satisfy. The same phenomenon may be modeled by an ODE, a PDE, a stochastic process, or a discrete automaton, depending on the scale and the question. Learning to live with that plurality — and to choose among models with open eyes — is the final skill the series aims to cultivate.</w:t>
      </w:r>
    </w:p>
    <w:p>
      <w:pPr>
        <w:spacing w:after="200" w:line="276"/>
      </w:pPr>
      <w:r>
        <w:rPr>
          <w:rFonts w:ascii="Georgia" w:cs="Georgia" w:eastAsia="Georgia" w:hAnsi="Georgia"/>
          <w:sz w:val="22"/>
          <w:szCs w:val="22"/>
        </w:rPr>
        <w:t xml:space="preserve">If the earlier books taught us the language of mathematics, modeling teaches us to speak about the world in that language.</w:t>
      </w:r>
    </w:p>
    <w:p>
      <w:pPr>
        <w:spacing w:after="200" w:line="276"/>
      </w:pPr>
      <w:r>
        <w:rPr>
          <w:rFonts w:ascii="Georgia" w:cs="Georgia" w:eastAsia="Georgia" w:hAnsi="Georgia"/>
          <w:sz w:val="22"/>
          <w:szCs w:val="22"/>
        </w:rPr>
        <w:t xml:space="preserve">Let’s build models.</w:t>
      </w:r>
    </w:p>
    <w:p>
      <w:r>
        <w:br w:type="page"/>
      </w:r>
    </w:p>
    <w:p>
      <w:pPr>
        <w:pStyle w:val="Heading1"/>
        <w:spacing w:after="240" w:before="360"/>
      </w:pPr>
      <w:bookmarkStart w:name="5001" w:id="5001"/>
      <w:r>
        <w:rPr>
          <w:rFonts w:ascii="Georgia" w:cs="Georgia" w:eastAsia="Georgia" w:hAnsi="Georgia"/>
          <w:b/>
          <w:bCs/>
          <w:sz w:val="32"/>
          <w:szCs w:val="32"/>
        </w:rPr>
        <w:t xml:space="preserve">Table of Contents</w:t>
      </w:r>
      <w:bookmarkEnd w:id="5001"/>
    </w:p>
    <w:p>
      <w:pPr>
        <w:spacing w:after="120"/>
      </w:pPr>
      <w:hyperlink w:history="1" w:anchor="5002">
        <w:r>
          <w:rPr>
            <w:rFonts w:ascii="Georgia" w:cs="Georgia" w:eastAsia="Georgia" w:hAnsi="Georgia"/>
            <w:color w:val="0563C1"/>
            <w:sz w:val="22"/>
            <w:szCs w:val="22"/>
            <w:u w:val="single"/>
          </w:rPr>
          <w:t xml:space="preserve">1. What Mathematical Modeling Actually Is</w:t>
        </w:r>
      </w:hyperlink>
    </w:p>
    <w:p>
      <w:pPr>
        <w:spacing w:after="120"/>
      </w:pPr>
      <w:hyperlink w:history="1" w:anchor="5003">
        <w:r>
          <w:rPr>
            <w:rFonts w:ascii="Georgia" w:cs="Georgia" w:eastAsia="Georgia" w:hAnsi="Georgia"/>
            <w:color w:val="0563C1"/>
            <w:sz w:val="22"/>
            <w:szCs w:val="22"/>
            <w:u w:val="single"/>
          </w:rPr>
          <w:t xml:space="preserve">2. The Modeling Process: From Phenomenon to Equation</w:t>
        </w:r>
      </w:hyperlink>
    </w:p>
    <w:p>
      <w:pPr>
        <w:spacing w:after="120"/>
      </w:pPr>
      <w:hyperlink w:history="1" w:anchor="5004">
        <w:r>
          <w:rPr>
            <w:rFonts w:ascii="Georgia" w:cs="Georgia" w:eastAsia="Georgia" w:hAnsi="Georgia"/>
            <w:color w:val="0563C1"/>
            <w:sz w:val="22"/>
            <w:szCs w:val="22"/>
            <w:u w:val="single"/>
          </w:rPr>
          <w:t xml:space="preserve">3. Scaling, Dimensional Analysis, and Dimensionless Models</w:t>
        </w:r>
      </w:hyperlink>
    </w:p>
    <w:p>
      <w:pPr>
        <w:spacing w:after="120"/>
      </w:pPr>
      <w:hyperlink w:history="1" w:anchor="5005">
        <w:r>
          <w:rPr>
            <w:rFonts w:ascii="Georgia" w:cs="Georgia" w:eastAsia="Georgia" w:hAnsi="Georgia"/>
            <w:color w:val="0563C1"/>
            <w:sz w:val="22"/>
            <w:szCs w:val="22"/>
            <w:u w:val="single"/>
          </w:rPr>
          <w:t xml:space="preserve">4. Discrete and Continuous Models</w:t>
        </w:r>
      </w:hyperlink>
    </w:p>
    <w:p>
      <w:pPr>
        <w:spacing w:after="120"/>
      </w:pPr>
      <w:hyperlink w:history="1" w:anchor="5006">
        <w:r>
          <w:rPr>
            <w:rFonts w:ascii="Georgia" w:cs="Georgia" w:eastAsia="Georgia" w:hAnsi="Georgia"/>
            <w:color w:val="0563C1"/>
            <w:sz w:val="22"/>
            <w:szCs w:val="22"/>
            <w:u w:val="single"/>
          </w:rPr>
          <w:t xml:space="preserve">5. Stochastic Models and Uncertainty</w:t>
        </w:r>
      </w:hyperlink>
    </w:p>
    <w:p>
      <w:pPr>
        <w:spacing w:after="120"/>
      </w:pPr>
      <w:hyperlink w:history="1" w:anchor="5007">
        <w:r>
          <w:rPr>
            <w:rFonts w:ascii="Georgia" w:cs="Georgia" w:eastAsia="Georgia" w:hAnsi="Georgia"/>
            <w:color w:val="0563C1"/>
            <w:sz w:val="22"/>
            <w:szCs w:val="22"/>
            <w:u w:val="single"/>
          </w:rPr>
          <w:t xml:space="preserve">6. Case Studies: Mechanics, Biology, and Epidemiology</w:t>
        </w:r>
      </w:hyperlink>
    </w:p>
    <w:p>
      <w:pPr>
        <w:spacing w:after="120"/>
      </w:pPr>
      <w:hyperlink w:history="1" w:anchor="5008">
        <w:r>
          <w:rPr>
            <w:rFonts w:ascii="Georgia" w:cs="Georgia" w:eastAsia="Georgia" w:hAnsi="Georgia"/>
            <w:color w:val="0563C1"/>
            <w:sz w:val="22"/>
            <w:szCs w:val="22"/>
            <w:u w:val="single"/>
          </w:rPr>
          <w:t xml:space="preserve">7. Data-Driven and Hybrid Modeling</w:t>
        </w:r>
      </w:hyperlink>
    </w:p>
    <w:p>
      <w:pPr>
        <w:spacing w:after="120"/>
      </w:pPr>
      <w:hyperlink w:history="1" w:anchor="5009">
        <w:r>
          <w:rPr>
            <w:rFonts w:ascii="Georgia" w:cs="Georgia" w:eastAsia="Georgia" w:hAnsi="Georgia"/>
            <w:color w:val="0563C1"/>
            <w:sz w:val="22"/>
            <w:szCs w:val="22"/>
            <w:u w:val="single"/>
          </w:rPr>
          <w:t xml:space="preserve">8. Validation, Falsification, and Model Selection</w:t>
        </w:r>
      </w:hyperlink>
    </w:p>
    <w:p>
      <w:pPr>
        <w:spacing w:after="120"/>
      </w:pPr>
      <w:hyperlink w:history="1" w:anchor="5010">
        <w:r>
          <w:rPr>
            <w:rFonts w:ascii="Georgia" w:cs="Georgia" w:eastAsia="Georgia" w:hAnsi="Georgia"/>
            <w:color w:val="0563C1"/>
            <w:sz w:val="22"/>
            <w:szCs w:val="22"/>
            <w:u w:val="single"/>
          </w:rPr>
          <w:t xml:space="preserve">9. Looking Back and Looking Ahead: The Tower and What Lies Beyond</w:t>
        </w:r>
      </w:hyperlink>
    </w:p>
    <w:p>
      <w:r>
        <w:br w:type="page"/>
      </w:r>
    </w:p>
    <w:p>
      <w:pPr>
        <w:pStyle w:val="Heading1"/>
        <w:spacing w:after="240" w:before="360"/>
      </w:pPr>
      <w:bookmarkStart w:name="5002" w:id="5002"/>
      <w:r>
        <w:rPr>
          <w:rFonts w:ascii="Georgia" w:cs="Georgia" w:eastAsia="Georgia" w:hAnsi="Georgia"/>
          <w:b/>
          <w:bCs/>
          <w:sz w:val="32"/>
          <w:szCs w:val="32"/>
        </w:rPr>
        <w:t xml:space="preserve">Chapter 1  ·  What Mathematical Modeling Actually Is</w:t>
      </w:r>
      <w:bookmarkEnd w:id="5002"/>
    </w:p>
    <w:p>
      <w:pPr>
        <w:spacing w:after="200" w:line="276"/>
      </w:pPr>
      <w:hyperlink w:history="1" r:id="rIdujqc1vnj9iye6kdkn54zy">
        <w:r>
          <w:rPr>
            <w:rFonts w:ascii="Georgia" w:cs="Georgia" w:eastAsia="Georgia" w:hAnsi="Georgia"/>
            <w:color w:val="0563C1"/>
            <w:sz w:val="22"/>
            <w:szCs w:val="22"/>
            <w:u w:val="single"/>
          </w:rPr>
          <w:t xml:space="preserve">Mathematical modeling</w:t>
        </w:r>
      </w:hyperlink>
      <w:r>
        <w:rPr>
          <w:rFonts w:ascii="Georgia" w:cs="Georgia" w:eastAsia="Georgia" w:hAnsi="Georgia"/>
          <w:sz w:val="22"/>
          <w:szCs w:val="22"/>
        </w:rPr>
        <w:t xml:space="preserve"> is the construction of mathematical structures that represent selected features of a real-world system, for the purpose of understanding, predicting, or controlling that system. A model is defined by its variables, its equations (or algorithms), its parameters, and its domain of intended validity.</w:t>
      </w:r>
    </w:p>
    <w:p>
      <w:pPr>
        <w:spacing w:after="200" w:line="276"/>
      </w:pPr>
      <w:r>
        <w:rPr>
          <w:rFonts w:ascii="Georgia" w:cs="Georgia" w:eastAsia="Georgia" w:hAnsi="Georgia"/>
          <w:sz w:val="22"/>
          <w:szCs w:val="22"/>
        </w:rPr>
        <w:t xml:space="preserve">Models are judged by fidelity (agreement with observation), tractability (amenability to analysis or computation), and usefulness (relevance to the question being asked). No model optimizes all three at once; the modeler’s task is to navigate the trade-offs.</w:t>
      </w:r>
    </w:p>
    <w:p>
      <w:pPr>
        <w:spacing w:after="200" w:line="276"/>
      </w:pPr>
      <w:r>
        <w:rPr>
          <w:rFonts w:ascii="Georgia" w:cs="Georgia" w:eastAsia="Georgia" w:hAnsi="Georgia"/>
          <w:sz w:val="22"/>
          <w:szCs w:val="22"/>
        </w:rPr>
        <w:t xml:space="preserve">Modeling is the applied face of mathematics and the reason the tower of the preceding books was built.</w:t>
      </w:r>
    </w:p>
    <w:p>
      <w:r>
        <w:br w:type="page"/>
      </w:r>
    </w:p>
    <w:p>
      <w:pPr>
        <w:pStyle w:val="Heading1"/>
        <w:spacing w:after="240" w:before="360"/>
      </w:pPr>
      <w:bookmarkStart w:name="5003" w:id="5003"/>
      <w:r>
        <w:rPr>
          <w:rFonts w:ascii="Georgia" w:cs="Georgia" w:eastAsia="Georgia" w:hAnsi="Georgia"/>
          <w:b/>
          <w:bCs/>
          <w:sz w:val="32"/>
          <w:szCs w:val="32"/>
        </w:rPr>
        <w:t xml:space="preserve">Chapter 2  ·  The Modeling Process: From Phenomenon to Equation</w:t>
      </w:r>
      <w:bookmarkEnd w:id="5003"/>
    </w:p>
    <w:p>
      <w:pPr>
        <w:spacing w:after="200" w:line="276"/>
      </w:pPr>
      <w:r>
        <w:rPr>
          <w:rFonts w:ascii="Georgia" w:cs="Georgia" w:eastAsia="Georgia" w:hAnsi="Georgia"/>
          <w:sz w:val="22"/>
          <w:szCs w:val="22"/>
        </w:rPr>
        <w:t xml:space="preserve">The modeling process typically proceeds through stages: observation and question formulation; identification of relevant quantities and mechanisms; choice of mathematical framework (ODE, PDE, stochastic process, discrete structure); derivation or postulate of equations; nondimensionalization and simplification; analysis or simulation; confrontation with data; revision. The stages are iterative rather than linear.</w:t>
      </w:r>
    </w:p>
    <w:p>
      <w:pPr>
        <w:spacing w:after="200" w:line="276"/>
      </w:pPr>
      <w:r>
        <w:rPr>
          <w:rFonts w:ascii="Georgia" w:cs="Georgia" w:eastAsia="Georgia" w:hAnsi="Georgia"/>
          <w:sz w:val="22"/>
          <w:szCs w:val="22"/>
        </w:rPr>
        <w:t xml:space="preserve">Mechanistic models are built from first principles (conservation laws, constitutive relations, force balances). Phenomenological models are built from observed patterns (growth curves, response functions). Both styles are legitimate; the choice depends on the available knowledge and the purpose of the model.</w:t>
      </w:r>
    </w:p>
    <w:p>
      <w:pPr>
        <w:spacing w:after="200" w:line="276"/>
      </w:pPr>
      <w:r>
        <w:rPr>
          <w:rFonts w:ascii="Georgia" w:cs="Georgia" w:eastAsia="Georgia" w:hAnsi="Georgia"/>
          <w:sz w:val="22"/>
          <w:szCs w:val="22"/>
        </w:rPr>
        <w:t xml:space="preserve">The process is as much a craft as a science; experience and judgment matter.</w:t>
      </w:r>
    </w:p>
    <w:p>
      <w:r>
        <w:br w:type="page"/>
      </w:r>
    </w:p>
    <w:p>
      <w:pPr>
        <w:pStyle w:val="Heading1"/>
        <w:spacing w:after="240" w:before="360"/>
      </w:pPr>
      <w:bookmarkStart w:name="5004" w:id="5004"/>
      <w:r>
        <w:rPr>
          <w:rFonts w:ascii="Georgia" w:cs="Georgia" w:eastAsia="Georgia" w:hAnsi="Georgia"/>
          <w:b/>
          <w:bCs/>
          <w:sz w:val="32"/>
          <w:szCs w:val="32"/>
        </w:rPr>
        <w:t xml:space="preserve">Chapter 3  ·  Scaling, Dimensional Analysis, and Dimensionless Models</w:t>
      </w:r>
      <w:bookmarkEnd w:id="5004"/>
    </w:p>
    <w:p>
      <w:pPr>
        <w:spacing w:after="200" w:line="276"/>
      </w:pPr>
      <w:r>
        <w:rPr>
          <w:rFonts w:ascii="Georgia" w:cs="Georgia" w:eastAsia="Georgia" w:hAnsi="Georgia"/>
          <w:sz w:val="22"/>
          <w:szCs w:val="22"/>
        </w:rPr>
        <w:t xml:space="preserve">Dimensional analysis extracts constraints on the form of a relation from the dimensions of the quantities involved. Buckingham’s Pi theorem systematically produces dimensionless groups. Scaling estimates the relative size of terms in an equation and identifies which terms may be neglected in a given regime.</w:t>
      </w:r>
    </w:p>
    <w:p>
      <w:pPr>
        <w:spacing w:after="200" w:line="276"/>
      </w:pPr>
      <w:r>
        <w:rPr>
          <w:rFonts w:ascii="Georgia" w:cs="Georgia" w:eastAsia="Georgia" w:hAnsi="Georgia"/>
          <w:sz w:val="22"/>
          <w:szCs w:val="22"/>
        </w:rPr>
        <w:t xml:space="preserve">Nondimensionalization converts a dimensional model into a dimensionless one whose parameters are pure numbers. The dimensionless parameters (Reynolds number, Froude number, Damköhler number, basic reproduction number) classify regimes and permit the comparison of systems of different sizes.</w:t>
      </w:r>
    </w:p>
    <w:p>
      <w:pPr>
        <w:spacing w:after="200" w:line="276"/>
      </w:pPr>
      <w:r>
        <w:rPr>
          <w:rFonts w:ascii="Georgia" w:cs="Georgia" w:eastAsia="Georgia" w:hAnsi="Georgia"/>
          <w:sz w:val="22"/>
          <w:szCs w:val="22"/>
        </w:rPr>
        <w:t xml:space="preserve">Scaling and dimensional analysis are the first and often the most powerful tools of the modeler; they cost little and prevent many mistakes.</w:t>
      </w:r>
    </w:p>
    <w:p>
      <w:r>
        <w:br w:type="page"/>
      </w:r>
    </w:p>
    <w:p>
      <w:pPr>
        <w:pStyle w:val="Heading1"/>
        <w:spacing w:after="240" w:before="360"/>
      </w:pPr>
      <w:bookmarkStart w:name="5005" w:id="5005"/>
      <w:r>
        <w:rPr>
          <w:rFonts w:ascii="Georgia" w:cs="Georgia" w:eastAsia="Georgia" w:hAnsi="Georgia"/>
          <w:b/>
          <w:bCs/>
          <w:sz w:val="32"/>
          <w:szCs w:val="32"/>
        </w:rPr>
        <w:t xml:space="preserve">Chapter 4  ·  Discrete and Continuous Models</w:t>
      </w:r>
      <w:bookmarkEnd w:id="5005"/>
    </w:p>
    <w:p>
      <w:pPr>
        <w:spacing w:after="200" w:line="276"/>
      </w:pPr>
      <w:r>
        <w:rPr>
          <w:rFonts w:ascii="Georgia" w:cs="Georgia" w:eastAsia="Georgia" w:hAnsi="Georgia"/>
          <w:sz w:val="22"/>
          <w:szCs w:val="22"/>
        </w:rPr>
        <w:t xml:space="preserve">Discrete models (difference equations, cellular automata, agent-based models, graph-based models) evolve a finite or countable state in discrete time. Continuous models (ODEs, PDEs, delay equations, integral equations) evolve a continuum state in continuous time. The choice is determined by the natural scale of the phenomenon and by the available mathematics.</w:t>
      </w:r>
    </w:p>
    <w:p>
      <w:pPr>
        <w:spacing w:after="200" w:line="276"/>
      </w:pPr>
      <w:r>
        <w:rPr>
          <w:rFonts w:ascii="Georgia" w:cs="Georgia" w:eastAsia="Georgia" w:hAnsi="Georgia"/>
          <w:sz w:val="22"/>
          <w:szCs w:val="22"/>
        </w:rPr>
        <w:t xml:space="preserve">Continuum limits of discrete models (and discretizations of continuum models) connect the two worlds. Mean-field limits of interacting particle systems, hydrodynamic limits, and homogenization are the rigorous bridges. Hybrid models combine discrete and continuous components when different parts of the system demand different descriptions.</w:t>
      </w:r>
    </w:p>
    <w:p>
      <w:pPr>
        <w:spacing w:after="200" w:line="276"/>
      </w:pPr>
      <w:r>
        <w:rPr>
          <w:rFonts w:ascii="Georgia" w:cs="Georgia" w:eastAsia="Georgia" w:hAnsi="Georgia"/>
          <w:sz w:val="22"/>
          <w:szCs w:val="22"/>
        </w:rPr>
        <w:t xml:space="preserve">The discrete–continuous dichotomy is one of the fundamental modeling choices; both sides of the dichotomy are essential.</w:t>
      </w:r>
    </w:p>
    <w:p>
      <w:r>
        <w:br w:type="page"/>
      </w:r>
    </w:p>
    <w:p>
      <w:pPr>
        <w:pStyle w:val="Heading1"/>
        <w:spacing w:after="240" w:before="360"/>
      </w:pPr>
      <w:bookmarkStart w:name="5006" w:id="5006"/>
      <w:r>
        <w:rPr>
          <w:rFonts w:ascii="Georgia" w:cs="Georgia" w:eastAsia="Georgia" w:hAnsi="Georgia"/>
          <w:b/>
          <w:bCs/>
          <w:sz w:val="32"/>
          <w:szCs w:val="32"/>
        </w:rPr>
        <w:t xml:space="preserve">Chapter 5  ·  Stochastic Models and Uncertainty</w:t>
      </w:r>
      <w:bookmarkEnd w:id="5006"/>
    </w:p>
    <w:p>
      <w:pPr>
        <w:spacing w:after="200" w:line="276"/>
      </w:pPr>
      <w:r>
        <w:rPr>
          <w:rFonts w:ascii="Georgia" w:cs="Georgia" w:eastAsia="Georgia" w:hAnsi="Georgia"/>
          <w:sz w:val="22"/>
          <w:szCs w:val="22"/>
        </w:rPr>
        <w:t xml:space="preserve">Stochastic models incorporate randomness explicitly: birth–death processes, stochastic differential equations, random walks, branching processes, Markov chains. They are appropriate when fluctuations matter — small populations, noisy environments, intrinsic demographic stochasticity — or when the modeler’s knowledge is incomplete.</w:t>
      </w:r>
    </w:p>
    <w:p>
      <w:pPr>
        <w:spacing w:after="200" w:line="276"/>
      </w:pPr>
      <w:r>
        <w:rPr>
          <w:rFonts w:ascii="Georgia" w:cs="Georgia" w:eastAsia="Georgia" w:hAnsi="Georgia"/>
          <w:sz w:val="22"/>
          <w:szCs w:val="22"/>
        </w:rPr>
        <w:t xml:space="preserve">Uncertainty quantification (Book 49) treats parameters and even model structure as uncertain and propagates that uncertainty to predictions. Bayesian calibration updates parameter distributions from data. Model discrepancy accounts for the systematic difference between model and reality.</w:t>
      </w:r>
    </w:p>
    <w:p>
      <w:pPr>
        <w:spacing w:after="200" w:line="276"/>
      </w:pPr>
      <w:r>
        <w:rPr>
          <w:rFonts w:ascii="Georgia" w:cs="Georgia" w:eastAsia="Georgia" w:hAnsi="Georgia"/>
          <w:sz w:val="22"/>
          <w:szCs w:val="22"/>
        </w:rPr>
        <w:t xml:space="preserve">Stochasticity and uncertainty are not defects of a model; they are features of the world and of our knowledge of it.</w:t>
      </w:r>
    </w:p>
    <w:p>
      <w:r>
        <w:br w:type="page"/>
      </w:r>
    </w:p>
    <w:p>
      <w:pPr>
        <w:pStyle w:val="Heading1"/>
        <w:spacing w:after="240" w:before="360"/>
      </w:pPr>
      <w:bookmarkStart w:name="5007" w:id="5007"/>
      <w:r>
        <w:rPr>
          <w:rFonts w:ascii="Georgia" w:cs="Georgia" w:eastAsia="Georgia" w:hAnsi="Georgia"/>
          <w:b/>
          <w:bCs/>
          <w:sz w:val="32"/>
          <w:szCs w:val="32"/>
        </w:rPr>
        <w:t xml:space="preserve">Chapter 6  ·  Case Studies: Mechanics, Biology, and Epidemiology</w:t>
      </w:r>
      <w:bookmarkEnd w:id="5007"/>
    </w:p>
    <w:p>
      <w:pPr>
        <w:spacing w:after="200" w:line="276"/>
      </w:pPr>
      <w:r>
        <w:rPr>
          <w:rFonts w:ascii="Georgia" w:cs="Georgia" w:eastAsia="Georgia" w:hAnsi="Georgia"/>
          <w:sz w:val="22"/>
          <w:szCs w:val="22"/>
        </w:rPr>
        <w:t xml:space="preserve">Classical mechanics supplies the template: Newton’s laws, Lagrangian and Hamiltonian formulations, continuum limits, and the hierarchy of models from particles to rigid bodies to continua. The same template reappears, with different constitutive laws, in elasticity, fluid dynamics, and plasticity.</w:t>
      </w:r>
    </w:p>
    <w:p>
      <w:pPr>
        <w:spacing w:after="200" w:line="276"/>
      </w:pPr>
      <w:r>
        <w:rPr>
          <w:rFonts w:ascii="Georgia" w:cs="Georgia" w:eastAsia="Georgia" w:hAnsi="Georgia"/>
          <w:sz w:val="22"/>
          <w:szCs w:val="22"/>
        </w:rPr>
        <w:t xml:space="preserve">Biological modeling ranges from enzyme kinetics and ion channels to population dynamics, pattern formation (Turing), and physiological control systems. The models are often nonlinear, spatially structured, and parameterized by quantities that are difficult to measure.</w:t>
      </w:r>
    </w:p>
    <w:p>
      <w:pPr>
        <w:spacing w:after="200" w:line="276"/>
      </w:pPr>
      <w:r>
        <w:rPr>
          <w:rFonts w:ascii="Georgia" w:cs="Georgia" w:eastAsia="Georgia" w:hAnsi="Georgia"/>
          <w:sz w:val="22"/>
          <w:szCs w:val="22"/>
        </w:rPr>
        <w:t xml:space="preserve">Epidemiological models (SIR and its descendants) illustrate the full modeling cycle: compartmental structure from first principles, basic reproduction number from linearization, intervention scenarios from simulation, and confrontation with incidence data. The COVID-19 pandemic made the strengths and limitations of such models visible to a wide public.</w:t>
      </w:r>
    </w:p>
    <w:p>
      <w:pPr>
        <w:spacing w:after="200" w:line="276"/>
      </w:pPr>
      <w:r>
        <w:rPr>
          <w:rFonts w:ascii="Georgia" w:cs="Georgia" w:eastAsia="Georgia" w:hAnsi="Georgia"/>
          <w:sz w:val="22"/>
          <w:szCs w:val="22"/>
        </w:rPr>
        <w:t xml:space="preserve">Case studies are where the abstract process becomes concrete; they are the modeler’s apprenticeship.</w:t>
      </w:r>
    </w:p>
    <w:p>
      <w:r>
        <w:br w:type="page"/>
      </w:r>
    </w:p>
    <w:p>
      <w:pPr>
        <w:pStyle w:val="Heading1"/>
        <w:spacing w:after="240" w:before="360"/>
      </w:pPr>
      <w:bookmarkStart w:name="5008" w:id="5008"/>
      <w:r>
        <w:rPr>
          <w:rFonts w:ascii="Georgia" w:cs="Georgia" w:eastAsia="Georgia" w:hAnsi="Georgia"/>
          <w:b/>
          <w:bCs/>
          <w:sz w:val="32"/>
          <w:szCs w:val="32"/>
        </w:rPr>
        <w:t xml:space="preserve">Chapter 7  ·  Data-Driven and Hybrid Modeling</w:t>
      </w:r>
      <w:bookmarkEnd w:id="5008"/>
    </w:p>
    <w:p>
      <w:pPr>
        <w:spacing w:after="200" w:line="276"/>
      </w:pPr>
      <w:r>
        <w:rPr>
          <w:rFonts w:ascii="Georgia" w:cs="Georgia" w:eastAsia="Georgia" w:hAnsi="Georgia"/>
          <w:sz w:val="22"/>
          <w:szCs w:val="22"/>
        </w:rPr>
        <w:t xml:space="preserve">Data-driven models infer structure from observations rather than from first principles: statistical regression, machine-learning surrogates, sparse identification of nonlinear dynamics (SINDy), dynamic mode decomposition, and physics-informed neural networks. They excel when the mechanisms are unknown or too complex to write down.</w:t>
      </w:r>
    </w:p>
    <w:p>
      <w:pPr>
        <w:spacing w:after="200" w:line="276"/>
      </w:pPr>
      <w:r>
        <w:rPr>
          <w:rFonts w:ascii="Georgia" w:cs="Georgia" w:eastAsia="Georgia" w:hAnsi="Georgia"/>
          <w:sz w:val="22"/>
          <w:szCs w:val="22"/>
        </w:rPr>
        <w:t xml:space="preserve">Hybrid models combine mechanistic structure with data-driven components: a differential equation whose right-hand side is a learned function, a conservation law closed by a data-fitted constitutive relation, a stochastic model whose rates are estimated from data. The hybrid approach seeks the best of both worlds — interpretability and flexibility.</w:t>
      </w:r>
    </w:p>
    <w:p>
      <w:pPr>
        <w:spacing w:after="200" w:line="276"/>
      </w:pPr>
      <w:r>
        <w:rPr>
          <w:rFonts w:ascii="Georgia" w:cs="Georgia" w:eastAsia="Georgia" w:hAnsi="Georgia"/>
          <w:sz w:val="22"/>
          <w:szCs w:val="22"/>
        </w:rPr>
        <w:t xml:space="preserve">The rise of data-driven methods does not abolish mechanistic modeling; it enlarges the toolkit and changes the division of labor between principle and data.</w:t>
      </w:r>
    </w:p>
    <w:p>
      <w:r>
        <w:br w:type="page"/>
      </w:r>
    </w:p>
    <w:p>
      <w:pPr>
        <w:pStyle w:val="Heading1"/>
        <w:spacing w:after="240" w:before="360"/>
      </w:pPr>
      <w:bookmarkStart w:name="5009" w:id="5009"/>
      <w:r>
        <w:rPr>
          <w:rFonts w:ascii="Georgia" w:cs="Georgia" w:eastAsia="Georgia" w:hAnsi="Georgia"/>
          <w:b/>
          <w:bCs/>
          <w:sz w:val="32"/>
          <w:szCs w:val="32"/>
        </w:rPr>
        <w:t xml:space="preserve">Chapter 8  ·  Validation, Falsification, and Model Selection</w:t>
      </w:r>
      <w:bookmarkEnd w:id="5009"/>
    </w:p>
    <w:p>
      <w:pPr>
        <w:spacing w:after="200" w:line="276"/>
      </w:pPr>
      <w:r>
        <w:rPr>
          <w:rFonts w:ascii="Georgia" w:cs="Georgia" w:eastAsia="Georgia" w:hAnsi="Georgia"/>
          <w:sz w:val="22"/>
          <w:szCs w:val="22"/>
        </w:rPr>
        <w:t xml:space="preserve">A model is validated by comparing its predictions to observations that were not used in its construction. Cross-validation, out-of-sample testing, and prospective prediction are the standard tools. Falsification — the decisive disagreement of prediction and observation — is the sharpest form of scientific progress; it forces revision or abandonment.</w:t>
      </w:r>
    </w:p>
    <w:p>
      <w:pPr>
        <w:spacing w:after="200" w:line="276"/>
      </w:pPr>
      <w:r>
        <w:rPr>
          <w:rFonts w:ascii="Georgia" w:cs="Georgia" w:eastAsia="Georgia" w:hAnsi="Georgia"/>
          <w:sz w:val="22"/>
          <w:szCs w:val="22"/>
        </w:rPr>
        <w:t xml:space="preserve">Model selection chooses among competing models by balancing fit and complexity (AIC, BIC, cross-validation error, Bayesian evidence). Occam’s razor is formalized as a preference for models that achieve adequate fit with fewer parameters or lower complexity.</w:t>
      </w:r>
    </w:p>
    <w:p>
      <w:pPr>
        <w:spacing w:after="200" w:line="276"/>
      </w:pPr>
      <w:r>
        <w:rPr>
          <w:rFonts w:ascii="Georgia" w:cs="Georgia" w:eastAsia="Georgia" w:hAnsi="Georgia"/>
          <w:sz w:val="22"/>
          <w:szCs w:val="22"/>
        </w:rPr>
        <w:t xml:space="preserve">Validation and selection close the modeling loop: they convert the output of analysis and simulation back into a judgment about the model’s relation to the world.</w:t>
      </w:r>
    </w:p>
    <w:p>
      <w:r>
        <w:br w:type="page"/>
      </w:r>
    </w:p>
    <w:p>
      <w:pPr>
        <w:pStyle w:val="Heading1"/>
        <w:spacing w:after="240" w:before="360"/>
      </w:pPr>
      <w:bookmarkStart w:name="5010" w:id="5010"/>
      <w:r>
        <w:rPr>
          <w:rFonts w:ascii="Georgia" w:cs="Georgia" w:eastAsia="Georgia" w:hAnsi="Georgia"/>
          <w:b/>
          <w:bCs/>
          <w:sz w:val="32"/>
          <w:szCs w:val="32"/>
        </w:rPr>
        <w:t xml:space="preserve">Chapter 9  ·  Looking Back and Looking Ahead: The Tower and What Lies Beyond</w:t>
      </w:r>
      <w:bookmarkEnd w:id="5010"/>
    </w:p>
    <w:p>
      <w:pPr>
        <w:spacing w:after="200" w:line="276"/>
      </w:pPr>
      <w:r>
        <w:rPr>
          <w:rFonts w:ascii="Georgia" w:cs="Georgia" w:eastAsia="Georgia" w:hAnsi="Georgia"/>
          <w:sz w:val="22"/>
          <w:szCs w:val="22"/>
        </w:rPr>
        <w:t xml:space="preserve">We have now reached the end of the fifty-book series. The tower that began with counting and arithmetic has risen through algebra, geometry, calculus, analysis, probability, computation, and the structures of modern mathematics. The present book has shown how that tower is used: to turn phenomena into equations, to analyze those equations, and to interpret the results as understanding of the world.</w:t>
      </w:r>
    </w:p>
    <w:p>
      <w:pPr>
        <w:spacing w:after="200" w:line="276"/>
      </w:pPr>
      <w:r>
        <w:rPr>
          <w:rFonts w:ascii="Georgia" w:cs="Georgia" w:eastAsia="Georgia" w:hAnsi="Georgia"/>
          <w:sz w:val="22"/>
          <w:szCs w:val="22"/>
        </w:rPr>
        <w:t xml:space="preserve">Looking back, the series has aimed at three things: technical competence in the core subjects of pure and applied mathematics; a sense of the unity of the subject — the same structures reappearing in different guises; and a style of thought that combines precision with a willingness to approximate, to simplify, and to confront mathematics with the world.</w:t>
      </w:r>
    </w:p>
    <w:p>
      <w:pPr>
        <w:spacing w:after="200" w:line="276"/>
      </w:pPr>
      <w:r>
        <w:rPr>
          <w:rFonts w:ascii="Georgia" w:cs="Georgia" w:eastAsia="Georgia" w:hAnsi="Georgia"/>
          <w:sz w:val="22"/>
          <w:szCs w:val="22"/>
        </w:rPr>
        <w:t xml:space="preserve">Looking ahead, the tools continue to evolve. New physical regimes, new data sources, new computational architectures, and new mathematical structures will demand extensions of the tower. The modeling process itself — the translation between world and mathematics — remains the permanent skill.</w:t>
      </w:r>
    </w:p>
    <w:p>
      <w:pPr>
        <w:spacing w:after="200" w:line="276"/>
      </w:pPr>
      <w:r>
        <w:rPr>
          <w:rFonts w:ascii="Georgia" w:cs="Georgia" w:eastAsia="Georgia" w:hAnsi="Georgia"/>
          <w:sz w:val="22"/>
          <w:szCs w:val="22"/>
        </w:rPr>
        <w:t xml:space="preserve">The deeper lesson of the series is that mathematics is both a pure creation of the mind and the most effective language we have for describing the structure of the world. The two faces are not opposed; they reinforce each other. The pure structures become useful because they capture something real; the real phenomena become intelligible because they are organized by pure structures.</w:t>
      </w:r>
    </w:p>
    <w:p>
      <w:pPr>
        <w:spacing w:after="200" w:line="276"/>
      </w:pPr>
      <w:r>
        <w:rPr>
          <w:rFonts w:ascii="Georgia" w:cs="Georgia" w:eastAsia="Georgia" w:hAnsi="Georgia"/>
          <w:sz w:val="22"/>
          <w:szCs w:val="22"/>
        </w:rPr>
        <w:t xml:space="preserve">Applied mathematics and modeling are the place where the tower meets the world.</w:t>
      </w:r>
    </w:p>
    <w:p>
      <w:pPr>
        <w:spacing w:after="200" w:line="276"/>
      </w:pPr>
      <w:r>
        <w:rPr>
          <w:rFonts w:ascii="Georgia" w:cs="Georgia" w:eastAsia="Georgia" w:hAnsi="Georgia"/>
          <w:sz w:val="22"/>
          <w:szCs w:val="22"/>
        </w:rPr>
        <w:t xml:space="preserve">The tower is built.</w:t>
      </w:r>
    </w:p>
    <w:p>
      <w:pPr>
        <w:spacing w:after="200" w:line="276"/>
      </w:pPr>
      <w:r>
        <w:rPr>
          <w:rFonts w:ascii="Georgia" w:cs="Georgia" w:eastAsia="Georgia" w:hAnsi="Georgia"/>
          <w:sz w:val="22"/>
          <w:szCs w:val="22"/>
        </w:rPr>
        <w:t xml:space="preserve">The world is waiting.</w:t>
      </w:r>
    </w:p>
    <w:p>
      <w:pPr>
        <w:spacing w:after="200" w:line="276"/>
      </w:pPr>
      <w:r>
        <w:rPr>
          <w:rFonts w:ascii="Georgia" w:cs="Georgia" w:eastAsia="Georgia" w:hAnsi="Georgia"/>
          <w:sz w:val="22"/>
          <w:szCs w:val="22"/>
        </w:rPr>
        <w:t xml:space="preserve">End of Book 50</w:t>
      </w:r>
    </w:p>
    <w:p>
      <w:pPr>
        <w:spacing w:after="200" w:line="276"/>
      </w:pPr>
      <w:r>
        <w:rPr>
          <w:rFonts w:ascii="Georgia" w:cs="Georgia" w:eastAsia="Georgia" w:hAnsi="Georgia"/>
          <w:sz w:val="22"/>
          <w:szCs w:val="22"/>
        </w:rPr>
        <w:t xml:space="preserve">End of the Series.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4"/>
        <w:szCs w:val="14"/>
      </w:rPr>
      <w:t xml:space="preserve">Applied Mathematics – Modeling  ·  Book 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jqc1vnj9iye6kdkn54zy" Type="http://schemas.openxmlformats.org/officeDocument/2006/relationships/hyperlink" Target="https://en.wikipedia.org/wiki/Mathematical_mode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2026-08-22T06:28:39.454Z</dcterms:created>
  <dcterms:modified xsi:type="dcterms:W3CDTF">2026-08-22T06:28:39.454Z</dcterms:modified>
</cp:coreProperties>
</file>

<file path=docProps/custom.xml><?xml version="1.0" encoding="utf-8"?>
<Properties xmlns="http://schemas.openxmlformats.org/officeDocument/2006/custom-properties" xmlns:vt="http://schemas.openxmlformats.org/officeDocument/2006/docPropsVTypes"/>
</file>