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TENSORS &amp; MANIFOLDS</w:t>
      </w:r>
    </w:p>
    <w:p>
      <w:pPr>
        <w:spacing w:after="500"/>
        <w:jc w:val="center"/>
      </w:pPr>
      <w:r>
        <w:rPr>
          <w:rFonts w:ascii="Georgia" w:cs="Georgia" w:eastAsia="Georgia" w:hAnsi="Georgia"/>
          <w:i/>
          <w:iCs/>
          <w:color w:val="5B9BD5"/>
          <w:sz w:val="18"/>
          <w:szCs w:val="18"/>
        </w:rPr>
        <w:t xml:space="preserve">Multilinear Algebra, Smooth Spaces, and the Art of Coordinate-Free Geometry</w:t>
      </w:r>
    </w:p>
    <w:p>
      <w:pPr>
        <w:spacing w:before="600"/>
        <w:jc w:val="center"/>
      </w:pPr>
      <w:r>
        <w:rPr>
          <w:rFonts w:ascii="Georgia" w:cs="Georgia" w:eastAsia="Georgia" w:hAnsi="Georgia"/>
          <w:color w:val="666666"/>
          <w:sz w:val="22"/>
          <w:szCs w:val="22"/>
        </w:rPr>
        <w:t xml:space="preserve">Book 34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3400" w:id="3400"/>
      <w:r>
        <w:rPr>
          <w:rFonts w:ascii="Georgia" w:cs="Georgia" w:eastAsia="Georgia" w:hAnsi="Georgia"/>
          <w:b/>
          <w:bCs/>
          <w:sz w:val="32"/>
          <w:szCs w:val="32"/>
        </w:rPr>
        <w:t xml:space="preserve">Preface</w:t>
      </w:r>
      <w:bookmarkEnd w:id="3400"/>
    </w:p>
    <w:p>
      <w:pPr>
        <w:spacing w:after="200"/>
      </w:pPr>
      <w:r>
        <w:rPr>
          <w:rFonts w:ascii="Georgia" w:cs="Georgia" w:eastAsia="Georgia" w:hAnsi="Georgia"/>
          <w:i/>
          <w:iCs/>
          <w:sz w:val="22"/>
          <w:szCs w:val="22"/>
        </w:rPr>
        <w:t xml:space="preserve">(Or: How We Learned to Do Geometry Without Choosing Coordinates — and Then to Choose Them Carefully)</w:t>
      </w:r>
    </w:p>
    <w:p>
      <w:pPr>
        <w:spacing w:after="200" w:line="276"/>
      </w:pPr>
      <w:r>
        <w:rPr>
          <w:rFonts w:ascii="Georgia" w:cs="Georgia" w:eastAsia="Georgia" w:hAnsi="Georgia"/>
          <w:sz w:val="22"/>
          <w:szCs w:val="22"/>
        </w:rPr>
        <w:t xml:space="preserve">Linear algebra treats vectors and linear maps. Multilinear algebra treats tensors — multilinear maps on products of vector spaces and their duals. Differential geometry on surfaces already used tensors implicitly (the first and second fundamental forms). The present book makes the tensor language systematic and then uses it to define smooth manifolds, the spaces on which modern geometry, relativity, and field theory are written.</w:t>
      </w:r>
    </w:p>
    <w:p>
      <w:pPr>
        <w:spacing w:after="200" w:line="276"/>
      </w:pPr>
      <w:r>
        <w:rPr>
          <w:rFonts w:ascii="Georgia" w:cs="Georgia" w:eastAsia="Georgia" w:hAnsi="Georgia"/>
          <w:sz w:val="22"/>
          <w:szCs w:val="22"/>
        </w:rPr>
        <w:t xml:space="preserve">A manifold is a space that looks locally like Euclidean space, but whose global shape may be curved or topologically nontrivial. Charts and atlases make the definition precise; the tangent space at each point is a vector space on which tensors can act; a Riemannian metric is a smoothly varying inner product on the tangent spaces. Differential forms, connections, and curvature are the natural tensorial objects that live on manifolds.</w:t>
      </w:r>
    </w:p>
    <w:p>
      <w:pPr>
        <w:spacing w:after="200" w:line="276"/>
      </w:pPr>
      <w:r>
        <w:rPr>
          <w:rFonts w:ascii="Georgia" w:cs="Georgia" w:eastAsia="Georgia" w:hAnsi="Georgia"/>
          <w:sz w:val="22"/>
          <w:szCs w:val="22"/>
        </w:rPr>
        <w:t xml:space="preserve">This book develops tensor algebra, the definition and examples of smooth manifolds, vector fields and differential forms, integration on manifolds, Riemannian metrics, and the first notions of covariant differentiation and curvature. The treatment bridges the concrete geometry of Book 31 and the abstract analysis of later books.</w:t>
      </w:r>
    </w:p>
    <w:p>
      <w:pPr>
        <w:spacing w:after="200" w:line="276"/>
      </w:pPr>
      <w:r>
        <w:rPr>
          <w:rFonts w:ascii="Georgia" w:cs="Georgia" w:eastAsia="Georgia" w:hAnsi="Georgia"/>
          <w:sz w:val="22"/>
          <w:szCs w:val="22"/>
        </w:rPr>
        <w:t xml:space="preserve">A small confession: tensors are often introduced by their transformation laws under change of coordinates. The transformation laws are consequences, not definitions. A tensor is an intrinsically defined multilinear object; once a basis is chosen it acquires components, and those components transform in a definite way. Keeping the intrinsic picture primary prevents the subject from collapsing into an orgy of index gymnastics.</w:t>
      </w:r>
    </w:p>
    <w:p>
      <w:pPr>
        <w:spacing w:after="200" w:line="276"/>
      </w:pPr>
      <w:r>
        <w:rPr>
          <w:rFonts w:ascii="Georgia" w:cs="Georgia" w:eastAsia="Georgia" w:hAnsi="Georgia"/>
          <w:sz w:val="22"/>
          <w:szCs w:val="22"/>
        </w:rPr>
        <w:t xml:space="preserve">If differential geometry taught us to measure curvature on surfaces, tensors and manifolds teach us to do geometry on spaces that may not sit inside Euclidean space at all.</w:t>
      </w:r>
    </w:p>
    <w:p>
      <w:pPr>
        <w:spacing w:after="200" w:line="276"/>
      </w:pPr>
      <w:r>
        <w:rPr>
          <w:rFonts w:ascii="Georgia" w:cs="Georgia" w:eastAsia="Georgia" w:hAnsi="Georgia"/>
          <w:sz w:val="22"/>
          <w:szCs w:val="22"/>
        </w:rPr>
        <w:t xml:space="preserve">Let’s go coordinate-free — then choose coordinates wisely.</w:t>
      </w:r>
    </w:p>
    <w:p>
      <w:r>
        <w:br w:type="page"/>
      </w:r>
    </w:p>
    <w:p>
      <w:pPr>
        <w:pStyle w:val="Heading1"/>
        <w:spacing w:after="240" w:before="360"/>
      </w:pPr>
      <w:bookmarkStart w:name="3401" w:id="3401"/>
      <w:r>
        <w:rPr>
          <w:rFonts w:ascii="Georgia" w:cs="Georgia" w:eastAsia="Georgia" w:hAnsi="Georgia"/>
          <w:b/>
          <w:bCs/>
          <w:sz w:val="32"/>
          <w:szCs w:val="32"/>
        </w:rPr>
        <w:t xml:space="preserve">Table of Contents</w:t>
      </w:r>
      <w:bookmarkEnd w:id="3401"/>
    </w:p>
    <w:p>
      <w:pPr>
        <w:spacing w:after="120"/>
      </w:pPr>
      <w:hyperlink w:history="1" w:anchor="3402">
        <w:r>
          <w:rPr>
            <w:rFonts w:ascii="Georgia" w:cs="Georgia" w:eastAsia="Georgia" w:hAnsi="Georgia"/>
            <w:color w:val="0563C1"/>
            <w:sz w:val="22"/>
            <w:szCs w:val="22"/>
            <w:u w:val="single"/>
          </w:rPr>
          <w:t xml:space="preserve">1. Multilinear Algebra and Tensors</w:t>
        </w:r>
      </w:hyperlink>
    </w:p>
    <w:p>
      <w:pPr>
        <w:spacing w:after="120"/>
      </w:pPr>
      <w:hyperlink w:history="1" w:anchor="3403">
        <w:r>
          <w:rPr>
            <w:rFonts w:ascii="Georgia" w:cs="Georgia" w:eastAsia="Georgia" w:hAnsi="Georgia"/>
            <w:color w:val="0563C1"/>
            <w:sz w:val="22"/>
            <w:szCs w:val="22"/>
            <w:u w:val="single"/>
          </w:rPr>
          <w:t xml:space="preserve">2. Tensor Fields and Transformation Laws</w:t>
        </w:r>
      </w:hyperlink>
    </w:p>
    <w:p>
      <w:pPr>
        <w:spacing w:after="120"/>
      </w:pPr>
      <w:hyperlink w:history="1" w:anchor="3404">
        <w:r>
          <w:rPr>
            <w:rFonts w:ascii="Georgia" w:cs="Georgia" w:eastAsia="Georgia" w:hAnsi="Georgia"/>
            <w:color w:val="0563C1"/>
            <w:sz w:val="22"/>
            <w:szCs w:val="22"/>
            <w:u w:val="single"/>
          </w:rPr>
          <w:t xml:space="preserve">3. Smooth Manifolds</w:t>
        </w:r>
      </w:hyperlink>
    </w:p>
    <w:p>
      <w:pPr>
        <w:spacing w:after="120"/>
      </w:pPr>
      <w:hyperlink w:history="1" w:anchor="3405">
        <w:r>
          <w:rPr>
            <w:rFonts w:ascii="Georgia" w:cs="Georgia" w:eastAsia="Georgia" w:hAnsi="Georgia"/>
            <w:color w:val="0563C1"/>
            <w:sz w:val="22"/>
            <w:szCs w:val="22"/>
            <w:u w:val="single"/>
          </w:rPr>
          <w:t xml:space="preserve">4. Tangent Vectors, Vector Fields, and Flows</w:t>
        </w:r>
      </w:hyperlink>
    </w:p>
    <w:p>
      <w:pPr>
        <w:spacing w:after="120"/>
      </w:pPr>
      <w:hyperlink w:history="1" w:anchor="3406">
        <w:r>
          <w:rPr>
            <w:rFonts w:ascii="Georgia" w:cs="Georgia" w:eastAsia="Georgia" w:hAnsi="Georgia"/>
            <w:color w:val="0563C1"/>
            <w:sz w:val="22"/>
            <w:szCs w:val="22"/>
            <w:u w:val="single"/>
          </w:rPr>
          <w:t xml:space="preserve">5. Differential Forms and Exterior Calculus</w:t>
        </w:r>
      </w:hyperlink>
    </w:p>
    <w:p>
      <w:pPr>
        <w:spacing w:after="120"/>
      </w:pPr>
      <w:hyperlink w:history="1" w:anchor="3407">
        <w:r>
          <w:rPr>
            <w:rFonts w:ascii="Georgia" w:cs="Georgia" w:eastAsia="Georgia" w:hAnsi="Georgia"/>
            <w:color w:val="0563C1"/>
            <w:sz w:val="22"/>
            <w:szCs w:val="22"/>
            <w:u w:val="single"/>
          </w:rPr>
          <w:t xml:space="preserve">6. Integration on Manifolds and Stokes’ Theorem</w:t>
        </w:r>
      </w:hyperlink>
    </w:p>
    <w:p>
      <w:pPr>
        <w:spacing w:after="120"/>
      </w:pPr>
      <w:hyperlink w:history="1" w:anchor="3408">
        <w:r>
          <w:rPr>
            <w:rFonts w:ascii="Georgia" w:cs="Georgia" w:eastAsia="Georgia" w:hAnsi="Georgia"/>
            <w:color w:val="0563C1"/>
            <w:sz w:val="22"/>
            <w:szCs w:val="22"/>
            <w:u w:val="single"/>
          </w:rPr>
          <w:t xml:space="preserve">7. Riemannian Metrics</w:t>
        </w:r>
      </w:hyperlink>
    </w:p>
    <w:p>
      <w:pPr>
        <w:spacing w:after="120"/>
      </w:pPr>
      <w:hyperlink w:history="1" w:anchor="3409">
        <w:r>
          <w:rPr>
            <w:rFonts w:ascii="Georgia" w:cs="Georgia" w:eastAsia="Georgia" w:hAnsi="Georgia"/>
            <w:color w:val="0563C1"/>
            <w:sz w:val="22"/>
            <w:szCs w:val="22"/>
            <w:u w:val="single"/>
          </w:rPr>
          <w:t xml:space="preserve">8. Connections, Covariant Derivatives, and Curvature</w:t>
        </w:r>
      </w:hyperlink>
    </w:p>
    <w:p>
      <w:pPr>
        <w:spacing w:after="120"/>
      </w:pPr>
      <w:hyperlink w:history="1" w:anchor="3410">
        <w:r>
          <w:rPr>
            <w:rFonts w:ascii="Georgia" w:cs="Georgia" w:eastAsia="Georgia" w:hAnsi="Georgia"/>
            <w:color w:val="0563C1"/>
            <w:sz w:val="22"/>
            <w:szCs w:val="22"/>
            <w:u w:val="single"/>
          </w:rPr>
          <w:t xml:space="preserve">9. Looking Ahead: From Manifolds to Riemannian Geometry, Gauge Theory, and Relativity</w:t>
        </w:r>
      </w:hyperlink>
    </w:p>
    <w:p>
      <w:r>
        <w:br w:type="page"/>
      </w:r>
    </w:p>
    <w:p>
      <w:pPr>
        <w:pStyle w:val="Heading1"/>
        <w:spacing w:after="240" w:before="360"/>
      </w:pPr>
      <w:bookmarkStart w:name="3402" w:id="3402"/>
      <w:r>
        <w:rPr>
          <w:rFonts w:ascii="Georgia" w:cs="Georgia" w:eastAsia="Georgia" w:hAnsi="Georgia"/>
          <w:b/>
          <w:bCs/>
          <w:sz w:val="32"/>
          <w:szCs w:val="32"/>
        </w:rPr>
        <w:t xml:space="preserve">Chapter 1  ·  Multilinear Algebra and Tensors</w:t>
      </w:r>
      <w:bookmarkEnd w:id="3402"/>
    </w:p>
    <w:p>
      <w:pPr>
        <w:spacing w:after="200" w:line="276"/>
      </w:pPr>
      <w:r>
        <w:rPr>
          <w:rFonts w:ascii="Georgia" w:cs="Georgia" w:eastAsia="Georgia" w:hAnsi="Georgia"/>
          <w:sz w:val="22"/>
          <w:szCs w:val="22"/>
        </w:rPr>
        <w:t xml:space="preserve">A </w:t>
      </w:r>
      <w:hyperlink w:history="1" r:id="rIdwfms4vhqdqofjv1ayfprl">
        <w:r>
          <w:rPr>
            <w:rFonts w:ascii="Georgia" w:cs="Georgia" w:eastAsia="Georgia" w:hAnsi="Georgia"/>
            <w:color w:val="0563C1"/>
            <w:sz w:val="22"/>
            <w:szCs w:val="22"/>
            <w:u w:val="single"/>
          </w:rPr>
          <w:t xml:space="preserve">tensor</w:t>
        </w:r>
      </w:hyperlink>
      <w:r>
        <w:rPr>
          <w:rFonts w:ascii="Georgia" w:cs="Georgia" w:eastAsia="Georgia" w:hAnsi="Georgia"/>
          <w:sz w:val="22"/>
          <w:szCs w:val="22"/>
        </w:rPr>
        <w:t xml:space="preserve"> on a vector space V is a multilinear map from a product of copies of V and V* into the scalars (or into another vector space). Contravariant vectors, covariant vectors (covectors), bilinear forms, linear maps, and higher-rank tensors are special cases.</w:t>
      </w:r>
    </w:p>
    <w:p>
      <w:pPr>
        <w:spacing w:after="200" w:line="276"/>
      </w:pPr>
      <w:r>
        <w:rPr>
          <w:rFonts w:ascii="Georgia" w:cs="Georgia" w:eastAsia="Georgia" w:hAnsi="Georgia"/>
          <w:sz w:val="22"/>
          <w:szCs w:val="22"/>
        </w:rPr>
        <w:t xml:space="preserve">The tensor product V ⊗ W is the universal recipient of bilinear maps from V × W. Higher tensor products and the spaces of (k,l)-tensors are built by iteration. Contractions, symmetrizations, and alternations produce new tensors from old ones. The exterior algebra and the symmetric algebra are the quotients that enforce total antisymmetry or total symmetry.</w:t>
      </w:r>
    </w:p>
    <w:p>
      <w:pPr>
        <w:spacing w:after="200" w:line="276"/>
      </w:pPr>
      <w:r>
        <w:rPr>
          <w:rFonts w:ascii="Georgia" w:cs="Georgia" w:eastAsia="Georgia" w:hAnsi="Georgia"/>
          <w:sz w:val="22"/>
          <w:szCs w:val="22"/>
        </w:rPr>
        <w:t xml:space="preserve">Once a basis is chosen, a tensor acquires components; change of basis multiplies the components by products of the change-of-basis matrix and its inverse according to the variance type of each index. The transformation law is a consequence of the intrinsic definition.</w:t>
      </w:r>
    </w:p>
    <w:p>
      <w:r>
        <w:br w:type="page"/>
      </w:r>
    </w:p>
    <w:p>
      <w:pPr>
        <w:pStyle w:val="Heading1"/>
        <w:spacing w:after="240" w:before="360"/>
      </w:pPr>
      <w:bookmarkStart w:name="3403" w:id="3403"/>
      <w:r>
        <w:rPr>
          <w:rFonts w:ascii="Georgia" w:cs="Georgia" w:eastAsia="Georgia" w:hAnsi="Georgia"/>
          <w:b/>
          <w:bCs/>
          <w:sz w:val="32"/>
          <w:szCs w:val="32"/>
        </w:rPr>
        <w:t xml:space="preserve">Chapter 2  ·  Tensor Fields and Transformation Laws</w:t>
      </w:r>
      <w:bookmarkEnd w:id="3403"/>
    </w:p>
    <w:p>
      <w:pPr>
        <w:spacing w:after="200" w:line="276"/>
      </w:pPr>
      <w:r>
        <w:rPr>
          <w:rFonts w:ascii="Georgia" w:cs="Georgia" w:eastAsia="Georgia" w:hAnsi="Georgia"/>
          <w:sz w:val="22"/>
          <w:szCs w:val="22"/>
        </w:rPr>
        <w:t xml:space="preserve">On an open set of Euclidean space a tensor field assigns a tensor to each point, smoothly. Components relative to the standard basis are smooth functions. Under a change of coordinates the components transform by the Jacobian matrix and its inverse, exactly as abstract tensors transform under change of basis.</w:t>
      </w:r>
    </w:p>
    <w:p>
      <w:pPr>
        <w:spacing w:after="200" w:line="276"/>
      </w:pPr>
      <w:r>
        <w:rPr>
          <w:rFonts w:ascii="Georgia" w:cs="Georgia" w:eastAsia="Georgia" w:hAnsi="Georgia"/>
          <w:sz w:val="22"/>
          <w:szCs w:val="22"/>
        </w:rPr>
        <w:t xml:space="preserve">The transformation law is the practical test that a collection of component functions defines a genuine tensor field rather than a collection of unrelated scalars. Christoffel symbols do not transform as tensors; that fact is the first hint that they represent a connection rather than a tensor.</w:t>
      </w:r>
    </w:p>
    <w:p>
      <w:pPr>
        <w:spacing w:after="200" w:line="276"/>
      </w:pPr>
      <w:r>
        <w:rPr>
          <w:rFonts w:ascii="Georgia" w:cs="Georgia" w:eastAsia="Georgia" w:hAnsi="Georgia"/>
          <w:sz w:val="22"/>
          <w:szCs w:val="22"/>
        </w:rPr>
        <w:t xml:space="preserve">Tensor fields are the raw material of continuum mechanics, electromagnetism, and general relativity; the manifold setting will make them intrinsic.</w:t>
      </w:r>
    </w:p>
    <w:p>
      <w:r>
        <w:br w:type="page"/>
      </w:r>
    </w:p>
    <w:p>
      <w:pPr>
        <w:pStyle w:val="Heading1"/>
        <w:spacing w:after="240" w:before="360"/>
      </w:pPr>
      <w:bookmarkStart w:name="3404" w:id="3404"/>
      <w:r>
        <w:rPr>
          <w:rFonts w:ascii="Georgia" w:cs="Georgia" w:eastAsia="Georgia" w:hAnsi="Georgia"/>
          <w:b/>
          <w:bCs/>
          <w:sz w:val="32"/>
          <w:szCs w:val="32"/>
        </w:rPr>
        <w:t xml:space="preserve">Chapter 3  ·  Smooth Manifolds</w:t>
      </w:r>
      <w:bookmarkEnd w:id="3404"/>
    </w:p>
    <w:p>
      <w:pPr>
        <w:spacing w:after="200" w:line="276"/>
      </w:pPr>
      <w:r>
        <w:rPr>
          <w:rFonts w:ascii="Georgia" w:cs="Georgia" w:eastAsia="Georgia" w:hAnsi="Georgia"/>
          <w:sz w:val="22"/>
          <w:szCs w:val="22"/>
        </w:rPr>
        <w:t xml:space="preserve">A </w:t>
      </w:r>
      <w:hyperlink w:history="1" r:id="rIdbl4dywz8dq9ylrgoxm7cx">
        <w:r>
          <w:rPr>
            <w:rFonts w:ascii="Georgia" w:cs="Georgia" w:eastAsia="Georgia" w:hAnsi="Georgia"/>
            <w:color w:val="0563C1"/>
            <w:sz w:val="22"/>
            <w:szCs w:val="22"/>
            <w:u w:val="single"/>
          </w:rPr>
          <w:t xml:space="preserve">smooth manifold</w:t>
        </w:r>
      </w:hyperlink>
      <w:r>
        <w:rPr>
          <w:rFonts w:ascii="Georgia" w:cs="Georgia" w:eastAsia="Georgia" w:hAnsi="Georgia"/>
          <w:sz w:val="22"/>
          <w:szCs w:val="22"/>
        </w:rPr>
        <w:t xml:space="preserve"> is a topological space locally homeomorphic to Euclidean space, equipped with an atlas of charts whose transition maps are smooth. The dimension is the dimension of the model Euclidean space. Examples include open subsets of ℝⁿ, spheres, tori, projective spaces, matrix groups, and configuration spaces of mechanical systems.</w:t>
      </w:r>
    </w:p>
    <w:p>
      <w:pPr>
        <w:spacing w:after="200" w:line="276"/>
      </w:pPr>
      <w:r>
        <w:rPr>
          <w:rFonts w:ascii="Georgia" w:cs="Georgia" w:eastAsia="Georgia" w:hAnsi="Georgia"/>
          <w:sz w:val="22"/>
          <w:szCs w:val="22"/>
        </w:rPr>
        <w:t xml:space="preserve">Smooth maps between manifolds are maps that look smooth in local charts. Diffeomorphisms are smooth maps with smooth inverses; they are the isomorphisms of the category. Partitions of unity subordinate to open covers exist on paracompact manifolds and permit the globalization of local constructions.</w:t>
      </w:r>
    </w:p>
    <w:p>
      <w:pPr>
        <w:spacing w:after="200" w:line="276"/>
      </w:pPr>
      <w:r>
        <w:rPr>
          <w:rFonts w:ascii="Georgia" w:cs="Georgia" w:eastAsia="Georgia" w:hAnsi="Georgia"/>
          <w:sz w:val="22"/>
          <w:szCs w:val="22"/>
        </w:rPr>
        <w:t xml:space="preserve">Manifolds may be orientable or non-orientable, compact or non-compact, with or without boundary. Each of these attributes affects the theorems that hold on them.</w:t>
      </w:r>
    </w:p>
    <w:p>
      <w:r>
        <w:br w:type="page"/>
      </w:r>
    </w:p>
    <w:p>
      <w:pPr>
        <w:pStyle w:val="Heading1"/>
        <w:spacing w:after="240" w:before="360"/>
      </w:pPr>
      <w:bookmarkStart w:name="3405" w:id="3405"/>
      <w:r>
        <w:rPr>
          <w:rFonts w:ascii="Georgia" w:cs="Georgia" w:eastAsia="Georgia" w:hAnsi="Georgia"/>
          <w:b/>
          <w:bCs/>
          <w:sz w:val="32"/>
          <w:szCs w:val="32"/>
        </w:rPr>
        <w:t xml:space="preserve">Chapter 4  ·  Tangent Vectors, Vector Fields, and Flows</w:t>
      </w:r>
      <w:bookmarkEnd w:id="3405"/>
    </w:p>
    <w:p>
      <w:pPr>
        <w:spacing w:after="200" w:line="276"/>
      </w:pPr>
      <w:r>
        <w:rPr>
          <w:rFonts w:ascii="Georgia" w:cs="Georgia" w:eastAsia="Georgia" w:hAnsi="Georgia"/>
          <w:sz w:val="22"/>
          <w:szCs w:val="22"/>
        </w:rPr>
        <w:t xml:space="preserve">The tangent space at a point of a manifold may be defined as the space of derivations of the algebra of germs of smooth functions, or as equivalence classes of curves through the point, or as the fiber of the tangent bundle constructed from charts. All three definitions are equivalent. A vector field is a smooth section of the tangent bundle.</w:t>
      </w:r>
    </w:p>
    <w:p>
      <w:pPr>
        <w:spacing w:after="200" w:line="276"/>
      </w:pPr>
      <w:r>
        <w:rPr>
          <w:rFonts w:ascii="Georgia" w:cs="Georgia" w:eastAsia="Georgia" w:hAnsi="Georgia"/>
          <w:sz w:val="22"/>
          <w:szCs w:val="22"/>
        </w:rPr>
        <w:t xml:space="preserve">The Lie bracket of two vector fields measures the failure of their flows to commute. The flow of a vector field is the solution of the associated ordinary differential equation on the manifold; existence and uniqueness hold locally as in the Euclidean case.</w:t>
      </w:r>
    </w:p>
    <w:p>
      <w:pPr>
        <w:spacing w:after="200" w:line="276"/>
      </w:pPr>
      <w:r>
        <w:rPr>
          <w:rFonts w:ascii="Georgia" w:cs="Georgia" w:eastAsia="Georgia" w:hAnsi="Georgia"/>
          <w:sz w:val="22"/>
          <w:szCs w:val="22"/>
        </w:rPr>
        <w:t xml:space="preserve">The tangent bundle and the cotangent bundle are themselves manifolds, and the constructions of tensor algebra may be performed fiberwise to produce tensor bundles.</w:t>
      </w:r>
    </w:p>
    <w:p>
      <w:r>
        <w:br w:type="page"/>
      </w:r>
    </w:p>
    <w:p>
      <w:pPr>
        <w:pStyle w:val="Heading1"/>
        <w:spacing w:after="240" w:before="360"/>
      </w:pPr>
      <w:bookmarkStart w:name="3406" w:id="3406"/>
      <w:r>
        <w:rPr>
          <w:rFonts w:ascii="Georgia" w:cs="Georgia" w:eastAsia="Georgia" w:hAnsi="Georgia"/>
          <w:b/>
          <w:bCs/>
          <w:sz w:val="32"/>
          <w:szCs w:val="32"/>
        </w:rPr>
        <w:t xml:space="preserve">Chapter 5  ·  Differential Forms and Exterior Calculus</w:t>
      </w:r>
      <w:bookmarkEnd w:id="3406"/>
    </w:p>
    <w:p>
      <w:pPr>
        <w:spacing w:after="200" w:line="276"/>
      </w:pPr>
      <w:r>
        <w:rPr>
          <w:rFonts w:ascii="Georgia" w:cs="Georgia" w:eastAsia="Georgia" w:hAnsi="Georgia"/>
          <w:sz w:val="22"/>
          <w:szCs w:val="22"/>
        </w:rPr>
        <w:t xml:space="preserve">A differential k-form is a smooth field of alternating k-tensors. Exterior differentiation d raises the degree by one and satisfies d² = 0. The Lie derivative and the interior product (contraction with a vector field) act on forms; Cartan’s magic formula relates them.</w:t>
      </w:r>
    </w:p>
    <w:p>
      <w:pPr>
        <w:spacing w:after="200" w:line="276"/>
      </w:pPr>
      <w:r>
        <w:rPr>
          <w:rFonts w:ascii="Georgia" w:cs="Georgia" w:eastAsia="Georgia" w:hAnsi="Georgia"/>
          <w:sz w:val="22"/>
          <w:szCs w:val="22"/>
        </w:rPr>
        <w:t xml:space="preserve">Closed forms (dω = 0) and exact forms (ω = dα) are the de Rham-cohomology precursors. The Poincaré lemma asserts that every closed form is locally exact. Pull-back by smooth maps preserves the exterior calculus and makes forms natural objects under change of coordinates.</w:t>
      </w:r>
    </w:p>
    <w:p>
      <w:pPr>
        <w:spacing w:after="200" w:line="276"/>
      </w:pPr>
      <w:r>
        <w:rPr>
          <w:rFonts w:ascii="Georgia" w:cs="Georgia" w:eastAsia="Georgia" w:hAnsi="Georgia"/>
          <w:sz w:val="22"/>
          <w:szCs w:val="22"/>
        </w:rPr>
        <w:t xml:space="preserve">Differential forms are the language in which Stokes’ theorem, Maxwell’s equations, and symplectic geometry are most cleanly written.</w:t>
      </w:r>
    </w:p>
    <w:p>
      <w:r>
        <w:br w:type="page"/>
      </w:r>
    </w:p>
    <w:p>
      <w:pPr>
        <w:pStyle w:val="Heading1"/>
        <w:spacing w:after="240" w:before="360"/>
      </w:pPr>
      <w:bookmarkStart w:name="3407" w:id="3407"/>
      <w:r>
        <w:rPr>
          <w:rFonts w:ascii="Georgia" w:cs="Georgia" w:eastAsia="Georgia" w:hAnsi="Georgia"/>
          <w:b/>
          <w:bCs/>
          <w:sz w:val="32"/>
          <w:szCs w:val="32"/>
        </w:rPr>
        <w:t xml:space="preserve">Chapter 6  ·  Integration on Manifolds and Stokes’ Theorem</w:t>
      </w:r>
      <w:bookmarkEnd w:id="3407"/>
    </w:p>
    <w:p>
      <w:pPr>
        <w:spacing w:after="200" w:line="276"/>
      </w:pPr>
      <w:r>
        <w:rPr>
          <w:rFonts w:ascii="Georgia" w:cs="Georgia" w:eastAsia="Georgia" w:hAnsi="Georgia"/>
          <w:sz w:val="22"/>
          <w:szCs w:val="22"/>
        </w:rPr>
        <w:t xml:space="preserve">An n-form on an oriented n-manifold may be integrated: one pulls the form back to charts, integrates the resulting density, and sums with a partition of unity. The integral is independent of the choices. Manifolds with boundary inherit an induced orientation on the boundary.</w:t>
      </w:r>
    </w:p>
    <w:p>
      <w:pPr>
        <w:spacing w:after="200" w:line="276"/>
      </w:pPr>
      <w:r>
        <w:rPr>
          <w:rFonts w:ascii="Georgia" w:cs="Georgia" w:eastAsia="Georgia" w:hAnsi="Georgia"/>
          <w:sz w:val="22"/>
          <w:szCs w:val="22"/>
        </w:rPr>
        <w:t xml:space="preserve">Stokes’ theorem asserts that the integral of dω over a manifold with boundary equals the integral of ω over the boundary. The classical theorems of vector calculus (Green, Gauss, Stokes) are special cases. The theorem is the fundamental link between exterior differentiation and boundary geometry.</w:t>
      </w:r>
    </w:p>
    <w:p>
      <w:pPr>
        <w:spacing w:after="200" w:line="276"/>
      </w:pPr>
      <w:r>
        <w:rPr>
          <w:rFonts w:ascii="Georgia" w:cs="Georgia" w:eastAsia="Georgia" w:hAnsi="Georgia"/>
          <w:sz w:val="22"/>
          <w:szCs w:val="22"/>
        </w:rPr>
        <w:t xml:space="preserve">Integration of forms also produces the de Rham cohomology groups, which are topological invariants computable by differential calculus.</w:t>
      </w:r>
    </w:p>
    <w:p>
      <w:r>
        <w:br w:type="page"/>
      </w:r>
    </w:p>
    <w:p>
      <w:pPr>
        <w:pStyle w:val="Heading1"/>
        <w:spacing w:after="240" w:before="360"/>
      </w:pPr>
      <w:bookmarkStart w:name="3408" w:id="3408"/>
      <w:r>
        <w:rPr>
          <w:rFonts w:ascii="Georgia" w:cs="Georgia" w:eastAsia="Georgia" w:hAnsi="Georgia"/>
          <w:b/>
          <w:bCs/>
          <w:sz w:val="32"/>
          <w:szCs w:val="32"/>
        </w:rPr>
        <w:t xml:space="preserve">Chapter 7  ·  Riemannian Metrics</w:t>
      </w:r>
      <w:bookmarkEnd w:id="3408"/>
    </w:p>
    <w:p>
      <w:pPr>
        <w:spacing w:after="200" w:line="276"/>
      </w:pPr>
      <w:r>
        <w:rPr>
          <w:rFonts w:ascii="Georgia" w:cs="Georgia" w:eastAsia="Georgia" w:hAnsi="Georgia"/>
          <w:sz w:val="22"/>
          <w:szCs w:val="22"/>
        </w:rPr>
        <w:t xml:space="preserve">A Riemannian metric is a smoothly varying inner product on the tangent spaces. It defines lengths of curves, angles, volumes, and the musical isomorphisms between vectors and covectors. The metric tensor g_{ij} in coordinates is a symmetric positive-definite matrix of functions.</w:t>
      </w:r>
    </w:p>
    <w:p>
      <w:pPr>
        <w:spacing w:after="200" w:line="276"/>
      </w:pPr>
      <w:r>
        <w:rPr>
          <w:rFonts w:ascii="Georgia" w:cs="Georgia" w:eastAsia="Georgia" w:hAnsi="Georgia"/>
          <w:sz w:val="22"/>
          <w:szCs w:val="22"/>
        </w:rPr>
        <w:t xml:space="preserve">The Levi-Civita connection is the unique torsion-free connection compatible with the metric; its Christoffel symbols are determined by the first derivatives of g. Geodesics are the autoparallel curves of that connection and are the critical curves of the energy functional.</w:t>
      </w:r>
    </w:p>
    <w:p>
      <w:pPr>
        <w:spacing w:after="200" w:line="276"/>
      </w:pPr>
      <w:r>
        <w:rPr>
          <w:rFonts w:ascii="Georgia" w:cs="Georgia" w:eastAsia="Georgia" w:hAnsi="Georgia"/>
          <w:sz w:val="22"/>
          <w:szCs w:val="22"/>
        </w:rPr>
        <w:t xml:space="preserve">Riemannian geometry is the intrinsic geometry of a manifold equipped with a metric; it generalizes the intrinsic geometry of surfaces developed in Book 31.</w:t>
      </w:r>
    </w:p>
    <w:p>
      <w:r>
        <w:br w:type="page"/>
      </w:r>
    </w:p>
    <w:p>
      <w:pPr>
        <w:pStyle w:val="Heading1"/>
        <w:spacing w:after="240" w:before="360"/>
      </w:pPr>
      <w:bookmarkStart w:name="3409" w:id="3409"/>
      <w:r>
        <w:rPr>
          <w:rFonts w:ascii="Georgia" w:cs="Georgia" w:eastAsia="Georgia" w:hAnsi="Georgia"/>
          <w:b/>
          <w:bCs/>
          <w:sz w:val="32"/>
          <w:szCs w:val="32"/>
        </w:rPr>
        <w:t xml:space="preserve">Chapter 8  ·  Connections, Covariant Derivatives, and Curvature</w:t>
      </w:r>
      <w:bookmarkEnd w:id="3409"/>
    </w:p>
    <w:p>
      <w:pPr>
        <w:spacing w:after="200" w:line="276"/>
      </w:pPr>
      <w:r>
        <w:rPr>
          <w:rFonts w:ascii="Georgia" w:cs="Georgia" w:eastAsia="Georgia" w:hAnsi="Georgia"/>
          <w:sz w:val="22"/>
          <w:szCs w:val="22"/>
        </w:rPr>
        <w:t xml:space="preserve">A connection on the tangent bundle (or on a more general vector bundle) permits differentiation of vector fields in the direction of other vector fields. The covariant derivative ∇_X Y is tensorial in X and a derivation in Y. Torsion and curvature measure the failure of the connection to be flat and symmetric.</w:t>
      </w:r>
    </w:p>
    <w:p>
      <w:pPr>
        <w:spacing w:after="200" w:line="276"/>
      </w:pPr>
      <w:r>
        <w:rPr>
          <w:rFonts w:ascii="Georgia" w:cs="Georgia" w:eastAsia="Georgia" w:hAnsi="Georgia"/>
          <w:sz w:val="22"/>
          <w:szCs w:val="22"/>
        </w:rPr>
        <w:t xml:space="preserve">The Riemann curvature tensor is the fundamental invariant of a connection. Its symmetries and the Bianchi identities constrain it. Sectional curvature, Ricci curvature, and scalar curvature are contractions that retain geometric meaning. The curvature of the Levi-Civita connection of a Riemannian metric is the intrinsic curvature of the metric.</w:t>
      </w:r>
    </w:p>
    <w:p>
      <w:pPr>
        <w:spacing w:after="200" w:line="276"/>
      </w:pPr>
      <w:r>
        <w:rPr>
          <w:rFonts w:ascii="Georgia" w:cs="Georgia" w:eastAsia="Georgia" w:hAnsi="Georgia"/>
          <w:sz w:val="22"/>
          <w:szCs w:val="22"/>
        </w:rPr>
        <w:t xml:space="preserve">Parallel transport around a loop is determined by curvature; vanishing curvature is equivalent to local flatness.</w:t>
      </w:r>
    </w:p>
    <w:p>
      <w:r>
        <w:br w:type="page"/>
      </w:r>
    </w:p>
    <w:p>
      <w:pPr>
        <w:pStyle w:val="Heading1"/>
        <w:spacing w:after="240" w:before="360"/>
      </w:pPr>
      <w:bookmarkStart w:name="3410" w:id="3410"/>
      <w:r>
        <w:rPr>
          <w:rFonts w:ascii="Georgia" w:cs="Georgia" w:eastAsia="Georgia" w:hAnsi="Georgia"/>
          <w:b/>
          <w:bCs/>
          <w:sz w:val="32"/>
          <w:szCs w:val="32"/>
        </w:rPr>
        <w:t xml:space="preserve">Chapter 9  ·  Looking Ahead: From Manifolds to Riemannian Geometry, Gauge Theory, and Relativity</w:t>
      </w:r>
      <w:bookmarkEnd w:id="3410"/>
    </w:p>
    <w:p>
      <w:pPr>
        <w:spacing w:after="200" w:line="276"/>
      </w:pPr>
      <w:r>
        <w:rPr>
          <w:rFonts w:ascii="Georgia" w:cs="Georgia" w:eastAsia="Georgia" w:hAnsi="Georgia"/>
          <w:sz w:val="22"/>
          <w:szCs w:val="22"/>
        </w:rPr>
        <w:t xml:space="preserve">We have now acquired the language of tensors and manifolds: multilinear algebra, smooth manifolds, vector fields, differential forms, integration, Riemannian metrics, connections, and curvature.</w:t>
      </w:r>
    </w:p>
    <w:p>
      <w:pPr>
        <w:spacing w:after="200" w:line="276"/>
      </w:pPr>
      <w:r>
        <w:rPr>
          <w:rFonts w:ascii="Georgia" w:cs="Georgia" w:eastAsia="Georgia" w:hAnsi="Georgia"/>
          <w:sz w:val="22"/>
          <w:szCs w:val="22"/>
        </w:rPr>
        <w:t xml:space="preserve">These tools are the foundation of modern differential geometry. Riemannian geometry studies the global and analytic consequences of curvature (comparison theorems, sphere theorems, Ricci flow). Gauge theory studies connections on principal bundles and produces the geometric formulation of electromagnetism and of the strong and weak interactions. General relativity identifies spacetime with a Lorentzian four-manifold whose Einstein curvature is determined by the stress-energy tensor. Symplectic and contact geometry supply the geometric language of classical mechanics and of certain field theories.</w:t>
      </w:r>
    </w:p>
    <w:p>
      <w:pPr>
        <w:spacing w:after="200" w:line="276"/>
      </w:pPr>
      <w:r>
        <w:rPr>
          <w:rFonts w:ascii="Georgia" w:cs="Georgia" w:eastAsia="Georgia" w:hAnsi="Georgia"/>
          <w:sz w:val="22"/>
          <w:szCs w:val="22"/>
        </w:rPr>
        <w:t xml:space="preserve">The deeper lesson is that the combination of multilinear algebra with the flexible notion of a manifold produces a language powerful enough to express both the classical geometry of surfaces and the geometry of spacetime itself.</w:t>
      </w:r>
    </w:p>
    <w:p>
      <w:pPr>
        <w:spacing w:after="200" w:line="276"/>
      </w:pPr>
      <w:r>
        <w:rPr>
          <w:rFonts w:ascii="Georgia" w:cs="Georgia" w:eastAsia="Georgia" w:hAnsi="Georgia"/>
          <w:sz w:val="22"/>
          <w:szCs w:val="22"/>
        </w:rPr>
        <w:t xml:space="preserve">Tensors and manifolds are the grammar of modern geometry.</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do geometry without — and then with — coordinates.</w:t>
      </w:r>
    </w:p>
    <w:p>
      <w:pPr>
        <w:spacing w:after="200" w:line="276"/>
      </w:pPr>
      <w:r>
        <w:rPr>
          <w:rFonts w:ascii="Georgia" w:cs="Georgia" w:eastAsia="Georgia" w:hAnsi="Georgia"/>
          <w:sz w:val="22"/>
          <w:szCs w:val="22"/>
        </w:rPr>
        <w:t xml:space="preserve">End of Book 34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Tensors &amp; Manifolds  ·  Book 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fms4vhqdqofjv1ayfprl" Type="http://schemas.openxmlformats.org/officeDocument/2006/relationships/hyperlink" Target="https://en.wikipedia.org/wiki/Tensor" TargetMode="External"/><Relationship Id="rIdbl4dywz8dq9ylrgoxm7cx" Type="http://schemas.openxmlformats.org/officeDocument/2006/relationships/hyperlink" Target="https://en.wikipedia.org/wiki/Manifold"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2026-08-22T05:44:30.441Z</dcterms:created>
  <dcterms:modified xsi:type="dcterms:W3CDTF">2026-08-22T05:44:30.441Z</dcterms:modified>
</cp:coreProperties>
</file>

<file path=docProps/custom.xml><?xml version="1.0" encoding="utf-8"?>
<Properties xmlns="http://schemas.openxmlformats.org/officeDocument/2006/custom-properties" xmlns:vt="http://schemas.openxmlformats.org/officeDocument/2006/docPropsVTypes"/>
</file>