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Why the Schrödinger Equation Is Not Enough</w:t>
      </w:r>
    </w:p>
    <w:p>
      <w:pPr>
        <w:pStyle w:val="Subtitle"/>
        <w:jc w:val="center"/>
      </w:pPr>
      <w:r>
        <w:t>Lesson 19 of the Complete Quantum Electrodynamics Course</w:t>
      </w:r>
    </w:p>
    <w:p>
      <w:pPr>
        <w:jc w:val="center"/>
      </w:pPr>
      <w:r>
        <w:t>Lothar J. Musiol</w:t>
      </w:r>
    </w:p>
    <w:p>
      <w:r>
        <w:br/>
      </w:r>
    </w:p>
    <w:p>
      <w:pPr>
        <w:jc w:val="center"/>
      </w:pPr>
      <w:r>
        <w:rPr>
          <w:b/>
          <w:sz w:val="26"/>
        </w:rPr>
        <w:t>A focused diagnosis of exactly what a relativistic wave equation for spin-1/2 must fix, and why the obvious fixes fail</w:t>
      </w:r>
    </w:p>
    <w:p>
      <w:r>
        <w:br/>
        <w:br/>
      </w:r>
    </w:p>
    <w:p>
      <w:pPr>
        <w:jc w:val="center"/>
      </w:pPr>
      <w:r>
        <w:t>First edition, 2026</w:t>
      </w:r>
    </w:p>
    <w:p>
      <w:r>
        <w:br w:type="page"/>
      </w:r>
    </w:p>
    <w:p>
      <w:pPr>
        <w:pStyle w:val="Heading2"/>
      </w:pPr>
      <w:r>
        <w:t>How to use this lesson</w:t>
      </w:r>
    </w:p>
    <w:p>
      <w:r>
        <w:t>Lessons 12 and 18 each built a relativistic-in-spirit wave equation and found it wanting: the Schrödinger equation is not Lorentz covariant at all, and the Klein–Gordon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20's construction of the Dirac equation will feel motivated at every step rather than pulled from nowhere.</w:t>
      </w:r>
    </w:p>
    <w:p>
      <w:r>
        <w:t>The central insight, due to Dirac, is deceptively simple to state: build an equation that is first order in time, like the Schrödinger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3"/>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Klein–Gordon current's sign problem is a direct consequence of the equation's order, not an independent difficulty.</w:t>
      </w:r>
    </w:p>
    <w:p>
      <w:pPr>
        <w:pStyle w:val="ListBullet"/>
      </w:pPr>
      <w:r>
        <w:t>Show why simply taking a "square root" of the Klein–Gordon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20.</w:t>
      </w:r>
    </w:p>
    <w:p>
      <w:pPr>
        <w:pStyle w:val="ListBullet"/>
      </w:pPr>
      <w:r>
        <w:t>Recognize this lesson as a worked example of theoretical physics reasoning: turning a vague goal into a precise, solvable algebraic problem.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20</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3"/>
      </w:pPr>
      <w:r>
        <w:t>1.1 What went wrong with each equation</w:t>
      </w:r>
    </w:p>
    <w:p>
      <w:r>
        <w:t>Lesson 12 identified the Schrödinger equation's flaw as an imbalance: one time derivative against two space derivatives, an asymmetry a Lorentz boost cannot respect (Lesson 4, Section 7.2, Worked example 8 of Lesson 12). Lesson 18 fixed the imbalance by taking two derivatives of each kind, producing a covariant equation, but paid for it with a current that is not positive definite, traced in Lesson 18, Section 3.3, directly to the equation's second-order-in-time character.</w:t>
      </w:r>
    </w:p>
    <w:p>
      <w:pPr>
        <w:pStyle w:val="Heading3"/>
      </w:pPr>
      <w:r>
        <w:t>1.2 The goal</w:t>
      </w:r>
    </w:p>
    <w:p>
      <w:r>
        <w:t>The task is to find an equation that is simultaneously first order in time (so that, as for the Schrödinger equation, specifying ψ(x,0) alone determines the state at every later time, and so that a genuinely positive-definite conserved probability density can be built by Lesson 10's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20, achieves both simultaneously.</w:t>
      </w:r>
    </w:p>
    <w:p>
      <w:pPr>
        <w:pStyle w:val="Heading2"/>
      </w:pPr>
      <w:r>
        <w:t>2 Why a naive square root fails</w:t>
      </w:r>
    </w:p>
    <w:p>
      <w:pPr>
        <w:pStyle w:val="Heading3"/>
      </w:pPr>
      <w:r>
        <w:t>2.1 The tempting first attempt</w:t>
      </w:r>
    </w:p>
    <w:p>
      <w:r>
        <w:t>Since the Klein–Gordon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m:t>
          </m:r>
          <m:r>
            <m:t xml:space="preserve">=</m:t>
          </m:r>
          <m:r>
            <m:t xml:space="preserve">√</m:t>
          </m:r>
          <m:d>
            <m:dPr/>
            <m:e>
              <m:sSup>
                <m:e>
                  <m:r>
                    <m:t xml:space="preserve">p̂</m:t>
                  </m:r>
                </m:e>
                <m:sup>
                  <m:r>
                    <m:t xml:space="preserve">2</m:t>
                  </m:r>
                </m:sup>
              </m:sSup>
              <m:r>
                <m:t xml:space="preserve">+</m:t>
              </m:r>
              <m:sSup>
                <m:e>
                  <m:r>
                    <m:t xml:space="preserve">m</m:t>
                  </m:r>
                </m:e>
                <m:sup>
                  <m:r>
                    <m:t xml:space="preserve">2</m:t>
                  </m:r>
                </m:sup>
              </m:sSup>
            </m:e>
          </m:d>
          <m:r>
            <m:t xml:space="preserve"> </m:t>
          </m:r>
          <m:r>
            <m:t xml:space="preserve">ψ</m:t>
          </m:r>
        </m:oMath>
      </m:oMathPara>
    </w:p>
    <w:p>
      <w:pPr>
        <w:pStyle w:val="Heading3"/>
      </w:pPr>
      <w:r>
        <w:t>2.2 Why this does not work</w:t>
      </w:r>
    </w:p>
    <w:p>
      <w:r>
        <w:t>The operator √(p̂²+m²) is perfectly well defined in momentum space, where p̂ is simply a number and its square root is unambiguous (Lesson 13,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m:t>
          </m:r>
          <m:d>
            <m:dPr/>
            <m:e>
              <m:sSup>
                <m:e>
                  <m:r>
                    <m:t xml:space="preserve">p̂</m:t>
                  </m:r>
                </m:e>
                <m:sup>
                  <m:r>
                    <m:t xml:space="preserve">2</m:t>
                  </m:r>
                </m:sup>
              </m:sSup>
              <m:r>
                <m:t xml:space="preserve">+</m:t>
              </m:r>
              <m:sSup>
                <m:e>
                  <m:r>
                    <m:t xml:space="preserve">m</m:t>
                  </m:r>
                </m:e>
                <m:sup>
                  <m:r>
                    <m:t xml:space="preserve">2</m:t>
                  </m:r>
                </m:sup>
              </m:sSup>
            </m:e>
          </m:d>
          <m:r>
            <m:t xml:space="preserve">=</m:t>
          </m:r>
          <m:r>
            <m:t xml:space="preserve">m√</m:t>
          </m:r>
          <m:d>
            <m:dPr/>
            <m:e>
              <m:r>
                <m:t xml:space="preserve">1</m:t>
              </m:r>
              <m:r>
                <m:t xml:space="preserve">+</m:t>
              </m:r>
              <m:f>
                <m:num>
                  <m:sSup>
                    <m:e>
                      <m:r>
                        <m:t xml:space="preserve">p̂</m:t>
                      </m:r>
                    </m:e>
                    <m:sup>
                      <m:r>
                        <m:t xml:space="preserve">2</m:t>
                      </m:r>
                    </m:sup>
                  </m:sSup>
                </m:num>
                <m:den>
                  <m:sSup>
                    <m:e>
                      <m:r>
                        <m:t xml:space="preserve">m</m:t>
                      </m:r>
                    </m:e>
                    <m:sup>
                      <m:r>
                        <m:t xml:space="preserve">2</m:t>
                      </m:r>
                    </m:sup>
                  </m:sSup>
                </m:den>
              </m:f>
            </m:e>
          </m:d>
          <m:r>
            <m:t xml:space="preserve">=</m:t>
          </m:r>
          <m:r>
            <m:t xml:space="preserve">m</m:t>
          </m:r>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den>
          </m:f>
          <m:r>
            <m:t xml:space="preserve">+</m:t>
          </m:r>
          <m:r>
            <m:t xml:space="preserve">⋯</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r>
        <w:rPr>
          <w:b/>
          <w:i/>
        </w:rPr>
        <w:t>Worked example 1</w:t>
      </w:r>
    </w:p>
    <w:p>
      <w:r>
        <w:t>Confirm that the second term of the expansion reproduces the nonrelativistic kinetic energy. m+p̂²/2m−p̂⁴/8m³+⋯ acting to first subleading order gives Ĥψ ≈ (m+p̂²/2m)ψ, exactly the nonrelativistic Schrödinger Hamiltonian of Lesson 12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3"/>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3"/>
      </w:pPr>
      <w:r>
        <w:t>3.1 The ansatz</w:t>
      </w:r>
    </w:p>
    <w:p>
      <w:r>
        <w:t>Seek a Hamiltonian of the form</w:t>
      </w:r>
    </w:p>
    <w:p>
      <w:pPr>
        <w:spacing w:before="100" w:after="160"/>
        <w:jc w:val="center"/>
      </w:pPr>
      <m:oMathPara>
        <m:oMath>
          <m:sSub>
            <m:e>
              <m:r>
                <m:t xml:space="preserve">Ĥ</m:t>
              </m:r>
            </m:e>
            <m:sub>
              <m:r>
                <m:t xml:space="preserve">D</m:t>
              </m:r>
            </m:sub>
          </m:sSub>
          <m:r>
            <m:t xml:space="preserve">=</m:t>
          </m:r>
          <m:r>
            <m:t xml:space="preserve">α</m:t>
          </m:r>
          <m:r>
            <m:t xml:space="preserve">·</m:t>
          </m:r>
          <m:r>
            <m:t xml:space="preserve">p̂</m:t>
          </m:r>
          <m:r>
            <m:t xml:space="preserve">+</m:t>
          </m:r>
          <m:r>
            <m:t xml:space="preserve">βm</m:t>
          </m:r>
          <m:r>
            <m:t xml:space="preserve">=</m:t>
          </m:r>
          <m:r>
            <m:t xml:space="preserve">αₓp̂ₓ</m:t>
          </m:r>
          <m:r>
            <m:t xml:space="preserve">+</m:t>
          </m:r>
          <m:r>
            <m:t xml:space="preserve">αᵧp̂ᵧ</m:t>
          </m:r>
          <m:r>
            <m:t xml:space="preserve">+</m:t>
          </m:r>
          <m:sSub>
            <m:e>
              <m:r>
                <m:t xml:space="preserve">α</m:t>
              </m:r>
            </m:e>
            <m:sub>
              <m:r>
                <m:t xml:space="preserve">z</m:t>
              </m:r>
            </m:sub>
          </m:sSub>
          <m:sSub>
            <m:e>
              <m:r>
                <m:t xml:space="preserve">p̂</m:t>
              </m:r>
            </m:e>
            <m:sub>
              <m:r>
                <m:t xml:space="preserve">z</m:t>
              </m:r>
            </m:sub>
          </m:sSub>
          <m:r>
            <m:t xml:space="preserve">+</m:t>
          </m:r>
          <m:r>
            <m:t xml:space="preserve">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Klein–Gordon equation lacked.</w:t>
      </w:r>
    </w:p>
    <w:p>
      <w:pPr>
        <w:pStyle w:val="Heading3"/>
      </w:pPr>
      <w:r>
        <w:t>3.2 Requiring consistency with E²=|p|²+m²</w:t>
      </w:r>
    </w:p>
    <w:p>
      <w:r>
        <w:t>For Ĥ_D to be an acceptable relativistic Hamiltonian, its square must reproduce the correct dispersion relation: Ĥ_D²ψ should equal (p̂²+m²)ψ for every solution, as the Klein–Gordon operator does automatically. Squaring the ansatz,</w:t>
      </w:r>
    </w:p>
    <w:p>
      <w:pPr>
        <w:spacing w:before="100" w:after="160"/>
        <w:jc w:val="center"/>
      </w:pPr>
      <m:oMathPara>
        <m:oMath>
          <m:sSubSup>
            <m:e>
              <m:r>
                <m:t xml:space="preserve">Ĥ</m:t>
              </m:r>
            </m:e>
            <m:sub>
              <m:r>
                <m:t xml:space="preserve">D</m:t>
              </m:r>
            </m:sub>
            <m:sup>
              <m:r>
                <m:t xml:space="preserve">2</m:t>
              </m:r>
            </m:sup>
          </m:sSubSup>
          <m:r>
            <m:t xml:space="preserve">=</m:t>
          </m:r>
          <m:r>
            <m:t xml:space="preserve">Σᵢⱼ</m:t>
          </m:r>
          <m:r>
            <m:t xml:space="preserve"> </m:t>
          </m:r>
          <m:r>
            <m:t xml:space="preserve">αᵢαⱼ</m:t>
          </m:r>
          <m:r>
            <m:t xml:space="preserve"> </m:t>
          </m:r>
          <m:r>
            <m:t xml:space="preserve">p̂ᵢp̂ⱼ</m:t>
          </m:r>
          <m:r>
            <m:t xml:space="preserve">+</m:t>
          </m:r>
          <m:r>
            <m:t xml:space="preserve">m</m:t>
          </m:r>
          <m:r>
            <m:t xml:space="preserve"> </m:t>
          </m:r>
          <m:r>
            <m:t xml:space="preserve">Σᵢ</m:t>
          </m:r>
          <m:r>
            <m:t xml:space="preserve"> </m:t>
          </m:r>
          <m:d>
            <m:dPr/>
            <m:e>
              <m:r>
                <m:t xml:space="preserve">αᵢβ</m:t>
              </m:r>
              <m:r>
                <m:t xml:space="preserve">+</m:t>
              </m:r>
              <m:r>
                <m:t xml:space="preserve">βαᵢ</m:t>
              </m:r>
            </m:e>
          </m:d>
          <m:r>
            <m:t xml:space="preserve"> </m:t>
          </m:r>
          <m:r>
            <m:t xml:space="preserve">p̂ᵢ</m:t>
          </m:r>
          <m:r>
            <m:t xml:space="preserve">+</m:t>
          </m:r>
          <m:sSup>
            <m:e>
              <m:r>
                <m:t xml:space="preserve">β</m:t>
              </m:r>
            </m:e>
            <m:sup>
              <m:r>
                <m:t xml:space="preserve">2</m:t>
              </m:r>
            </m:sup>
          </m:sSup>
          <m:sSup>
            <m:e>
              <m:r>
                <m:t xml:space="preserve">m</m:t>
              </m:r>
            </m:e>
            <m:sup>
              <m:r>
                <m:t xml:space="preserve">2</m:t>
              </m:r>
            </m:sup>
          </m:sSup>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m:t>
          </m:r>
          <m:r>
            <m:t xml:space="preserve">+</m:t>
          </m:r>
          <m:r>
            <m:t xml:space="preserve">αⱼαᵢ</m:t>
          </m:r>
          <m:r>
            <m:t xml:space="preserve">=</m:t>
          </m:r>
          <m:r>
            <m:t xml:space="preserve">2δᵢⱼ</m:t>
          </m:r>
          <m:r>
            <m:t xml:space="preserve"> </m:t>
          </m:r>
          <m:r>
            <m:t xml:space="preserve">I</m:t>
          </m:r>
          <m:r>
            <m:t xml:space="preserve">,</m:t>
          </m:r>
          <m:r>
            <m:t xml:space="preserve">αᵢβ</m:t>
          </m:r>
          <m:r>
            <m:t xml:space="preserve">+</m:t>
          </m:r>
          <m:r>
            <m:t xml:space="preserve">βαᵢ</m:t>
          </m:r>
          <m:r>
            <m:t xml:space="preserve">=</m:t>
          </m:r>
          <m:r>
            <m:t xml:space="preserve">0</m:t>
          </m:r>
          <m:r>
            <m:t xml:space="preserve">,</m:t>
          </m:r>
          <m:sSup>
            <m:e>
              <m:r>
                <m:t xml:space="preserve">β</m:t>
              </m:r>
            </m:e>
            <m:sup>
              <m:r>
                <m:t xml:space="preserve">2</m:t>
              </m:r>
            </m:sup>
          </m:sSup>
          <m:r>
            <m:t xml:space="preserve">=</m:t>
          </m:r>
          <m:r>
            <m:t xml:space="preserve">I</m:t>
          </m:r>
        </m:oMath>
      </m:oMathPara>
    </w:p>
    <w:p>
      <w:r>
        <w:t>Writing these with the anticommutator notation {A,B}=AB+BA introduced in Lesson 1, Exercise 13, and used again for the Pauli matrices there,</w:t>
      </w:r>
    </w:p>
    <w:p>
      <w:pPr>
        <w:spacing w:before="100" w:after="160"/>
        <w:jc w:val="center"/>
      </w:pPr>
      <m:oMathPara>
        <m:oMath>
          <m:r>
            <m:t xml:space="preserve">{</m:t>
          </m:r>
          <m:r>
            <m:t xml:space="preserve">αᵢ</m:t>
          </m:r>
          <m:r>
            <m:t xml:space="preserve">,</m:t>
          </m:r>
          <m:r>
            <m:t xml:space="preserve">αⱼ</m:t>
          </m:r>
          <m:r>
            <m:t xml:space="preserve">}</m:t>
          </m:r>
          <m:r>
            <m:t xml:space="preserve">=</m:t>
          </m:r>
          <m:r>
            <m:t xml:space="preserve">2δᵢⱼ</m:t>
          </m:r>
          <m:r>
            <m:t xml:space="preserve"> </m:t>
          </m:r>
          <m:r>
            <m:t xml:space="preserve">I</m:t>
          </m:r>
          <m:r>
            <m:t xml:space="preserve">,</m:t>
          </m:r>
          <m:r>
            <m:t xml:space="preserve">{</m:t>
          </m:r>
          <m:r>
            <m:t xml:space="preserve">αᵢ</m:t>
          </m:r>
          <m:r>
            <m:t xml:space="preserve">,</m:t>
          </m:r>
          <m:r>
            <m:t xml:space="preserve">β</m:t>
          </m:r>
          <m:r>
            <m:t xml:space="preserve">}</m:t>
          </m:r>
          <m:r>
            <m:t xml:space="preserve">=</m:t>
          </m:r>
          <m:r>
            <m:t xml:space="preserve">0</m:t>
          </m:r>
          <m:r>
            <m:t xml:space="preserve">,</m:t>
          </m:r>
          <m:sSup>
            <m:e>
              <m:r>
                <m:t xml:space="preserve">β</m:t>
              </m:r>
            </m:e>
            <m:sup>
              <m:r>
                <m:t xml:space="preserve">2</m:t>
              </m:r>
            </m:sup>
          </m:sSup>
          <m:r>
            <m:t xml:space="preserve">=</m:t>
          </m:r>
          <m:r>
            <m:t xml:space="preserve">I</m:t>
          </m:r>
        </m:oMath>
      </m:oMathPara>
    </w:p>
    <w:p>
      <w:r>
        <w:rPr>
          <w:b/>
          <w:i/>
        </w:rP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3"/>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3"/>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15,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r>
        <w:rPr>
          <w:b/>
          <w:i/>
        </w:rP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3"/>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3"/>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r>
        <w:rPr>
          <w:b/>
          <w:i/>
        </w:rP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3"/>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20 that the four components are found to organize themselves into two two-component spinors of the kind constructed in Lesson 15, with the extra factor of two (beyond the two needed for ordinary spin-1/2) tied to the particle and antiparticle content examined in Lesson 23. The appearance of spin was not assumed; it was forced by requiring a first-order, Lorentz-consistent equation at all.</w:t>
      </w:r>
    </w:p>
    <w:p>
      <w:pPr>
        <w:pStyle w:val="Heading2"/>
      </w:pPr>
      <w:r>
        <w:t>6 The requirements list</w:t>
      </w:r>
    </w:p>
    <w:p>
      <w:pPr>
        <w:pStyle w:val="Heading3"/>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10.</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20)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3"/>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20's task, approached with the confidence that the algebraic groundwork here guarantees a consistent starting point exists, precisely because the obstruction of Section 4.1 has been circumvented rather than merely avoided.</w:t>
      </w:r>
    </w:p>
    <w:p>
      <w:r>
        <w:rPr>
          <w:b/>
          <w:i/>
        </w:rPr>
        <w:t>Worked example 5</w:t>
      </w:r>
    </w:p>
    <w:p>
      <w:r>
        <w:t>State, as a preview only, what Lesson 20 will show about the current built from a first-order equation satisfying Section 3.2's algebra. With Ĥ_D=α·p̂+βm first order in time, the equation i∂_tψ=Ĥ_Dψ has the same structural form as the ordinary Schrödinger equation of Lesson 12, so the same method used there (multiply by ψ† and its Hermitian-conjugate equation, subtract) will be shown in Lesson 24 to produce a current with ρ=ψ†ψ, manifestly positive definite (a sum of squared magnitudes, as in Lesson 10), resolving Lesson 18's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20, fully derived in Lesson 24)</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21</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22</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23)</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14 and 15, and it is a method used repeatedly throughout theoretical physics: gauge invariance in Lesson 39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10"/>
        </w:numPr>
      </w:pPr>
      <w:r>
        <w:t>The Schrödinger equation fails Lorentz covariance because it has unequal numbers of space and time derivatives; the Klein–Gordon equation fixes this but loses a positive-definite current because it is second order in time.</w:t>
      </w:r>
    </w:p>
    <w:p>
      <w:pPr>
        <w:pStyle w:val="ListNumber"/>
        <w:numPr>
          <w:ilvl w:val="0"/>
          <w:numId w:val="10"/>
        </w:numPr>
      </w:pPr>
      <w:r>
        <w:t>The goal is a first-order equation consistent with E²=|p|²+m².</w:t>
      </w:r>
    </w:p>
    <w:p>
      <w:pPr>
        <w:pStyle w:val="ListNumber"/>
        <w:numPr>
          <w:ilvl w:val="0"/>
          <w:numId w:val="10"/>
        </w:numPr>
      </w:pPr>
      <w:r>
        <w:t>A naive square root of p̂²+m² produces an infinite series of derivatives and is nonlocal.</w:t>
      </w:r>
    </w:p>
    <w:p>
      <w:pPr>
        <w:pStyle w:val="ListNumber"/>
        <w:numPr>
          <w:ilvl w:val="0"/>
          <w:numId w:val="10"/>
        </w:numPr>
      </w:pPr>
      <w:r>
        <w:t>A linear ansatz Ĥ_D=α·p̂+βm, squared and matched to p̂²+m², forces {αᵢ,αⱼ}=2δᵢⱼI, {αᵢ,β}=0, and β²=I.</w:t>
      </w:r>
    </w:p>
    <w:p>
      <w:pPr>
        <w:pStyle w:val="ListNumber"/>
        <w:numPr>
          <w:ilvl w:val="0"/>
          <w:numId w:val="10"/>
        </w:numPr>
      </w:pPr>
      <w:r>
        <w:t>Ordinary numbers cannot satisfy this algebra while keeping every coefficient nonzero; matrices are required.</w:t>
      </w:r>
    </w:p>
    <w:p>
      <w:pPr>
        <w:pStyle w:val="ListNumber"/>
        <w:numPr>
          <w:ilvl w:val="0"/>
          <w:numId w:val="10"/>
        </w:numPr>
      </w:pPr>
      <w:r>
        <w:t>Four mutually anticommuting, square-to-identity matrices require at least 4×4 size, since odd dimensions are ruled out by a trace argument.</w:t>
      </w:r>
    </w:p>
    <w:p>
      <w:pPr>
        <w:pStyle w:val="ListNumber"/>
        <w:numPr>
          <w:ilvl w:val="0"/>
          <w:numId w:val="10"/>
        </w:numPr>
      </w:pPr>
      <w:r>
        <w:t>A 4×4 matrix algebra means the wave function must have four components, with spin structure emerging as a consequence rather than an assumption.</w:t>
      </w:r>
    </w:p>
    <w:p>
      <w:pPr>
        <w:pStyle w:val="ListNumber"/>
        <w:numPr>
          <w:ilvl w:val="0"/>
          <w:numId w:val="10"/>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Schrödinger and Klein–Gordon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15's introduction of spin: in Lesson 15,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Schrödinger and Klein–Gordon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15, nothing in the abstract angular momentum algebra of Lesson 14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the same dimension, reproducing the equal-eigenvalue-count conclusion of Exercise 12 without reference to the trace at all.</w:t>
      </w:r>
    </w:p>
    <w:p>
      <w:pPr>
        <w:pStyle w:val="Heading2"/>
      </w:pPr>
      <w:r>
        <w:t>Mastery checklist</w:t>
      </w:r>
    </w:p>
    <w:p>
      <w:pPr>
        <w:pStyle w:val="ListBullet"/>
      </w:pPr>
      <w:r>
        <w:t>I can state precisely why the Schrödinger and Klein–Gordon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15's treatment of spin.</w:t>
      </w:r>
    </w:p>
    <w:p>
      <w:pPr>
        <w:pStyle w:val="Heading2"/>
      </w:pPr>
      <w:r>
        <w:t>Next lesson</w:t>
      </w:r>
    </w:p>
    <w:p>
      <w:r>
        <w:t>Lesson 20 constructs the Dirac equation directly, following the logic developed here: a first-order equation, linear in both space and time derivatives, built from a new set of matrices whose algebra is fixed by requiring consistency with E² = |p|² + m².</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the Schrödinger Equation Is Not Enough</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