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r w:rsidRPr="00AC6CC8">
        <w:rPr>
          <w:color w:val="0070C0"/>
        </w:rPr>
        <w:t xml:space="preserve">Standing in the Wave</w:t>
      </w:r>
      <w:hyperlink w:anchor="Chapter12DucDeBroccoli" w:history="1">
        <w:r w:rsidR="00C049FC" w:rsidRPr="00AC6CC8">
          <w:rPr>
            <w:color w:val="0070C0"/>
            <w:u w:val="single"/>
          </w:rPr>
          <w:t xml:space="preserve"/>
        </w:r>
        <w:r w:rsidR="00A02264" w:rsidRPr="00AC6CC8">
          <w:rPr>
            <w:color w:val="0070C0"/>
            <w:u w:val="single"/>
          </w:rPr>
          <w:t/>
        </w:r>
        <w:r w:rsidR="00C049FC" w:rsidRPr="00AC6CC8">
          <w:rPr>
            <w:color w:val="0070C0"/>
            <w:u w:val="single"/>
          </w:rPr>
          <w:t xml:space="preserve"/>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ind w:left="720"/>
        <w:rPr>
          <w:color w:val="0070C0"/>
          <w:u w:val="single"/>
        </w:rPr>
      </w:pPr>
      <w:hyperlink w:anchor="Lecture07Entanglement" w:history="1">
        <w:r>
          <w:rPr>
            <w:color w:val="0070C0"/>
            <w:u w:val="single"/>
          </w:rPr>
          <w:t xml:space="preserve">Lesson 7: Entanglement and Decoherence</w:t>
        </w:r>
      </w:hyperlink>
    </w:p>
    <w:p w14:paraId="2F625B14" w14:textId="7DB4F9EF" w:rsidR="007F3821" w:rsidRPr="00AC6CC8" w:rsidRDefault="007F3821" w:rsidP="00216188">
      <w:pPr>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October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 / 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filed the thought as unfinished business, in the only place she had left for such things, and did not open it again that morning.</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It was the kind of fact people set aside to worry about later, when later still seemed like a safe assumption.</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 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 / 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He had a Belfast voice, unhurried and precise,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 the green notebook, toward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 —”</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 —”</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Coldharrow Rise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 </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 </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 </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after ignoring the environment, the interference terms of the system’s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 </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 </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If you cannot, you do not have it yet. That is allowed. Reread. Then continue.</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 </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Zurek’s own illustrative estimate puts a number on it: for a one-gram object held in a superposition of two positions a centimetre apart, at room temperature, the decoherence time is of order 10⁻²³ seconds — a figure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If you cannot yet, that only means you are not there yet. No shame in it. Reread, then carry on.</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 </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Can’t do it? Fine. That is what reread is for. Go back, then carry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 </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If the sentence will not come, you are not finished with this one. Reread it. Then move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 </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 Struggling is not failing here. It only means: reread, then continue.</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ListParagraph"/>
        <w:numPr>
          <w:ilvl w:val="0"/>
          <w:numId w:val="17"/>
        </w:numPr>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ListParagraph"/>
        <w:numPr>
          <w:ilvl w:val="0"/>
          <w:numId w:val="17"/>
        </w:numPr>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ListParagraph"/>
        <w:numPr>
          <w:ilvl w:val="0"/>
          <w:numId w:val="17"/>
        </w:numPr>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ListParagraph"/>
        <w:numPr>
          <w:ilvl w:val="0"/>
          <w:numId w:val="17"/>
        </w:numPr>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ListParagraph"/>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 </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If that stumped you, you are not behind — you are simply not done. Reread, then go on.</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 </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Not yet? That is the honest answer for most first attempts. Reread, then continue.</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 </w:t>
      </w:r>
      <w:r w:rsidRPr="00711D50">
        <w:t>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pth, physical error rates p &lt; pth can in principle be suppressed by increasing the code size and running fault-tolerant correction. For p &gt; pth,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which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If you could not, nothing has gone wrong. Reread the lecture, then carry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 </w:t>
      </w:r>
      <w:r w:rsidRPr="00D96331">
        <w:rPr>
          <w:bCs/>
        </w:rPr>
        <w:t> Entropy counts how many microscopic arrangements look the same from far away; Boltzmann’s famous form is S = kB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If you cannot, you do not have it yet. That is allowed. Reread. Then continue.</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Negentropy is not a competing force and not a loophole — it is bookkeeping. Brillouin later read Schrödinger’s phrase as being about information: staying distinguishable (holding a shape, keeping a record)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If you cannot yet, that only means you are not there yet. No shame in it. Reread, then carry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 </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10^100 years, but no calendar can make those assumptions final.</w:t>
      </w:r>
    </w:p>
    <w:p w14:paraId="4D9A5FA1" w14:textId="77777777" w:rsidR="00154479" w:rsidRDefault="00000000">
      <w:pPr>
        <w:spacing w:after="160"/>
        <w:jc w:val="both"/>
        <w:rPr>
          <w:bCs/>
        </w:rPr>
      </w:pPr>
      <w:r>
        <w:t>A commonly quoted evaporation time for a supermassive hole is of order 10¹⁰⁰ years. Write it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 Can’t do it? Fine. That is what reread is for. Go back, then carry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xml:space="preserve">, α ≈ 1/137.036, which sets how strongly an electron and a photon interact. It is dimensionless — a pure number, with no units attached — because it is built from the electron’s charge, the speed of light, Planck’s constant, and the vacuum permittivity,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eighteen minutes with 3Blue1Brown,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loophole physicists still fight about.</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