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Wer die Wege in diesem Kapitel zum ersten Mal vergleicht, tappt erfahrungsgemäß in ähnliche Fallen: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Wer die Wege in diesem Kapitel zum ersten Mal vergleicht, tappt erfahrungsgemäß in ähnliche Fallen:</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Was kann in Deutschland günstig wirken und im Zielland zum großen Kostenposten werden – etwa Gesundheit, Studium, Mobilität oder Haushaltshilfe?</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Was kann in Deutschland günstig wirken und im Zielland zum großen Kostenposten werden – etwa Gesundheit, Studium, Mobilität oder Haushaltshilfe?</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Was kann in Deutschland günstig wirken und im Zielland zum großen Kostenposten werden – etwa Gesundheit, Studium, Mobilität oder Haushaltshilfe?</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Was kann in Deutschland günstig wirken und im Zielland zum großen Kostenposten werden – etwa Gesundheit, Studium, Mobilität oder Haushaltshilfe?</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