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where it had lived since the old Tuesday.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like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regarded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in capitals, which Mrs Marsh did not hold with. Derek stood. When he sat, he got up again.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as public address systems do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considered the ten and a half on the itinerary, and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as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much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told me on the telephone that he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found that they explained the joke, and deleted them. He wrote two hundred, and found that they agreed with Herbert, and deleted those too.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studied the photograph on his phone, the shut door behind the bottle, at nine fifty-eight and twelve seconds. "That's the last picture of it. Before."</w:t>
      </w:r>
    </w:p>
    <w:p>
      <w:pPr>
        <w:spacing w:after="160" w:line="240" w:lineRule="auto"/>
      </w:pPr>
      <w:r>
        <w:rPr>
          <w:rFonts w:ascii="Georgia" w:hAnsi="Georgia" w:eastAsia="Georgia"/>
          <w:b w:val="0"/>
          <w:sz w:val="22"/>
        </w:rPr>
        <w:t>Trevor put the phone away. At ten past six he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Quantum, Actually</w:t>
      </w:r>
    </w:p>
    <w:p>
      <w:pPr>
        <w:spacing w:after="20" w:line="240" w:lineRule="auto" w:before="0"/>
        <w:ind w:left="360" w:firstLine="0" w:right="0"/>
        <w:jc w:val="left"/>
      </w:pPr>
      <w:r>
        <w:rPr>
          <w:rFonts w:ascii="Georgia" w:hAnsi="Georgia" w:eastAsia="Georgia"/>
          <w:sz w:val="22"/>
        </w:rPr>
        <w:t>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