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Operators and Observables</w:t>
      </w:r>
    </w:p>
    <w:p>
      <w:pPr>
        <w:pStyle w:val="Subtitle"/>
        <w:jc w:val="center"/>
      </w:pPr>
      <w:r>
        <w:t>Lesson 10 of the Complete Quantum Electrodynamics Course</w:t>
      </w:r>
    </w:p>
    <w:p>
      <w:r>
        <w:br/>
      </w:r>
    </w:p>
    <w:p>
      <w:pPr>
        <w:jc w:val="center"/>
      </w:pPr>
      <w:r>
        <w:rPr>
          <w:b/>
          <w:sz w:val="26"/>
        </w:rPr>
        <w:t>Hermitian operators, eigenvalues as measurement outcomes, commutators, and simultaneous observability</w:t>
      </w:r>
    </w:p>
    <w:p>
      <w:r>
        <w:br/>
        <w:br/>
      </w:r>
    </w:p>
    <w:p>
      <w:pPr>
        <w:jc w:val="center"/>
      </w:pPr>
      <w:r>
        <w:t>Course edition 1.0</w:t>
      </w:r>
    </w:p>
    <w:p>
      <w:r>
        <w:br w:type="page"/>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sSub>
            <m:e>
              <m:r>
                <m:t xml:space="preserve">⟨A⟩</m:t>
              </m:r>
            </m:e>
            <m:sub>
              <m:r>
                <m:t xml:space="preserve">ψ</m:t>
              </m:r>
            </m:sub>
          </m:sSub>
          <m:r>
            <m:t xml:space="preserve">=</m:t>
          </m:r>
          <m:r>
            <m:t xml:space="preserve">⟨ψ</m:t>
          </m:r>
          <m:r>
            <m:t xml:space="preserve">|</m:t>
          </m:r>
          <m:r>
            <m:t xml:space="preserve">A</m:t>
          </m:r>
          <m:r>
            <m:t xml:space="preserve">|</m:t>
          </m:r>
          <m:r>
            <m:t xml:space="preserve">ψ⟩</m:t>
          </m:r>
          <m:r>
            <m:t xml:space="preserve">=</m:t>
          </m:r>
          <m:r>
            <m:t xml:space="preserve">∫</m:t>
          </m:r>
          <m:r>
            <m:t xml:space="preserve"> </m:t>
          </m:r>
          <m:r>
            <m:t xml:space="preserve">ψ*</m:t>
          </m:r>
          <m:d>
            <m:dPr/>
            <m:e>
              <m:r>
                <m:t xml:space="preserve">x</m:t>
              </m:r>
            </m:e>
          </m:d>
          <m:r>
            <m:t xml:space="preserve"> </m:t>
          </m:r>
          <m:d>
            <m:dPr/>
            <m:e>
              <m:r>
                <m:t xml:space="preserve">Aψ</m:t>
              </m:r>
            </m:e>
          </m:d>
          <m:d>
            <m:dPr/>
            <m:e>
              <m:r>
                <m:t xml:space="preserve">x</m:t>
              </m:r>
            </m:e>
          </m:d>
          <m:r>
            <m:t xml:space="preserve"> </m:t>
          </m:r>
          <m:sSup>
            <m:e>
              <m:r>
                <m:t xml:space="preserve">d</m:t>
              </m:r>
            </m:e>
            <m:sup>
              <m:r>
                <m:t xml:space="preserve">3</m:t>
              </m:r>
            </m:sup>
          </m:sSup>
          <m:r>
            <m:t xml:space="preserve">x</m:t>
          </m:r>
        </m:oMath>
      </m:oMathPara>
    </w:p>
    <w:p>
      <w:r>
        <w:t>Expanding ψ in the eigenbasis of A, ψ = Σₙcₙ|aₙ⟩, and using A|aₙ⟩ = aₙ|aₙ⟩,</w:t>
      </w:r>
    </w:p>
    <w:p>
      <w:pPr>
        <w:spacing w:before="100" w:after="160"/>
        <w:jc w:val="center"/>
      </w:pPr>
      <m:oMathPara>
        <m:oMath>
          <m:sSub>
            <m:e>
              <m:r>
                <m:t xml:space="preserve">⟨A⟩</m:t>
              </m:r>
            </m:e>
            <m:sub>
              <m:r>
                <m:t xml:space="preserve">ψ</m:t>
              </m:r>
            </m:sub>
          </m:sSub>
          <m:r>
            <m:t xml:space="preserve">=</m:t>
          </m:r>
          <m:r>
            <m:t xml:space="preserve">Σₙ</m:t>
          </m:r>
          <m:r>
            <m:t xml:space="preserve"> </m:t>
          </m:r>
          <m:sSup>
            <m:e>
              <m:d>
                <m:dPr>
                  <m:begChr m:val="|"/>
                  <m:endChr m:val="|"/>
                </m:dPr>
                <m:e>
                  <m:r>
                    <m:t xml:space="preserve">cₙ</m:t>
                  </m:r>
                </m:e>
              </m:d>
            </m:e>
            <m:sup>
              <m:r>
                <m:t xml:space="preserve">2</m:t>
              </m:r>
            </m:sup>
          </m:sSup>
          <m:r>
            <m:t xml:space="preserve"> </m:t>
          </m:r>
          <m:r>
            <m:t xml:space="preserve">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d>
            <m:dPr/>
            <m:e>
              <m:r>
                <m:t xml:space="preserve">x̂ψ</m:t>
              </m:r>
            </m:e>
          </m:d>
          <m:d>
            <m:dPr/>
            <m:e>
              <m:r>
                <m:t xml:space="preserve">x</m:t>
              </m:r>
            </m:e>
          </m:d>
          <m:r>
            <m:t xml:space="preserve">=</m:t>
          </m:r>
          <m:r>
            <m:t xml:space="preserve">x</m:t>
          </m:r>
          <m:r>
            <m:t xml:space="preserve"> </m:t>
          </m:r>
          <m:r>
            <m:t xml:space="preserve">ψ</m:t>
          </m:r>
          <m:d>
            <m:dPr/>
            <m:e>
              <m:r>
                <m:t xml:space="preserve">x</m:t>
              </m:r>
            </m:e>
          </m:d>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m:t>
          </m:r>
          <m:r>
            <m:t xml:space="preserve">=</m:t>
          </m:r>
          <m:r>
            <m:t xml:space="preserve">−</m:t>
          </m:r>
          <m:r>
            <m:t xml:space="preserve">iℏ</m:t>
          </m:r>
          <m:r>
            <m:t xml:space="preserve"> </m:t>
          </m:r>
          <m:r>
            <m:t xml:space="preserve">∇</m:t>
          </m:r>
          <m:r>
            <m:t xml:space="preserve">,</m:t>
          </m:r>
          <m:d>
            <m:dPr/>
            <m:e>
              <m:r>
                <m:t xml:space="preserve">p̂ψ</m:t>
              </m:r>
            </m:e>
          </m:d>
          <m:d>
            <m:dPr/>
            <m:e>
              <m:r>
                <m:t xml:space="preserve">x</m:t>
              </m:r>
            </m:e>
          </m:d>
          <m:r>
            <m:t xml:space="preserve">=</m:t>
          </m:r>
          <m:r>
            <m:t xml:space="preserve">−</m:t>
          </m:r>
          <m:r>
            <m:t xml:space="preserve">iℏ</m:t>
          </m:r>
          <m:r>
            <m:t xml:space="preserve"> </m:t>
          </m:r>
          <m:r>
            <m:t xml:space="preserve">∇ψ</m:t>
          </m:r>
          <m:d>
            <m:dPr/>
            <m:e>
              <m:r>
                <m:t xml:space="preserve">x</m:t>
              </m:r>
            </m:e>
          </m:d>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d>
            <m:dPr>
              <m:begChr m:val="["/>
              <m:endChr m:val="]"/>
            </m:dPr>
            <m:e>
              <m:r>
                <m:t xml:space="preserve">x̂</m:t>
              </m:r>
              <m:r>
                <m:t xml:space="preserve">,</m:t>
              </m:r>
              <m:r>
                <m:t xml:space="preserve">p̂</m:t>
              </m:r>
            </m:e>
          </m:d>
          <m:r>
            <m:t xml:space="preserve">ψ</m:t>
          </m:r>
          <m:r>
            <m:t xml:space="preserve">=</m:t>
          </m:r>
          <m:r>
            <m:t xml:space="preserve">x</m:t>
          </m:r>
          <m:d>
            <m:dPr/>
            <m:e>
              <m:r>
                <m:t xml:space="preserve">−</m:t>
              </m:r>
              <m:r>
                <m:t xml:space="preserve">iℏψ′</m:t>
              </m:r>
            </m:e>
          </m:d>
          <m:r>
            <m:t xml:space="preserve">−</m:t>
          </m:r>
          <m:d>
            <m:dPr/>
            <m:e>
              <m:r>
                <m:t xml:space="preserve">−</m:t>
              </m:r>
              <m:r>
                <m:t xml:space="preserve">iℏ</m:t>
              </m:r>
            </m:e>
          </m:d>
          <m:d>
            <m:dPr/>
            <m:e>
              <m:r>
                <m:t xml:space="preserve">xψ</m:t>
              </m:r>
            </m:e>
          </m:d>
          <m:r>
            <m:t xml:space="preserve">′</m:t>
          </m:r>
          <m:r>
            <m:t xml:space="preserve">=</m:t>
          </m:r>
          <m:r>
            <m:t xml:space="preserve">−</m:t>
          </m:r>
          <m:r>
            <m:t xml:space="preserve">iℏxψ′</m:t>
          </m:r>
          <m:r>
            <m:t xml:space="preserve">+</m:t>
          </m:r>
          <m:r>
            <m:t xml:space="preserve">iℏψ</m:t>
          </m:r>
          <m:r>
            <m:t xml:space="preserve">+</m:t>
          </m:r>
          <m:r>
            <m:t xml:space="preserve">iℏxψ′</m:t>
          </m:r>
          <m:r>
            <m:t xml:space="preserve">=</m:t>
          </m:r>
          <m:r>
            <m:t xml:space="preserve">iℏψ</m:t>
          </m:r>
        </m:oMath>
      </m:oMathPara>
    </w:p>
    <w:p>
      <w:pPr>
        <w:spacing w:before="100" w:after="160"/>
        <w:jc w:val="center"/>
      </w:pPr>
      <m:oMathPara>
        <m:oMath>
          <m:d>
            <m:dPr>
              <m:begChr m:val="["/>
              <m:endChr m:val="]"/>
            </m:dPr>
            <m:e>
              <m:r>
                <m:t xml:space="preserve">x̂</m:t>
              </m:r>
              <m:r>
                <m:t xml:space="preserve">,</m:t>
              </m:r>
              <m:r>
                <m:t xml:space="preserve">p̂</m:t>
              </m:r>
            </m:e>
          </m:d>
          <m:r>
            <m:t xml:space="preserve">=</m:t>
          </m:r>
          <m:r>
            <m:t xml:space="preserve">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m:t>
          </m:r>
          <m:r>
            <m:t xml:space="preserve">·</m:t>
          </m:r>
          <m:r>
            <m:t xml:space="preserve">ΔB</m:t>
          </m:r>
          <m:r>
            <m:t xml:space="preserve">≥</m:t>
          </m:r>
          <m:f>
            <m:num>
              <m:r>
                <m:t xml:space="preserve">1</m:t>
              </m:r>
            </m:num>
            <m:den>
              <m:r>
                <m:t xml:space="preserve">2</m:t>
              </m:r>
            </m:den>
          </m:f>
          <m:r>
            <m:t xml:space="preserve">|</m:t>
          </m:r>
          <m:r>
            <m:t xml:space="preserve">⟨</m:t>
          </m:r>
          <m:d>
            <m:dPr>
              <m:begChr m:val="["/>
              <m:endChr m:val="]"/>
            </m:dPr>
            <m:e>
              <m:r>
                <m:t xml:space="preserve">A</m:t>
              </m:r>
              <m:r>
                <m:t xml:space="preserve">,</m:t>
              </m:r>
              <m:r>
                <m:t xml:space="preserve">B</m:t>
              </m:r>
            </m:e>
          </m:d>
          <m:r>
            <m:t xml:space="preserve">⟩</m:t>
          </m:r>
          <m:r>
            <m:t xml:space="preserve">|</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m:t>
          </m:r>
          <m:r>
            <m:t xml:space="preserve">·</m:t>
          </m:r>
          <m:r>
            <m:t xml:space="preserve">Δp</m:t>
          </m:r>
          <m:r>
            <m:t xml:space="preserve">≥</m:t>
          </m:r>
          <m:f>
            <m:num>
              <m:r>
                <m:t xml:space="preserve">ℏ</m:t>
              </m:r>
            </m:num>
            <m:den>
              <m:r>
                <m:t xml:space="preserve">2</m:t>
              </m:r>
            </m:den>
          </m:f>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f>
            <m:num>
              <m:r>
                <m:t xml:space="preserve">d⟨A⟩</m:t>
              </m:r>
            </m:num>
            <m:den>
              <m:r>
                <m:t xml:space="preserve">dt</m:t>
              </m:r>
            </m:den>
          </m:f>
          <m:r>
            <m:t xml:space="preserve">=</m:t>
          </m:r>
          <m:f>
            <m:num>
              <m:r>
                <m:t xml:space="preserve">i</m:t>
              </m:r>
            </m:num>
            <m:den>
              <m:r>
                <m:t xml:space="preserve">ℏ</m:t>
              </m:r>
            </m:den>
          </m:f>
          <m:r>
            <m:t xml:space="preserve"> </m:t>
          </m:r>
          <m:r>
            <m:t xml:space="preserve">⟨</m:t>
          </m:r>
          <m:d>
            <m:dPr>
              <m:begChr m:val="["/>
              <m:endChr m:val="]"/>
            </m:dPr>
            <m:e>
              <m:r>
                <m:t xml:space="preserve">H</m:t>
              </m:r>
              <m:r>
                <m:t xml:space="preserve">,</m:t>
              </m:r>
              <m:r>
                <m:t xml:space="preserve">A</m:t>
              </m:r>
            </m:e>
          </m:d>
          <m:r>
            <m:t xml:space="preserve">⟩</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0"/>
        </w:numPr>
      </w:pPr>
      <w:r>
        <w:t>Observables are represented by Hermitian operators; measurement outcomes are their eigenvalues, and ⟨A⟩_ψ is the statistical average over an ensemble.</w:t>
      </w:r>
    </w:p>
    <w:p>
      <w:pPr>
        <w:pStyle w:val="ListNumber"/>
        <w:numPr>
          <w:ilvl w:val="0"/>
          <w:numId w:val="10"/>
        </w:numPr>
      </w:pPr>
      <w:r>
        <w:t>Position acts by multiplication and momentum by −iℏ∇, satisfying [x, p] = iℏ, the quantum realization of the Poisson bracket {q, p} = 1.</w:t>
      </w:r>
    </w:p>
    <w:p>
      <w:pPr>
        <w:pStyle w:val="ListNumber"/>
        <w:numPr>
          <w:ilvl w:val="0"/>
          <w:numId w:val="10"/>
        </w:numPr>
      </w:pPr>
      <w:r>
        <w:t>Spectra can be discrete, with normalizable eigenfunctions and Kronecker-delta orthogonality, or continuous, with delta-function orthogonality.</w:t>
      </w:r>
    </w:p>
    <w:p>
      <w:pPr>
        <w:pStyle w:val="ListNumber"/>
        <w:numPr>
          <w:ilvl w:val="0"/>
          <w:numId w:val="10"/>
        </w:numPr>
      </w:pPr>
      <w:r>
        <w:t>Degenerate eigenvalues require additional compatible observables to specify the state completely.</w:t>
      </w:r>
    </w:p>
    <w:p>
      <w:pPr>
        <w:pStyle w:val="ListNumber"/>
        <w:numPr>
          <w:ilvl w:val="0"/>
          <w:numId w:val="10"/>
        </w:numPr>
      </w:pPr>
      <w:r>
        <w:t>The generalized uncertainty relation ΔAΔB ≥ (1/2)|⟨[A,B]⟩| follows from Cauchy Schwarz and reduces to ΔxΔp ≥ ℏ/2 for position and momentum.</w:t>
      </w:r>
    </w:p>
    <w:p>
      <w:pPr>
        <w:pStyle w:val="ListNumber"/>
        <w:numPr>
          <w:ilvl w:val="0"/>
          <w:numId w:val="10"/>
        </w:numPr>
      </w:pPr>
      <w:r>
        <w:t>Commuting observables admit simultaneous eigenstates; noncommuting observables cannot generally be sharply defined together.</w:t>
      </w:r>
    </w:p>
    <w:p>
      <w:pPr>
        <w:pStyle w:val="ListNumber"/>
        <w:numPr>
          <w:ilvl w:val="0"/>
          <w:numId w:val="10"/>
        </w:numPr>
      </w:pPr>
      <w:r>
        <w:t>The Ehrenfest theorem d⟨A⟩/dt = (i/ℏ)⟨[H,A]⟩ is the quantum analogue of df/dt = {f, H}.</w:t>
      </w:r>
    </w:p>
    <w:p>
      <w:pPr>
        <w:pStyle w:val="ListNumber"/>
        <w:numPr>
          <w:ilvl w:val="0"/>
          <w:numId w:val="10"/>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