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pPr>
        <w:pStyle w:val="Heading1"/>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1"/>
      </w:pPr>
      <w:r>
        <w:t>1 Specializing to the rest frame</w:t>
      </w:r>
    </w:p>
    <w:p>
      <w:pPr>
        <w:pStyle w:val="Heading2"/>
      </w:pPr>
      <w:r>
        <w:t>1.1 The starting formula</w:t>
      </w:r>
    </w:p>
    <w:p>
      <w:r>
        <w:t>Lesson 50,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1"/>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with E₂ a function of p≡|p₁| once p₂=−p₁ is substituted, exactly Lesson 58, Section 2.2's structure with M replacing √s and E_i's role folded into the single mass M.</w:t>
      </w:r>
    </w:p>
    <w:p>
      <w:pPr>
        <w:pStyle w:val="Heading2"/>
      </w:pPr>
      <w:r>
        <w:t>2.2 The radial integral</w:t>
      </w:r>
    </w:p>
    <w:p>
      <w:r>
        <w:t>Writing f(p)=M−E₁(p)−E₂(p), the identical steps as Lesson 58,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1"/>
      </w:pPr>
      <w:r>
        <w:t>3 The two-body decay rate</w:t>
      </w:r>
    </w:p>
    <w:p>
      <w:pPr>
        <w:pStyle w:val="Heading2"/>
      </w:pPr>
      <w:r>
        <w:t>3.1 Assembling dΓ/dΩ</w:t>
      </w:r>
    </w:p>
    <w:p>
      <w:r>
        <w:t>Combining Section 2 exactly as Lesson 58, Section 5.1, assembled its result,</w:t>
      </w:r>
    </w:p>
    <w:p>
      <w:pPr>
        <w:spacing w:before="100" w:after="160"/>
        <w:jc w:val="center"/>
      </w:pPr>
      <m:oMathPara>
        <m:oMath>
          <m:r>
            <m:t xml:space="preserve">dΓ/dΩ = p_f |ℳ|² / (32 π² M²)</m:t>
          </m:r>
        </m:oMath>
      </m:oMathPara>
    </w:p>
    <w:p>
      <w:r>
        <w:t>with the numerical factor differing from Lesson 58's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1"/>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1"/>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a symmetry factor of the same character as the combinatorial factors already met in Lesson 49's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r>
        <w:t>Lesson 60 now assembles every piece: the amplitudes of Lessons 53–57, the cross-section formula of Lesson 58, and this lesson's decay-rate formula, into a first complete set of QED predictions.</w:t>
      </w:r>
    </w:p>
    <w:p>
      <w:pPr>
        <w:pStyle w:val="Heading1"/>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1"/>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1"/>
      </w:pPr>
      <w:r>
        <w:t>Next lesson</w:t>
      </w:r>
    </w:p>
    <w:p>
      <w:r>
        <w:t>Lesson 60 closes Part VIII by combining every amplitude computed in Lessons 53–57 with this lesson's and Lesson 58's phase-space formulas, stating the resulting experimental predictions in full.</w:t>
      </w:r>
    </w:p>
    <w:p>
      <w:r>
        <w:br w:type="page"/>
      </w:r>
    </w:p>
    <w:p>
      <w:pPr>
        <w:pStyle w:val="Heading1"/>
      </w:pPr>
      <w:r>
        <w:t>Lesson 60 Experimental Predictions</w:t>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87"/>
        </w:numPr>
      </w:pPr>
      <w:r>
        <w:t>Combining Lessons 53–57's amplitudes with Lesson 58's phase-space formula gives five explicit differential cross sections, collected in Section 1's table.</w:t>
      </w:r>
    </w:p>
    <w:p>
      <w:pPr>
        <w:pStyle w:val="ListNumber"/>
        <w:numPr>
          <w:ilvl w:val="0"/>
          <w:numId w:val="87"/>
        </w:numPr>
      </w:pPr>
      <w:r>
        <w:t>Writing t in terms of the scattering angle, t=−4p²sin²(θ/2), reveals the classic Rutherford sin⁻⁴(θ/2) dependence inside any t-channel process.</w:t>
      </w:r>
    </w:p>
    <w:p>
      <w:pPr>
        <w:pStyle w:val="ListNumber"/>
        <w:numPr>
          <w:ilvl w:val="0"/>
          <w:numId w:val="87"/>
        </w:numPr>
      </w:pPr>
      <w:r>
        <w:t>The total cross section for such a process diverges as the scattering angle goes to zero, a genuine consequence of the photon's masslessness, previewed here and resolved properly in Lesson 73.</w:t>
      </w:r>
    </w:p>
    <w:p>
      <w:pPr>
        <w:pStyle w:val="ListNumber"/>
        <w:numPr>
          <w:ilvl w:val="0"/>
          <w:numId w:val="87"/>
        </w:numPr>
      </w:pPr>
      <w:r>
        <w:t>Every differential cross section in this course's table falls as 1/s at fixed angle as the collision energy grows, a dimensional consequence of the ratios of Mandelstam variables involved.</w:t>
      </w:r>
    </w:p>
    <w:p>
      <w:pPr>
        <w:pStyle w:val="ListNumber"/>
        <w:numPr>
          <w:ilvl w:val="0"/>
          <w:numId w:val="87"/>
        </w:numPr>
      </w:pPr>
      <w:r>
        <w:t>Each of the five processes has a real role in experimental physics: polarimetry, structure studies, medical imaging, and particle-shower physics among them.</w:t>
      </w:r>
    </w:p>
    <w:p>
      <w:pPr>
        <w:pStyle w:val="ListNumber"/>
        <w:numPr>
          <w:ilvl w:val="0"/>
          <w:numId w:val="87"/>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