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Continuous Symmetries</w:t>
      </w:r>
    </w:p>
    <w:p>
      <w:pPr>
        <w:pStyle w:val="Subtitle"/>
        <w:jc w:val="center"/>
      </w:pPr>
      <w:r>
        <w:t>Lesson 28 of the Complete Quantum Electrodynamics Course</w:t>
      </w:r>
    </w:p>
    <w:p>
      <w:r>
        <w:br/>
      </w:r>
    </w:p>
    <w:p>
      <w:pPr>
        <w:jc w:val="center"/>
      </w:pPr>
      <w:r>
        <w:rPr>
          <w:b/>
          <w:sz w:val="26"/>
        </w:rPr>
        <w:t>Symmetry groups, generators and their algebra, the Poincare symmetries of spacetime, internal symmetries, and the charge rule for building invariant Lagrangians</w:t>
      </w:r>
    </w:p>
    <w:p>
      <w:r>
        <w:br/>
        <w:br/>
      </w:r>
    </w:p>
    <w:p>
      <w:pPr>
        <w:jc w:val="center"/>
      </w:pPr>
      <w:r>
        <w:t>Course edition 1.0</w:t>
      </w:r>
    </w:p>
    <w:p>
      <w:r>
        <w:br w:type="page"/>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10"/>
        </w:numPr>
      </w:pPr>
      <w:r>
        <w:t>Symmetry transformations form a group; a continuous group has generators T_a, with g = e^(iε^aT_a) for a finite transformation.</w:t>
      </w:r>
    </w:p>
    <w:p>
      <w:pPr>
        <w:pStyle w:val="ListNumber"/>
        <w:numPr>
          <w:ilvl w:val="0"/>
          <w:numId w:val="10"/>
        </w:numPr>
      </w:pPr>
      <w:r>
        <w:t>Closure of the group implies [T_a, T_b] = if_(ab)^cT_c; U(1) is abelian and rotations have f = ε_(ijk).</w:t>
      </w:r>
    </w:p>
    <w:p>
      <w:pPr>
        <w:pStyle w:val="ListNumber"/>
        <w:numPr>
          <w:ilvl w:val="0"/>
          <w:numId w:val="10"/>
        </w:numPr>
      </w:pPr>
      <w:r>
        <w:t>Noether charges generate the symmetry through Poisson brackets and satisfy the same algebra as the generators, becoming commutators after quantization.</w:t>
      </w:r>
    </w:p>
    <w:p>
      <w:pPr>
        <w:pStyle w:val="ListNumber"/>
        <w:numPr>
          <w:ilvl w:val="0"/>
          <w:numId w:val="10"/>
        </w:numPr>
      </w:pPr>
      <w:r>
        <w:t>Infinitesimal Lorentz transformations have ω_(μν) antisymmetric, with six parameters; with four translations the Poincare group has ten.</w:t>
      </w:r>
    </w:p>
    <w:p>
      <w:pPr>
        <w:pStyle w:val="ListNumber"/>
        <w:numPr>
          <w:ilvl w:val="0"/>
          <w:numId w:val="10"/>
        </w:numPr>
      </w:pPr>
      <w:r>
        <w:t>The ten parameters give conservation of energy, momentum, angular momentum, and the boost charge.</w:t>
      </w:r>
    </w:p>
    <w:p>
      <w:pPr>
        <w:pStyle w:val="ListNumber"/>
        <w:numPr>
          <w:ilvl w:val="0"/>
          <w:numId w:val="10"/>
        </w:numPr>
      </w:pPr>
      <w:r>
        <w:t>In the Poincare algebra rotations close, translations commute, and two boosts produce a rotation.</w:t>
      </w:r>
    </w:p>
    <w:p>
      <w:pPr>
        <w:pStyle w:val="ListNumber"/>
        <w:numPr>
          <w:ilvl w:val="0"/>
          <w:numId w:val="10"/>
        </w:numPr>
      </w:pPr>
      <w:r>
        <w:t>Internal symmetries act on field labels, commute with the Poincare group, and may be global or local; U(1) is abelian and the doublet symmetry is non-abelian.</w:t>
      </w:r>
    </w:p>
    <w:p>
      <w:pPr>
        <w:pStyle w:val="ListNumber"/>
        <w:numPr>
          <w:ilvl w:val="0"/>
          <w:numId w:val="10"/>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