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32: Sasu photography, Wikimedia Commons, CC BY-SA 4.0. Fig 33: Cierra Martin for Crop Trust, Wikimedia Commons, CC BY-SA 2.0. Fig 35: Corrie Barklimore, Wikimedia Commons, CC BY 2.0. Fig 42: NASA. Fig 43: Charles J. Sharp, Wikimedia Commons, CC BY-SA 3.0. Fig 46: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Kind of claim</w:t>
            </w:r>
          </w:p>
        </w:tc>
        <w:tc>
          <w:tcPr>
            <w:tcW w:type="dxa" w:w="1620"/>
          </w:tcPr>
          <w:p>
            <w:pPr>
              <w:spacing w:line="240" w:lineRule="auto"/>
              <w:ind w:firstLine="0"/>
            </w:pPr>
            <w:r/>
            <w:r>
              <w:rPr>
                <w:b/>
                <w:sz w:val="18"/>
              </w:rPr>
              <w:t>What makes it that kind</w:t>
            </w:r>
          </w:p>
        </w:tc>
        <w:tc>
          <w:tcPr>
            <w:tcW w:type="dxa" w:w="1620"/>
          </w:tcPr>
          <w:p>
            <w:pPr>
              <w:spacing w:line="240" w:lineRule="auto"/>
              <w:ind w:firstLine="0"/>
            </w:pPr>
            <w:r/>
            <w:r>
              <w:rPr>
                <w:b/>
                <w:sz w:val="18"/>
              </w:rPr>
              <w:t>Temperature</w:t>
            </w:r>
          </w:p>
        </w:tc>
        <w:tc>
          <w:tcPr>
            <w:tcW w:type="dxa" w:w="1620"/>
          </w:tcPr>
          <w:p>
            <w:pPr>
              <w:spacing w:line="240" w:lineRule="auto"/>
              <w:ind w:firstLine="0"/>
            </w:pPr>
            <w:r/>
            <w:r>
              <w:rPr>
                <w:b/>
                <w:sz w:val="18"/>
              </w:rPr>
              <w:t>Examples in this book</w:t>
            </w:r>
          </w:p>
        </w:tc>
      </w:tr>
      <w:tr>
        <w:tc>
          <w:tcPr>
            <w:tcW w:type="dxa" w:w="1620"/>
          </w:tcPr>
          <w:p>
            <w:pPr>
              <w:spacing w:line="240" w:lineRule="auto"/>
              <w:ind w:firstLine="0"/>
            </w:pPr>
            <w:r/>
            <w:r>
              <w:rPr>
                <w:b/>
                <w:sz w:val="18"/>
              </w:rPr>
              <w:t>Measurement</w:t>
            </w:r>
          </w:p>
        </w:tc>
        <w:tc>
          <w:tcPr>
            <w:tcW w:type="dxa" w:w="1620"/>
          </w:tcPr>
          <w:p>
            <w:pPr>
              <w:spacing w:line="240" w:lineRule="auto"/>
              <w:ind w:firstLine="0"/>
            </w:pPr>
            <w:r/>
            <w:r>
              <w:rPr>
                <w:sz w:val="18"/>
              </w:rPr>
              <w:t>A number read off an instrument, repeated by others</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GPS clocks gain about 38 microseconds a day without correction; the leftover glow is 2.725 K; the ring around M87*</w:t>
            </w:r>
          </w:p>
        </w:tc>
      </w:tr>
      <w:tr>
        <w:tc>
          <w:tcPr>
            <w:tcW w:type="dxa" w:w="1620"/>
          </w:tcPr>
          <w:p>
            <w:pPr>
              <w:spacing w:line="240" w:lineRule="auto"/>
              <w:ind w:firstLine="0"/>
            </w:pPr>
            <w:r/>
            <w:r>
              <w:rPr>
                <w:b/>
                <w:sz w:val="18"/>
              </w:rPr>
              <w:t>Tested theory</w:t>
            </w:r>
          </w:p>
        </w:tc>
        <w:tc>
          <w:tcPr>
            <w:tcW w:type="dxa" w:w="1620"/>
          </w:tcPr>
          <w:p>
            <w:pPr>
              <w:spacing w:line="240" w:lineRule="auto"/>
              <w:ind w:firstLine="0"/>
            </w:pPr>
            <w:r/>
            <w:r>
              <w:rPr>
                <w:sz w:val="18"/>
              </w:rPr>
              <w:t>A theory that predicted measurements before they were made, in the regime where it was tested</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Special and general relativity in tested regimes; the hot, expanding past; the helium made in the first minutes</w:t>
            </w:r>
          </w:p>
        </w:tc>
      </w:tr>
      <w:tr>
        <w:tc>
          <w:tcPr>
            <w:tcW w:type="dxa" w:w="1620"/>
          </w:tcPr>
          <w:p>
            <w:pPr>
              <w:spacing w:line="240" w:lineRule="auto"/>
              <w:ind w:firstLine="0"/>
            </w:pPr>
            <w:r/>
            <w:r>
              <w:rPr>
                <w:b/>
                <w:sz w:val="18"/>
              </w:rPr>
              <w:t>Theoretical extrapolation</w:t>
            </w:r>
          </w:p>
        </w:tc>
        <w:tc>
          <w:tcPr>
            <w:tcW w:type="dxa" w:w="1620"/>
          </w:tcPr>
          <w:p>
            <w:pPr>
              <w:spacing w:line="240" w:lineRule="auto"/>
              <w:ind w:firstLine="0"/>
            </w:pPr>
            <w:r/>
            <w:r>
              <w:rPr>
                <w:sz w:val="18"/>
              </w:rPr>
              <w:t>A tested theory pushed into regimes no one has measured</w:t>
            </w:r>
          </w:p>
        </w:tc>
        <w:tc>
          <w:tcPr>
            <w:tcW w:type="dxa" w:w="1620"/>
          </w:tcPr>
          <w:p>
            <w:pPr>
              <w:spacing w:line="240" w:lineRule="auto"/>
              <w:ind w:firstLine="0"/>
            </w:pPr>
            <w:r/>
            <w:r>
              <w:rPr>
                <w:sz w:val="18"/>
              </w:rPr>
              <w:t>Warm</w:t>
            </w:r>
          </w:p>
        </w:tc>
        <w:tc>
          <w:tcPr>
            <w:tcW w:type="dxa" w:w="1620"/>
          </w:tcPr>
          <w:p>
            <w:pPr>
              <w:spacing w:line="240" w:lineRule="auto"/>
              <w:ind w:firstLine="0"/>
            </w:pPr>
            <w:r/>
            <w:r>
              <w:rPr>
                <w:sz w:val="18"/>
              </w:rPr>
              <w:t>Black-hole interiors; inflation; the far future of heat death</w:t>
            </w:r>
          </w:p>
        </w:tc>
      </w:tr>
      <w:tr>
        <w:tc>
          <w:tcPr>
            <w:tcW w:type="dxa" w:w="1620"/>
          </w:tcPr>
          <w:p>
            <w:pPr>
              <w:spacing w:line="240" w:lineRule="auto"/>
              <w:ind w:firstLine="0"/>
            </w:pPr>
            <w:r/>
            <w:r>
              <w:rPr>
                <w:b/>
                <w:sz w:val="18"/>
              </w:rPr>
              <w:t>Interpretation</w:t>
            </w:r>
          </w:p>
        </w:tc>
        <w:tc>
          <w:tcPr>
            <w:tcW w:type="dxa" w:w="1620"/>
          </w:tcPr>
          <w:p>
            <w:pPr>
              <w:spacing w:line="240" w:lineRule="auto"/>
              <w:ind w:firstLine="0"/>
            </w:pPr>
            <w:r/>
            <w:r>
              <w:rPr>
                <w:sz w:val="18"/>
              </w:rPr>
              <w:t>A reading of what a tested theory says exists, which no experiment can yet separate from its rivals</w:t>
            </w:r>
          </w:p>
        </w:tc>
        <w:tc>
          <w:tcPr>
            <w:tcW w:type="dxa" w:w="1620"/>
          </w:tcPr>
          <w:p>
            <w:pPr>
              <w:spacing w:line="240" w:lineRule="auto"/>
              <w:ind w:firstLine="0"/>
            </w:pPr>
            <w:r/>
            <w:r>
              <w:rPr>
                <w:sz w:val="18"/>
              </w:rPr>
              <w:t>Labeled separately</w:t>
            </w:r>
          </w:p>
        </w:tc>
        <w:tc>
          <w:tcPr>
            <w:tcW w:type="dxa" w:w="1620"/>
          </w:tcPr>
          <w:p>
            <w:pPr>
              <w:spacing w:line="240" w:lineRule="auto"/>
              <w:ind w:firstLine="0"/>
            </w:pPr>
            <w:r/>
            <w:r>
              <w:rPr>
                <w:sz w:val="18"/>
              </w:rPr>
              <w:t>The block universe; Everett’s branches; Bohm; QBism; presentism</w:t>
            </w:r>
          </w:p>
        </w:tc>
      </w:tr>
      <w:tr>
        <w:tc>
          <w:tcPr>
            <w:tcW w:type="dxa" w:w="1620"/>
          </w:tcPr>
          <w:p>
            <w:pPr>
              <w:spacing w:line="240" w:lineRule="auto"/>
              <w:ind w:firstLine="0"/>
            </w:pPr>
            <w:r/>
            <w:r>
              <w:rPr>
                <w:b/>
                <w:sz w:val="18"/>
              </w:rPr>
              <w:t>Open research</w:t>
            </w:r>
          </w:p>
        </w:tc>
        <w:tc>
          <w:tcPr>
            <w:tcW w:type="dxa" w:w="1620"/>
          </w:tcPr>
          <w:p>
            <w:pPr>
              <w:spacing w:line="240" w:lineRule="auto"/>
              <w:ind w:firstLine="0"/>
            </w:pPr>
            <w:r/>
            <w:r>
              <w:rPr>
                <w:sz w:val="18"/>
              </w:rPr>
              <w:t>A question being actively measured, where the answer may change soon</w:t>
            </w:r>
          </w:p>
        </w:tc>
        <w:tc>
          <w:tcPr>
            <w:tcW w:type="dxa" w:w="1620"/>
          </w:tcPr>
          <w:p>
            <w:pPr>
              <w:spacing w:line="240" w:lineRule="auto"/>
              <w:ind w:firstLine="0"/>
            </w:pPr>
            <w:r/>
            <w:r>
              <w:rPr>
                <w:sz w:val="18"/>
              </w:rPr>
              <w:t>Warm, dated</w:t>
            </w:r>
          </w:p>
        </w:tc>
        <w:tc>
          <w:tcPr>
            <w:tcW w:type="dxa" w:w="1620"/>
          </w:tcPr>
          <w:p>
            <w:pPr>
              <w:spacing w:line="240" w:lineRule="auto"/>
              <w:ind w:firstLine="0"/>
            </w:pPr>
            <w:r/>
            <w:r>
              <w:rPr>
                <w:sz w:val="18"/>
              </w:rPr>
              <w:t>Whether dark energy changes with time; the Hubble tension; what dark matter is; quantum gravity and emergent time</w:t>
            </w:r>
          </w:p>
        </w:tc>
      </w:tr>
      <w:tr>
        <w:tc>
          <w:tcPr>
            <w:tcW w:type="dxa" w:w="1620"/>
          </w:tcPr>
          <w:p>
            <w:pPr>
              <w:spacing w:line="240" w:lineRule="auto"/>
              <w:ind w:firstLine="0"/>
            </w:pPr>
            <w:r/>
            <w:r>
              <w:rPr>
                <w:b/>
                <w:sz w:val="18"/>
              </w:rPr>
              <w:t>Speculation</w:t>
            </w:r>
          </w:p>
        </w:tc>
        <w:tc>
          <w:tcPr>
            <w:tcW w:type="dxa" w:w="1620"/>
          </w:tcPr>
          <w:p>
            <w:pPr>
              <w:spacing w:line="240" w:lineRule="auto"/>
              <w:ind w:firstLine="0"/>
            </w:pPr>
            <w:r/>
            <w:r>
              <w:rPr>
                <w:sz w:val="18"/>
              </w:rPr>
              <w:t>Allowed by some equations, not selected by any data</w:t>
            </w:r>
          </w:p>
        </w:tc>
        <w:tc>
          <w:tcPr>
            <w:tcW w:type="dxa" w:w="1620"/>
          </w:tcPr>
          <w:p>
            <w:pPr>
              <w:spacing w:line="240" w:lineRule="auto"/>
              <w:ind w:firstLine="0"/>
            </w:pPr>
            <w:r/>
            <w:r>
              <w:rPr>
                <w:sz w:val="18"/>
              </w:rPr>
              <w:t>Cold</w:t>
            </w:r>
          </w:p>
        </w:tc>
        <w:tc>
          <w:tcPr>
            <w:tcW w:type="dxa" w:w="1620"/>
          </w:tcPr>
          <w:p>
            <w:pPr>
              <w:spacing w:line="240" w:lineRule="auto"/>
              <w:ind w:firstLine="0"/>
            </w:pPr>
            <w:r/>
            <w:r>
              <w:rPr>
                <w:sz w:val="18"/>
              </w:rPr>
              <w:t>Time machines; hopping between branches; other bubbles; continuity through uploading</w:t>
            </w:r>
          </w:p>
        </w:tc>
      </w:tr>
    </w:tbl>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Quantum, Actually, Volume 1</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w:t>
      </w:r>
      <w:r>
        <w:rPr/>
        <w:t xml:space="preserve">Chapter </w:t>
      </w:r>
      <w:hyperlink w:anchor="bm_029" w:history="1">
        <w:r>
          <w:rPr>
            <w:color w:val="0563C1"/>
            <w:u w:val="single"/>
          </w:rPr>
          <w:t xml:space="preserve">18</w:t>
        </w:r>
      </w:hyperlink>
      <w:r>
        <w:rPr/>
        <w:t xml:space="preserve"> and </w:t>
      </w:r>
      <w:hyperlink w:anchor="bm_110" w:history="1">
        <w:r>
          <w:rPr>
            <w:color w:val="0563C1"/>
            <w:u w:val="single"/>
          </w:rPr>
          <w:t xml:space="preserve">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 xml:space="preserve">Appendix A41</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