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Noether Theorem</w:t>
      </w:r>
    </w:p>
    <w:p>
      <w:pPr>
        <w:pStyle w:val="Subtitle"/>
        <w:jc w:val="center"/>
      </w:pPr>
      <w:r>
        <w:t>Lesson 28 of Quantum, Actually, Volume 2: A QED Course</w:t>
      </w:r>
    </w:p>
    <w:p>
      <w:pPr>
        <w:jc w:val="center"/>
      </w:pPr>
      <w:r>
        <w:t>Lothar J. Musiol</w:t>
      </w:r>
    </w:p>
    <w:p>
      <w:r>
        <w:br/>
      </w:r>
    </w:p>
    <w:p>
      <w:pPr>
        <w:jc w:val="center"/>
      </w:pPr>
      <w:r>
        <w:rPr>
          <w:b/>
          <w:sz w:val="26"/>
        </w:rPr>
        <w:t>Every continuous symmetry of the action yields a conserved current, the conserved charge as the generator of the symmetry, and the examples that lead to electric charge</w:t>
      </w:r>
    </w:p>
    <w:p>
      <w:r>
        <w:br/>
        <w:br/>
      </w:r>
    </w:p>
    <w:p>
      <w:pPr>
        <w:jc w:val="center"/>
      </w:pPr>
      <w:r>
        <w:t>First edition, 2026</w:t>
      </w:r>
    </w:p>
    <w:p>
      <w:r>
        <w:br w:type="page"/>
      </w:r>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ε/q for a field of charge q so that the covariant derivative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10"/>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10"/>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10"/>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10"/>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10"/>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10"/>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10"/>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10"/>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29 studies continuous symmetries in their own right: the classification of symmetry transformations, the generators and their commutation relations, the Lorentz and Poincare groups, and the internal symmetries that will be gauged in Part VI.</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28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Noether Theorem</dc:title>
  <dc:subject>Lesson 28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