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Continuous Symmetries</w:t>
      </w:r>
    </w:p>
    <w:p>
      <w:pPr>
        <w:pStyle w:val="Subtitle"/>
        <w:jc w:val="center"/>
      </w:pPr>
      <w:r>
        <w:t>Lesson 29 of Quantum, Actually, Volume 2: A QED Course</w:t>
      </w:r>
    </w:p>
    <w:p>
      <w:pPr>
        <w:jc w:val="center"/>
      </w:pPr>
      <w:r>
        <w:t>Lothar J. Musiol</w:t>
      </w:r>
    </w:p>
    <w:p>
      <w:r>
        <w:br/>
      </w:r>
    </w:p>
    <w:p>
      <w:pPr>
        <w:jc w:val="center"/>
      </w:pPr>
      <w:r>
        <w:rPr>
          <w:b/>
          <w:sz w:val="26"/>
        </w:rPr>
        <w:t>Symmetry groups, generators and their algebra, the Poincare symmetries of spacetime, internal symmetries, and the charge rule for building invariant Lagrangians</w:t>
      </w:r>
    </w:p>
    <w:p>
      <w:r>
        <w:br/>
        <w:br/>
      </w:r>
    </w:p>
    <w:p>
      <w:pPr>
        <w:jc w:val="center"/>
      </w:pPr>
      <w:r>
        <w:t>First edition, 2026</w:t>
      </w:r>
    </w:p>
    <w:p>
      <w:r>
        <w:br w:type="page"/>
      </w:r>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The first three groups are the familiar conservation laws; the last is less familiar, and expresses that the center of energy of an isolated system moves with constant velocity. Lesson 30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10"/>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10"/>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10"/>
        </w:numPr>
      </w:pPr>
      <w:r>
        <w:t>Noether charges generate the symmetry through Poisson brackets and satisfy the same algebra as the generators, becoming commutators after quantization.</w:t>
      </w:r>
    </w:p>
    <w:p>
      <w:pPr>
        <w:pStyle w:val="ListNumber"/>
        <w:numPr>
          <w:ilvl w:val="0"/>
          <w:numId w:val="10"/>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10"/>
        </w:numPr>
      </w:pPr>
      <w:r>
        <w:t>The ten parameters give conservation of energy, momentum, angular momentum, and the boost charge.</w:t>
      </w:r>
    </w:p>
    <w:p>
      <w:pPr>
        <w:pStyle w:val="ListNumber"/>
        <w:numPr>
          <w:ilvl w:val="0"/>
          <w:numId w:val="10"/>
        </w:numPr>
      </w:pPr>
      <w:r>
        <w:t>In the Poincare algebra rotations close, translations commute, and two boosts produce a rotation.</w:t>
      </w:r>
    </w:p>
    <w:p>
      <w:pPr>
        <w:pStyle w:val="ListNumber"/>
        <w:numPr>
          <w:ilvl w:val="0"/>
          <w:numId w:val="10"/>
        </w:numPr>
      </w:pPr>
      <w:r>
        <w:t>Internal symmetries act on field labels, commute with the Poincare group, and may be global or local; U(1) is abelian and the doublet symmetry is non-abelian.</w:t>
      </w:r>
    </w:p>
    <w:p>
      <w:pPr>
        <w:pStyle w:val="ListNumber"/>
        <w:numPr>
          <w:ilvl w:val="0"/>
          <w:numId w:val="10"/>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30 works out the conserved currents of the scalar, Dirac, and electromagnetic fields explicitly: the energy-momentum tensor, the angular momentum current, and the electric current, and the charges they define.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 Symmetries</dc:title>
  <dc:subject>Lesson 29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