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Photon Propagator</w:t>
      </w:r>
    </w:p>
    <w:p>
      <w:pPr>
        <w:pStyle w:val="Subtitle"/>
        <w:jc w:val="center"/>
      </w:pPr>
      <w:r>
        <w:t>Lesson 48 of Quantum, Actually, Volume 2: A QED Course</w:t>
      </w:r>
    </w:p>
    <w:p>
      <w:pPr>
        <w:jc w:val="center"/>
      </w:pPr>
      <w:r>
        <w:t>Lothar J. Musiol</w:t>
      </w:r>
    </w:p>
    <w:p>
      <w:r>
        <w:br/>
      </w:r>
    </w:p>
    <w:p>
      <w:pPr>
        <w:jc w:val="center"/>
      </w:pPr>
      <w:r>
        <w:rPr>
          <w:b/>
          <w:sz w:val="26"/>
        </w:rPr>
        <w:t>Building the Coulomb-gauge photon propagator from the transverse polarization sum, and introducing the covariant Feynman-gauge form used in practice</w:t>
      </w:r>
    </w:p>
    <w:p>
      <w:r>
        <w:br/>
        <w:br/>
      </w:r>
    </w:p>
    <w:p>
      <w:pPr>
        <w:jc w:val="center"/>
      </w:pPr>
      <w:r>
        <w:t>First edition, 2026</w:t>
      </w:r>
    </w:p>
    <w:p>
      <w:r>
        <w:br w:type="page"/>
      </w:r>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(y)|0⟩ from Lesson 38's mode expansion and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(x) contains a single kind of ladder operator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w:t>
      </w:r>
      <w:r>
        <w:rPr>
          <w:vertAlign w:val="superscript"/>
        </w:rPr>
        <w:t>i</w:t>
      </w:r>
      <w:r>
        <w:t>(x)A</w:t>
      </w:r>
      <w:r>
        <w:rPr>
          <w:vertAlign w:val="superscript"/>
        </w:rPr>
        <w:t>j</w:t>
      </w:r>
      <w:r>
        <w:t>(y)|0⟩ and ⟨0|A</w:t>
      </w:r>
      <w:r>
        <w:rPr>
          <w:vertAlign w:val="superscript"/>
        </w:rPr>
        <w:t>j</w:t>
      </w:r>
      <w:r>
        <w:t>(y)A</w:t>
      </w:r>
      <w:r>
        <w:rPr>
          <w:vertAlign w:val="superscript"/>
        </w:rPr>
        <w:t>i</w:t>
      </w:r>
      <w:r>
        <w:t>(x)|0⟩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w:t>
      </w:r>
      <w:r>
        <w:rPr>
          <w:vertAlign w:val="superscript"/>
        </w:rPr>
        <w:t>i</w:t>
      </w:r>
      <w:r>
        <w:t xml:space="preserve">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By direct analogy with Lesson 46,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As ε→0⁺, k²/(k²+iε)→1 away from the pole, as in Lesson 46,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Explain briefly why the appearance of a nonlocal object in position space is not, by itself, cause for concern. 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drawing>
          <wp:inline xmlns:a="http://schemas.openxmlformats.org/drawingml/2006/main" xmlns:pic="http://schemas.openxmlformats.org/drawingml/2006/picture">
            <wp:extent cx="3840480" cy="715656"/>
            <wp:docPr id="1" name="Picture 1"/>
            <wp:cNvGraphicFramePr>
              <a:graphicFrameLocks noChangeAspect="1"/>
            </wp:cNvGraphicFramePr>
            <a:graphic>
              <a:graphicData uri="http://schemas.openxmlformats.org/drawingml/2006/picture">
                <pic:pic>
                  <pic:nvPicPr>
                    <pic:cNvPr id="0" name="L48_photon.png"/>
                    <pic:cNvPicPr/>
                  </pic:nvPicPr>
                  <pic:blipFill>
                    <a:blip r:embed="rId11"/>
                    <a:stretch>
                      <a:fillRect/>
                    </a:stretch>
                  </pic:blipFill>
                  <pic:spPr>
                    <a:xfrm>
                      <a:off x="0" y="0"/>
                      <a:ext cx="3840480" cy="715656"/>
                    </a:xfrm>
                    <a:prstGeom prst="rect"/>
                  </pic:spPr>
                </pic:pic>
              </a:graphicData>
            </a:graphic>
          </wp:inline>
        </w:drawing>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 Section 4.3's argument treats the current at each vertex as exactly conserved, ∂</w:t>
      </w:r>
      <w:r>
        <w:rPr>
          <w:vertAlign w:val="subscript"/>
        </w:rPr>
        <w:t>μ</w:t>
      </w:r>
      <w:r>
        <w:t>j</w:t>
      </w:r>
      <w:r>
        <w:rPr>
          <w:vertAlign w:val="superscript"/>
        </w:rPr>
        <w:t>μ</w:t>
      </w:r>
      <w:r>
        <w:t>=0,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r>
        <w:t>Lesson 49 collects this propagator, the electron propagator of Lesson 47, and the vertex of Lesson 45 into the unified toolkit Lesson 50 turns into the complete Feynman rules of QED.</w:t>
      </w:r>
    </w:p>
    <w:p>
      <w:pPr>
        <w:pStyle w:val="Heading2"/>
      </w:pPr>
      <w:r>
        <w:t>6 Summary</w:t>
      </w:r>
    </w:p>
    <w:p>
      <w:pPr>
        <w:pStyle w:val="ListNumber"/>
        <w:numPr>
          <w:ilvl w:val="0"/>
          <w:numId w:val="10"/>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10"/>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10"/>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10"/>
        </w:numPr>
      </w:pPr>
      <w:r>
        <w:t>The photon propagator's pole, k²+iε, is the massless specialization of the pole structure already seen in Lessons 46 and 46.</w:t>
      </w:r>
    </w:p>
    <w:p>
      <w:pPr>
        <w:pStyle w:val="ListNumber"/>
        <w:numPr>
          <w:ilvl w:val="0"/>
          <w:numId w:val="10"/>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10"/>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(k) appearing at a given vertex inside a full scattering amplitude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49 collects the electron-photon vertex of Lesson 45 and the three propagators of Lessons 46–48 into a single, unified set of building blocks, the raw material Lesson 50 assembles into the complete Feynman rules of QED.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48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Photon Propagator</dc:title>
  <dc:subject>Lesson 48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