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Scattering Amplitudes</w:t>
      </w:r>
    </w:p>
    <w:p>
      <w:pPr>
        <w:pStyle w:val="Subtitle"/>
        <w:jc w:val="center"/>
      </w:pPr>
      <w:r>
        <w:t>Lesson 51 of Quantum, Actually, Volume 2: A QED Course</w:t>
      </w:r>
    </w:p>
    <w:p>
      <w:pPr>
        <w:jc w:val="center"/>
      </w:pPr>
      <w:r>
        <w:t>Lothar J. Musiol</w:t>
      </w:r>
    </w:p>
    <w:p>
      <w:r>
        <w:br/>
      </w:r>
    </w:p>
    <w:p>
      <w:pPr>
        <w:jc w:val="center"/>
      </w:pPr>
      <w:r>
        <w:rPr>
          <w:b/>
          <w:sz w:val="26"/>
        </w:rPr>
        <w:t>From the invariant amplitude ℳ to a measurable cross section or decay rate, resolving the squared delta function along the way</w:t>
      </w:r>
    </w:p>
    <w:p>
      <w:r>
        <w:br/>
        <w:br/>
      </w:r>
    </w:p>
    <w:p>
      <w:pPr>
        <w:jc w:val="center"/>
      </w:pPr>
      <w:r>
        <w:t>First edition, 2026</w:t>
      </w:r>
    </w:p>
    <w:p>
      <w:r>
        <w:br w:type="page"/>
      </w:r>
    </w:p>
    <w:p>
      <w:pPr>
        <w:pStyle w:val="Heading2"/>
      </w:pPr>
      <w:r>
        <w:t>How to use this lesson</w:t>
      </w:r>
    </w:p>
    <w:p>
      <w:r>
        <w:t>Lesson 50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3"/>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w:t>
      </w:r>
      <w:r>
        <w:rPr>
          <w:vertAlign w:val="subscript"/>
        </w:rPr>
        <w:t>fi</w:t>
      </w:r>
      <w:r>
        <w:t>|², and explain why dividing by T, not the raw probability itself, is the physically meaningful quantity.</w:t>
      </w:r>
    </w:p>
    <w:p>
      <w:pPr>
        <w:pStyle w:val="ListBullet"/>
      </w:pPr>
      <w:r>
        <w:t>State the complete differential cross-section formula dσ=(1/F)|ℳ|²(2π)⁴δ⁴(ΣP</w:t>
      </w:r>
      <w:r>
        <w:rPr>
          <w:vertAlign w:val="subscript"/>
        </w:rPr>
        <w:t>f</w:t>
      </w:r>
      <w:r>
        <w:t>−ΣP</w:t>
      </w:r>
      <w:r>
        <w:rPr>
          <w:vertAlign w:val="subscript"/>
        </w:rPr>
        <w:t>i</w:t>
      </w:r>
      <w:r>
        <w:t>)dΠ, identifying the flux factor F and the Lorentz-invariant phase space dΠ.</w:t>
      </w:r>
    </w:p>
    <w:p>
      <w:pPr>
        <w:pStyle w:val="ListBullet"/>
      </w:pPr>
      <w:r>
        <w:t>State the analogous decay-rate formula dΓ=(1/2E</w:t>
      </w:r>
      <w:r>
        <w:rPr>
          <w:vertAlign w:val="subscript"/>
        </w:rPr>
        <w:t>i</w:t>
      </w:r>
      <w:r>
        <w:t>)|ℳ|²(2π)⁴δ⁴(p</w:t>
      </w:r>
      <w:r>
        <w:rPr>
          <w:vertAlign w:val="subscript"/>
        </w:rPr>
        <w:t>i</w:t>
      </w:r>
      <w:r>
        <w:t>−ΣP</w:t>
      </w:r>
      <w:r>
        <w:rPr>
          <w:vertAlign w:val="subscript"/>
        </w:rPr>
        <w:t>f</w:t>
      </w:r>
      <w:r>
        <w:t>)dΠ, and explain why it needs no flux factor.</w:t>
      </w:r>
    </w:p>
    <w:p>
      <w:pPr>
        <w:pStyle w:val="ListBullet"/>
      </w:pPr>
      <w:r>
        <w:t>Derive, from the 1/(2E</w:t>
      </w:r>
      <w:r>
        <w:rPr>
          <w:vertAlign w:val="subscript"/>
        </w:rPr>
        <w:t>i</w:t>
      </w:r>
      <w:r>
        <w:t>)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w:t>
            </w:r>
            <w:r>
              <w:rPr>
                <w:vertAlign w:val="subscript"/>
              </w:rPr>
              <w:t>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w:t>
            </w:r>
            <w:r>
              <w:rPr>
                <w:vertAlign w:val="subscript"/>
              </w:rPr>
              <w:t>f</w:t>
            </w:r>
            <w:r>
              <w:t xml:space="preserve"> d³p</w:t>
            </w:r>
            <w:r>
              <w:rPr>
                <w:vertAlign w:val="subscript"/>
              </w:rPr>
              <w:t>f</w:t>
            </w:r>
            <w:r>
              <w:t>/((2π)³2E</w:t>
            </w:r>
            <w:r>
              <w:rPr>
                <w:vertAlign w:val="subscript"/>
              </w:rPr>
              <w:t>f</w:t>
            </w:r>
            <w:r>
              <w:t>)</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rate of any process is |ℳ|² times a flux factor and phase space, after the (2π)⁴δ⁴ of momentum conservation has been squared and resolved.</w:t>
            </w:r>
          </w:p>
          <w:p>
            <w:pPr>
              <w:spacing w:after="60"/>
            </w:pPr>
            <w:r>
              <w:t>Squaring a delta function sounds illegal; done carefully it just gives the spacetime volume, which cancels against the flux.</w:t>
            </w:r>
          </w:p>
        </w:tc>
      </w:tr>
    </w:tbl>
    <w:p>
      <w:pPr>
        <w:spacing w:after="80"/>
      </w:pPr>
    </w:p>
    <w:p>
      <w:pPr>
        <w:pStyle w:val="Heading2"/>
      </w:pPr>
      <w:r>
        <w:t>1 From amplitude to probability</w:t>
      </w:r>
    </w:p>
    <w:p>
      <w:pPr>
        <w:pStyle w:val="Heading3"/>
      </w:pPr>
      <w:r>
        <w:t>1.1 Squaring the S-matrix element</w:t>
      </w:r>
    </w:p>
    <w:p>
      <w:r>
        <w:t>Lesson 50 defined S</w:t>
      </w:r>
      <w:r>
        <w:rPr>
          <w:vertAlign w:val="subscript"/>
        </w:rPr>
        <w:t>fi</w:t>
      </w:r>
      <w:r>
        <w:t>=δ</w:t>
      </w:r>
      <w:r>
        <w:rPr>
          <w:vertAlign w:val="subscript"/>
        </w:rPr>
        <w:t>fi</w:t>
      </w:r>
      <w:r>
        <w:t>+i(2π)⁴δ⁴(P</w:t>
      </w:r>
      <w:r>
        <w:rPr>
          <w:vertAlign w:val="subscript"/>
        </w:rPr>
        <w:t>f</w:t>
      </w:r>
      <w:r>
        <w:t>−P</w:t>
      </w:r>
      <w:r>
        <w:rPr>
          <w:vertAlign w:val="subscript"/>
        </w:rPr>
        <w:t>i</w:t>
      </w:r>
      <w:r>
        <w:t>)ℳ</w:t>
      </w:r>
      <w:r>
        <w:rPr>
          <w:vertAlign w:val="subscript"/>
        </w:rPr>
        <w:t>fi</w:t>
      </w:r>
      <w:r>
        <w:t>. For a genuine scattering process (f≠i), the transition probability is |S</w:t>
      </w:r>
      <w:r>
        <w:rPr>
          <w:vertAlign w:val="subscript"/>
        </w:rPr>
        <w:t>fi</w:t>
      </w:r>
      <w:r>
        <w:t>|²=|(2π)⁴δ⁴(P</w:t>
      </w:r>
      <w:r>
        <w:rPr>
          <w:vertAlign w:val="subscript"/>
        </w:rPr>
        <w:t>f</w:t>
      </w:r>
      <w:r>
        <w:t>−P</w:t>
      </w:r>
      <w:r>
        <w:rPr>
          <w:vertAlign w:val="subscript"/>
        </w:rPr>
        <w:t>i</w:t>
      </w:r>
      <w:r>
        <w:t>)|²|ℳ</w:t>
      </w:r>
      <w:r>
        <w:rPr>
          <w:vertAlign w:val="subscript"/>
        </w:rPr>
        <w:t>fi</w:t>
      </w:r>
      <w:r>
        <w:t>|², and the first factor, a delta function squared, is not itself a delta function or any other ordinary distribution; it needs to be interpreted.</w:t>
      </w:r>
    </w:p>
    <w:p>
      <w:pPr>
        <w:pStyle w:val="Heading3"/>
      </w:pPr>
      <w:r>
        <w:t>1.2 Resolving the square</w:t>
      </w:r>
    </w:p>
    <w:p>
      <w:r>
        <w:t>Using the Fourier representation (2π)⁴δ⁴(P)=∫d⁴x e</w:t>
      </w:r>
      <w:r>
        <w:rPr>
          <w:vertAlign w:val="superscript"/>
        </w:rPr>
        <w:t>iPx</w:t>
      </w:r>
      <w:r>
        <w:t>, already used throughout Lessons 45–50, setting P=0 gives</w:t>
      </w:r>
    </w:p>
    <w:p>
      <w:pPr>
        <w:spacing w:before="100" w:after="160"/>
        <w:jc w:val="center"/>
      </w:pPr>
      <m:oMathPara>
        <m:oMath>
          <m:sSup>
            <m:e>
              <m:d>
                <m:dPr/>
                <m:e>
                  <m:r>
                    <m:t xml:space="preserve">2π</m:t>
                  </m:r>
                </m:e>
              </m:d>
            </m:e>
            <m:sup>
              <m:r>
                <m:t xml:space="preserve">4</m:t>
              </m:r>
            </m:sup>
          </m:sSup>
          <m:sSup>
            <m:e>
              <m:r>
                <m:t xml:space="preserve">δ</m:t>
              </m:r>
            </m:e>
            <m:sup>
              <m:r>
                <m:t xml:space="preserve">4</m:t>
              </m:r>
            </m:sup>
          </m:sSup>
          <m:d>
            <m:dPr/>
            <m:e>
              <m:r>
                <m:t xml:space="preserve">0</m:t>
              </m:r>
            </m:e>
          </m:d>
          <m:r>
            <m:t xml:space="preserve">=</m:t>
          </m:r>
          <m:r>
            <m:t xml:space="preserve">∫</m:t>
          </m:r>
          <m:r>
            <m:t xml:space="preserve"> </m:t>
          </m:r>
          <m:sSup>
            <m:e>
              <m:r>
                <m:t xml:space="preserve">d</m:t>
              </m:r>
            </m:e>
            <m:sup>
              <m:r>
                <m:t xml:space="preserve">4</m:t>
              </m:r>
            </m:sup>
          </m:sSup>
          <m:r>
            <m:t xml:space="preserve">x</m:t>
          </m:r>
          <m:r>
            <m:t xml:space="preserve"> </m:t>
          </m:r>
          <m:r>
            <m:t xml:space="preserve">1</m:t>
          </m:r>
          <m:r>
            <m:t xml:space="preserve">=</m:t>
          </m:r>
          <m:r>
            <m:t xml:space="preserve">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sSup>
            <m:e>
              <m:d>
                <m:dPr>
                  <m:begChr m:val="|"/>
                  <m:endChr m:val="|"/>
                </m:dPr>
                <m:e>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e>
              </m:d>
            </m:e>
            <m:sup>
              <m:r>
                <m:t xml:space="preserve">2</m:t>
              </m:r>
            </m:sup>
          </m:sSup>
          <m:r>
            <m:t xml:space="preserve">=</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m:t>
          </m:r>
          <m:r>
            <m:t xml:space="preserve">VT</m:t>
          </m:r>
        </m:oMath>
      </m:oMathPara>
    </w:p>
    <w:p>
      <w:r>
        <w:t>one factor left as an ordinary delta function (enforcing momentum conservation, as it must), the other evaluated at zero argument and replaced by VT.</w:t>
      </w:r>
    </w:p>
    <w:p>
      <w:r>
        <w:rPr>
          <w:b/>
          <w:i/>
        </w:rPr>
        <w:t>Worked example 1</w:t>
      </w:r>
    </w:p>
    <w:p>
      <w:r>
        <w:t>Explain why it is legitimate to set P=0 in only one of the two copies of the delta function, not both. One copy of δ⁴(P</w:t>
      </w:r>
      <w:r>
        <w:rPr>
          <w:vertAlign w:val="subscript"/>
        </w:rPr>
        <w:t>f</w:t>
      </w:r>
      <w:r>
        <w:t>−P</w:t>
      </w:r>
      <w:r>
        <w:rPr>
          <w:vertAlign w:val="subscript"/>
        </w:rPr>
        <w:t>i</w:t>
      </w:r>
      <w:r>
        <w:t>)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3"/>
      </w:pPr>
      <w:r>
        <w:t>2.1 Dividing by time</w:t>
      </w:r>
    </w:p>
    <w:p>
      <w:pPr>
        <w:spacing w:before="100" w:after="160"/>
        <w:jc w:val="center"/>
      </w:pPr>
      <m:oMathPara>
        <m:oMath>
          <m:sSup>
            <m:e>
              <m:d>
                <m:dPr>
                  <m:begChr m:val="|"/>
                  <m:endChr m:val="|"/>
                </m:dPr>
                <m:e>
                  <m:sSub>
                    <m:e>
                      <m:r>
                        <m:t xml:space="preserve">S</m:t>
                      </m:r>
                    </m:e>
                    <m:sub>
                      <m:r>
                        <m:t xml:space="preserve">fi</m:t>
                      </m:r>
                    </m:sub>
                  </m:sSub>
                </m:e>
              </m:d>
            </m:e>
            <m:sup>
              <m:r>
                <m:t xml:space="preserve">2</m:t>
              </m:r>
            </m:sup>
          </m:sSup>
          <m:r>
            <m:t xml:space="preserve">=</m:t>
          </m:r>
          <m:r>
            <m:t xml:space="preserve">VT</m:t>
          </m:r>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 </m:t>
          </m:r>
          <m:sSup>
            <m:e>
              <m:d>
                <m:dPr>
                  <m:begChr m:val="|"/>
                  <m:endChr m:val="|"/>
                </m:dPr>
                <m:e>
                  <m:sSub>
                    <m:e>
                      <m:r>
                        <m:t xml:space="preserve">ℳ</m:t>
                      </m:r>
                    </m:e>
                    <m:sub>
                      <m:r>
                        <m:t xml:space="preserve">fi</m:t>
                      </m:r>
                    </m:sub>
                  </m:sSub>
                </m:e>
              </m:d>
            </m:e>
            <m:sup>
              <m:r>
                <m:t xml:space="preserve">2</m:t>
              </m:r>
            </m:sup>
          </m:sSup>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m:t>
          </m:r>
          <m:d>
            <m:dPr/>
            <m:e>
              <m:r>
                <m:t xml:space="preserve">rate</m:t>
              </m:r>
            </m:e>
          </m:d>
          <m:r>
            <m:t xml:space="preserve">=</m:t>
          </m:r>
          <m:f>
            <m:num>
              <m:sSup>
                <m:e>
                  <m:d>
                    <m:dPr>
                      <m:begChr m:val="|"/>
                      <m:endChr m:val="|"/>
                    </m:dPr>
                    <m:e>
                      <m:sSub>
                        <m:e>
                          <m:r>
                            <m:t xml:space="preserve">S</m:t>
                          </m:r>
                        </m:e>
                        <m:sub>
                          <m:r>
                            <m:t xml:space="preserve">fi</m:t>
                          </m:r>
                        </m:sub>
                      </m:sSub>
                    </m:e>
                  </m:d>
                </m:e>
                <m:sup>
                  <m:r>
                    <m:t xml:space="preserve">2</m:t>
                  </m:r>
                </m:sup>
              </m:sSup>
            </m:num>
            <m:den>
              <m:r>
                <m:t xml:space="preserve">T</m:t>
              </m:r>
            </m:den>
          </m:f>
          <m:r>
            <m:t xml:space="preserve">=</m:t>
          </m:r>
          <m:r>
            <m:t xml:space="preserve">V</m:t>
          </m:r>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 </m:t>
          </m:r>
          <m:sSup>
            <m:e>
              <m:d>
                <m:dPr>
                  <m:begChr m:val="|"/>
                  <m:endChr m:val="|"/>
                </m:dPr>
                <m:e>
                  <m:sSub>
                    <m:e>
                      <m:r>
                        <m:t xml:space="preserve">ℳ</m:t>
                      </m:r>
                    </m:e>
                    <m:sub>
                      <m:r>
                        <m:t xml:space="preserve">fi</m:t>
                      </m:r>
                    </m:sub>
                  </m:sSub>
                </m:e>
              </m:d>
            </m:e>
            <m:sup>
              <m:r>
                <m:t xml:space="preserve">2</m:t>
              </m:r>
            </m:sup>
          </m:sSup>
        </m:oMath>
      </m:oMathPara>
    </w:p>
    <w:p>
      <w:r>
        <w:t>with one factor of V remaining, to be absorbed into the normalization of the states and the definition of a cross section in Section 3.</w:t>
      </w:r>
    </w:p>
    <w:p>
      <w:pPr>
        <w:pStyle w:val="Heading3"/>
      </w:pPr>
      <w:r>
        <w:t>2.2 Why not just use |S</w:t>
      </w:r>
      <w:r>
        <w:rPr>
          <w:vertAlign w:val="subscript"/>
        </w:rPr>
        <w:t>fi</w:t>
      </w:r>
      <w:r>
        <w:t>|² directly</w:t>
      </w:r>
    </w:p>
    <w:p>
      <w:r>
        <w:t>A raw probability |S</w:t>
      </w:r>
      <w:r>
        <w:rPr>
          <w:vertAlign w:val="subscript"/>
        </w:rPr>
        <w:t>fi</w:t>
      </w:r>
      <w:r>
        <w:t>|² depends on the arbitrary elapsed time T over which the experiment happens to run, and, before dividing, is not even well defined (it diverges as T→∞); only after dividing by T does a finite, meaningful, repeatable number emerge, analogous to how a radioactive sample's decay probability over an arbitrarily long observation is not itself the physically fundamental quantity, its decay rate (probability per unit time) is.</w:t>
      </w:r>
    </w:p>
    <w:p>
      <w:r>
        <w:rPr>
          <w:b/>
          <w:i/>
        </w:rP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w:t>
      </w:r>
      <w:r>
        <w:rPr>
          <w:vertAlign w:val="subscript"/>
        </w:rPr>
        <w:t>fi</w:t>
      </w:r>
      <w:r>
        <w:t>'s own definition through the external wavefunctions of Lesson 49.</w:t>
      </w:r>
    </w:p>
    <w:p>
      <w:pPr>
        <w:pStyle w:val="Heading2"/>
      </w:pPr>
      <w:r>
        <w:t>3 From rate to cross section</w:t>
      </w:r>
    </w:p>
    <w:p>
      <w:pPr>
        <w:pStyle w:val="Heading3"/>
      </w:pPr>
      <w:r>
        <w:t>3.1 Why a cross section</w:t>
      </w:r>
    </w:p>
    <w:p>
      <w:r>
        <w:t>The rate of Section 2.1 depends on how densely the beam particles are packed into the box (through the normalization of the states used to define S</w:t>
      </w:r>
      <w:r>
        <w:rPr>
          <w:vertAlign w:val="subscript"/>
        </w:rPr>
        <w:t>fi</w:t>
      </w:r>
      <w:r>
        <w:t>),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3"/>
      </w:pPr>
      <w:r>
        <w:t>3.2 The flux factor</w:t>
      </w:r>
    </w:p>
    <w:p>
      <w:r>
        <w:t>For two colliding beams with four-momenta p₁, p₂, the flux factor is</w:t>
      </w:r>
    </w:p>
    <w:p>
      <w:pPr>
        <w:spacing w:before="100" w:after="160"/>
        <w:jc w:val="center"/>
      </w:pPr>
      <m:oMathPara>
        <m:oMath>
          <m:r>
            <m:t xml:space="preserve">F</m:t>
          </m:r>
          <m:r>
            <m:t xml:space="preserve">=</m:t>
          </m:r>
          <m:r>
            <m:t xml:space="preserve">4</m:t>
          </m:r>
          <m:r>
            <m:t xml:space="preserve"> </m:t>
          </m:r>
          <m:sSub>
            <m:e>
              <m:r>
                <m:t xml:space="preserve">E</m:t>
              </m:r>
            </m:e>
            <m:sub>
              <m:r>
                <m:t xml:space="preserve">1</m:t>
              </m:r>
            </m:sub>
          </m:sSub>
          <m:sSub>
            <m:e>
              <m:r>
                <m:t xml:space="preserve">E</m:t>
              </m:r>
            </m:e>
            <m:sub>
              <m:r>
                <m:t xml:space="preserve">2</m:t>
              </m:r>
            </m:sub>
          </m:sSub>
          <m:r>
            <m:t xml:space="preserve"> </m:t>
          </m:r>
          <m:d>
            <m:dPr>
              <m:begChr m:val="|"/>
              <m:endChr m:val="|"/>
            </m:dPr>
            <m:e>
              <m:sSub>
                <m:e>
                  <m:r>
                    <m:t xml:space="preserve">v</m:t>
                  </m:r>
                </m:e>
                <m:sub>
                  <m:r>
                    <m:t xml:space="preserve">1</m:t>
                  </m:r>
                </m:sub>
              </m:sSub>
              <m:r>
                <m:t xml:space="preserve">−</m:t>
              </m:r>
              <m:sSub>
                <m:e>
                  <m:r>
                    <m:t xml:space="preserve">v</m:t>
                  </m:r>
                </m:e>
                <m:sub>
                  <m:r>
                    <m:t xml:space="preserve">2</m:t>
                  </m:r>
                </m:sub>
              </m:sSub>
            </m:e>
          </m:d>
          <m:r>
            <m:t xml:space="preserve"> </m:t>
          </m:r>
          <m:d>
            <m:dPr/>
            <m:e>
              <m:r>
                <m:t xml:space="preserve">text</m:t>
              </m:r>
              <m:d>
                <m:dPr/>
                <m:e>
                  <m:r>
                    <m:t xml:space="preserve">collinear</m:t>
                  </m:r>
                  <m:r>
                    <m:t xml:space="preserve"> </m:t>
                  </m:r>
                  <m:r>
                    <m:t xml:space="preserve">beams</m:t>
                  </m:r>
                </m:e>
              </m:d>
            </m:e>
          </m:d>
          <m:r>
            <m:t xml:space="preserve">=</m:t>
          </m:r>
          <m:r>
            <m:t xml:space="preserve">4</m:t>
          </m:r>
          <m:r>
            <m:t xml:space="preserve"> </m:t>
          </m:r>
          <m:r>
            <m:t xml:space="preserve">√</m:t>
          </m:r>
          <m:d>
            <m:dPr/>
            <m:e>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bSup>
                <m:e>
                  <m:r>
                    <m:t xml:space="preserve">m</m:t>
                  </m:r>
                </m:e>
                <m:sub>
                  <m:r>
                    <m:t xml:space="preserve">1</m:t>
                  </m:r>
                </m:sub>
                <m:sup>
                  <m:r>
                    <m:t xml:space="preserve">2</m:t>
                  </m:r>
                </m:sup>
              </m:sSubSup>
              <m:sSubSup>
                <m:e>
                  <m:r>
                    <m:t xml:space="preserve">m</m:t>
                  </m:r>
                </m:e>
                <m:sub>
                  <m:r>
                    <m:t xml:space="preserve">2</m:t>
                  </m:r>
                </m:sub>
                <m:sup>
                  <m:r>
                    <m:t xml:space="preserve">2</m:t>
                  </m:r>
                </m:sup>
              </m:sSubSup>
            </m:e>
          </m:d>
          <m:r>
            <m:t xml:space="preserve"> </m:t>
          </m:r>
          <m:d>
            <m:dPr/>
            <m:e>
              <m:r>
                <m:t xml:space="preserve">text</m:t>
              </m:r>
              <m:d>
                <m:dPr/>
                <m:e>
                  <m:r>
                    <m:t xml:space="preserve">general</m:t>
                  </m:r>
                  <m:r>
                    <m:t xml:space="preserve">,</m:t>
                  </m:r>
                  <m:r>
                    <m:t xml:space="preserve">frame-independent</m:t>
                  </m:r>
                </m:e>
              </m:d>
            </m:e>
          </m:d>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3"/>
      </w:pPr>
      <w:r>
        <w:t>3.3 Phase space</w:t>
      </w:r>
    </w:p>
    <w:p>
      <w:r>
        <w:t>Each outgoing particle contributes a factor d³p</w:t>
      </w:r>
      <w:r>
        <w:rPr>
          <w:vertAlign w:val="subscript"/>
        </w:rPr>
        <w:t>f</w:t>
      </w:r>
      <w:r>
        <w:t>/((2π)³2E</w:t>
      </w:r>
      <w:r>
        <w:rPr>
          <w:vertAlign w:val="subscript"/>
        </w:rPr>
        <w:t>f</w:t>
      </w:r>
      <w:r>
        <w:t>) to the final-state integration measure, the same combination already used for every mode sum since Lesson 35; the explicit 2E</w:t>
      </w:r>
      <w:r>
        <w:rPr>
          <w:vertAlign w:val="subscript"/>
        </w:rPr>
        <w:t>f</w:t>
      </w:r>
      <w:r>
        <w:t xml:space="preserve"> is exactly what is needed to make this measure Lorentz invariant, consistent with the relativistic normalization u†u=2E</w:t>
      </w:r>
      <w:r>
        <w:rPr>
          <w:vertAlign w:val="subscript"/>
        </w:rPr>
        <w:t>p</w:t>
      </w:r>
      <w:r>
        <w:t xml:space="preserve"> fixed as a convention early in this course.</w:t>
      </w:r>
    </w:p>
    <w:p>
      <w:pPr>
        <w:pStyle w:val="Heading3"/>
      </w:pPr>
      <w:r>
        <w:t>3.4 The complete formula</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ΣP</m:t>
                  </m:r>
                </m:e>
                <m:sub>
                  <m:r>
                    <m:t xml:space="preserve">f</m:t>
                  </m:r>
                </m:sub>
              </m:sSub>
              <m:r>
                <m:t xml:space="preserve">−</m:t>
              </m:r>
              <m:sSub>
                <m:e>
                  <m:r>
                    <m:t xml:space="preserve">ΣP</m:t>
                  </m:r>
                </m:e>
                <m:sub>
                  <m:r>
                    <m:t xml:space="preserve">i</m:t>
                  </m:r>
                </m:sub>
              </m:sSub>
            </m:e>
          </m:d>
          <m:r>
            <m:t xml:space="preserve"> </m:t>
          </m:r>
          <m:sSub>
            <m:e>
              <m:r>
                <m:t xml:space="preserve">Π</m:t>
              </m:r>
            </m:e>
            <m:sub>
              <m:r>
                <m:t xml:space="preserve">f</m:t>
              </m:r>
            </m:sub>
          </m:sSub>
          <m:r>
            <m:t xml:space="preserve"> </m:t>
          </m:r>
          <m:f>
            <m:num>
              <m:sSup>
                <m:e>
                  <m:r>
                    <m:t xml:space="preserve">d</m:t>
                  </m:r>
                </m:e>
                <m:sup>
                  <m:r>
                    <m:t xml:space="preserve">3</m:t>
                  </m:r>
                </m:sup>
              </m:sSup>
              <m:sSub>
                <m:e>
                  <m:r>
                    <m:t xml:space="preserve">p</m:t>
                  </m:r>
                </m:e>
                <m:sub>
                  <m:r>
                    <m:t xml:space="preserve">f</m:t>
                  </m:r>
                </m:sub>
              </m:sSub>
            </m:num>
            <m:den>
              <m:sSup>
                <m:e>
                  <m:d>
                    <m:dPr/>
                    <m:e>
                      <m:r>
                        <m:t xml:space="preserve">2π</m:t>
                      </m:r>
                    </m:e>
                  </m:d>
                </m:e>
                <m:sup>
                  <m:r>
                    <m:t xml:space="preserve">3</m:t>
                  </m:r>
                </m:sup>
              </m:sSup>
              <m:sSub>
                <m:e>
                  <m:r>
                    <m:t xml:space="preserve">2E</m:t>
                  </m:r>
                </m:e>
                <m:sub>
                  <m:r>
                    <m:t xml:space="preserve">f</m:t>
                  </m:r>
                </m:sub>
              </m:sSub>
            </m:den>
          </m:f>
        </m:oMath>
      </m:oMathPara>
    </w:p>
    <w:p>
      <w:pPr>
        <w:keepNext/>
        <w:spacing w:before="160" w:after="40"/>
        <w:jc w:val="center"/>
      </w:pPr>
      <w:r>
        <w:drawing>
          <wp:inline xmlns:a="http://schemas.openxmlformats.org/drawingml/2006/main" xmlns:pic="http://schemas.openxmlformats.org/drawingml/2006/picture">
            <wp:extent cx="5669280" cy="704716"/>
            <wp:docPr id="1" name="Picture 1"/>
            <wp:cNvGraphicFramePr>
              <a:graphicFrameLocks noChangeAspect="1"/>
            </wp:cNvGraphicFramePr>
            <a:graphic>
              <a:graphicData uri="http://schemas.openxmlformats.org/drawingml/2006/picture">
                <pic:pic>
                  <pic:nvPicPr>
                    <pic:cNvPr id="0" name="L59_flow.png"/>
                    <pic:cNvPicPr/>
                  </pic:nvPicPr>
                  <pic:blipFill>
                    <a:blip r:embed="rId11"/>
                    <a:stretch>
                      <a:fillRect/>
                    </a:stretch>
                  </pic:blipFill>
                  <pic:spPr>
                    <a:xfrm>
                      <a:off x="0" y="0"/>
                      <a:ext cx="5669280" cy="704716"/>
                    </a:xfrm>
                    <a:prstGeom prst="rect"/>
                  </pic:spPr>
                </pic:pic>
              </a:graphicData>
            </a:graphic>
          </wp:inline>
        </w:drawing>
      </w:r>
    </w:p>
    <w:p>
      <w:pPr>
        <w:spacing w:after="200"/>
        <w:jc w:val="center"/>
      </w:pPr>
      <w:r>
        <w:rPr>
          <w:i/>
          <w:sz w:val="19"/>
        </w:rPr>
        <w:t>Figure 51.1. From amplitude to measurement: |ℳ|², averaged and summed over spins, times flux and phase-space factors, gives the cross section.</w:t>
      </w:r>
    </w:p>
    <w:p>
      <w:r>
        <w:t>with the remaining volume factor of Section 2.1 having cancelled against the normalization built into F and the phase-space measure (Exercise 10 traces this cancellation structurally).</w:t>
      </w:r>
    </w:p>
    <w:p>
      <w:r>
        <w:rPr>
          <w:b/>
          <w:i/>
        </w:rPr>
        <w:t>Worked example 3</w:t>
      </w:r>
    </w:p>
    <w:p>
      <w:r>
        <w:t>State, in words, what each of the four pieces of Section 3.4's formula represents. |ℳ|² is the process-specific physics, computed diagram by diagram as in Lesson 50; 1/F converts a raw rate into a quantity independent of beam density; (2π)⁴δ⁴(ΣP</w:t>
      </w:r>
      <w:r>
        <w:rPr>
          <w:vertAlign w:val="subscript"/>
        </w:rPr>
        <w:t>f</w:t>
      </w:r>
      <w:r>
        <w:t>−ΣP</w:t>
      </w:r>
      <w:r>
        <w:rPr>
          <w:vertAlign w:val="subscript"/>
        </w:rPr>
        <w:t>i</w:t>
      </w:r>
      <w:r>
        <w:t>)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3"/>
      </w:pPr>
      <w:r>
        <w:t>4.1 No flux factor</w:t>
      </w:r>
    </w:p>
    <w:p>
      <w:r>
        <w:t>A single unstable particle at rest (or in any frame) has no "incident beam" and hence no flux to divide by; the analogous role is played by a single factor of 1/(2E</w:t>
      </w:r>
      <w:r>
        <w:rPr>
          <w:vertAlign w:val="subscript"/>
        </w:rPr>
        <w:t>i</w:t>
      </w:r>
      <w:r>
        <w:t>), from the initial particle's own relativistic normalization, in place of the two-particle flux factor F.</w:t>
      </w:r>
    </w:p>
    <w:p>
      <w:pPr>
        <w:pStyle w:val="Heading3"/>
      </w:pPr>
      <w:r>
        <w:t>4.2 The formula</w:t>
      </w:r>
    </w:p>
    <w:p>
      <w:pPr>
        <w:spacing w:before="100" w:after="160"/>
        <w:jc w:val="center"/>
      </w:pPr>
      <m:oMathPara>
        <m:oMath>
          <m:r>
            <m:t xml:space="preserve">dΓ</m:t>
          </m:r>
          <m:r>
            <m:t xml:space="preserve">=</m:t>
          </m:r>
          <m:f>
            <m:num>
              <m:r>
                <m:t xml:space="preserve">1</m:t>
              </m:r>
            </m:num>
            <m:den>
              <m:sSub>
                <m:e>
                  <m:r>
                    <m:t xml:space="preserve">2E</m:t>
                  </m:r>
                </m:e>
                <m:sub>
                  <m:r>
                    <m:t xml:space="preserve">i</m:t>
                  </m:r>
                </m:sub>
              </m:sSub>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i</m:t>
                  </m:r>
                </m:sub>
              </m:sSub>
              <m:r>
                <m:t xml:space="preserve">−</m:t>
              </m:r>
              <m:sSub>
                <m:e>
                  <m:r>
                    <m:t xml:space="preserve">ΣP</m:t>
                  </m:r>
                </m:e>
                <m:sub>
                  <m:r>
                    <m:t xml:space="preserve">f</m:t>
                  </m:r>
                </m:sub>
              </m:sSub>
            </m:e>
          </m:d>
          <m:r>
            <m:t xml:space="preserve"> </m:t>
          </m:r>
          <m:sSub>
            <m:e>
              <m:r>
                <m:t xml:space="preserve">Π</m:t>
              </m:r>
            </m:e>
            <m:sub>
              <m:r>
                <m:t xml:space="preserve">f</m:t>
              </m:r>
            </m:sub>
          </m:sSub>
          <m:r>
            <m:t xml:space="preserve"> </m:t>
          </m:r>
          <m:f>
            <m:num>
              <m:sSup>
                <m:e>
                  <m:r>
                    <m:t xml:space="preserve">d</m:t>
                  </m:r>
                </m:e>
                <m:sup>
                  <m:r>
                    <m:t xml:space="preserve">3</m:t>
                  </m:r>
                </m:sup>
              </m:sSup>
              <m:sSub>
                <m:e>
                  <m:r>
                    <m:t xml:space="preserve">p</m:t>
                  </m:r>
                </m:e>
                <m:sub>
                  <m:r>
                    <m:t xml:space="preserve">f</m:t>
                  </m:r>
                </m:sub>
              </m:sSub>
            </m:num>
            <m:den>
              <m:sSup>
                <m:e>
                  <m:d>
                    <m:dPr/>
                    <m:e>
                      <m:r>
                        <m:t xml:space="preserve">2π</m:t>
                      </m:r>
                    </m:e>
                  </m:d>
                </m:e>
                <m:sup>
                  <m:r>
                    <m:t xml:space="preserve">3</m:t>
                  </m:r>
                </m:sup>
              </m:sSup>
              <m:sSub>
                <m:e>
                  <m:r>
                    <m:t xml:space="preserve">2E</m:t>
                  </m:r>
                </m:e>
                <m:sub>
                  <m:r>
                    <m:t xml:space="preserve">f</m:t>
                  </m:r>
                </m:sub>
              </m:sSub>
            </m:den>
          </m:f>
        </m:oMath>
      </m:oMathPara>
    </w:p>
    <w:p>
      <w:r>
        <w:t>with dΓ the differential decay rate into a specific final-state configuration, and the total decay rate Γ obtained by integrating over all kinematically allowed final states and summing over all decay channels.</w:t>
      </w:r>
    </w:p>
    <w:p>
      <w:r>
        <w:rPr>
          <w:b/>
          <w:i/>
        </w:rPr>
        <w:t>Worked example 4</w:t>
      </w:r>
    </w:p>
    <w:p>
      <w:r>
        <w:t>Explain why |ℳ|² and the phase-space integral in Section 4.2, each built from Lorentz scalars and Lorentz-invariant measures, being multiplied only by the single frame-dependent factor 1/(2E</w:t>
      </w:r>
      <w:r>
        <w:rPr>
          <w:vertAlign w:val="subscript"/>
        </w:rPr>
        <w:t>i</w:t>
      </w:r>
      <w:r>
        <w:t>), makes the E</w:t>
      </w:r>
      <w:r>
        <w:rPr>
          <w:vertAlign w:val="subscript"/>
        </w:rPr>
        <w:t>i</w:t>
      </w:r>
      <w:r>
        <w:t>-dependence of dΓ completely explicit and isolated. Every other object in Section 4.2's formula (ℳ, the delta function, each d³p</w:t>
      </w:r>
      <w:r>
        <w:rPr>
          <w:vertAlign w:val="subscript"/>
        </w:rPr>
        <w:t>f</w:t>
      </w:r>
      <w:r>
        <w:t>/(2E</w:t>
      </w:r>
      <w:r>
        <w:rPr>
          <w:vertAlign w:val="subscript"/>
        </w:rPr>
        <w:t>f</w:t>
      </w:r>
      <w:r>
        <w:t>)) is a Lorentz scalar or built from Lorentz-invariant measures, unaffected by which frame the calculation is performed in; the entire frame dependence of dΓ is therefore carried by the single explicit factor 1/(2E</w:t>
      </w:r>
      <w:r>
        <w:rPr>
          <w:vertAlign w:val="subscript"/>
        </w:rPr>
        <w:t>i</w:t>
      </w:r>
      <w:r>
        <w:t>), with nothing else needed to track how the rate changes between frames.</w:t>
      </w:r>
    </w:p>
    <w:p>
      <w:r>
        <w:rPr>
          <w:b/>
          <w:i/>
        </w:rPr>
        <w:t>Worked example 5</w:t>
      </w:r>
    </w:p>
    <w:p>
      <w:r>
        <w:t>Use Worked example 4 to derive how an unstable particle's observed lifetime depends on its speed. In the particle's own rest frame, E</w:t>
      </w:r>
      <w:r>
        <w:rPr>
          <w:vertAlign w:val="subscript"/>
        </w:rPr>
        <w:t>i</w:t>
      </w:r>
      <w:r>
        <w:t>=m, giving the rest-frame decay rate Γ</w:t>
      </w:r>
      <w:r>
        <w:rPr>
          <w:vertAlign w:val="subscript"/>
        </w:rPr>
        <w:t>0</w:t>
      </w:r>
      <w:r>
        <w:t>. Observed in a frame where the particle moves with energy E</w:t>
      </w:r>
      <w:r>
        <w:rPr>
          <w:vertAlign w:val="subscript"/>
        </w:rPr>
        <w:t>i</w:t>
      </w:r>
      <w:r>
        <w:t>=γm (γ the Lorentz factor), every other factor in the formula is unchanged (being Lorentz invariant), so the observed rate is Γ=Γ</w:t>
      </w:r>
      <w:r>
        <w:rPr>
          <w:vertAlign w:val="subscript"/>
        </w:rPr>
        <w:t>0</w:t>
      </w:r>
      <w:r>
        <w:t>/γ, smaller by exactly the factor γ. Since lifetime is the inverse of rate, τ=1/Γ=γ/Γ</w:t>
      </w:r>
      <w:r>
        <w:rPr>
          <w:vertAlign w:val="subscript"/>
        </w:rPr>
        <w:t>0</w:t>
      </w:r>
      <w:r>
        <w:t>=γτ</w:t>
      </w:r>
      <w:r>
        <w:rPr>
          <w:vertAlign w:val="subscript"/>
        </w:rPr>
        <w:t>0</w:t>
      </w:r>
      <w:r>
        <w:t>: the observed lifetime is longer than the rest-frame lifetime by exactly the relativistic time-dilation factor γ, derived here directly from the 1/(2E</w:t>
      </w:r>
      <w:r>
        <w:rPr>
          <w:vertAlign w:val="subscript"/>
        </w:rPr>
        <w:t>i</w:t>
      </w:r>
      <w:r>
        <w:t>)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54 and beyond</w:t>
            </w:r>
          </w:p>
        </w:tc>
      </w:tr>
      <w:tr>
        <w:tc>
          <w:tcPr>
            <w:tcW w:type="dxa" w:w="3264"/>
            <w:vAlign w:val="center"/>
            <w:tcMar>
              <w:top w:w="100" w:type="dxa"/>
              <w:start w:w="100" w:type="dxa"/>
              <w:bottom w:w="100" w:type="dxa"/>
              <w:end w:w="100" w:type="dxa"/>
            </w:tcMar>
          </w:tcPr>
          <w:p>
            <w:r>
              <w:t>dΓ=(1/2E</w:t>
            </w:r>
            <w:r>
              <w:rPr>
                <w:vertAlign w:val="subscript"/>
              </w:rPr>
              <w:t>i</w:t>
            </w:r>
            <w:r>
              <w:t>)|ℳ|²(2π)⁴δ⁴(p</w:t>
            </w:r>
            <w:r>
              <w:rPr>
                <w:vertAlign w:val="subscript"/>
              </w:rPr>
              <w:t>i</w:t>
            </w:r>
            <w:r>
              <w:t>−ΣP)dΠ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w:t>
            </w:r>
            <w:r>
              <w:rPr>
                <w:vertAlign w:val="subscript"/>
              </w:rPr>
              <w:t>0</w:t>
            </w:r>
            <w:r>
              <w:t xml:space="preserve"> derived from 1/(2E</w:t>
            </w:r>
            <w:r>
              <w:rPr>
                <w:vertAlign w:val="subscript"/>
              </w:rPr>
              <w:t>i</w:t>
            </w:r>
            <w:r>
              <w:t>)</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52's trace technology</w:t>
            </w:r>
          </w:p>
        </w:tc>
      </w:tr>
    </w:tbl>
    <w:p>
      <w:r>
        <w:t>Lesson 52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10"/>
        </w:numPr>
      </w:pPr>
      <w:r>
        <w:t>Squaring the momentum-conserving delta function in S</w:t>
      </w:r>
      <w:r>
        <w:rPr>
          <w:vertAlign w:val="subscript"/>
        </w:rPr>
        <w:t>fi</w:t>
      </w:r>
      <w:r>
        <w:t xml:space="preserve"> gives (2π)⁴δ⁴(P)·VT, using the Fourier representation to identify (2π)⁴δ⁴(0)=VT.</w:t>
      </w:r>
    </w:p>
    <w:p>
      <w:pPr>
        <w:pStyle w:val="ListNumber"/>
        <w:numPr>
          <w:ilvl w:val="0"/>
          <w:numId w:val="10"/>
        </w:numPr>
      </w:pPr>
      <w:r>
        <w:t>Dividing by T gives a genuine, T-independent transition rate, V(2π)⁴δ⁴(P)|ℳ|², with one factor of V remaining.</w:t>
      </w:r>
    </w:p>
    <w:p>
      <w:pPr>
        <w:pStyle w:val="ListNumber"/>
        <w:numPr>
          <w:ilvl w:val="0"/>
          <w:numId w:val="10"/>
        </w:numPr>
      </w:pPr>
      <w:r>
        <w:t>Dividing by the flux F, which carries the remaining V-dependence along with the beam-density information, gives the cross-section formula dσ=(1/F)|ℳ|²(2π)⁴δ⁴(ΣP)dΠ.</w:t>
      </w:r>
    </w:p>
    <w:p>
      <w:pPr>
        <w:pStyle w:val="ListNumber"/>
        <w:numPr>
          <w:ilvl w:val="0"/>
          <w:numId w:val="10"/>
        </w:numPr>
      </w:pPr>
      <w:r>
        <w:t>For a single decaying particle, no flux factor exists; the analogous role is played by 1/(2E</w:t>
      </w:r>
      <w:r>
        <w:rPr>
          <w:vertAlign w:val="subscript"/>
        </w:rPr>
        <w:t>i</w:t>
      </w:r>
      <w:r>
        <w:t>), giving dΓ=(1/2E</w:t>
      </w:r>
      <w:r>
        <w:rPr>
          <w:vertAlign w:val="subscript"/>
        </w:rPr>
        <w:t>i</w:t>
      </w:r>
      <w:r>
        <w:t>)|ℳ|²(2π)⁴δ⁴(p</w:t>
      </w:r>
      <w:r>
        <w:rPr>
          <w:vertAlign w:val="subscript"/>
        </w:rPr>
        <w:t>i</w:t>
      </w:r>
      <w:r>
        <w:t>−ΣP)dΠ.</w:t>
      </w:r>
    </w:p>
    <w:p>
      <w:pPr>
        <w:pStyle w:val="ListNumber"/>
        <w:numPr>
          <w:ilvl w:val="0"/>
          <w:numId w:val="10"/>
        </w:numPr>
      </w:pPr>
      <w:r>
        <w:t>Every factor in the decay-rate formula except 1/(2E</w:t>
      </w:r>
      <w:r>
        <w:rPr>
          <w:vertAlign w:val="subscript"/>
        </w:rPr>
        <w:t>i</w:t>
      </w:r>
      <w:r>
        <w:t>) is Lorentz invariant, so the formula's entire frame dependence is carried by that one factor.</w:t>
      </w:r>
    </w:p>
    <w:p>
      <w:pPr>
        <w:pStyle w:val="ListNumber"/>
        <w:numPr>
          <w:ilvl w:val="0"/>
          <w:numId w:val="10"/>
        </w:numPr>
      </w:pPr>
      <w:r>
        <w:t>This directly gives τ=γτ</w:t>
      </w:r>
      <w:r>
        <w:rPr>
          <w:vertAlign w:val="subscript"/>
        </w:rPr>
        <w:t>0</w:t>
      </w:r>
      <w:r>
        <w:t>: an unstable particle observed in motion lives longer than in its own rest frame by exactly the time-dilation factor γ.</w:t>
      </w:r>
    </w:p>
    <w:p>
      <w:pPr>
        <w:pStyle w:val="ListNumber"/>
        <w:numPr>
          <w:ilvl w:val="0"/>
          <w:numId w:val="10"/>
        </w:numPr>
      </w:pPr>
      <w:r>
        <w:t>Both formulas require |ℳ|², still to be evaluated explicitly, the task of Lesson 52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State S</w:t>
            </w:r>
            <w:r>
              <w:rPr>
                <w:vertAlign w:val="subscript"/>
              </w:rPr>
              <w:t>fi</w:t>
            </w:r>
            <w:r>
              <w:t>=δ</w:t>
            </w:r>
            <w:r>
              <w:rPr>
                <w:vertAlign w:val="subscript"/>
              </w:rPr>
              <w:t>fi</w:t>
            </w:r>
            <w:r>
              <w:t>+i(2π)⁴δ⁴(P</w:t>
            </w:r>
            <w:r>
              <w:rPr>
                <w:vertAlign w:val="subscript"/>
              </w:rPr>
              <w:t>f</w:t>
            </w:r>
            <w:r>
              <w:t>−P</w:t>
            </w:r>
            <w:r>
              <w:rPr>
                <w:vertAlign w:val="subscript"/>
              </w:rPr>
              <w:t>i</w:t>
            </w:r>
            <w:r>
              <w:t>)ℳ</w:t>
            </w:r>
            <w:r>
              <w:rPr>
                <w:vertAlign w:val="subscript"/>
              </w:rPr>
              <w:t>fi</w:t>
            </w:r>
            <w:r>
              <w:t xml:space="preserve"> and explain why, for f≠i, only the second term contributes to |S</w:t>
            </w:r>
            <w:r>
              <w:rPr>
                <w:vertAlign w:val="subscript"/>
              </w:rPr>
              <w:t>fi</w:t>
            </w:r>
            <w:r>
              <w:t>|².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Using (2π)⁴δ⁴(P)=∫d⁴x e</w:t>
            </w:r>
            <w:r>
              <w:rPr>
                <w:vertAlign w:val="superscript"/>
              </w:rPr>
              <w:t>iPx</w:t>
            </w:r>
            <w:r>
              <w:t>,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Combine Exercises 1 and 2 to derive |S</w:t>
            </w:r>
            <w:r>
              <w:rPr>
                <w:vertAlign w:val="subscript"/>
              </w:rPr>
              <w:t>fi</w:t>
            </w:r>
            <w:r>
              <w:t>|²=VT(2π)⁴δ⁴(P</w:t>
            </w:r>
            <w:r>
              <w:rPr>
                <w:vertAlign w:val="subscript"/>
              </w:rPr>
              <w:t>f</w:t>
            </w:r>
            <w:r>
              <w:t>−P</w:t>
            </w:r>
            <w:r>
              <w:rPr>
                <w:vertAlign w:val="subscript"/>
              </w:rPr>
              <w:t>i</w:t>
            </w:r>
            <w:r>
              <w:t>)|ℳ</w:t>
            </w:r>
            <w:r>
              <w:rPr>
                <w:vertAlign w:val="subscript"/>
              </w:rPr>
              <w:t>fi</w:t>
            </w:r>
            <w:r>
              <w:t>|².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Explain why the phase-space measure d³p/((2π)³2E) is Lorentz invariant, citing the relativistic normalization convention u†u=2E</w:t>
            </w:r>
            <w:r>
              <w:rPr>
                <w:vertAlign w:val="subscript"/>
              </w:rPr>
              <w:t>p</w:t>
            </w:r>
            <w:r>
              <w:t xml:space="preserve"> already used since Lesson 20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why every factor in the decay-rate formula except 1/(2E</w:t>
            </w:r>
            <w:r>
              <w:rPr>
                <w:vertAlign w:val="subscript"/>
              </w:rPr>
              <w:t>i</w:t>
            </w:r>
            <w:r>
              <w:t>)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Derive Γ=Γ</w:t>
            </w:r>
            <w:r>
              <w:rPr>
                <w:vertAlign w:val="subscript"/>
              </w:rPr>
              <w:t>0</w:t>
            </w:r>
            <w:r>
              <w:t>/γ from Worked example 4's observation, using E</w:t>
            </w:r>
            <w:r>
              <w:rPr>
                <w:vertAlign w:val="subscript"/>
              </w:rPr>
              <w:t>i</w:t>
            </w:r>
            <w:r>
              <w:t>=γm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Derive τ=γτ</w:t>
            </w:r>
            <w:r>
              <w:rPr>
                <w:vertAlign w:val="subscript"/>
              </w:rPr>
              <w:t>0</w:t>
            </w:r>
            <w:r>
              <w:t xml:space="preserve">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S</w:t>
      </w:r>
      <w:r>
        <w:rPr>
          <w:vertAlign w:val="subscript"/>
        </w:rPr>
        <w:t>fi</w:t>
      </w:r>
      <w:r>
        <w:t>=δ</w:t>
      </w:r>
      <w:r>
        <w:rPr>
          <w:vertAlign w:val="subscript"/>
        </w:rPr>
        <w:t>fi</w:t>
      </w:r>
      <w:r>
        <w:t>+i(2π)⁴δ⁴(P</w:t>
      </w:r>
      <w:r>
        <w:rPr>
          <w:vertAlign w:val="subscript"/>
        </w:rPr>
        <w:t>f</w:t>
      </w:r>
      <w:r>
        <w:t>−P</w:t>
      </w:r>
      <w:r>
        <w:rPr>
          <w:vertAlign w:val="subscript"/>
        </w:rPr>
        <w:t>i</w:t>
      </w:r>
      <w:r>
        <w:t>)ℳ</w:t>
      </w:r>
      <w:r>
        <w:rPr>
          <w:vertAlign w:val="subscript"/>
        </w:rPr>
        <w:t>fi</w:t>
      </w:r>
      <w:r>
        <w:t xml:space="preserve"> (Lesson 50). For f≠i, the initial and final states are distinct momentum configurations, so δ</w:t>
      </w:r>
      <w:r>
        <w:rPr>
          <w:vertAlign w:val="subscript"/>
        </w:rPr>
        <w:t>fi</w:t>
      </w:r>
      <w:r>
        <w:t>=0 identically, leaving only the second term, and |S</w:t>
      </w:r>
      <w:r>
        <w:rPr>
          <w:vertAlign w:val="subscript"/>
        </w:rPr>
        <w:t>fi</w:t>
      </w:r>
      <w:r>
        <w:t>|²=|i(2π)⁴δ⁴(P</w:t>
      </w:r>
      <w:r>
        <w:rPr>
          <w:vertAlign w:val="subscript"/>
        </w:rPr>
        <w:t>f</w:t>
      </w:r>
      <w:r>
        <w:t>−P</w:t>
      </w:r>
      <w:r>
        <w:rPr>
          <w:vertAlign w:val="subscript"/>
        </w:rPr>
        <w:t>i</w:t>
      </w:r>
      <w:r>
        <w:t>)ℳ</w:t>
      </w:r>
      <w:r>
        <w:rPr>
          <w:vertAlign w:val="subscript"/>
        </w:rPr>
        <w:t>fi</w:t>
      </w:r>
      <w:r>
        <w:t>|²=|(2π)⁴δ⁴(P</w:t>
      </w:r>
      <w:r>
        <w:rPr>
          <w:vertAlign w:val="subscript"/>
        </w:rPr>
        <w:t>f</w:t>
      </w:r>
      <w:r>
        <w:t>−P</w:t>
      </w:r>
      <w:r>
        <w:rPr>
          <w:vertAlign w:val="subscript"/>
        </w:rPr>
        <w:t>i</w:t>
      </w:r>
      <w:r>
        <w:t>)|²|ℳ</w:t>
      </w:r>
      <w:r>
        <w:rPr>
          <w:vertAlign w:val="subscript"/>
        </w:rPr>
        <w:t>fi</w:t>
      </w:r>
      <w:r>
        <w:t>|² (using |i|²=1).</w:t>
      </w:r>
    </w:p>
    <w:p>
      <w:r>
        <w:rPr>
          <w:b/>
        </w:rPr>
        <w:t>2.</w:t>
      </w:r>
      <w:r>
        <w:t xml:space="preserve"> </w:t>
      </w:r>
      <w:r>
        <w:t>At P=0, e</w:t>
      </w:r>
      <w:r>
        <w:rPr>
          <w:vertAlign w:val="superscript"/>
        </w:rPr>
        <w:t>iPx</w:t>
      </w:r>
      <w:r>
        <w:t>=e</w:t>
      </w:r>
      <w:r>
        <w:rPr>
          <w:vertAlign w:val="superscript"/>
        </w:rPr>
        <w:t>0</w:t>
      </w:r>
      <w:r>
        <w:t>=1 for every x, so ∫d⁴x e</w:t>
      </w:r>
      <w:r>
        <w:rPr>
          <w:vertAlign w:val="superscript"/>
        </w:rPr>
        <w:t>i0x</w:t>
      </w:r>
      <w:r>
        <w:t>=∫d⁴x·1,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w:t>
      </w:r>
      <w:r>
        <w:rPr>
          <w:vertAlign w:val="subscript"/>
        </w:rPr>
        <w:t>f</w:t>
      </w:r>
      <w:r>
        <w:t>−P</w:t>
      </w:r>
      <w:r>
        <w:rPr>
          <w:vertAlign w:val="subscript"/>
        </w:rPr>
        <w:t>i</w:t>
      </w:r>
      <w:r>
        <w:t>)|²=(2π)⁴δ⁴(P</w:t>
      </w:r>
      <w:r>
        <w:rPr>
          <w:vertAlign w:val="subscript"/>
        </w:rPr>
        <w:t>f</w:t>
      </w:r>
      <w:r>
        <w:t>−P</w:t>
      </w:r>
      <w:r>
        <w:rPr>
          <w:vertAlign w:val="subscript"/>
        </w:rPr>
        <w:t>i</w:t>
      </w:r>
      <w:r>
        <w:t>)·(2π)⁴δ⁴(0) (treating one factor as an ordinary delta function and evaluating the other, formally identical factor at the point P=0, the only point where the delta function is supported); substituting (2π)⁴δ⁴(0)=VT from Exercise 2 and combining with Exercise 1 gives |S</w:t>
      </w:r>
      <w:r>
        <w:rPr>
          <w:vertAlign w:val="subscript"/>
        </w:rPr>
        <w:t>fi</w:t>
      </w:r>
      <w:r>
        <w:t>|²=VT(2π)⁴δ⁴(P</w:t>
      </w:r>
      <w:r>
        <w:rPr>
          <w:vertAlign w:val="subscript"/>
        </w:rPr>
        <w:t>f</w:t>
      </w:r>
      <w:r>
        <w:t>−P</w:t>
      </w:r>
      <w:r>
        <w:rPr>
          <w:vertAlign w:val="subscript"/>
        </w:rPr>
        <w:t>i</w:t>
      </w:r>
      <w:r>
        <w:t>)|ℳ</w:t>
      </w:r>
      <w:r>
        <w:rPr>
          <w:vertAlign w:val="subscript"/>
        </w:rPr>
        <w:t>fi</w:t>
      </w:r>
      <w:r>
        <w:t>|².</w:t>
      </w:r>
    </w:p>
    <w:p>
      <w:r>
        <w:rPr>
          <w:b/>
        </w:rPr>
        <w:t>4.</w:t>
      </w:r>
      <w:r>
        <w:t xml:space="preserve"> </w:t>
      </w:r>
      <w:r>
        <w:t>Dividing Exercise 3's result by T gives |S</w:t>
      </w:r>
      <w:r>
        <w:rPr>
          <w:vertAlign w:val="subscript"/>
        </w:rPr>
        <w:t>fi</w:t>
      </w:r>
      <w:r>
        <w:t>|²/T=V(2π)⁴δ⁴(P</w:t>
      </w:r>
      <w:r>
        <w:rPr>
          <w:vertAlign w:val="subscript"/>
        </w:rPr>
        <w:t>f</w:t>
      </w:r>
      <w:r>
        <w:t>−P</w:t>
      </w:r>
      <w:r>
        <w:rPr>
          <w:vertAlign w:val="subscript"/>
        </w:rPr>
        <w:t>i</w:t>
      </w:r>
      <w:r>
        <w:t>)|ℳ</w:t>
      </w:r>
      <w:r>
        <w:rPr>
          <w:vertAlign w:val="subscript"/>
        </w:rPr>
        <w:t>fi</w:t>
      </w:r>
      <w:r>
        <w:t>|²,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w:t>
      </w:r>
      <w:r>
        <w:rPr>
          <w:vertAlign w:val="subscript"/>
        </w:rPr>
        <w:t>fi</w:t>
      </w:r>
      <w:r>
        <w:t>|²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w:t>
      </w:r>
      <w:r>
        <w:rPr>
          <w:vertAlign w:val="subscript"/>
        </w:rPr>
        <w:t>p</w:t>
      </w:r>
      <w:r>
        <w:t xml:space="preserve"> (this course's spinor normalization) shows that the natural relativistic density of states already carries a factor of 2E</w:t>
      </w:r>
      <w:r>
        <w:rPr>
          <w:vertAlign w:val="subscript"/>
        </w:rPr>
        <w:t>p</w:t>
      </w:r>
      <w:r>
        <w:t>; combining d³p (an ordinary, non-invariant volume element in momentum space, since it does not include the appropriate Jacobian for a Lorentz boost) with 1/(2E</w:t>
      </w:r>
      <w:r>
        <w:rPr>
          <w:vertAlign w:val="subscript"/>
        </w:rPr>
        <w:t>p</w:t>
      </w:r>
      <w:r>
        <w:t>) exactly compensates for this non-invariance, so that d³p/(2E</w:t>
      </w:r>
      <w:r>
        <w:rPr>
          <w:vertAlign w:val="subscript"/>
        </w:rPr>
        <w:t>p</w:t>
      </w:r>
      <w:r>
        <w:t>), and hence d³p/((2π)³2E</w:t>
      </w:r>
      <w:r>
        <w:rPr>
          <w:vertAlign w:val="subscript"/>
        </w:rPr>
        <w:t>p</w:t>
      </w:r>
      <w:r>
        <w:t>),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w:t>
      </w:r>
      <w:r>
        <w:rPr>
          <w:vertAlign w:val="subscript"/>
        </w:rPr>
        <w:t>f</w:t>
      </w:r>
      <w:r>
        <w:t>−ΣP</w:t>
      </w:r>
      <w:r>
        <w:rPr>
          <w:vertAlign w:val="subscript"/>
        </w:rPr>
        <w:t>i</w:t>
      </w:r>
      <w:r>
        <w:t>)Π</w:t>
      </w:r>
      <w:r>
        <w:rPr>
          <w:vertAlign w:val="subscript"/>
        </w:rPr>
        <w:t>f</w:t>
      </w:r>
      <w:r>
        <w:t xml:space="preserve"> d³p</w:t>
      </w:r>
      <w:r>
        <w:rPr>
          <w:vertAlign w:val="subscript"/>
        </w:rPr>
        <w:t>f</w:t>
      </w:r>
      <w:r>
        <w:t>/((2π)³2E</w:t>
      </w:r>
      <w:r>
        <w:rPr>
          <w:vertAlign w:val="subscript"/>
        </w:rPr>
        <w:t>f</w:t>
      </w:r>
      <w:r>
        <w:t>): |ℳ|² is the process-specific physics; 1/F removes the beam-density dependence; (2π)⁴δ⁴(ΣP</w:t>
      </w:r>
      <w:r>
        <w:rPr>
          <w:vertAlign w:val="subscript"/>
        </w:rPr>
        <w:t>f</w:t>
      </w:r>
      <w:r>
        <w:t>−ΣP</w:t>
      </w:r>
      <w:r>
        <w:rPr>
          <w:vertAlign w:val="subscript"/>
        </w:rPr>
        <w:t>i</w:t>
      </w:r>
      <w:r>
        <w:t>) enforces overall momentum conservation; the phase-space product sums over every kinematically allowed final-state configuration with the correct Lorentz-invariant weighting.</w:t>
      </w:r>
    </w:p>
    <w:p>
      <w:r>
        <w:rPr>
          <w:b/>
        </w:rPr>
        <w:t>12.</w:t>
      </w:r>
      <w:r>
        <w:t xml:space="preserve"> </w:t>
      </w:r>
      <w:r>
        <w:t>dΓ=(1/(2E</w:t>
      </w:r>
      <w:r>
        <w:rPr>
          <w:vertAlign w:val="subscript"/>
        </w:rPr>
        <w:t>i</w:t>
      </w:r>
      <w:r>
        <w:t>))|ℳ|²(2π)⁴δ⁴(p</w:t>
      </w:r>
      <w:r>
        <w:rPr>
          <w:vertAlign w:val="subscript"/>
        </w:rPr>
        <w:t>i</w:t>
      </w:r>
      <w:r>
        <w:t>−ΣP</w:t>
      </w:r>
      <w:r>
        <w:rPr>
          <w:vertAlign w:val="subscript"/>
        </w:rPr>
        <w:t>f</w:t>
      </w:r>
      <w:r>
        <w:t>)Π</w:t>
      </w:r>
      <w:r>
        <w:rPr>
          <w:vertAlign w:val="subscript"/>
        </w:rPr>
        <w:t>f</w:t>
      </w:r>
      <w:r>
        <w:t>d³p</w:t>
      </w:r>
      <w:r>
        <w:rPr>
          <w:vertAlign w:val="subscript"/>
        </w:rPr>
        <w:t>f</w:t>
      </w:r>
      <w:r>
        <w:t>/((2π)³2E</w:t>
      </w:r>
      <w:r>
        <w:rPr>
          <w:vertAlign w:val="subscript"/>
        </w:rPr>
        <w:t>f</w:t>
      </w:r>
      <w:r>
        <w:t>) (Section 4.2). A decay involves a single initial particle, not two colliding beams, so there is no relative flux of one beam through another to normalize against; the single particle's own relativistic normalization supplies the analogous factor, 1/(2E</w:t>
      </w:r>
      <w:r>
        <w:rPr>
          <w:vertAlign w:val="subscript"/>
        </w:rPr>
        <w:t>i</w:t>
      </w:r>
      <w:r>
        <w:t>), in place of F.</w:t>
      </w:r>
    </w:p>
    <w:p>
      <w:r>
        <w:rPr>
          <w:b/>
        </w:rPr>
        <w:t>13.</w:t>
      </w:r>
      <w:r>
        <w:t xml:space="preserve"> </w:t>
      </w:r>
      <w:r>
        <w:t>|ℳ|² is a Lorentz scalar (built from contracted spinor and polarization indices, as established since Lesson 43's discussion of scalar invariants); (2π)⁴δ⁴(p</w:t>
      </w:r>
      <w:r>
        <w:rPr>
          <w:vertAlign w:val="subscript"/>
        </w:rPr>
        <w:t>i</w:t>
      </w:r>
      <w:r>
        <w:t>−ΣP</w:t>
      </w:r>
      <w:r>
        <w:rPr>
          <w:vertAlign w:val="subscript"/>
        </w:rPr>
        <w:t>f</w:t>
      </w:r>
      <w:r>
        <w:t>) is Lorentz invariant (a four-dimensional delta function transforms as a scalar density that exactly compensates the Jacobian of a Lorentz transformation, the same fact underlying Exercise 9's phase-space invariance); each d³p</w:t>
      </w:r>
      <w:r>
        <w:rPr>
          <w:vertAlign w:val="subscript"/>
        </w:rPr>
        <w:t>f</w:t>
      </w:r>
      <w:r>
        <w:t>/((2π)³2E</w:t>
      </w:r>
      <w:r>
        <w:rPr>
          <w:vertAlign w:val="subscript"/>
        </w:rPr>
        <w:t>f</w:t>
      </w:r>
      <w:r>
        <w:t>) is Lorentz invariant by Exercise 9 itself. Only the explicit 1/(2E</w:t>
      </w:r>
      <w:r>
        <w:rPr>
          <w:vertAlign w:val="subscript"/>
        </w:rPr>
        <w:t>i</w:t>
      </w:r>
      <w:r>
        <w:t>), a single number attached to the one frame-dependent quantity (the initial particle's own energy), is not separately invariant.</w:t>
      </w:r>
    </w:p>
    <w:p>
      <w:r>
        <w:rPr>
          <w:b/>
        </w:rPr>
        <w:t>14.</w:t>
      </w:r>
      <w:r>
        <w:t xml:space="preserve"> </w:t>
      </w:r>
      <w:r>
        <w:t>Setting E</w:t>
      </w:r>
      <w:r>
        <w:rPr>
          <w:vertAlign w:val="subscript"/>
        </w:rPr>
        <w:t>i</w:t>
      </w:r>
      <w:r>
        <w:t>=γm (the energy of a particle of rest mass m observed with Lorentz factor γ) in dΓ=(1/(2E</w:t>
      </w:r>
      <w:r>
        <w:rPr>
          <w:vertAlign w:val="subscript"/>
        </w:rPr>
        <w:t>i</w:t>
      </w:r>
      <w:r>
        <w:t>))|ℳ|²(⋯) gives dΓ=(1/(2γm))|ℳ|²(⋯); since the rest-frame rate is dΓ</w:t>
      </w:r>
      <w:r>
        <w:rPr>
          <w:vertAlign w:val="subscript"/>
        </w:rPr>
        <w:t>0</w:t>
      </w:r>
      <w:r>
        <w:t>=(1/(2m))|ℳ|²(⋯) (setting γ=1, E</w:t>
      </w:r>
      <w:r>
        <w:rPr>
          <w:vertAlign w:val="subscript"/>
        </w:rPr>
        <w:t>i</w:t>
      </w:r>
      <w:r>
        <w:t>=m) with the SAME |ℳ|² and phase-space integral (both Lorentz invariant, Exercise 13), dΓ=dΓ</w:t>
      </w:r>
      <w:r>
        <w:rPr>
          <w:vertAlign w:val="subscript"/>
        </w:rPr>
        <w:t>0</w:t>
      </w:r>
      <w:r>
        <w:t>/γ, and integrating over the full final-state phase space gives Γ=Γ</w:t>
      </w:r>
      <w:r>
        <w:rPr>
          <w:vertAlign w:val="subscript"/>
        </w:rPr>
        <w:t>0</w:t>
      </w:r>
      <w:r>
        <w:t>/γ.</w:t>
      </w:r>
    </w:p>
    <w:p>
      <w:r>
        <w:rPr>
          <w:b/>
        </w:rPr>
        <w:t>15.</w:t>
      </w:r>
      <w:r>
        <w:t xml:space="preserve"> </w:t>
      </w:r>
      <w:r>
        <w:t>τ=1/Γ=1/(Γ</w:t>
      </w:r>
      <w:r>
        <w:rPr>
          <w:vertAlign w:val="subscript"/>
        </w:rPr>
        <w:t>0</w:t>
      </w:r>
      <w:r>
        <w:t>/γ)=γ/Γ</w:t>
      </w:r>
      <w:r>
        <w:rPr>
          <w:vertAlign w:val="subscript"/>
        </w:rPr>
        <w:t>0</w:t>
      </w:r>
      <w:r>
        <w:t>=γ(1/Γ</w:t>
      </w:r>
      <w:r>
        <w:rPr>
          <w:vertAlign w:val="subscript"/>
        </w:rPr>
        <w:t>0</w:t>
      </w:r>
      <w:r>
        <w:t>)=γτ</w:t>
      </w:r>
      <w:r>
        <w:rPr>
          <w:vertAlign w:val="subscript"/>
        </w:rPr>
        <w:t>0</w:t>
      </w:r>
      <w:r>
        <w:t>, using Exercise 14's Γ=Γ</w:t>
      </w:r>
      <w:r>
        <w:rPr>
          <w:vertAlign w:val="subscript"/>
        </w:rPr>
        <w:t>0</w:t>
      </w:r>
      <w:r>
        <w:t>/γ.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52 (External Spinors and Polarization) supplies the trace technology needed to evaluate |ℳ|², summed or averaged over unmeasured spins and polarizations, as an explicit, closed-form expression rather than an abstract spinor sandwich; Lesson 53 (Momentum Conservation) supplies the kinematic bookkeeping (such as the Mandelstam variables) needed to carry out the remaining phase-space integrals of Section 3.4 or 4.2 explicitly for a specific process.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52 develops the trace technology needed to evaluate |ℳ|² explicitly when the initial spins and final polarizations are not measured, turning the spinor sums this lesson leaves abstract into concrete traces of gamma matrices.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Scattering Amplitudes</dc:title>
  <dc:subject>Lesson 51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