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External Spinors and Polarization</w:t>
      </w:r>
    </w:p>
    <w:p>
      <w:pPr>
        <w:pStyle w:val="Subtitle"/>
        <w:jc w:val="center"/>
      </w:pPr>
      <w:r>
        <w:t>Lesson 52 of Quantum, Actually, Volume 2: A QED Course</w:t>
      </w:r>
    </w:p>
    <w:p>
      <w:pPr>
        <w:jc w:val="center"/>
      </w:pPr>
      <w:r>
        <w:t>Lothar J. Musiol</w:t>
      </w:r>
    </w:p>
    <w:p>
      <w:r>
        <w:br/>
      </w:r>
    </w:p>
    <w:p>
      <w:pPr>
        <w:jc w:val="center"/>
      </w:pPr>
      <w:r>
        <w:rPr>
          <w:b/>
          <w:sz w:val="26"/>
        </w:rPr>
        <w:t>The general master formula converting a squared, spin-summed spinor sandwich into a gamma-matrix trace, spin averaging, and the covariant photon polarization sum</w:t>
      </w:r>
    </w:p>
    <w:p>
      <w:r>
        <w:br/>
        <w:br/>
      </w:r>
    </w:p>
    <w:p>
      <w:pPr>
        <w:jc w:val="center"/>
      </w:pPr>
      <w:r>
        <w:t>First edition, 2026</w:t>
      </w:r>
    </w:p>
    <w:p>
      <w:r>
        <w:br w:type="page"/>
      </w:r>
    </w:p>
    <w:p>
      <w:pPr>
        <w:pStyle w:val="Heading2"/>
      </w:pPr>
      <w:r>
        <w:t>How to use this lesson</w:t>
      </w:r>
    </w:p>
    <w:p>
      <w:r>
        <w:t>Lesson 21 built a complete toolkit of gamma-matrix trace identities and previewed, without deriving, that they would be needed "for computing |amplitude|² summed over spins" in this lesson. Lesson 22 built the completeness relations Σu</w:t>
      </w:r>
      <w:r>
        <w:rPr>
          <w:vertAlign w:val="subscript"/>
        </w:rPr>
        <w:t>s</w:t>
      </w:r>
      <w:r>
        <w:t>ū</w:t>
      </w:r>
      <w:r>
        <w:rPr>
          <w:vertAlign w:val="subscript"/>
        </w:rPr>
        <w:t>s</w:t>
      </w:r>
      <w:r>
        <w:t>=p̸+m and Σv</w:t>
      </w:r>
      <w:r>
        <w:rPr>
          <w:vertAlign w:val="subscript"/>
        </w:rPr>
        <w:t>s</w:t>
      </w:r>
      <w:r>
        <w:t>v̄</w:t>
      </w:r>
      <w:r>
        <w:rPr>
          <w:vertAlign w:val="subscript"/>
        </w:rPr>
        <w:t>s</w:t>
      </w:r>
      <w:r>
        <w:t>=p̸−m and previewed the same thing. Neither lesson closed the loop: neither showed exactly how a squared, spin-summed amplitude becomes a trace in the first place. This lesson supplies that missing link, in general form, for any vertex structure Γ, then specializes it to the QED vertex γ</w:t>
      </w:r>
      <w:r>
        <w:rPr>
          <w:vertAlign w:val="superscript"/>
        </w:rPr>
        <w:t>μ</w:t>
      </w:r>
      <w:r>
        <w:t>,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3"/>
      </w:pPr>
      <w:r>
        <w:t>Learning objectives</w:t>
      </w:r>
    </w:p>
    <w:p>
      <w:pPr>
        <w:pStyle w:val="ListBullet"/>
      </w:pPr>
      <w:r>
        <w:t>Derive Γ̄=γ⁰Γ†γ⁰ and the conjugation identity [ū(p′)Γu(p)]*=ū(p)Γ̄u(p′) for a general 4×4 matrix Γ.</w:t>
      </w:r>
    </w:p>
    <w:p>
      <w:pPr>
        <w:pStyle w:val="ListBullet"/>
      </w:pPr>
      <w:r>
        <w:t>Derive the master formula Σ</w:t>
      </w:r>
      <w:r>
        <w:rPr>
          <w:vertAlign w:val="subscript"/>
        </w:rPr>
        <w:t>spins</w:t>
      </w:r>
      <w:r>
        <w:t>|ū(p′)Γu(p)|²=Tr[Γ(p̸+m)Γ̄(p̸′+m)] by combining this conjugation identity with the completeness relations of Lesson 22.</w:t>
      </w:r>
    </w:p>
    <w:p>
      <w:pPr>
        <w:pStyle w:val="ListBullet"/>
      </w:pPr>
      <w:r>
        <w:t>Specialize the master formula to Γ=γ</w:t>
      </w:r>
      <w:r>
        <w:rPr>
          <w:vertAlign w:val="superscript"/>
        </w:rPr>
        <w:t>μ</w:t>
      </w:r>
      <w:r>
        <w:t>, showing Γ̄=γ</w:t>
      </w:r>
      <w:r>
        <w:rPr>
          <w:vertAlign w:val="superscript"/>
        </w:rPr>
        <w:t>μ</w:t>
      </w:r>
      <w:r>
        <w:t>, and connect the result to Lesson 21's showcased trace Tr[(p̸′+m)γ</w:t>
      </w:r>
      <w:r>
        <w:rPr>
          <w:vertAlign w:val="superscript"/>
        </w:rPr>
        <w:t>μ</w:t>
      </w:r>
      <w:r>
        <w:t>(p̸+m)γ</w:t>
      </w:r>
      <w:r>
        <w:rPr>
          <w:vertAlign w:val="superscript"/>
        </w:rPr>
        <w:t>ν</w:t>
      </w:r>
      <w:r>
        <w:t>].</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w:t>
      </w:r>
      <w:r>
        <w:rPr>
          <w:vertAlign w:val="subscript"/>
        </w:rPr>
        <w:t>λ</w:t>
      </w:r>
      <w:r>
        <w:t>ε</w:t>
      </w:r>
      <w:r>
        <w:rPr>
          <w:vertAlign w:val="subscript"/>
        </w:rPr>
        <w:t>λ</w:t>
      </w:r>
      <w:r>
        <w:rPr>
          <w:vertAlign w:val="superscript"/>
        </w:rPr>
        <w:t>i</w:t>
      </w:r>
      <w:r>
        <w:t>ε</w:t>
      </w:r>
      <w:r>
        <w:rPr>
          <w:vertAlign w:val="subscript"/>
        </w:rPr>
        <w:t>λ</w:t>
      </w:r>
      <w:r>
        <w:rPr>
          <w:vertAlign w:val="superscript"/>
        </w:rPr>
        <w:t>j</w:t>
      </w:r>
      <w:r>
        <w:t>=δ</w:t>
      </w:r>
      <w:r>
        <w:rPr>
          <w:vertAlign w:val="superscript"/>
        </w:rPr>
        <w:t>ij</w:t>
      </w:r>
      <w:r>
        <w:t>−k̂</w:t>
      </w:r>
      <w:r>
        <w:rPr>
          <w:vertAlign w:val="superscript"/>
        </w:rPr>
        <w:t>i</w:t>
      </w:r>
      <w:r>
        <w:t>k̂</w:t>
      </w:r>
      <w:r>
        <w:rPr>
          <w:vertAlign w:val="superscript"/>
        </w:rPr>
        <w:t>j</w:t>
      </w:r>
      <w:r>
        <w:t xml:space="preserve"> and the covariant replacement Σ</w:t>
      </w:r>
      <w:r>
        <w:rPr>
          <w:vertAlign w:val="subscript"/>
        </w:rPr>
        <w:t>λ</w:t>
      </w:r>
      <w:r>
        <w:t>ε</w:t>
      </w:r>
      <w:r>
        <w:rPr>
          <w:vertAlign w:val="subscript"/>
        </w:rPr>
        <w:t>λ</w:t>
      </w:r>
      <w:r>
        <w:rPr>
          <w:vertAlign w:val="superscript"/>
        </w:rPr>
        <w:t>μ</w:t>
      </w:r>
      <w:r>
        <w:t>ε</w:t>
      </w:r>
      <w:r>
        <w:rPr>
          <w:vertAlign w:val="subscript"/>
        </w:rPr>
        <w:t>λ</w:t>
      </w:r>
      <w:r>
        <w:rPr>
          <w:vertAlign w:val="superscript"/>
        </w:rPr>
        <w:t>ν</w:t>
      </w:r>
      <w:r>
        <w:t>→−g</w:t>
      </w:r>
      <w:r>
        <w:rPr>
          <w:vertAlign w:val="superscript"/>
        </w:rPr>
        <w:t>μν</w:t>
      </w:r>
      <w:r>
        <w:t xml:space="preserve"> used in practice.</w:t>
      </w:r>
    </w:p>
    <w:p>
      <w:pPr>
        <w:pStyle w:val="ListBullet"/>
      </w:pPr>
      <w:r>
        <w:t>Explain, at the level already available from Lesson 48, why the covariant replacement is expected (though not yet proven) to give the same physical answer as the honest sum.</w:t>
      </w:r>
    </w:p>
    <w:p>
      <w:pPr>
        <w:pStyle w:val="ListBullet"/>
      </w:pPr>
      <w:r>
        <w:t>Reconstruct the master formula and its QED specialization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w:t>
            </w:r>
            <w:r>
              <w:rPr>
                <w:vertAlign w:val="superscript"/>
              </w:rPr>
              <w:t>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w:t>
            </w:r>
            <w:r>
              <w:rPr>
                <w:vertAlign w:val="subscript"/>
              </w:rPr>
              <w:t>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w:t>
            </w:r>
            <w:r>
              <w:rPr>
                <w:vertAlign w:val="subscript"/>
              </w:rPr>
              <w:t>initial</w:t>
            </w:r>
          </w:p>
        </w:tc>
        <w:tc>
          <w:tcPr>
            <w:tcW w:type="dxa" w:w="7632"/>
            <w:vAlign w:val="center"/>
            <w:shd w:fill="EAF2F8"/>
            <w:tcMar>
              <w:top w:w="100" w:type="dxa"/>
              <w:start w:w="100" w:type="dxa"/>
              <w:bottom w:w="100" w:type="dxa"/>
              <w:end w:w="100" w:type="dxa"/>
            </w:tcMar>
          </w:tcPr>
          <w:p>
            <w:r>
              <w:t>Spin average over an unmeasured initial fermion</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Spin sums turn |ūΓu|² into traces: Σuū = p̸ + m, Σvv̄ = p̸ − m, and the photon polarization sum can be replaced by −g</w:t>
            </w:r>
            <w:r>
              <w:rPr>
                <w:vertAlign w:val="subscript"/>
              </w:rPr>
              <w:t>μν</w:t>
            </w:r>
            <w:r>
              <w:t>.</w:t>
            </w:r>
          </w:p>
          <w:p>
            <w:pPr>
              <w:spacing w:after="60"/>
            </w:pPr>
            <w:r>
              <w:t>This converts every unpolarized cross section into gamma-matrix traces (Lesson 21). High-risk topic: watch the signs.</w:t>
            </w:r>
          </w:p>
        </w:tc>
      </w:tr>
    </w:tbl>
    <w:p>
      <w:pPr>
        <w:spacing w:after="80"/>
      </w:pPr>
    </w:p>
    <w:p>
      <w:pPr>
        <w:pStyle w:val="Heading2"/>
      </w:pPr>
      <w:r>
        <w:t>1 Why sum and why average</w:t>
      </w:r>
    </w:p>
    <w:p>
      <w:pPr>
        <w:pStyle w:val="Heading3"/>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3"/>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w:t>
      </w:r>
      <w:r>
        <w:rPr>
          <w:vertAlign w:val="subscript"/>
        </w:rPr>
        <w:t>(s)</w:t>
      </w:r>
      <w:r>
        <w:t>; for two unmeasured initial fermions, (1/2)(1/2)Σ</w:t>
      </w:r>
      <w:r>
        <w:rPr>
          <w:vertAlign w:val="subscript"/>
        </w:rPr>
        <w:t>s,s₂</w:t>
      </w:r>
      <w:r>
        <w:t>, and so on.</w:t>
      </w:r>
    </w:p>
    <w:p>
      <w:r>
        <w:rPr>
          <w:b/>
          <w:i/>
        </w:rP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as the probabilities of any set of mutually exclusive, unresolved outcomes are combined.</w:t>
      </w:r>
    </w:p>
    <w:p>
      <w:pPr>
        <w:pStyle w:val="Heading2"/>
      </w:pPr>
      <w:r>
        <w:t>2 The general master formula</w:t>
      </w:r>
    </w:p>
    <w:p>
      <w:pPr>
        <w:pStyle w:val="Heading3"/>
      </w:pPr>
      <w:r>
        <w:t>2.1 Conjugating a spinor sandwich</w:t>
      </w:r>
    </w:p>
    <w:p>
      <w:r>
        <w:t>For a general 4×4 matrix Γ, [ū(p′)Γu(p)]† = u(p)†Γ†ū(p′)† = u(p)†Γ†γ⁰u(p′) (using ū(p′)†=(u(p′)†γ⁰)†=γ⁰u(p′), since γ⁰†=γ⁰). Inserting γ⁰γ⁰=I,</w:t>
      </w:r>
    </w:p>
    <w:p>
      <w:pPr>
        <w:spacing w:before="100" w:after="40"/>
        <w:jc w:val="center"/>
      </w:pPr>
      <m:oMathPara>
        <m:oMath>
          <m:d>
            <m:dPr>
              <m:begChr m:val="["/>
              <m:endChr m:val="]"/>
            </m:dPr>
            <m:e>
              <m:r>
                <m:t xml:space="preserve">ū</m:t>
              </m:r>
              <m:d>
                <m:dPr/>
                <m:e>
                  <m:r>
                    <m:t xml:space="preserve">p′</m:t>
                  </m:r>
                </m:e>
              </m:d>
              <m:r>
                <m:t xml:space="preserve">Γu</m:t>
              </m:r>
              <m:d>
                <m:dPr/>
                <m:e>
                  <m:r>
                    <m:t xml:space="preserve">p</m:t>
                  </m:r>
                </m:e>
              </m:d>
            </m:e>
          </m:d>
          <m:r>
            <m:t xml:space="preserve">*</m:t>
          </m:r>
          <m:r>
            <m:t xml:space="preserve">=</m:t>
          </m:r>
          <m:r>
            <m:t xml:space="preserve">ū</m:t>
          </m:r>
          <m:d>
            <m:dPr/>
            <m:e>
              <m:r>
                <m:t xml:space="preserve">p</m:t>
              </m:r>
            </m:e>
          </m:d>
          <m:r>
            <m:t xml:space="preserve"> </m:t>
          </m:r>
          <m:d>
            <m:dPr>
              <m:begChr m:val="["/>
              <m:endChr m:val="]"/>
            </m:dPr>
            <m:e>
              <m:sSup>
                <m:e>
                  <m:r>
                    <m:t xml:space="preserve">γ</m:t>
                  </m:r>
                </m:e>
                <m:sup>
                  <m:r>
                    <m:t xml:space="preserve">0</m:t>
                  </m:r>
                </m:sup>
              </m:sSup>
              <m:sSup>
                <m:e>
                  <m:r>
                    <m:t xml:space="preserve">Γ†γ</m:t>
                  </m:r>
                </m:e>
                <m:sup>
                  <m:r>
                    <m:t xml:space="preserve">0</m:t>
                  </m:r>
                </m:sup>
              </m:sSup>
            </m:e>
          </m:d>
          <m:r>
            <m:t xml:space="preserve"> </m:t>
          </m:r>
          <m:r>
            <m:t xml:space="preserve">u</m:t>
          </m:r>
          <m:d>
            <m:dPr/>
            <m:e>
              <m:r>
                <m:t xml:space="preserve">p′</m:t>
              </m:r>
            </m:e>
          </m:d>
          <m:r>
            <m:t xml:space="preserve">=</m:t>
          </m:r>
          <m:r>
            <m:t xml:space="preserve">:</m:t>
          </m:r>
          <m:r>
            <m:t xml:space="preserve">ū</m:t>
          </m:r>
          <m:d>
            <m:dPr/>
            <m:e>
              <m:r>
                <m:t xml:space="preserve">p</m:t>
              </m:r>
            </m:e>
          </m:d>
          <m:r>
            <m:t xml:space="preserve"> </m:t>
          </m:r>
          <m:r>
            <m:t xml:space="preserve">Γ̄</m:t>
          </m:r>
          <m:r>
            <m:t xml:space="preserve"> </m:t>
          </m:r>
          <m:r>
            <m:t xml:space="preserve">u</m:t>
          </m:r>
          <m:d>
            <m:dPr/>
            <m:e>
              <m:r>
                <m:t xml:space="preserve">p′</m:t>
              </m:r>
            </m:e>
          </m:d>
        </m:oMath>
      </m:oMathPara>
    </w:p>
    <w:p>
      <w:pPr>
        <w:spacing w:before="40" w:after="160"/>
        <w:jc w:val="center"/>
      </w:pPr>
      <m:oMathPara>
        <m:oMath>
          <m:r>
            <m:t xml:space="preserve">Γ̄</m:t>
          </m:r>
          <m:r>
            <m:t xml:space="preserve">:</m:t>
          </m:r>
          <m:r>
            <m:t xml:space="preserve">=</m:t>
          </m:r>
          <m:sSup>
            <m:e>
              <m:r>
                <m:t xml:space="preserve">γ</m:t>
              </m:r>
            </m:e>
            <m:sup>
              <m:r>
                <m:t xml:space="preserve">0</m:t>
              </m:r>
            </m:sup>
          </m:sSup>
          <m:sSup>
            <m:e>
              <m:r>
                <m:t xml:space="preserve">Γ†γ</m:t>
              </m:r>
            </m:e>
            <m:sup>
              <m:r>
                <m:t xml:space="preserve">0</m:t>
              </m:r>
            </m:sup>
          </m:sSup>
        </m:oMath>
      </m:oMathPara>
    </w:p>
    <w:p>
      <w:r>
        <w:t>since a 1×1 matrix's Hermitian conjugate is the same as its complex conjugate. Γ̄ is called the Dirac adjoint of Γ.</w:t>
      </w:r>
    </w:p>
    <w:p>
      <w:pPr>
        <w:pStyle w:val="Heading3"/>
      </w:pPr>
      <w:r>
        <w:t>2.2 The master formula</w:t>
      </w:r>
    </w:p>
    <w:p>
      <w:r>
        <w:t>Restoring explicit spin labels, |ū</w:t>
      </w:r>
      <w:r>
        <w:rPr>
          <w:vertAlign w:val="subscript"/>
        </w:rPr>
        <w:t>s′</w:t>
      </w:r>
      <w:r>
        <w:t>(p′)Γu</w:t>
      </w:r>
      <w:r>
        <w:rPr>
          <w:vertAlign w:val="subscript"/>
        </w:rPr>
        <w:t>s</w:t>
      </w:r>
      <w:r>
        <w:t>(p)|²=[ū</w:t>
      </w:r>
      <w:r>
        <w:rPr>
          <w:vertAlign w:val="subscript"/>
        </w:rPr>
        <w:t>s′</w:t>
      </w:r>
      <w:r>
        <w:t>(p′)Γu</w:t>
      </w:r>
      <w:r>
        <w:rPr>
          <w:vertAlign w:val="subscript"/>
        </w:rPr>
        <w:t>s</w:t>
      </w:r>
      <w:r>
        <w:t>(p)][ū</w:t>
      </w:r>
      <w:r>
        <w:rPr>
          <w:vertAlign w:val="subscript"/>
        </w:rPr>
        <w:t>s</w:t>
      </w:r>
      <w:r>
        <w:t>(p)Γ̄u</w:t>
      </w:r>
      <w:r>
        <w:rPr>
          <w:vertAlign w:val="subscript"/>
        </w:rPr>
        <w:t>s′</w:t>
      </w:r>
      <w:r>
        <w:t>(p′)]. Summing over both s and s′, and writing out spinor indices to separate the two independent sums (Exercise 6 works through every index explicitly),</w:t>
      </w:r>
    </w:p>
    <w:p>
      <w:pPr>
        <w:spacing w:before="100" w:after="160"/>
        <w:jc w:val="center"/>
      </w:pPr>
      <m:oMathPara>
        <m:oMath>
          <m:sSub>
            <m:e>
              <m:r>
                <m:t xml:space="preserve">Σ</m:t>
              </m:r>
            </m:e>
            <m:sub>
              <m:r>
                <m:t xml:space="preserve">s</m:t>
              </m:r>
              <m:r>
                <m:t xml:space="preserve">,</m:t>
              </m:r>
              <m:r>
                <m:t xml:space="preserve">s′</m:t>
              </m:r>
            </m:sub>
          </m:sSub>
          <m:r>
            <m:t xml:space="preserve"> </m:t>
          </m:r>
          <m:sSup>
            <m:e>
              <m:d>
                <m:dPr>
                  <m:begChr m:val="|"/>
                  <m:endChr m:val="|"/>
                </m:dPr>
                <m:e>
                  <m:sSub>
                    <m:e>
                      <m:r>
                        <m:t xml:space="preserve">ū</m:t>
                      </m:r>
                    </m:e>
                    <m:sub>
                      <m:r>
                        <m:t xml:space="preserve">s′</m:t>
                      </m:r>
                    </m:sub>
                  </m:sSub>
                  <m:d>
                    <m:dPr/>
                    <m:e>
                      <m:r>
                        <m:t xml:space="preserve">p′</m:t>
                      </m:r>
                    </m:e>
                  </m:d>
                  <m:r>
                    <m:t xml:space="preserve"> </m:t>
                  </m:r>
                  <m:r>
                    <m:t xml:space="preserve">Γ</m:t>
                  </m:r>
                  <m:r>
                    <m:t xml:space="preserve"> </m:t>
                  </m:r>
                  <m:sSub>
                    <m:e>
                      <m:r>
                        <m:t xml:space="preserve">u</m:t>
                      </m:r>
                    </m:e>
                    <m:sub>
                      <m:r>
                        <m:t xml:space="preserve">s</m:t>
                      </m:r>
                    </m:sub>
                  </m:sSub>
                  <m:d>
                    <m:dPr/>
                    <m:e>
                      <m:r>
                        <m:t xml:space="preserve">p</m:t>
                      </m:r>
                    </m:e>
                  </m:d>
                </m:e>
              </m:d>
            </m:e>
            <m:sup>
              <m:r>
                <m:t xml:space="preserve">2</m:t>
              </m:r>
            </m:sup>
          </m:sSup>
          <m:r>
            <m:t xml:space="preserve">=</m:t>
          </m:r>
          <m:func>
            <m:fName>
              <m:r>
                <m:t xml:space="preserve">Tr</m:t>
              </m:r>
            </m:fName>
            <m:e>
              <m:d>
                <m:dPr>
                  <m:begChr m:val="["/>
                  <m:endChr m:val="]"/>
                </m:dPr>
                <m:e>
                  <m:r>
                    <m:t xml:space="preserve">Γ</m:t>
                  </m:r>
                  <m:r>
                    <m:t xml:space="preserve"> </m:t>
                  </m:r>
                  <m:d>
                    <m:dPr/>
                    <m:e>
                      <m:acc>
                        <m:accPr>
                          <m:chr m:val="/"/>
                        </m:accPr>
                        <m:e>
                          <m:r>
                            <m:t xml:space="preserve">p</m:t>
                          </m:r>
                        </m:e>
                      </m:acc>
                      <m:r>
                        <m:t xml:space="preserve">+</m:t>
                      </m:r>
                      <m:r>
                        <m:t xml:space="preserve">m</m:t>
                      </m:r>
                    </m:e>
                  </m:d>
                  <m:r>
                    <m:t xml:space="preserve"> </m:t>
                  </m:r>
                  <m:r>
                    <m:t xml:space="preserve">Γ̄</m:t>
                  </m:r>
                  <m:r>
                    <m:t xml:space="preserve"> </m:t>
                  </m:r>
                  <m:d>
                    <m:dPr/>
                    <m:e>
                      <m:acc>
                        <m:accPr>
                          <m:chr m:val="/"/>
                        </m:accPr>
                        <m:e>
                          <m:r>
                            <m:t xml:space="preserve">p</m:t>
                          </m:r>
                        </m:e>
                      </m:acc>
                      <m:r>
                        <m:t xml:space="preserve">′</m:t>
                      </m:r>
                      <m:r>
                        <m:t xml:space="preserve">+</m:t>
                      </m:r>
                      <m:r>
                        <m:t xml:space="preserve">m</m:t>
                      </m:r>
                    </m:e>
                  </m:d>
                </m:e>
              </m:d>
            </m:e>
          </m:func>
        </m:oMath>
      </m:oMathPara>
    </w:p>
    <w:p>
      <w:r>
        <w:t>using the completeness relations Σ</w:t>
      </w:r>
      <w:r>
        <w:rPr>
          <w:vertAlign w:val="subscript"/>
        </w:rPr>
        <w:t>s</w:t>
      </w:r>
      <w:r>
        <w:t>u</w:t>
      </w:r>
      <w:r>
        <w:rPr>
          <w:vertAlign w:val="subscript"/>
        </w:rPr>
        <w:t>s</w:t>
      </w:r>
      <w:r>
        <w:t>(p)ū</w:t>
      </w:r>
      <w:r>
        <w:rPr>
          <w:vertAlign w:val="subscript"/>
        </w:rPr>
        <w:t>s</w:t>
      </w:r>
      <w:r>
        <w:t>(p)=p̸+m and Σ</w:t>
      </w:r>
      <w:r>
        <w:rPr>
          <w:vertAlign w:val="subscript"/>
        </w:rPr>
        <w:t>s′</w:t>
      </w:r>
      <w:r>
        <w:t>u</w:t>
      </w:r>
      <w:r>
        <w:rPr>
          <w:vertAlign w:val="subscript"/>
        </w:rPr>
        <w:t>s′</w:t>
      </w:r>
      <w:r>
        <w:t>(p′)ū</w:t>
      </w:r>
      <w:r>
        <w:rPr>
          <w:vertAlign w:val="subscript"/>
        </w:rPr>
        <w:t>s′</w:t>
      </w:r>
      <w:r>
        <w:t>(p′)=p̸′+m (Lesson 22, Section 6.1) to collapse each spin sum into a single matrix, with the resulting matrix product's trace structure emerging automatically from how the indices contract.</w:t>
      </w:r>
    </w:p>
    <w:p>
      <w:r>
        <w:rPr>
          <w:b/>
          <w:i/>
        </w:rPr>
        <w:t>Worked example 2</w:t>
      </w:r>
    </w:p>
    <w:p>
      <w:r>
        <w:t>Explain why the trace, rather than some other combination, is exactly what emerges from summing over both spins. Each completeness relation, Σu</w:t>
      </w:r>
      <w:r>
        <w:rPr>
          <w:vertAlign w:val="subscript"/>
        </w:rPr>
        <w:t>s</w:t>
      </w:r>
      <w:r>
        <w:t>(p)ū</w:t>
      </w:r>
      <w:r>
        <w:rPr>
          <w:vertAlign w:val="subscript"/>
        </w:rPr>
        <w:t>s</w:t>
      </w:r>
      <w:r>
        <w:t>(p)=p̸+m,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2"/>
      </w:pPr>
      <w:r>
        <w:t>3 Specializing to the QED vertex</w:t>
      </w:r>
    </w:p>
    <w:p>
      <w:pPr>
        <w:pStyle w:val="Heading3"/>
      </w:pPr>
      <w:r>
        <w:t>3.1 Γ=γ</w:t>
      </w:r>
      <w:r>
        <w:rPr>
          <w:vertAlign w:val="superscript"/>
        </w:rPr>
        <w:t>μ</w:t>
      </w:r>
    </w:p>
    <w:p>
      <w:r>
        <w:t>For the QED vertex, Γ=γ</w:t>
      </w:r>
      <w:r>
        <w:rPr>
          <w:vertAlign w:val="superscript"/>
        </w:rPr>
        <w:t>μ</w:t>
      </w:r>
      <w:r>
        <w:t>, and Γ̄=γ⁰(γ</w:t>
      </w:r>
      <w:r>
        <w:rPr>
          <w:vertAlign w:val="superscript"/>
        </w:rPr>
        <w:t>μ</w:t>
      </w:r>
      <w:r>
        <w:t>)†γ⁰=γ</w:t>
      </w:r>
      <w:r>
        <w:rPr>
          <w:vertAlign w:val="superscript"/>
        </w:rPr>
        <w:t>μ</w:t>
      </w:r>
      <w:r>
        <w:t>, using the gamma matrices' Hermiticity property already established in Lesson 21 (γ⁰ is Hermitian, γ</w:t>
      </w:r>
      <w:r>
        <w:rPr>
          <w:vertAlign w:val="superscript"/>
        </w:rPr>
        <w:t>i</w:t>
      </w:r>
      <w:r>
        <w:t xml:space="preserve"> is anti-Hermitian, and γ⁰(γ</w:t>
      </w:r>
      <w:r>
        <w:rPr>
          <w:vertAlign w:val="superscript"/>
        </w:rPr>
        <w:t>μ</w:t>
      </w:r>
      <w:r>
        <w:t>)†γ⁰=γ</w:t>
      </w:r>
      <w:r>
        <w:rPr>
          <w:vertAlign w:val="superscript"/>
        </w:rPr>
        <w:t>μ</w:t>
      </w:r>
      <w:r>
        <w:t xml:space="preserve"> holds uniformly for all four values of μ). So Γ̄=Γ for the vertex itself: the vertex is, in this specific sense, self-adjoint.</w:t>
      </w:r>
    </w:p>
    <w:p>
      <w:pPr>
        <w:pStyle w:val="Heading3"/>
      </w:pPr>
      <w:r>
        <w:t>3.2 The building-block trace</w:t>
      </w:r>
    </w:p>
    <w:p>
      <w:r>
        <w:t>For two possibly different vertex indices μ, ν (as arise when an amplitude squared involves two copies of the same diagram contracted with different external polarization indices),</w:t>
      </w:r>
    </w:p>
    <w:p>
      <w:pPr>
        <w:keepNext/>
        <w:spacing w:before="160" w:after="40"/>
        <w:jc w:val="center"/>
      </w:pPr>
      <w:r>
        <w:drawing>
          <wp:inline xmlns:a="http://schemas.openxmlformats.org/drawingml/2006/main" xmlns:pic="http://schemas.openxmlformats.org/drawingml/2006/picture">
            <wp:extent cx="5669280" cy="788861"/>
            <wp:docPr id="1" name="Picture 1"/>
            <wp:cNvGraphicFramePr>
              <a:graphicFrameLocks noChangeAspect="1"/>
            </wp:cNvGraphicFramePr>
            <a:graphic>
              <a:graphicData uri="http://schemas.openxmlformats.org/drawingml/2006/picture">
                <pic:pic>
                  <pic:nvPicPr>
                    <pic:cNvPr id="0" name="L52_trace.png"/>
                    <pic:cNvPicPr/>
                  </pic:nvPicPr>
                  <pic:blipFill>
                    <a:blip r:embed="rId11"/>
                    <a:stretch>
                      <a:fillRect/>
                    </a:stretch>
                  </pic:blipFill>
                  <pic:spPr>
                    <a:xfrm>
                      <a:off x="0" y="0"/>
                      <a:ext cx="5669280" cy="788861"/>
                    </a:xfrm>
                    <a:prstGeom prst="rect"/>
                  </pic:spPr>
                </pic:pic>
              </a:graphicData>
            </a:graphic>
          </wp:inline>
        </w:drawing>
      </w:r>
    </w:p>
    <w:p>
      <w:pPr>
        <w:spacing w:after="200"/>
        <w:jc w:val="center"/>
      </w:pPr>
      <w:r>
        <w:rPr>
          <w:i/>
          <w:sz w:val="19"/>
        </w:rPr>
        <w:t>Figure 52.1. How a spin sum becomes a trace: the amplitude times its conjugate, summed with Σuū = p̸ + m, closes into Tr[…].</w:t>
      </w:r>
    </w:p>
    <w:p>
      <w:pPr>
        <w:spacing w:before="100" w:after="160"/>
        <w:jc w:val="center"/>
      </w:pPr>
      <m:oMathPara>
        <m:oMath>
          <m:sSub>
            <m:e>
              <m:r>
                <m:t xml:space="preserve">Σ</m:t>
              </m:r>
            </m:e>
            <m:sub>
              <m:r>
                <m:t xml:space="preserve">s</m:t>
              </m:r>
              <m:r>
                <m:t xml:space="preserve">,</m:t>
              </m:r>
              <m:r>
                <m:t xml:space="preserve">s′</m:t>
              </m:r>
            </m:sub>
          </m:sSub>
          <m:r>
            <m:t xml:space="preserve"> </m:t>
          </m:r>
          <m:d>
            <m:dPr>
              <m:begChr m:val="["/>
              <m:endChr m:val="]"/>
            </m:dPr>
            <m:e>
              <m:sSub>
                <m:e>
                  <m:r>
                    <m:t xml:space="preserve">ū</m:t>
                  </m:r>
                </m:e>
                <m:sub>
                  <m:r>
                    <m:t xml:space="preserve">s′</m:t>
                  </m:r>
                </m:sub>
              </m:sSub>
              <m:d>
                <m:dPr/>
                <m:e>
                  <m:r>
                    <m:t xml:space="preserve">p′</m:t>
                  </m:r>
                </m:e>
              </m:d>
              <m:sSup>
                <m:e>
                  <m:r>
                    <m:t xml:space="preserve">γ</m:t>
                  </m:r>
                </m:e>
                <m:sup>
                  <m:r>
                    <m:t xml:space="preserve">μ</m:t>
                  </m:r>
                </m:sup>
              </m:sSup>
              <m:sSub>
                <m:e>
                  <m:r>
                    <m:t xml:space="preserve">u</m:t>
                  </m:r>
                </m:e>
                <m:sub>
                  <m:r>
                    <m:t xml:space="preserve">s</m:t>
                  </m:r>
                </m:sub>
              </m:sSub>
              <m:d>
                <m:dPr/>
                <m:e>
                  <m:r>
                    <m:t xml:space="preserve">p</m:t>
                  </m:r>
                </m:e>
              </m:d>
            </m:e>
          </m:d>
          <m:r>
            <m:t xml:space="preserve"> </m:t>
          </m:r>
          <m:d>
            <m:dPr>
              <m:begChr m:val="["/>
              <m:endChr m:val="]"/>
            </m:dPr>
            <m:e>
              <m:sSub>
                <m:e>
                  <m:r>
                    <m:t xml:space="preserve">ū</m:t>
                  </m:r>
                </m:e>
                <m:sub>
                  <m:r>
                    <m:t xml:space="preserve">s′</m:t>
                  </m:r>
                </m:sub>
              </m:sSub>
              <m:d>
                <m:dPr/>
                <m:e>
                  <m:r>
                    <m:t xml:space="preserve">p′</m:t>
                  </m:r>
                </m:e>
              </m:d>
              <m:sSup>
                <m:e>
                  <m:r>
                    <m:t xml:space="preserve">γ</m:t>
                  </m:r>
                </m:e>
                <m:sup>
                  <m:r>
                    <m:t xml:space="preserve">ν</m:t>
                  </m:r>
                </m:sup>
              </m:sSup>
              <m:sSub>
                <m:e>
                  <m:r>
                    <m:t xml:space="preserve">u</m:t>
                  </m:r>
                </m:e>
                <m:sub>
                  <m:r>
                    <m:t xml:space="preserve">s</m:t>
                  </m:r>
                </m:sub>
              </m:sSub>
              <m:d>
                <m:dPr/>
                <m:e>
                  <m:r>
                    <m:t xml:space="preserve">p</m:t>
                  </m:r>
                </m:e>
              </m:d>
            </m:e>
          </m:d>
          <m:r>
            <m:t xml:space="preserve">*</m:t>
          </m:r>
          <m:r>
            <m:t xml:space="preserve">=</m:t>
          </m:r>
          <m:func>
            <m:fName>
              <m:r>
                <m:t xml:space="preserve">Tr</m:t>
              </m:r>
            </m:fName>
            <m:e>
              <m:d>
                <m:dPr>
                  <m:begChr m:val="["/>
                  <m:endChr m:val="]"/>
                </m:dPr>
                <m:e>
                  <m:sSup>
                    <m:e>
                      <m:r>
                        <m:t xml:space="preserve">γ</m:t>
                      </m:r>
                    </m:e>
                    <m:sup>
                      <m:r>
                        <m:t xml:space="preserve">μ</m:t>
                      </m:r>
                    </m:sup>
                  </m:sSup>
                  <m:r>
                    <m:t xml:space="preserve"> </m:t>
                  </m:r>
                  <m:d>
                    <m:dPr/>
                    <m:e>
                      <m:acc>
                        <m:accPr>
                          <m:chr m:val="/"/>
                        </m:accPr>
                        <m:e>
                          <m:r>
                            <m:t xml:space="preserve">p</m:t>
                          </m:r>
                        </m:e>
                      </m:acc>
                      <m:r>
                        <m:t xml:space="preserve">+</m:t>
                      </m:r>
                      <m:r>
                        <m:t xml:space="preserve">m</m:t>
                      </m:r>
                    </m:e>
                  </m:d>
                  <m:r>
                    <m:t xml:space="preserve"> </m:t>
                  </m:r>
                  <m:sSup>
                    <m:e>
                      <m:r>
                        <m:t xml:space="preserve">γ</m:t>
                      </m:r>
                    </m:e>
                    <m:sup>
                      <m:r>
                        <m:t xml:space="preserve">ν</m:t>
                      </m:r>
                    </m:sup>
                  </m:sSup>
                  <m:r>
                    <m:t xml:space="preserve"> </m:t>
                  </m:r>
                  <m:d>
                    <m:dPr/>
                    <m:e>
                      <m:acc>
                        <m:accPr>
                          <m:chr m:val="/"/>
                        </m:accPr>
                        <m:e>
                          <m:r>
                            <m:t xml:space="preserve">p</m:t>
                          </m:r>
                        </m:e>
                      </m:acc>
                      <m:r>
                        <m:t xml:space="preserve">′</m:t>
                      </m:r>
                      <m:r>
                        <m:t xml:space="preserve">+</m:t>
                      </m:r>
                      <m:r>
                        <m:t xml:space="preserve">m</m:t>
                      </m:r>
                    </m:e>
                  </m:d>
                </m:e>
              </m:d>
            </m:e>
          </m:func>
        </m:oMath>
      </m:oMathPara>
    </w:p>
    <w:p>
      <w:r>
        <w:t>exactly the trace Lesson 21, Section 5, already evaluated explicitly as the "standard building block of QED cross sections," now derived from first principles as the specific spin sum this lesson produces, rather than an unmotivated example.</w:t>
      </w:r>
    </w:p>
    <w:p>
      <w:r>
        <w:rPr>
          <w:b/>
          <w:i/>
        </w:rPr>
        <w:t>Worked example 3</w:t>
      </w:r>
    </w:p>
    <w:p>
      <w:r>
        <w:t>Using Lesson 21, Section 5's result, Tr[(p̸₁+m)γ</w:t>
      </w:r>
      <w:r>
        <w:rPr>
          <w:vertAlign w:val="superscript"/>
        </w:rPr>
        <w:t>μ</w:t>
      </w:r>
      <w:r>
        <w:t>(p̸₂+m)γ</w:t>
      </w:r>
      <w:r>
        <w:rPr>
          <w:vertAlign w:val="superscript"/>
        </w:rPr>
        <w:t>ν</w:t>
      </w:r>
      <w:r>
        <w:t>]=4[p₁</w:t>
      </w:r>
      <w:r>
        <w:rPr>
          <w:vertAlign w:val="superscript"/>
        </w:rPr>
        <w:t>μ</w:t>
      </w:r>
      <w:r>
        <w:t>p₂</w:t>
      </w:r>
      <w:r>
        <w:rPr>
          <w:vertAlign w:val="superscript"/>
        </w:rPr>
        <w:t>ν</w:t>
      </w:r>
      <w:r>
        <w:t>−(p₁·p₂−m²)g</w:t>
      </w:r>
      <w:r>
        <w:rPr>
          <w:vertAlign w:val="superscript"/>
        </w:rPr>
        <w:t>μν</w:t>
      </w:r>
      <w:r>
        <w:t>+p₁</w:t>
      </w:r>
      <w:r>
        <w:rPr>
          <w:vertAlign w:val="superscript"/>
        </w:rPr>
        <w:t>ν</w:t>
      </w:r>
      <w:r>
        <w:t>p₂</w:t>
      </w:r>
      <w:r>
        <w:rPr>
          <w:vertAlign w:val="superscript"/>
        </w:rPr>
        <w:t>μ</w:t>
      </w:r>
      <w:r>
        <w:t>] (the explicit expansion carried out there), state what this gives for Section 3.2's trace with p₁→p, p₂→p′ after using the cyclicity of the trace to match the ordering. Cyclicity gives Tr[γ</w:t>
      </w:r>
      <w:r>
        <w:rPr>
          <w:vertAlign w:val="superscript"/>
        </w:rPr>
        <w:t>μ</w:t>
      </w:r>
      <w:r>
        <w:t>(p̸+m)γ</w:t>
      </w:r>
      <w:r>
        <w:rPr>
          <w:vertAlign w:val="superscript"/>
        </w:rPr>
        <w:t>ν</w:t>
      </w:r>
      <w:r>
        <w:t>(p̸′+m)]=Tr[(p̸′+m)γ</w:t>
      </w:r>
      <w:r>
        <w:rPr>
          <w:vertAlign w:val="superscript"/>
        </w:rPr>
        <w:t>μ</w:t>
      </w:r>
      <w:r>
        <w:t>(p̸+m)γ</w:t>
      </w:r>
      <w:r>
        <w:rPr>
          <w:vertAlign w:val="superscript"/>
        </w:rPr>
        <w:t>ν</w:t>
      </w:r>
      <w:r>
        <w:t>], matching Lesson 21's pattern with p₁→p′, p₂→p, so the result is 4[p′</w:t>
      </w:r>
      <w:r>
        <w:rPr>
          <w:vertAlign w:val="superscript"/>
        </w:rPr>
        <w:t>μ</w:t>
      </w:r>
      <w:r>
        <w:t>p</w:t>
      </w:r>
      <w:r>
        <w:rPr>
          <w:vertAlign w:val="superscript"/>
        </w:rPr>
        <w:t>ν</w:t>
      </w:r>
      <w:r>
        <w:t>−(p′·p−m²)g</w:t>
      </w:r>
      <w:r>
        <w:rPr>
          <w:vertAlign w:val="superscript"/>
        </w:rPr>
        <w:t>μν</w:t>
      </w:r>
      <w:r>
        <w:t>+p′</w:t>
      </w:r>
      <w:r>
        <w:rPr>
          <w:vertAlign w:val="superscript"/>
        </w:rPr>
        <w:t>ν</w:t>
      </w:r>
      <w:r>
        <w:t>p</w:t>
      </w:r>
      <w:r>
        <w:rPr>
          <w:vertAlign w:val="superscript"/>
        </w:rPr>
        <w:t>μ</w:t>
      </w:r>
      <w:r>
        <w:t>], the explicit, fully evaluated building block ready to be contracted with polarization vectors or further traced against another such expression.</w:t>
      </w:r>
    </w:p>
    <w:p>
      <w:pPr>
        <w:pStyle w:val="Heading2"/>
      </w:pPr>
      <w:r>
        <w:t>4 Spin averaging in practice</w:t>
      </w:r>
    </w:p>
    <w:p>
      <w:pPr>
        <w:pStyle w:val="Heading3"/>
      </w:pPr>
      <w:r>
        <w:t>4.1 Combining Section 1's factor with Section 2's sum</w:t>
      </w:r>
    </w:p>
    <w:p>
      <w:r>
        <w:t>For a process with one unmeasured initial fermion and an unmeasured final fermion, the physically relevant, averaged-and-summed quantity is (1/2)Σ</w:t>
      </w:r>
      <w:r>
        <w:rPr>
          <w:vertAlign w:val="subscript"/>
        </w:rPr>
        <w:t>s,s′</w:t>
      </w:r>
      <w:r>
        <w:t>|ℳ|², directly using Section 2.2's master formula for the sum and Section 1.2's factor of 1/2 for the average, giving (1/2)Tr[Γ(p̸+m)Γ̄(p̸′+m)] for the vertex piece of a larger calculation.</w:t>
      </w:r>
    </w:p>
    <w:p>
      <w:pPr>
        <w:pStyle w:val="Heading3"/>
      </w:pPr>
      <w:r>
        <w:t>4.2 Multiple vertices</w:t>
      </w:r>
    </w:p>
    <w:p>
      <w:r>
        <w:t>For a diagram with more than one vertex (such as Compton scattering, Lesson 50), the same master formula applies to the complete amplitude ℳ (built from multiple vertex factors and a propagator, as in Lesson 50, Section 2.3), not merely to a single vertex factor in isolation; Γ in Section 2's derivation stands for whatever combination of gamma matrices the full diagram produces between the initial and final spinors, propagator numerators included.</w:t>
      </w:r>
    </w:p>
    <w:p>
      <w:r>
        <w:rPr>
          <w:b/>
          <w:i/>
        </w:rP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50's diagram, once its propagator has been substituted and simplified, has exactly this form, with Γ=γ</w:t>
      </w:r>
      <w:r>
        <w:rPr>
          <w:vertAlign w:val="superscript"/>
        </w:rPr>
        <w:t>α</w:t>
      </w:r>
      <w:r>
        <w:t>[i(q̸+m)/(q²−m²+iε)]γ</w:t>
      </w:r>
      <w:r>
        <w:rPr>
          <w:vertAlign w:val="superscript"/>
        </w:rPr>
        <w:t>β</w:t>
      </w:r>
      <w:r>
        <w:t xml:space="preserve"> (up to overall constants), so the master formula applies directly.</w:t>
      </w:r>
    </w:p>
    <w:p>
      <w:pPr>
        <w:pStyle w:val="Heading2"/>
      </w:pPr>
      <w:r>
        <w:t>5 The photon polarization sum</w:t>
      </w:r>
    </w:p>
    <w:p>
      <w:pPr>
        <w:pStyle w:val="Heading3"/>
      </w:pPr>
      <w:r>
        <w:t>5.1 The honest sum</w:t>
      </w:r>
    </w:p>
    <w:p>
      <w:r>
        <w:t>Lesson 38 fixed Σ</w:t>
      </w:r>
      <w:r>
        <w:rPr>
          <w:vertAlign w:val="subscript"/>
        </w:rPr>
        <w:t>λ</w:t>
      </w:r>
      <w:r>
        <w:t>ε</w:t>
      </w:r>
      <w:r>
        <w:rPr>
          <w:vertAlign w:val="subscript"/>
        </w:rPr>
        <w:t>λ</w:t>
      </w:r>
      <w:r>
        <w:rPr>
          <w:vertAlign w:val="superscript"/>
        </w:rPr>
        <w:t>i</w:t>
      </w:r>
      <w:r>
        <w:t>(k)ε</w:t>
      </w:r>
      <w:r>
        <w:rPr>
          <w:vertAlign w:val="subscript"/>
        </w:rPr>
        <w:t>λ</w:t>
      </w:r>
      <w:r>
        <w:rPr>
          <w:vertAlign w:val="superscript"/>
        </w:rPr>
        <w:t>j</w:t>
      </w:r>
      <w:r>
        <w:t>(k)=δ</w:t>
      </w:r>
      <w:r>
        <w:rPr>
          <w:vertAlign w:val="superscript"/>
        </w:rPr>
        <w:t>ij</w:t>
      </w:r>
      <w:r>
        <w:t>−k̂</w:t>
      </w:r>
      <w:r>
        <w:rPr>
          <w:vertAlign w:val="superscript"/>
        </w:rPr>
        <w:t>i</w:t>
      </w:r>
      <w:r>
        <w:t>k̂</w:t>
      </w:r>
      <w:r>
        <w:rPr>
          <w:vertAlign w:val="superscript"/>
        </w:rPr>
        <w:t>j</w:t>
      </w:r>
      <w:r>
        <w:t xml:space="preserve">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3"/>
      </w:pPr>
      <w:r>
        <w:t>5.2 The covariant replacement</w:t>
      </w:r>
    </w:p>
    <w:p>
      <w:r>
        <w:t>In practice, this course follows the standard convention of replacing</w:t>
      </w:r>
    </w:p>
    <w:p>
      <w:pPr>
        <w:spacing w:before="100" w:after="160"/>
        <w:jc w:val="center"/>
      </w:pPr>
      <m:oMathPara>
        <m:oMath>
          <m:sSub>
            <m:e>
              <m:r>
                <m:t xml:space="preserve">Σ</m:t>
              </m:r>
            </m:e>
            <m:sub>
              <m:r>
                <m:t xml:space="preserve">λ</m:t>
              </m:r>
            </m:sub>
          </m:sSub>
          <m:r>
            <m:t xml:space="preserve"> </m:t>
          </m:r>
          <m:sSubSup>
            <m:e>
              <m:r>
                <m:t xml:space="preserve">ε</m:t>
              </m:r>
            </m:e>
            <m:sub>
              <m:r>
                <m:t xml:space="preserve">λ</m:t>
              </m:r>
            </m:sub>
            <m:sup>
              <m:r>
                <m:t xml:space="preserve">μ</m:t>
              </m:r>
            </m:sup>
          </m:sSubSup>
          <m:d>
            <m:dPr/>
            <m:e>
              <m:r>
                <m:t xml:space="preserve">k</m:t>
              </m:r>
            </m:e>
          </m:d>
          <m:r>
            <m:t xml:space="preserve"> </m:t>
          </m:r>
          <m:sSubSup>
            <m:e>
              <m:r>
                <m:t xml:space="preserve">ε</m:t>
              </m:r>
            </m:e>
            <m:sub>
              <m:r>
                <m:t xml:space="preserve">λ</m:t>
              </m:r>
            </m:sub>
            <m:sup>
              <m:r>
                <m:t xml:space="preserve">ν</m:t>
              </m:r>
            </m:sup>
          </m:sSubSup>
          <m:d>
            <m:dPr/>
            <m:e>
              <m:r>
                <m:t xml:space="preserve">k</m:t>
              </m:r>
            </m:e>
          </m:d>
          <m:r>
            <m:t xml:space="preserve">→</m:t>
          </m:r>
          <m:r>
            <m:t xml:space="preserve">−</m:t>
          </m:r>
          <m:sSup>
            <m:e>
              <m:r>
                <m:t xml:space="preserve">g</m:t>
              </m:r>
            </m:e>
            <m:sup>
              <m:r>
                <m:t xml:space="preserve">μν</m:t>
              </m:r>
            </m:sup>
          </m:sSup>
        </m:oMath>
      </m:oMathPara>
    </w:p>
    <w:p>
      <w:r>
        <w:t>a covariant object with no reference to k̂ or the specific gauge, in place of the honest, Coulomb-gauge-specific transverse sum. This is a genuinely different object (Lesson 48, Section 4.2, computed the difference between the two explicitly, in the spatial-spatial block, as ik̂</w:t>
      </w:r>
      <w:r>
        <w:rPr>
          <w:vertAlign w:val="superscript"/>
        </w:rPr>
        <w:t>i</w:t>
      </w:r>
      <w:r>
        <w:t>k̂</w:t>
      </w:r>
      <w:r>
        <w:rPr>
          <w:vertAlign w:val="superscript"/>
        </w:rPr>
        <w:t>j</w:t>
      </w:r>
      <w:r>
        <w:t xml:space="preserve"> after accounting for the propagator's overall i), and using it is only justified because the extra pieces it introduces are expected to vanish against the conserved currents attached at either end, the same physical argument sketched in Lesson 48, Section 4.3.</w:t>
      </w:r>
    </w:p>
    <w:p>
      <w:pPr>
        <w:pStyle w:val="Heading3"/>
      </w:pPr>
      <w:r>
        <w:t>5.3 What is and is not yet established</w:t>
      </w:r>
    </w:p>
    <w:p>
      <w:r>
        <w:t>This course has not yet proven that the replacement of Section 5.2 leaves every physical cross section unchanged; Lesson 48 gave a first, partial argument (current conservation kills terms proportional to k</w:t>
      </w:r>
      <w:r>
        <w:rPr>
          <w:vertAlign w:val="superscript"/>
        </w:rPr>
        <w:t>μ</w:t>
      </w:r>
      <w:r>
        <w:t>), and this lesson uses the same replacement for external polarization sums as a working tool, on the same provisional basis. The complete proof, applicable to both propagators and external polarization sums together, is the content of Lesson 72's Ward identity.</w:t>
      </w:r>
    </w:p>
    <w:p>
      <w:r>
        <w:rPr>
          <w:b/>
          <w:i/>
        </w:rP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w:t>
      </w:r>
      <w:r>
        <w:rPr>
          <w:vertAlign w:val="superscript"/>
        </w:rPr>
        <w:t>μν</w:t>
      </w:r>
      <w:r>
        <w:t>, an object differing from the true polarization sum by k-dependent terms, to reproduce the correct, physical answer; the fact that it does is a nontrivial, checkable consequence of QED's gauge symmetry, not an algebraic identity, which is exactly why Lesson 72 devotes a full, careful treatment to proving it rather than leaving it as an assumed convenience.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54 onward</w:t>
            </w:r>
          </w:p>
        </w:tc>
      </w:tr>
      <w:tr>
        <w:tc>
          <w:tcPr>
            <w:tcW w:type="dxa" w:w="3264"/>
            <w:vAlign w:val="center"/>
            <w:shd w:fill="EAF2F8"/>
            <w:tcMar>
              <w:top w:w="100" w:type="dxa"/>
              <w:start w:w="100" w:type="dxa"/>
              <w:bottom w:w="100" w:type="dxa"/>
              <w:end w:w="100" w:type="dxa"/>
            </w:tcMar>
          </w:tcPr>
          <w:p>
            <w:r>
              <w:t>Γ̄=γ</w:t>
            </w:r>
            <w:r>
              <w:rPr>
                <w:vertAlign w:val="superscript"/>
              </w:rPr>
              <w:t>μ</w:t>
            </w:r>
            <w:r>
              <w:t xml:space="preserve"> for the QED vertex</w:t>
            </w:r>
          </w:p>
        </w:tc>
        <w:tc>
          <w:tcPr>
            <w:tcW w:type="dxa" w:w="6528"/>
            <w:vAlign w:val="center"/>
            <w:shd w:fill="EAF2F8"/>
            <w:tcMar>
              <w:top w:w="100" w:type="dxa"/>
              <w:start w:w="100" w:type="dxa"/>
              <w:bottom w:w="100" w:type="dxa"/>
              <w:end w:w="100" w:type="dxa"/>
            </w:tcMar>
          </w:tcPr>
          <w:p>
            <w:r>
              <w:t>Confirms the vertex trace matches Lesson 21's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w:t>
            </w:r>
            <w:r>
              <w:rPr>
                <w:vertAlign w:val="superscript"/>
              </w:rPr>
              <w:t>μ</w:t>
            </w:r>
            <w:r>
              <w:t>ε</w:t>
            </w:r>
            <w:r>
              <w:rPr>
                <w:vertAlign w:val="superscript"/>
              </w:rPr>
              <w:t>ν</w:t>
            </w:r>
            <w:r>
              <w:t>→−g</w:t>
            </w:r>
            <w:r>
              <w:rPr>
                <w:vertAlign w:val="superscript"/>
              </w:rPr>
              <w:t>μν</w:t>
            </w:r>
          </w:p>
        </w:tc>
        <w:tc>
          <w:tcPr>
            <w:tcW w:type="dxa" w:w="6528"/>
            <w:vAlign w:val="center"/>
            <w:shd w:fill="EAF2F8"/>
            <w:tcMar>
              <w:top w:w="100" w:type="dxa"/>
              <w:start w:w="100" w:type="dxa"/>
              <w:bottom w:w="100" w:type="dxa"/>
              <w:end w:w="100" w:type="dxa"/>
            </w:tcMar>
          </w:tcPr>
          <w:p>
            <w:r>
              <w:t>Used for every external photon polarization sum from Lesson 54 onward</w:t>
            </w:r>
          </w:p>
        </w:tc>
      </w:tr>
      <w:tr>
        <w:tc>
          <w:tcPr>
            <w:tcW w:type="dxa" w:w="3264"/>
            <w:vAlign w:val="center"/>
            <w:tcMar>
              <w:top w:w="100" w:type="dxa"/>
              <w:start w:w="100" w:type="dxa"/>
              <w:bottom w:w="100" w:type="dxa"/>
              <w:end w:w="100" w:type="dxa"/>
            </w:tcMar>
          </w:tcPr>
          <w:p>
            <w:r>
              <w:t>Provisional justification, completed in Lesson 72</w:t>
            </w:r>
          </w:p>
        </w:tc>
        <w:tc>
          <w:tcPr>
            <w:tcW w:type="dxa" w:w="6528"/>
            <w:vAlign w:val="center"/>
            <w:tcMar>
              <w:top w:w="100" w:type="dxa"/>
              <w:start w:w="100" w:type="dxa"/>
              <w:bottom w:w="100" w:type="dxa"/>
              <w:end w:w="100" w:type="dxa"/>
            </w:tcMar>
          </w:tcPr>
          <w:p>
            <w:r>
              <w:t>Flags exactly what remains an open, honestly-stated gap until then</w:t>
            </w:r>
          </w:p>
        </w:tc>
      </w:tr>
    </w:tbl>
    <w:p>
      <w:r>
        <w:t>Lesson 53 now develops the kinematic language (Mandelstam variables) needed to express the traces of this lesson in terms of physical scattering angles and energies, and Lesson 54 puts every piece together for electron-muon scattering.</w:t>
      </w:r>
    </w:p>
    <w:p>
      <w:pPr>
        <w:pStyle w:val="Heading2"/>
      </w:pPr>
      <w:r>
        <w:t>7 Summary</w:t>
      </w:r>
    </w:p>
    <w:p>
      <w:pPr>
        <w:pStyle w:val="ListNumber"/>
        <w:numPr>
          <w:ilvl w:val="0"/>
          <w:numId w:val="10"/>
        </w:numPr>
      </w:pPr>
      <w:r>
        <w:t>An unpolarized experiment sums |ℳ|² over unmeasured final spins and averages over unmeasured initial spins, with a factor of 1/2 per unmeasured initial fermion.</w:t>
      </w:r>
    </w:p>
    <w:p>
      <w:pPr>
        <w:pStyle w:val="ListNumber"/>
        <w:numPr>
          <w:ilvl w:val="0"/>
          <w:numId w:val="10"/>
        </w:numPr>
      </w:pPr>
      <w:r>
        <w:t>Conjugating a spinor sandwich gives [ū(p′)Γu(p)]*=ū(p)Γ̄u(p′), with Γ̄=γ⁰Γ†γ⁰.</w:t>
      </w:r>
    </w:p>
    <w:p>
      <w:pPr>
        <w:pStyle w:val="ListNumber"/>
        <w:numPr>
          <w:ilvl w:val="0"/>
          <w:numId w:val="10"/>
        </w:numPr>
      </w:pPr>
      <w:r>
        <w:t>Summing over both spins using the completeness relations of Lesson 22 gives the master formula Σ|ū(p′)Γu(p)|²=Tr[Γ(p̸+m)Γ̄(p̸′+m)].</w:t>
      </w:r>
    </w:p>
    <w:p>
      <w:pPr>
        <w:pStyle w:val="ListNumber"/>
        <w:numPr>
          <w:ilvl w:val="0"/>
          <w:numId w:val="10"/>
        </w:numPr>
      </w:pPr>
      <w:r>
        <w:t>For the QED vertex, Γ=γ</w:t>
      </w:r>
      <w:r>
        <w:rPr>
          <w:vertAlign w:val="superscript"/>
        </w:rPr>
        <w:t>μ</w:t>
      </w:r>
      <w:r>
        <w:t>, Γ̄=γ</w:t>
      </w:r>
      <w:r>
        <w:rPr>
          <w:vertAlign w:val="superscript"/>
        </w:rPr>
        <w:t>μ</w:t>
      </w:r>
      <w:r>
        <w:t>, and the resulting trace matches Lesson 21's already-showcased building block exactly.</w:t>
      </w:r>
    </w:p>
    <w:p>
      <w:pPr>
        <w:pStyle w:val="ListNumber"/>
        <w:numPr>
          <w:ilvl w:val="0"/>
          <w:numId w:val="10"/>
        </w:numPr>
      </w:pPr>
      <w:r>
        <w:t>The same master formula applies unchanged to a full, multi-vertex amplitude, with Γ standing for whatever combination of matrices the complete diagram produces.</w:t>
      </w:r>
    </w:p>
    <w:p>
      <w:pPr>
        <w:pStyle w:val="ListNumber"/>
        <w:numPr>
          <w:ilvl w:val="0"/>
          <w:numId w:val="10"/>
        </w:numPr>
      </w:pPr>
      <w:r>
        <w:t>The honest photon polarization sum is Σε</w:t>
      </w:r>
      <w:r>
        <w:rPr>
          <w:vertAlign w:val="subscript"/>
        </w:rPr>
        <w:t>λ</w:t>
      </w:r>
      <w:r>
        <w:rPr>
          <w:vertAlign w:val="superscript"/>
        </w:rPr>
        <w:t>i</w:t>
      </w:r>
      <w:r>
        <w:t>ε</w:t>
      </w:r>
      <w:r>
        <w:rPr>
          <w:vertAlign w:val="subscript"/>
        </w:rPr>
        <w:t>λ</w:t>
      </w:r>
      <w:r>
        <w:rPr>
          <w:vertAlign w:val="superscript"/>
        </w:rPr>
        <w:t>j</w:t>
      </w:r>
      <w:r>
        <w:t>=δ</w:t>
      </w:r>
      <w:r>
        <w:rPr>
          <w:vertAlign w:val="superscript"/>
        </w:rPr>
        <w:t>ij</w:t>
      </w:r>
      <w:r>
        <w:t>−k̂</w:t>
      </w:r>
      <w:r>
        <w:rPr>
          <w:vertAlign w:val="superscript"/>
        </w:rPr>
        <w:t>i</w:t>
      </w:r>
      <w:r>
        <w:t>k̂</w:t>
      </w:r>
      <w:r>
        <w:rPr>
          <w:vertAlign w:val="superscript"/>
        </w:rPr>
        <w:t>j</w:t>
      </w:r>
      <w:r>
        <w:t>; in practice this course uses the covariant replacement Σε</w:t>
      </w:r>
      <w:r>
        <w:rPr>
          <w:vertAlign w:val="superscript"/>
        </w:rPr>
        <w:t>μ</w:t>
      </w:r>
      <w:r>
        <w:t>ε</w:t>
      </w:r>
      <w:r>
        <w:rPr>
          <w:vertAlign w:val="superscript"/>
        </w:rPr>
        <w:t>ν</w:t>
      </w:r>
      <w:r>
        <w:t>→−g</w:t>
      </w:r>
      <w:r>
        <w:rPr>
          <w:vertAlign w:val="superscript"/>
        </w:rPr>
        <w:t>μν</w:t>
      </w:r>
      <w:r>
        <w:t>, justified only provisionally until Lesson 72.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Verify Γ̄=γ</w:t>
            </w:r>
            <w:r>
              <w:rPr>
                <w:vertAlign w:val="superscript"/>
              </w:rPr>
              <w:t>μ</w:t>
            </w:r>
            <w:r>
              <w:t xml:space="preserve"> for Γ=γ</w:t>
            </w:r>
            <w:r>
              <w:rPr>
                <w:vertAlign w:val="superscript"/>
              </w:rPr>
              <w:t>μ</w:t>
            </w:r>
            <w:r>
              <w:t xml:space="preserve"> using γ⁰(γ</w:t>
            </w:r>
            <w:r>
              <w:rPr>
                <w:vertAlign w:val="superscript"/>
              </w:rPr>
              <w:t>μ</w:t>
            </w:r>
            <w:r>
              <w:t>)†γ⁰=γ</w:t>
            </w:r>
            <w:r>
              <w:rPr>
                <w:vertAlign w:val="superscript"/>
              </w:rPr>
              <w:t>μ</w:t>
            </w:r>
            <w:r>
              <w:t>,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State Lesson 21, Section 5's trace Tr[(p̸₁+m)γ</w:t>
            </w:r>
            <w:r>
              <w:rPr>
                <w:vertAlign w:val="superscript"/>
              </w:rPr>
              <w:t>μ</w:t>
            </w:r>
            <w:r>
              <w:t>(p̸₂+m)γ</w:t>
            </w:r>
            <w:r>
              <w:rPr>
                <w:vertAlign w:val="superscript"/>
              </w:rPr>
              <w:t>ν</w:t>
            </w:r>
            <w:r>
              <w:t>] and use trace cyclicity to match it to Section 3.2's Tr[γ</w:t>
            </w:r>
            <w:r>
              <w:rPr>
                <w:vertAlign w:val="superscript"/>
              </w:rPr>
              <w:t>μ</w:t>
            </w:r>
            <w:r>
              <w:t>(p̸+m)γ</w:t>
            </w:r>
            <w:r>
              <w:rPr>
                <w:vertAlign w:val="superscript"/>
              </w:rPr>
              <w:t>ν</w:t>
            </w:r>
            <w:r>
              <w:t>(p̸′+m)].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Using Worked example 3's explicit expansion, evaluate Section 3.2's trace for the specific case μ=ν (contracting the two vertex indices together, using g</w:t>
            </w:r>
            <w:r>
              <w:rPr>
                <w:vertAlign w:val="subscript"/>
              </w:rPr>
              <w:t>μμ</w:t>
            </w:r>
            <w:r>
              <w:t>=4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Explain why Worked example 4's argument shows the master formula applies to Compton scattering's full two-vertex amplitude (Lesson 50)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Restate the honest photon polarization sum Σ</w:t>
            </w:r>
            <w:r>
              <w:rPr>
                <w:vertAlign w:val="subscript"/>
              </w:rPr>
              <w:t>λ</w:t>
            </w:r>
            <w:r>
              <w:t>ε</w:t>
            </w:r>
            <w:r>
              <w:rPr>
                <w:vertAlign w:val="subscript"/>
              </w:rPr>
              <w:t>λ</w:t>
            </w:r>
            <w:r>
              <w:rPr>
                <w:vertAlign w:val="superscript"/>
              </w:rPr>
              <w:t>i</w:t>
            </w:r>
            <w:r>
              <w:t>ε</w:t>
            </w:r>
            <w:r>
              <w:rPr>
                <w:vertAlign w:val="subscript"/>
              </w:rPr>
              <w:t>λ</w:t>
            </w:r>
            <w:r>
              <w:rPr>
                <w:vertAlign w:val="superscript"/>
              </w:rPr>
              <w:t>j</w:t>
            </w:r>
            <w:r>
              <w:t>=δ</w:t>
            </w:r>
            <w:r>
              <w:rPr>
                <w:vertAlign w:val="superscript"/>
              </w:rPr>
              <w:t>ij</w:t>
            </w:r>
            <w:r>
              <w:t>−k̂</w:t>
            </w:r>
            <w:r>
              <w:rPr>
                <w:vertAlign w:val="superscript"/>
              </w:rPr>
              <w:t>i</w:t>
            </w:r>
            <w:r>
              <w:t>k̂</w:t>
            </w:r>
            <w:r>
              <w:rPr>
                <w:vertAlign w:val="superscript"/>
              </w:rPr>
              <w:t>j</w:t>
            </w:r>
            <w:r>
              <w:t xml:space="preserve"> from Lesson 38,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State the covariant replacement Σε</w:t>
            </w:r>
            <w:r>
              <w:rPr>
                <w:vertAlign w:val="superscript"/>
              </w:rPr>
              <w:t>μ</w:t>
            </w:r>
            <w:r>
              <w:t>ε</w:t>
            </w:r>
            <w:r>
              <w:rPr>
                <w:vertAlign w:val="superscript"/>
              </w:rPr>
              <w:t>ν</w:t>
            </w:r>
            <w:r>
              <w:t>→−g</w:t>
            </w:r>
            <w:r>
              <w:rPr>
                <w:vertAlign w:val="superscript"/>
              </w:rPr>
              <w:t>μν</w:t>
            </w:r>
            <w:r>
              <w:t>, and explain, citing Lesson 48,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Explain why a term in an amplitude proportional to k</w:t>
            </w:r>
            <w:r>
              <w:rPr>
                <w:vertAlign w:val="superscript"/>
              </w:rPr>
              <w:t>μ</w:t>
            </w:r>
            <w:r>
              <w:t xml:space="preserve">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w:t>
      </w:r>
      <w:r>
        <w:rPr>
          <w:vertAlign w:val="subscript"/>
        </w:rPr>
        <w:t>s₁,s₂</w:t>
      </w:r>
      <w:r>
        <w:t>=(1/4)Σ</w:t>
      </w:r>
      <w:r>
        <w:rPr>
          <w:vertAlign w:val="subscript"/>
        </w:rPr>
        <w:t>s₁,s₂</w:t>
      </w:r>
      <w:r>
        <w:t>,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21's Hermiticity of γ⁰). So [ū(p′)Γu(p)]†=u(p)†Γ†γ⁰u(p′). Inserting I=γ⁰γ⁰ between u(p)† and Γ†γ⁰: u(p)†γ⁰γ⁰Γ†γ⁰u(p′)=[u(p)†γ⁰][γ⁰Γ†γ⁰]u(p′)=ū(p)Γ̄u(p′), with Γ̄=γ⁰Γ†γ⁰.</w:t>
      </w:r>
    </w:p>
    <w:p>
      <w:r>
        <w:rPr>
          <w:b/>
        </w:rPr>
        <w:t>4.</w:t>
      </w:r>
      <w:r>
        <w:t xml:space="preserve"> </w:t>
      </w:r>
      <w:r>
        <w:t>Γ̄=γ⁰(γ</w:t>
      </w:r>
      <w:r>
        <w:rPr>
          <w:vertAlign w:val="superscript"/>
        </w:rPr>
        <w:t>μ</w:t>
      </w:r>
      <w:r>
        <w:t>)†γ⁰. Lesson 21 established γ⁰(γ</w:t>
      </w:r>
      <w:r>
        <w:rPr>
          <w:vertAlign w:val="superscript"/>
        </w:rPr>
        <w:t>μ</w:t>
      </w:r>
      <w:r>
        <w:t>)†γ⁰=γ</w:t>
      </w:r>
      <w:r>
        <w:rPr>
          <w:vertAlign w:val="superscript"/>
        </w:rPr>
        <w:t>μ</w:t>
      </w:r>
      <w:r>
        <w:t xml:space="preserve"> for all four values of μ (γ⁰ Hermitian, each γ</w:t>
      </w:r>
      <w:r>
        <w:rPr>
          <w:vertAlign w:val="superscript"/>
        </w:rPr>
        <w:t>i</w:t>
      </w:r>
      <w:r>
        <w:t xml:space="preserve"> anti-Hermitian, and the sandwich by γ⁰ converting the anti-Hermiticity into the same relation uniformly), so Γ̄=γ</w:t>
      </w:r>
      <w:r>
        <w:rPr>
          <w:vertAlign w:val="superscript"/>
        </w:rPr>
        <w:t>μ</w:t>
      </w:r>
      <w:r>
        <w:t>=Γ.</w:t>
      </w:r>
    </w:p>
    <w:p>
      <w:r>
        <w:rPr>
          <w:b/>
        </w:rPr>
        <w:t>5.</w:t>
      </w:r>
      <w:r>
        <w:t xml:space="preserve"> </w:t>
      </w:r>
      <w:r>
        <w:t>Ī=γ⁰I†γ⁰=γ⁰γ⁰=I (using I†=I trivially and γ⁰γ⁰=I from the Clifford algebra, Lesson 21).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w:t>
      </w:r>
      <w:r>
        <w:rPr>
          <w:vertAlign w:val="subscript"/>
        </w:rPr>
        <w:t>s′</w:t>
      </w:r>
      <w:r>
        <w:t>(p′)Γu</w:t>
      </w:r>
      <w:r>
        <w:rPr>
          <w:vertAlign w:val="subscript"/>
        </w:rPr>
        <w:t>s</w:t>
      </w:r>
      <w:r>
        <w:t>(p)=ū</w:t>
      </w:r>
      <w:r>
        <w:rPr>
          <w:vertAlign w:val="subscript"/>
        </w:rPr>
        <w:t>s′</w:t>
      </w:r>
      <w:r>
        <w:rPr>
          <w:vertAlign w:val="subscript"/>
        </w:rPr>
        <w:t>a</w:t>
      </w:r>
      <w:r>
        <w:t>(p′)Γ</w:t>
      </w:r>
      <w:r>
        <w:rPr>
          <w:vertAlign w:val="subscript"/>
        </w:rPr>
        <w:t>a</w:t>
      </w:r>
      <w:r>
        <w:t>b u</w:t>
      </w:r>
      <w:r>
        <w:rPr>
          <w:vertAlign w:val="subscript"/>
        </w:rPr>
        <w:t>s</w:t>
      </w:r>
      <w:r>
        <w:rPr>
          <w:vertAlign w:val="subscript"/>
        </w:rPr>
        <w:t>b</w:t>
      </w:r>
      <w:r>
        <w:t>(p) and ū</w:t>
      </w:r>
      <w:r>
        <w:rPr>
          <w:vertAlign w:val="subscript"/>
        </w:rPr>
        <w:t>s</w:t>
      </w:r>
      <w:r>
        <w:t>(p)Γ̄u</w:t>
      </w:r>
      <w:r>
        <w:rPr>
          <w:vertAlign w:val="subscript"/>
        </w:rPr>
        <w:t>s′</w:t>
      </w:r>
      <w:r>
        <w:t>(p′)=ū</w:t>
      </w:r>
      <w:r>
        <w:rPr>
          <w:vertAlign w:val="subscript"/>
        </w:rPr>
        <w:t>s</w:t>
      </w:r>
      <w:r>
        <w:rPr>
          <w:vertAlign w:val="subscript"/>
        </w:rPr>
        <w:t>c</w:t>
      </w:r>
      <w:r>
        <w:t>(p)Γ̄</w:t>
      </w:r>
      <w:r>
        <w:rPr>
          <w:vertAlign w:val="subscript"/>
        </w:rPr>
        <w:t>c</w:t>
      </w:r>
      <w:r>
        <w:t>d u</w:t>
      </w:r>
      <w:r>
        <w:rPr>
          <w:vertAlign w:val="subscript"/>
        </w:rPr>
        <w:t>s′</w:t>
      </w:r>
      <w:r>
        <w:rPr>
          <w:vertAlign w:val="subscript"/>
        </w:rPr>
        <w:t>d</w:t>
      </w:r>
      <w:r>
        <w:t>(p′) (spinor indices a,b,c,d), the product summed over s and s′ is Σ</w:t>
      </w:r>
      <w:r>
        <w:rPr>
          <w:vertAlign w:val="subscript"/>
        </w:rPr>
        <w:t>s,s′</w:t>
      </w:r>
      <w:r>
        <w:t xml:space="preserve"> ū</w:t>
      </w:r>
      <w:r>
        <w:rPr>
          <w:vertAlign w:val="subscript"/>
        </w:rPr>
        <w:t>s′</w:t>
      </w:r>
      <w:r>
        <w:rPr>
          <w:vertAlign w:val="subscript"/>
        </w:rPr>
        <w:t>a</w:t>
      </w:r>
      <w:r>
        <w:t>(p′)Γ</w:t>
      </w:r>
      <w:r>
        <w:rPr>
          <w:vertAlign w:val="subscript"/>
        </w:rPr>
        <w:t>a</w:t>
      </w:r>
      <w:r>
        <w:t>b u</w:t>
      </w:r>
      <w:r>
        <w:rPr>
          <w:vertAlign w:val="subscript"/>
        </w:rPr>
        <w:t>s</w:t>
      </w:r>
      <w:r>
        <w:rPr>
          <w:vertAlign w:val="subscript"/>
        </w:rPr>
        <w:t>b</w:t>
      </w:r>
      <w:r>
        <w:t>(p) ū</w:t>
      </w:r>
      <w:r>
        <w:rPr>
          <w:vertAlign w:val="subscript"/>
        </w:rPr>
        <w:t>s</w:t>
      </w:r>
      <w:r>
        <w:rPr>
          <w:vertAlign w:val="subscript"/>
        </w:rPr>
        <w:t>c</w:t>
      </w:r>
      <w:r>
        <w:t>(p) Γ̄</w:t>
      </w:r>
      <w:r>
        <w:rPr>
          <w:vertAlign w:val="subscript"/>
        </w:rPr>
        <w:t>c</w:t>
      </w:r>
      <w:r>
        <w:t>d u</w:t>
      </w:r>
      <w:r>
        <w:rPr>
          <w:vertAlign w:val="subscript"/>
        </w:rPr>
        <w:t>s′</w:t>
      </w:r>
      <w:r>
        <w:rPr>
          <w:vertAlign w:val="subscript"/>
        </w:rPr>
        <w:t>d</w:t>
      </w:r>
      <w:r>
        <w:t>(p′) = Γ</w:t>
      </w:r>
      <w:r>
        <w:rPr>
          <w:vertAlign w:val="subscript"/>
        </w:rPr>
        <w:t>a</w:t>
      </w:r>
      <w:r>
        <w:t>b Γ̄</w:t>
      </w:r>
      <w:r>
        <w:rPr>
          <w:vertAlign w:val="subscript"/>
        </w:rPr>
        <w:t>c</w:t>
      </w:r>
      <w:r>
        <w:t>d [Σ</w:t>
      </w:r>
      <w:r>
        <w:rPr>
          <w:vertAlign w:val="subscript"/>
        </w:rPr>
        <w:t>s</w:t>
      </w:r>
      <w:r>
        <w:t xml:space="preserve"> u</w:t>
      </w:r>
      <w:r>
        <w:rPr>
          <w:vertAlign w:val="subscript"/>
        </w:rPr>
        <w:t>s</w:t>
      </w:r>
      <w:r>
        <w:rPr>
          <w:vertAlign w:val="subscript"/>
        </w:rPr>
        <w:t>b</w:t>
      </w:r>
      <w:r>
        <w:t>(p)ū</w:t>
      </w:r>
      <w:r>
        <w:rPr>
          <w:vertAlign w:val="subscript"/>
        </w:rPr>
        <w:t>s</w:t>
      </w:r>
      <w:r>
        <w:rPr>
          <w:vertAlign w:val="subscript"/>
        </w:rPr>
        <w:t>c</w:t>
      </w:r>
      <w:r>
        <w:t>(p)][Σ</w:t>
      </w:r>
      <w:r>
        <w:rPr>
          <w:vertAlign w:val="subscript"/>
        </w:rPr>
        <w:t>s′</w:t>
      </w:r>
      <w:r>
        <w:t>u</w:t>
      </w:r>
      <w:r>
        <w:rPr>
          <w:vertAlign w:val="subscript"/>
        </w:rPr>
        <w:t>s′</w:t>
      </w:r>
      <w:r>
        <w:rPr>
          <w:vertAlign w:val="subscript"/>
        </w:rPr>
        <w:t>d</w:t>
      </w:r>
      <w:r>
        <w:t>(p′)ū</w:t>
      </w:r>
      <w:r>
        <w:rPr>
          <w:vertAlign w:val="subscript"/>
        </w:rPr>
        <w:t>s′</w:t>
      </w:r>
      <w:r>
        <w:rPr>
          <w:vertAlign w:val="subscript"/>
        </w:rPr>
        <w:t>a</w:t>
      </w:r>
      <w:r>
        <w:t>(p′)] = Γ</w:t>
      </w:r>
      <w:r>
        <w:rPr>
          <w:vertAlign w:val="subscript"/>
        </w:rPr>
        <w:t>a</w:t>
      </w:r>
      <w:r>
        <w:t>b Γ̄</w:t>
      </w:r>
      <w:r>
        <w:rPr>
          <w:vertAlign w:val="subscript"/>
        </w:rPr>
        <w:t>c</w:t>
      </w:r>
      <w:r>
        <w:t>d (p̸+m)</w:t>
      </w:r>
      <w:r>
        <w:rPr>
          <w:vertAlign w:val="subscript"/>
        </w:rPr>
        <w:t>b</w:t>
      </w:r>
      <w:r>
        <w:t>c (p̸′+m)</w:t>
      </w:r>
      <w:r>
        <w:rPr>
          <w:vertAlign w:val="subscript"/>
        </w:rPr>
        <w:t>d</w:t>
      </w:r>
      <w:r>
        <w:t>a, using the completeness relations to replace each spin sum by a single matrix.</w:t>
      </w:r>
    </w:p>
    <w:p>
      <w:r>
        <w:rPr>
          <w:b/>
        </w:rPr>
        <w:t>7.</w:t>
      </w:r>
      <w:r>
        <w:t xml:space="preserve"> </w:t>
      </w:r>
      <w:r>
        <w:t>The final expression Γ</w:t>
      </w:r>
      <w:r>
        <w:rPr>
          <w:vertAlign w:val="subscript"/>
        </w:rPr>
        <w:t>a</w:t>
      </w:r>
      <w:r>
        <w:t>b(p̸+m)</w:t>
      </w:r>
      <w:r>
        <w:rPr>
          <w:vertAlign w:val="subscript"/>
        </w:rPr>
        <w:t>b</w:t>
      </w:r>
      <w:r>
        <w:t>cΓ̄</w:t>
      </w:r>
      <w:r>
        <w:rPr>
          <w:vertAlign w:val="subscript"/>
        </w:rPr>
        <w:t>c</w:t>
      </w:r>
      <w:r>
        <w:t>d(p̸′+m)</w:t>
      </w:r>
      <w:r>
        <w:rPr>
          <w:vertAlign w:val="subscript"/>
        </w:rPr>
        <w:t>d</w:t>
      </w:r>
      <w:r>
        <w:t>a has its last index, d, matching the first index of the entire chain, a, exactly the closure condition that defines a trace (Tr[M]=M</w:t>
      </w:r>
      <w:r>
        <w:rPr>
          <w:vertAlign w:val="subscript"/>
        </w:rPr>
        <w:t>a</w:t>
      </w:r>
      <w:r>
        <w:t>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21 gives Tr[(p̸₁+m)γ</w:t>
      </w:r>
      <w:r>
        <w:rPr>
          <w:vertAlign w:val="superscript"/>
        </w:rPr>
        <w:t>μ</w:t>
      </w:r>
      <w:r>
        <w:t>(p̸₂+m)γ</w:t>
      </w:r>
      <w:r>
        <w:rPr>
          <w:vertAlign w:val="superscript"/>
        </w:rPr>
        <w:t>ν</w:t>
      </w:r>
      <w:r>
        <w:t>]=4[p₁</w:t>
      </w:r>
      <w:r>
        <w:rPr>
          <w:vertAlign w:val="superscript"/>
        </w:rPr>
        <w:t>μ</w:t>
      </w:r>
      <w:r>
        <w:t>p₂</w:t>
      </w:r>
      <w:r>
        <w:rPr>
          <w:vertAlign w:val="superscript"/>
        </w:rPr>
        <w:t>ν</w:t>
      </w:r>
      <w:r>
        <w:t>−(p₁·p₂−m²)g</w:t>
      </w:r>
      <w:r>
        <w:rPr>
          <w:vertAlign w:val="superscript"/>
        </w:rPr>
        <w:t>μν</w:t>
      </w:r>
      <w:r>
        <w:t>+p₁</w:t>
      </w:r>
      <w:r>
        <w:rPr>
          <w:vertAlign w:val="superscript"/>
        </w:rPr>
        <w:t>ν</w:t>
      </w:r>
      <w:r>
        <w:t>p₂</w:t>
      </w:r>
      <w:r>
        <w:rPr>
          <w:vertAlign w:val="superscript"/>
        </w:rPr>
        <w:t>μ</w:t>
      </w:r>
      <w:r>
        <w:t>]. Using cyclicity, Tr[γ</w:t>
      </w:r>
      <w:r>
        <w:rPr>
          <w:vertAlign w:val="superscript"/>
        </w:rPr>
        <w:t>μ</w:t>
      </w:r>
      <w:r>
        <w:t>(p̸+m)γ</w:t>
      </w:r>
      <w:r>
        <w:rPr>
          <w:vertAlign w:val="superscript"/>
        </w:rPr>
        <w:t>ν</w:t>
      </w:r>
      <w:r>
        <w:t>(p̸′+m)]=Tr[(p̸′+m)γ</w:t>
      </w:r>
      <w:r>
        <w:rPr>
          <w:vertAlign w:val="superscript"/>
        </w:rPr>
        <w:t>μ</w:t>
      </w:r>
      <w:r>
        <w:t>(p̸+m)γ</w:t>
      </w:r>
      <w:r>
        <w:rPr>
          <w:vertAlign w:val="superscript"/>
        </w:rPr>
        <w:t>ν</w:t>
      </w:r>
      <w:r>
        <w:t>] (cycling the last factor to the front), matching Lesson 21's pattern with p₁→p′, p₂→p.</w:t>
      </w:r>
    </w:p>
    <w:p>
      <w:r>
        <w:rPr>
          <w:b/>
        </w:rPr>
        <w:t>9.</w:t>
      </w:r>
      <w:r>
        <w:t xml:space="preserve"> </w:t>
      </w:r>
      <w:r>
        <w:t>Setting ν=μ in Worked example 3's result and summing over μ (using g</w:t>
      </w:r>
      <w:r>
        <w:rPr>
          <w:vertAlign w:val="superscript"/>
        </w:rPr>
        <w:t>μ</w:t>
      </w:r>
      <w:r>
        <w:rPr>
          <w:vertAlign w:val="subscript"/>
        </w:rPr>
        <w:t>μ</w:t>
      </w:r>
      <w:r>
        <w:t>=4, Lesson 4/20's trace of the metric with itself): 4[p′</w:t>
      </w:r>
      <w:r>
        <w:rPr>
          <w:vertAlign w:val="superscript"/>
        </w:rPr>
        <w:t>μ</w:t>
      </w:r>
      <w:r>
        <w:t>p</w:t>
      </w:r>
      <w:r>
        <w:rPr>
          <w:vertAlign w:val="subscript"/>
        </w:rPr>
        <w:t>μ</w:t>
      </w:r>
      <w:r>
        <w:t>−(p′·p−m²)g</w:t>
      </w:r>
      <w:r>
        <w:rPr>
          <w:vertAlign w:val="superscript"/>
        </w:rPr>
        <w:t>μ</w:t>
      </w:r>
      <w:r>
        <w:rPr>
          <w:vertAlign w:val="subscript"/>
        </w:rPr>
        <w:t>μ</w:t>
      </w:r>
      <w:r>
        <w:t>+p′</w:t>
      </w:r>
      <w:r>
        <w:rPr>
          <w:vertAlign w:val="superscript"/>
        </w:rPr>
        <w:t>μ</w:t>
      </w:r>
      <w:r>
        <w:t>p</w:t>
      </w:r>
      <w:r>
        <w:rPr>
          <w:vertAlign w:val="subscript"/>
        </w:rPr>
        <w:t>μ</w:t>
      </w:r>
      <w:r>
        <w:t>]=4[p′·p−4(p′·p−m²)+p′·p]=4[2p′·p−4p′·p+4m²]=4[4m²−2p′·p]=16m²−8p′·p,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50's Compton amplitude, iℳ=(ieγ</w:t>
      </w:r>
      <w:r>
        <w:rPr>
          <w:vertAlign w:val="superscript"/>
        </w:rPr>
        <w:t>α</w:t>
      </w:r>
      <w:r>
        <w:t>)[propagator]γ</w:t>
      </w:r>
      <w:r>
        <w:rPr>
          <w:vertAlign w:val="superscript"/>
        </w:rPr>
        <w:t>β</w:t>
      </w:r>
      <w:r>
        <w:t>)u(p) sandwiched with ū(p′), is already exactly of this form once the propagator's explicit matrix structure is substituted in, so no new derivation is needed to apply the master formula to it.</w:t>
      </w:r>
    </w:p>
    <w:p>
      <w:r>
        <w:rPr>
          <w:b/>
        </w:rPr>
        <w:t>11.</w:t>
      </w:r>
      <w:r>
        <w:t xml:space="preserve"> </w:t>
      </w:r>
      <w:r>
        <w:t>Σ</w:t>
      </w:r>
      <w:r>
        <w:rPr>
          <w:vertAlign w:val="subscript"/>
        </w:rPr>
        <w:t>λ</w:t>
      </w:r>
      <w:r>
        <w:t>ε</w:t>
      </w:r>
      <w:r>
        <w:rPr>
          <w:vertAlign w:val="subscript"/>
        </w:rPr>
        <w:t>λ</w:t>
      </w:r>
      <w:r>
        <w:rPr>
          <w:vertAlign w:val="superscript"/>
        </w:rPr>
        <w:t>i</w:t>
      </w:r>
      <w:r>
        <w:t>(k)ε</w:t>
      </w:r>
      <w:r>
        <w:rPr>
          <w:vertAlign w:val="subscript"/>
        </w:rPr>
        <w:t>λ</w:t>
      </w:r>
      <w:r>
        <w:rPr>
          <w:vertAlign w:val="superscript"/>
        </w:rPr>
        <w:t>j</w:t>
      </w:r>
      <w:r>
        <w:t>(k)=δ</w:t>
      </w:r>
      <w:r>
        <w:rPr>
          <w:vertAlign w:val="superscript"/>
        </w:rPr>
        <w:t>ij</w:t>
      </w:r>
      <w:r>
        <w:t>−k̂</w:t>
      </w:r>
      <w:r>
        <w:rPr>
          <w:vertAlign w:val="superscript"/>
        </w:rPr>
        <w:t>i</w:t>
      </w:r>
      <w:r>
        <w:t>k̂</w:t>
      </w:r>
      <w:r>
        <w:rPr>
          <w:vertAlign w:val="superscript"/>
        </w:rPr>
        <w:t>j</w:t>
      </w:r>
      <w:r>
        <w:t xml:space="preserve"> (Lesson 38); Lesson 48 was the first to use it in building a propagator, specifically the Coulomb-gauge photon propagator D</w:t>
      </w:r>
      <w:r>
        <w:rPr>
          <w:vertAlign w:val="subscript"/>
        </w:rPr>
        <w:t>F</w:t>
      </w:r>
      <w:r>
        <w:rPr>
          <w:vertAlign w:val="superscript"/>
        </w:rPr>
        <w:t>ij</w:t>
      </w:r>
      <w:r>
        <w:t>(k) of Lesson 48, Section 3.1.</w:t>
      </w:r>
    </w:p>
    <w:p>
      <w:r>
        <w:rPr>
          <w:b/>
        </w:rPr>
        <w:t>12.</w:t>
      </w:r>
      <w:r>
        <w:t xml:space="preserve"> </w:t>
      </w:r>
      <w:r>
        <w:t>Σε</w:t>
      </w:r>
      <w:r>
        <w:rPr>
          <w:vertAlign w:val="superscript"/>
        </w:rPr>
        <w:t>μ</w:t>
      </w:r>
      <w:r>
        <w:t>ε</w:t>
      </w:r>
      <w:r>
        <w:rPr>
          <w:vertAlign w:val="superscript"/>
        </w:rPr>
        <w:t>ν</w:t>
      </w:r>
      <w:r>
        <w:t>→−g</w:t>
      </w:r>
      <w:r>
        <w:rPr>
          <w:vertAlign w:val="superscript"/>
        </w:rPr>
        <w:t>μν</w:t>
      </w:r>
      <w:r>
        <w:t>; Lesson 48, Section 4.2, computed that the spatial-spatial block of this covariant object, −g</w:t>
      </w:r>
      <w:r>
        <w:rPr>
          <w:vertAlign w:val="superscript"/>
        </w:rPr>
        <w:t>ij</w:t>
      </w:r>
      <w:r>
        <w:t>=δ</w:t>
      </w:r>
      <w:r>
        <w:rPr>
          <w:vertAlign w:val="superscript"/>
        </w:rPr>
        <w:t>ij</w:t>
      </w:r>
      <w:r>
        <w:t>, differs from the honest Coulomb-gauge sum δ</w:t>
      </w:r>
      <w:r>
        <w:rPr>
          <w:vertAlign w:val="superscript"/>
        </w:rPr>
        <w:t>ij</w:t>
      </w:r>
      <w:r>
        <w:t>−k̂</w:t>
      </w:r>
      <w:r>
        <w:rPr>
          <w:vertAlign w:val="superscript"/>
        </w:rPr>
        <w:t>i</w:t>
      </w:r>
      <w:r>
        <w:t>k̂</w:t>
      </w:r>
      <w:r>
        <w:rPr>
          <w:vertAlign w:val="superscript"/>
        </w:rPr>
        <w:t>j</w:t>
      </w:r>
      <w:r>
        <w:t xml:space="preserve"> by exactly k̂</w:t>
      </w:r>
      <w:r>
        <w:rPr>
          <w:vertAlign w:val="superscript"/>
        </w:rPr>
        <w:t>i</w:t>
      </w:r>
      <w:r>
        <w:t>k̂</w:t>
      </w:r>
      <w:r>
        <w:rPr>
          <w:vertAlign w:val="superscript"/>
        </w:rPr>
        <w:t>j</w:t>
      </w:r>
      <w:r>
        <w:t>,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48, Section 4.3) that terms proportional to k</w:t>
      </w:r>
      <w:r>
        <w:rPr>
          <w:vertAlign w:val="superscript"/>
        </w:rPr>
        <w:t>μ</w:t>
      </w:r>
      <w:r>
        <w:t xml:space="preserve"> vanish against a conserved current; that argument has not been shown to hold at the level of a complete, multi-vertex quantum amplitude, only for the classical current of Lesson 42, so the replacement's validity for actual scattering calculations remains asserted rather than proven at this point in the course.</w:t>
      </w:r>
    </w:p>
    <w:p>
      <w:r>
        <w:rPr>
          <w:b/>
        </w:rPr>
        <w:t>14.</w:t>
      </w:r>
      <w:r>
        <w:t xml:space="preserve"> </w:t>
      </w:r>
      <w:r>
        <w:t>Lesson 72 supplies the missing proof, establishing the Ward identity, the precise statement that guarantees amplitudes built from ℒ</w:t>
      </w:r>
      <w:r>
        <w:rPr>
          <w:vertAlign w:val="subscript"/>
        </w:rPr>
        <w:t>QED</w:t>
      </w:r>
      <w:r>
        <w:t xml:space="preserve"> are insensitive to this kind of k</w:t>
      </w:r>
      <w:r>
        <w:rPr>
          <w:vertAlign w:val="superscript"/>
        </w:rPr>
        <w:t>μ</w:t>
      </w:r>
      <w:r>
        <w:t>-proportional ambiguity in the photon propagator or polarization sum.</w:t>
      </w:r>
    </w:p>
    <w:p>
      <w:r>
        <w:rPr>
          <w:b/>
        </w:rPr>
        <w:t>15.</w:t>
      </w:r>
      <w:r>
        <w:t xml:space="preserve"> </w:t>
      </w:r>
      <w:r>
        <w:t>This relies on Lesson 42, Section 5.1's derivation of current conservation, ∂</w:t>
      </w:r>
      <w:r>
        <w:rPr>
          <w:vertAlign w:val="subscript"/>
        </w:rPr>
        <w:t>μ</w:t>
      </w:r>
      <w:r>
        <w:t>j</w:t>
      </w:r>
      <w:r>
        <w:rPr>
          <w:vertAlign w:val="superscript"/>
        </w:rPr>
        <w:t>μ</w:t>
      </w:r>
      <w:r>
        <w:t>=0, which becomes k</w:t>
      </w:r>
      <w:r>
        <w:rPr>
          <w:vertAlign w:val="subscript"/>
        </w:rPr>
        <w:t>μ</w:t>
      </w:r>
      <w:r>
        <w:t>j</w:t>
      </w:r>
      <w:r>
        <w:rPr>
          <w:vertAlign w:val="superscript"/>
        </w:rPr>
        <w:t>μ</w:t>
      </w:r>
      <w:r>
        <w:t>(k)=0 in momentum space; a term proportional to k</w:t>
      </w:r>
      <w:r>
        <w:rPr>
          <w:vertAlign w:val="superscript"/>
        </w:rPr>
        <w:t>μ</w:t>
      </w:r>
      <w:r>
        <w:t>, contracted with such a current, gives zero by this relation directly, the same argument already given in Lesson 48, Section 4.3, for the propagator and extended here to the external polarization sum.</w:t>
      </w:r>
    </w:p>
    <w:p>
      <w:r>
        <w:rPr>
          <w:b/>
        </w:rPr>
        <w:t>16.</w:t>
      </w:r>
      <w:r>
        <w:t xml:space="preserve"> </w:t>
      </w:r>
      <w:r>
        <w:t>Schematically, (1/2)Σ</w:t>
      </w:r>
      <w:r>
        <w:rPr>
          <w:vertAlign w:val="subscript"/>
        </w:rPr>
        <w:t>(s)</w:t>
      </w:r>
      <w:r>
        <w:t xml:space="preserve"> (1/2)Σ</w:t>
      </w:r>
      <w:r>
        <w:rPr>
          <w:vertAlign w:val="subscript"/>
        </w:rPr>
        <w:t>λ</w:t>
      </w:r>
      <w:r>
        <w:t xml:space="preserve"> Σ</w:t>
      </w:r>
      <w:r>
        <w:rPr>
          <w:vertAlign w:val="subscript"/>
        </w:rPr>
        <w:t>s′</w:t>
      </w:r>
      <w:r>
        <w:t xml:space="preserve"> Σ</w:t>
      </w:r>
      <w:r>
        <w:rPr>
          <w:vertAlign w:val="subscript"/>
        </w:rPr>
        <w:t>λ′</w:t>
      </w:r>
      <w:r>
        <w:t xml:space="preserve">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2"/>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21's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2"/>
      </w:pPr>
      <w:r>
        <w:t>Next lesson</w:t>
      </w:r>
    </w:p>
    <w:p>
      <w:r>
        <w:t>Lesson 53 develops the kinematic bookkeeping, the Mandelstam variables, needed to turn the traces this lesson produces into functions of physically meaningful scattering angles and energies, completing the toolkit Lesson 54 applies to electron-muon scattering.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52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External Spinors and Polarization</dc:title>
  <dc:subject>Lesson 52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