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57 of Quantum, Actually, Volume 2: A QED Course</w:t>
      </w:r>
    </w:p>
    <w:p>
      <w:pPr>
        <w:jc w:val="center"/>
      </w:pPr>
      <w:r>
        <w:t>Lothar J. Musiol</w:t>
      </w:r>
    </w:p>
    <w:p>
      <w:r>
        <w:br/>
      </w:r>
    </w:p>
    <w:p>
      <w:pPr>
        <w:jc w:val="center"/>
      </w:pPr>
      <w:r>
        <w:rPr>
          <w:b/>
          <w:sz w:val="26"/>
        </w:rPr>
        <w:t>Finishing the calculation Lesson 50 began — the interference term vanishes identically, leaving the remarkably simple result −2e⁴(s/u+u/s)</w:t>
      </w:r>
    </w:p>
    <w:p>
      <w:r>
        <w:br/>
        <w:br/>
      </w:r>
    </w:p>
    <w:p>
      <w:pPr>
        <w:jc w:val="center"/>
      </w:pPr>
      <w:r>
        <w:t>First edition, 2026</w:t>
      </w:r>
    </w:p>
    <w:p>
      <w:r>
        <w:br w:type="page"/>
      </w:r>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p+k, q</w:t>
            </w:r>
            <w:r>
              <w:rPr>
                <w:vertAlign w:val="subscript"/>
              </w:rPr>
              <w:t>B</w:t>
            </w:r>
            <w:r>
              <w:t xml:space="preserve"> = p−k′</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Prologue 5's glass, now computed exactly.</w:t>
            </w:r>
          </w:p>
        </w:tc>
      </w:tr>
    </w:tbl>
    <w:p>
      <w:pPr>
        <w:spacing w:after="80"/>
      </w:pPr>
    </w:p>
    <w:p>
      <w:pPr>
        <w:pStyle w:val="Heading2"/>
      </w:pPr>
      <w:r>
        <w:t>1 Completing Compton scattering</w:t>
      </w:r>
    </w:p>
    <w:p>
      <w:pPr>
        <w:keepNext/>
        <w:spacing w:before="160" w:after="40"/>
        <w:jc w:val="center"/>
      </w:pPr>
      <w:r>
        <w:drawing>
          <wp:inline xmlns:a="http://schemas.openxmlformats.org/drawingml/2006/main" xmlns:pic="http://schemas.openxmlformats.org/drawingml/2006/picture">
            <wp:extent cx="5486400" cy="1810163"/>
            <wp:docPr id="1" name="Picture 1"/>
            <wp:cNvGraphicFramePr>
              <a:graphicFrameLocks noChangeAspect="1"/>
            </wp:cNvGraphicFramePr>
            <a:graphic>
              <a:graphicData uri="http://schemas.openxmlformats.org/drawingml/2006/picture">
                <pic:pic>
                  <pic:nvPicPr>
                    <pic:cNvPr id="0" name="L57_compton.png"/>
                    <pic:cNvPicPr/>
                  </pic:nvPicPr>
                  <pic:blipFill>
                    <a:blip r:embed="rId11"/>
                    <a:stretch>
                      <a:fillRect/>
                    </a:stretch>
                  </pic:blipFill>
                  <pic:spPr>
                    <a:xfrm>
                      <a:off x="0" y="0"/>
                      <a:ext cx="5486400" cy="1810163"/>
                    </a:xfrm>
                    <a:prstGeom prst="rect"/>
                  </pic:spPr>
                </pic:pic>
              </a:graphicData>
            </a:graphic>
          </wp:inline>
        </w:drawing>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Averaging over the initial electron spin and photon polarization (a factor of 1/4, two unmeasured initial degrees of freedom, as in Lesson 56)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Following the identical steps as Lesson 56,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already found in Lesson 56,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(Lesson 53,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drawing>
          <wp:inline xmlns:a="http://schemas.openxmlformats.org/drawingml/2006/main" xmlns:pic="http://schemas.openxmlformats.org/drawingml/2006/picture">
            <wp:extent cx="4754880" cy="2780613"/>
            <wp:docPr id="2" name="Picture 2"/>
            <wp:cNvGraphicFramePr>
              <a:graphicFrameLocks noChangeAspect="1"/>
            </wp:cNvGraphicFramePr>
            <a:graphic>
              <a:graphicData uri="http://schemas.openxmlformats.org/drawingml/2006/picture">
                <pic:pic>
                  <pic:nvPicPr>
                    <pic:cNvPr id="0" name="L57_klein_nishina.png"/>
                    <pic:cNvPicPr/>
                  </pic:nvPicPr>
                  <pic:blipFill>
                    <a:blip r:embed="rId12"/>
                    <a:stretch>
                      <a:fillRect/>
                    </a:stretch>
                  </pic:blipFill>
                  <pic:spPr>
                    <a:xfrm>
                      <a:off x="0" y="0"/>
                      <a:ext cx="4754880" cy="2780613"/>
                    </a:xfrm>
                    <a:prstGeom prst="rect"/>
                  </pic:spPr>
                </pic:pic>
              </a:graphicData>
            </a:graphic>
          </wp:inline>
        </w:drawing>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=−8su, T</w:t>
            </w:r>
            <w:r>
              <w:rPr>
                <w:vertAlign w:val="subscript"/>
              </w:rPr>
              <w:t>AB</w:t>
            </w:r>
            <w:r>
              <w:t>=0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r>
        <w:t>Lesson 58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0"/>
        </w:numPr>
      </w:pPr>
      <w:r>
        <w:t>Compton scattering's two diagrams, set up in Lesson 50,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10"/>
        </w:numPr>
      </w:pPr>
      <w:r>
        <w:t>T</w:t>
      </w:r>
      <w:r>
        <w:rPr>
          <w:vertAlign w:val="subscript"/>
        </w:rPr>
        <w:t>AA</w:t>
      </w:r>
      <w:r>
        <w:t>=T</w:t>
      </w:r>
      <w:r>
        <w:rPr>
          <w:vertAlign w:val="subscript"/>
        </w:rPr>
        <w:t>BB</w:t>
      </w:r>
      <w:r>
        <w:t>=−8su in the massless limit, derived by the same method as Lesson 56.</w:t>
      </w:r>
    </w:p>
    <w:p>
      <w:pPr>
        <w:pStyle w:val="ListNumber"/>
        <w:numPr>
          <w:ilvl w:val="0"/>
          <w:numId w:val="10"/>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10"/>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T</w:t>
            </w:r>
            <w:r>
              <w:rPr>
                <w:vertAlign w:val="subscript"/>
              </w:rPr>
              <w:t>AA</w:t>
            </w:r>
            <w:r>
              <w:t>, T</w:t>
            </w:r>
            <w:r>
              <w:rPr>
                <w:vertAlign w:val="subscript"/>
              </w:rPr>
              <w:t>BB</w:t>
            </w:r>
            <w:r>
              <w:t>, T</w:t>
            </w:r>
            <w:r>
              <w:rPr>
                <w:vertAlign w:val="subscript"/>
              </w:rPr>
              <w:t>AB</w:t>
            </w:r>
            <w:r>
              <w:t xml:space="preserve">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w:t>
            </w:r>
            <w:r>
              <w:rPr>
                <w:vertAlign w:val="superscript"/>
              </w:rPr>
              <w:t>α</w:t>
            </w:r>
            <w:r>
              <w:t>(p̸+m)γ</w:t>
            </w:r>
            <w:r>
              <w:rPr>
                <w:vertAlign w:val="subscript"/>
              </w:rPr>
              <w:t>α</w:t>
            </w:r>
            <w:r>
              <w:t>=−2p̸+4m,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(q̸</w:t>
            </w:r>
            <w:r>
              <w:rPr>
                <w:vertAlign w:val="subscript"/>
              </w:rPr>
              <w:t>A</w:t>
            </w:r>
            <w:r>
              <w:t>+m)γ</w:t>
            </w:r>
            <w:r>
              <w:rPr>
                <w:vertAlign w:val="superscript"/>
              </w:rPr>
              <w:t>α</w:t>
            </w:r>
            <w:r>
              <w:t>(p̸+m)γ</w:t>
            </w:r>
            <w:r>
              <w:rPr>
                <w:vertAlign w:val="subscript"/>
              </w:rPr>
              <w:t>α</w:t>
            </w:r>
            <w:r>
              <w:t>(q̸</w:t>
            </w:r>
            <w:r>
              <w:rPr>
                <w:vertAlign w:val="subscript"/>
              </w:rPr>
              <w:t>A</w:t>
            </w:r>
            <w:r>
              <w:t>+m), apply Section 2.1, and reduce to the massless leading term 32(q</w:t>
            </w:r>
            <w:r>
              <w:rPr>
                <w:vertAlign w:val="subscript"/>
              </w:rPr>
              <w:t>A</w:t>
            </w:r>
            <w:r>
              <w:t>·p)(q</w:t>
            </w:r>
            <w:r>
              <w:rPr>
                <w:vertAlign w:val="subscript"/>
              </w:rPr>
              <w:t>A</w:t>
            </w:r>
            <w:r>
              <w:t>·p′)−16q</w:t>
            </w:r>
            <w:r>
              <w:rPr>
                <w:vertAlign w:val="subscript"/>
              </w:rPr>
              <w:t>A</w:t>
            </w:r>
            <w:r>
              <w:t>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A</w:t>
            </w:r>
            <w:r>
              <w:t>·p=s/2, q</w:t>
            </w:r>
            <w:r>
              <w:rPr>
                <w:vertAlign w:val="subscript"/>
              </w:rPr>
              <w:t>A</w:t>
            </w:r>
            <w:r>
              <w:t>·p′=s/2,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Substitute Exercise 6's values into Section 2.2's formula and derive T</w:t>
            </w:r>
            <w:r>
              <w:rPr>
                <w:vertAlign w:val="subscript"/>
              </w:rPr>
              <w:t>AA</w:t>
            </w:r>
            <w:r>
              <w:t>=−8su,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Worked example 2's relabeling, derive T</w:t>
            </w:r>
            <w:r>
              <w:rPr>
                <w:vertAlign w:val="subscript"/>
              </w:rPr>
              <w:t>BB</w:t>
            </w:r>
            <w:r>
              <w:t>=−8su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the results of Exercises 9–10 (plus k·p=s/2) into Section 3.3's expression for q</w:t>
            </w:r>
            <w:r>
              <w:rPr>
                <w:vertAlign w:val="subscript"/>
              </w:rPr>
              <w:t>A</w:t>
            </w:r>
            <w:r>
              <w:t>·q</w:t>
            </w:r>
            <w:r>
              <w:rPr>
                <w:vertAlign w:val="subscript"/>
              </w:rPr>
              <w:t>B</w:t>
            </w:r>
            <w:r>
              <w:t xml:space="preserve">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Carry out Section 3.1's reversal identity explicitly for the chain [p̸γ</w:t>
            </w:r>
            <w:r>
              <w:rPr>
                <w:vertAlign w:val="subscript"/>
              </w:rPr>
              <w:t>β</w:t>
            </w:r>
            <w:r>
              <w:t>q̸</w:t>
            </w:r>
            <w:r>
              <w:rPr>
                <w:vertAlign w:val="subscript"/>
              </w:rPr>
              <w:t>B</w:t>
            </w:r>
            <w:r>
              <w:t>], confirming γ</w:t>
            </w:r>
            <w:r>
              <w:rPr>
                <w:vertAlign w:val="superscript"/>
              </w:rPr>
              <w:t>α</w:t>
            </w:r>
            <w:r>
              <w:t>[p̸γ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verify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and combine with Exercise 11 to confirm T</w:t>
            </w:r>
            <w:r>
              <w:rPr>
                <w:vertAlign w:val="subscript"/>
              </w:rPr>
              <w:t>AB</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58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Compton Scattering</dc:title>
  <dc:subject>Lesson 57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