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Decay Rates</w:t>
      </w:r>
    </w:p>
    <w:p>
      <w:pPr>
        <w:pStyle w:val="Subtitle"/>
        <w:jc w:val="center"/>
      </w:pPr>
      <w:r>
        <w:t>Lesson 60 of Quantum, Actually, Volume 2: A QED Course</w:t>
      </w:r>
    </w:p>
    <w:p>
      <w:pPr>
        <w:jc w:val="center"/>
      </w:pPr>
      <w:r>
        <w:t>Lothar J. Musiol</w:t>
      </w:r>
    </w:p>
    <w:p>
      <w:r>
        <w:br/>
      </w:r>
    </w:p>
    <w:p>
      <w:pPr>
        <w:jc w:val="center"/>
      </w:pPr>
      <w:r>
        <w:rPr>
          <w:b/>
          <w:sz w:val="26"/>
        </w:rPr>
        <w:t>The same phase-space reduction as Lesson 59, applied to a single particle at rest, giving dΓ/dΩ=p_f|ℳ|²/(32π²M²) and a closed form for the two-body momentum p_f</w:t>
      </w:r>
    </w:p>
    <w:p>
      <w:r>
        <w:br/>
        <w:br/>
      </w:r>
    </w:p>
    <w:p>
      <w:pPr>
        <w:jc w:val="center"/>
      </w:pPr>
      <w:r>
        <w:t>First edition, 2026</w:t>
      </w:r>
    </w:p>
    <w:p>
      <w:r>
        <w:br w:type="page"/>
      </w:r>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w:t>
            </w:r>
            <w:r>
              <w:rPr>
                <w:vertAlign w:val="subscript"/>
              </w:rPr>
              <w:t>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tc>
      </w:tr>
    </w:tbl>
    <w:p>
      <w:pPr>
        <w:spacing w:after="80"/>
      </w:pPr>
    </w:p>
    <w:p>
      <w:pPr>
        <w:pStyle w:val="Heading2"/>
      </w:pPr>
      <w:r>
        <w:t>1 Specializing to the rest frame</w:t>
      </w:r>
    </w:p>
    <w:p>
      <w:pPr>
        <w:pStyle w:val="Heading3"/>
      </w:pPr>
      <w:r>
        <w:t>1.1 The starting formula</w:t>
      </w:r>
    </w:p>
    <w:p>
      <w:r>
        <w:t>Lesson 51,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drawing>
          <wp:inline xmlns:a="http://schemas.openxmlformats.org/drawingml/2006/main" xmlns:pic="http://schemas.openxmlformats.org/drawingml/2006/picture">
            <wp:extent cx="4206240" cy="1122293"/>
            <wp:docPr id="1" name="Picture 1"/>
            <wp:cNvGraphicFramePr>
              <a:graphicFrameLocks noChangeAspect="1"/>
            </wp:cNvGraphicFramePr>
            <a:graphic>
              <a:graphicData uri="http://schemas.openxmlformats.org/drawingml/2006/picture">
                <pic:pic>
                  <pic:nvPicPr>
                    <pic:cNvPr id="0" name="L60_decay.png"/>
                    <pic:cNvPicPr/>
                  </pic:nvPicPr>
                  <pic:blipFill>
                    <a:blip r:embed="rId11"/>
                    <a:stretch>
                      <a:fillRect/>
                    </a:stretch>
                  </pic:blipFill>
                  <pic:spPr>
                    <a:xfrm>
                      <a:off x="0" y="0"/>
                      <a:ext cx="4206240" cy="1122293"/>
                    </a:xfrm>
                    <a:prstGeom prst="rect"/>
                  </pic:spPr>
                </pic:pic>
              </a:graphicData>
            </a:graphic>
          </wp:inline>
        </w:drawing>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Combining Section 2, as Lesson 59,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with the numerical factor differing from Lesson 59's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a symmetry factor of the same character as the combinatorial factors already met in Lesson 50's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59's collision-frame starting point</w:t>
            </w:r>
          </w:p>
        </w:tc>
      </w:tr>
      <w:tr>
        <w:tc>
          <w:tcPr>
            <w:tcW w:type="dxa" w:w="3264"/>
            <w:vAlign w:val="center"/>
            <w:shd w:fill="EAF2F8"/>
            <w:tcMar>
              <w:top w:w="100" w:type="dxa"/>
              <w:start w:w="100" w:type="dxa"/>
              <w:bottom w:w="100" w:type="dxa"/>
              <w:end w:w="100" w:type="dxa"/>
            </w:tcMar>
          </w:tcPr>
          <w:p>
            <w:r>
              <w:t>dΓ/dΩ=p</w:t>
            </w:r>
            <w:r>
              <w:rPr>
                <w:vertAlign w:val="subscript"/>
              </w:rPr>
              <w:t>f</w:t>
            </w:r>
            <w:r>
              <w:t>|ℳ|²/(32π²M²)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w:t>
            </w:r>
            <w:r>
              <w:rPr>
                <w:vertAlign w:val="subscript"/>
              </w:rPr>
              <w:t>f</w:t>
            </w:r>
            <w:r>
              <w:t>|ℳ|²/(8πM²)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w:t>
            </w:r>
            <w:r>
              <w:rPr>
                <w:vertAlign w:val="subscript"/>
              </w:rPr>
              <w:t>f</w:t>
            </w:r>
            <w:r>
              <w:t xml:space="preserve">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r>
        <w:t>Lesson 61 now assembles every piece: the amplitudes of Lessons 54–58, the cross-section formula of Lesson 59, and this lesson's decay-rate formula, into a first complete set of QED predictions.</w:t>
      </w:r>
    </w:p>
    <w:p>
      <w:pPr>
        <w:pStyle w:val="Heading2"/>
      </w:pPr>
      <w:r>
        <w:t>7 Summary</w:t>
      </w:r>
    </w:p>
    <w:p>
      <w:pPr>
        <w:pStyle w:val="ListNumber"/>
        <w:numPr>
          <w:ilvl w:val="0"/>
          <w:numId w:val="10"/>
        </w:numPr>
      </w:pPr>
      <w:r>
        <w:t>In the parent's rest frame, Lesson 51's decay formula reduces by the same delta-function method as Lesson 59's cross-section formula, with M taking the place of √s.</w:t>
      </w:r>
    </w:p>
    <w:p>
      <w:pPr>
        <w:pStyle w:val="ListNumber"/>
        <w:numPr>
          <w:ilvl w:val="0"/>
          <w:numId w:val="10"/>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10"/>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10"/>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setting p</w:t>
            </w:r>
            <w:r>
              <w:rPr>
                <w:vertAlign w:val="subscript"/>
              </w:rPr>
              <w:t>i</w:t>
            </w:r>
            <w:r>
              <w:t>=(M,0,0,0)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f′(p) at the root p</w:t>
            </w:r>
            <w:r>
              <w:rPr>
                <w:vertAlign w:val="subscript"/>
              </w:rPr>
              <w:t>f</w:t>
            </w:r>
            <w:r>
              <w:t>, using E₁+E₂=M there, and simplify to −p</w:t>
            </w:r>
            <w:r>
              <w:rPr>
                <w:vertAlign w:val="subscript"/>
              </w:rPr>
              <w:t>f</w:t>
            </w:r>
            <w:r>
              <w:t>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Combine Exercises 3–5 to derive ∫p²dp δ(f(p))=p</w:t>
            </w:r>
            <w:r>
              <w:rPr>
                <w:vertAlign w:val="subscript"/>
              </w:rPr>
              <w:t>f</w:t>
            </w:r>
            <w:r>
              <w:t>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Integrate Section 3.1's formula over the full solid angle, assuming |ℳ|² constant, and derive Γ=p</w:t>
            </w:r>
            <w:r>
              <w:rPr>
                <w:vertAlign w:val="subscript"/>
              </w:rPr>
              <w:t>f</w:t>
            </w:r>
            <w:r>
              <w:t>|ℳ|²/(8πM²).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Section 4.2's equal-mass check, p</w:t>
            </w:r>
            <w:r>
              <w:rPr>
                <w:vertAlign w:val="subscript"/>
              </w:rPr>
              <w:t>f</w:t>
            </w:r>
            <w:r>
              <w:t>=√(M²−4m²)/2, by a second, independent route: computing E₁=M/2 directly from symmetry and then p</w:t>
            </w:r>
            <w:r>
              <w:rPr>
                <w:vertAlign w:val="subscript"/>
              </w:rPr>
              <w:t>f</w:t>
            </w:r>
            <w:r>
              <w:t>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Section 5's formula, restate Γ for identical decay products in terms of the same p</w:t>
            </w:r>
            <w:r>
              <w:rPr>
                <w:vertAlign w:val="subscript"/>
              </w:rPr>
              <w:t>f</w:t>
            </w:r>
            <w:r>
              <w:t xml:space="preserve">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closed-form p</w:t>
            </w:r>
            <w:r>
              <w:rPr>
                <w:vertAlign w:val="subscript"/>
              </w:rPr>
              <w:t>f</w:t>
            </w:r>
            <w:r>
              <w:t xml:space="preserve">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61 closes Part VIII by combining every amplitude computed in Lessons 54–58 with this lesson's and Lesson 59's phase-space formulas, stating the resulting experimental predictions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Decay Rates</dc:title>
  <dc:subject>Lesson 60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