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72 of Quantum, Actually, Volume 2: A QED Course</w:t>
      </w:r>
    </w:p>
    <w:p>
      <w:pPr>
        <w:jc w:val="center"/>
      </w:pPr>
      <w:r>
        <w:t>Lothar J. Musiol</w:t>
      </w:r>
    </w:p>
    <w:p>
      <w:r>
        <w:br/>
      </w:r>
    </w:p>
    <w:p>
      <w:pPr>
        <w:jc w:val="center"/>
      </w:pPr>
      <w:r>
        <w:rPr>
          <w:b/>
          <w:sz w:val="26"/>
        </w:rPr>
        <w:t>Current conservation written as a statement about amplitudes: k_μℳ^μ = 0, the Ward–Takahashi identity for the vertex, and Z₁ = Z₂</w:t>
      </w:r>
    </w:p>
    <w:p>
      <w:r>
        <w:br/>
        <w:br/>
      </w:r>
    </w:p>
    <w:p>
      <w:pPr>
        <w:jc w:val="center"/>
      </w:pPr>
      <w:r>
        <w:t>First edition, 2026</w:t>
      </w:r>
    </w:p>
    <w:p>
      <w:r>
        <w:br w:type="page"/>
      </w:r>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perscript"/>
              </w:rPr>
              <w:t>μ</w:t>
            </w:r>
            <w:r>
              <w:t>(k)</w:t>
            </w:r>
          </w:p>
        </w:tc>
        <w:tc>
          <w:tcPr>
            <w:tcW w:type="dxa" w:w="7632"/>
            <w:vAlign w:val="center"/>
            <w:tcMar>
              <w:top w:w="100" w:type="dxa"/>
              <w:start w:w="100" w:type="dxa"/>
              <w:bottom w:w="100" w:type="dxa"/>
              <w:end w:w="100" w:type="dxa"/>
            </w:tcMar>
          </w:tcPr>
          <w:p>
            <w:r>
              <w:t>Amplitude with the external photon polarization ε</w:t>
            </w:r>
            <w:r>
              <w:rPr>
                <w:vertAlign w:val="subscript"/>
              </w:rPr>
              <w:t>μ</w:t>
            </w:r>
            <w:r>
              <w:t>(k) stripped off, iℳ = ε</w:t>
            </w:r>
            <w:r>
              <w:rPr>
                <w:vertAlign w:val="subscript"/>
              </w:rPr>
              <w:t>μ</w:t>
            </w:r>
            <w:r>
              <w:t>ℳ</w:t>
            </w:r>
            <w:r>
              <w:rPr>
                <w:vertAlign w:val="superscript"/>
              </w:rPr>
              <w:t>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w:t>
            </w:r>
            <w:r>
              <w:rPr>
                <w:vertAlign w:val="superscript"/>
              </w:rPr>
              <w:t>μ</w:t>
            </w:r>
            <w:r>
              <w:t>(p′, p)</w:t>
            </w:r>
          </w:p>
        </w:tc>
        <w:tc>
          <w:tcPr>
            <w:tcW w:type="dxa" w:w="7632"/>
            <w:vAlign w:val="center"/>
            <w:shd w:fill="EAF2F8"/>
            <w:tcMar>
              <w:top w:w="100" w:type="dxa"/>
              <w:start w:w="100" w:type="dxa"/>
              <w:bottom w:w="100" w:type="dxa"/>
              <w:end w:w="100" w:type="dxa"/>
            </w:tcMar>
          </w:tcPr>
          <w:p>
            <w:r>
              <w:t>Full vertex function, equal to γ</w:t>
            </w:r>
            <w:r>
              <w:rPr>
                <w:vertAlign w:val="superscript"/>
              </w:rPr>
              <w:t>μ</w:t>
            </w:r>
            <w:r>
              <w:t xml:space="preserve"> at tree level; the vertex is ieΓ</w:t>
            </w:r>
            <w:r>
              <w:rPr>
                <w:vertAlign w:val="superscript"/>
              </w:rPr>
              <w:t>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w:t>
      </w:r>
      <w:r>
        <w:rPr>
          <w:vertAlign w:val="superscript"/>
        </w:rPr>
        <w:t>μ</w:t>
      </w:r>
      <w:r>
        <w:t>, as in Lesson 45, and 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tc>
      </w:tr>
    </w:tbl>
    <w:p>
      <w:pPr>
        <w:spacing w:after="80"/>
      </w:pPr>
    </w:p>
    <w:p>
      <w:pPr>
        <w:pStyle w:val="Heading2"/>
      </w:pPr>
      <w:r>
        <w:t>1 The statement</w:t>
      </w:r>
    </w:p>
    <w:p>
      <w:pPr>
        <w:keepNext/>
        <w:spacing w:before="160" w:after="40"/>
        <w:jc w:val="center"/>
      </w:pPr>
      <w:r>
        <w:drawing>
          <wp:inline xmlns:a="http://schemas.openxmlformats.org/drawingml/2006/main" xmlns:pic="http://schemas.openxmlformats.org/drawingml/2006/picture">
            <wp:extent cx="5486400" cy="1648882"/>
            <wp:docPr id="1" name="Picture 1"/>
            <wp:cNvGraphicFramePr>
              <a:graphicFrameLocks noChangeAspect="1"/>
            </wp:cNvGraphicFramePr>
            <a:graphic>
              <a:graphicData uri="http://schemas.openxmlformats.org/drawingml/2006/picture">
                <pic:pic>
                  <pic:nvPicPr>
                    <pic:cNvPr id="0" name="L72_ward.png"/>
                    <pic:cNvPicPr/>
                  </pic:nvPicPr>
                  <pic:blipFill>
                    <a:blip r:embed="rId11"/>
                    <a:stretch>
                      <a:fillRect/>
                    </a:stretch>
                  </pic:blipFill>
                  <pic:spPr>
                    <a:xfrm>
                      <a:off x="0" y="0"/>
                      <a:ext cx="5486400" cy="1648882"/>
                    </a:xfrm>
                    <a:prstGeom prst="rect"/>
                  </pic:spPr>
                </pic:pic>
              </a:graphicData>
            </a:graphic>
          </wp:inline>
        </w:drawing>
      </w:r>
    </w:p>
    <w:p>
      <w:pPr>
        <w:spacing w:after="200"/>
        <w:jc w:val="center"/>
      </w:pPr>
      <w:r>
        <w:rPr>
          <w:i/>
          <w:sz w:val="19"/>
        </w:rPr>
        <w:t>Figure 72.1. The Ward identity at work. Replace a photon's polarization by its momentum k and the diagrams of a gauge-invariant set sum to zero.</w:t>
      </w:r>
    </w:p>
    <w:p>
      <w:r>
        <w:t>A QED amplitude with one external photon of momentum k and polarization ε can be written iℳ = ε</w:t>
      </w:r>
      <w:r>
        <w:rPr>
          <w:vertAlign w:val="subscript"/>
        </w:rPr>
        <w:t>μ</w:t>
      </w:r>
      <w:r>
        <w:t>(k)ℳ</w:t>
      </w:r>
      <w:r>
        <w:rPr>
          <w:vertAlign w:val="superscript"/>
        </w:rPr>
        <w:t>μ</w:t>
      </w:r>
      <w:r>
        <w:t>(k).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The identity is current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65's vertex correction to Lesson 64's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w:t>
            </w:r>
            <w:r>
              <w:rPr>
                <w:vertAlign w:val="subscript"/>
              </w:rPr>
              <w:t>μ</w:t>
            </w:r>
            <w:r>
              <w:t>ℳ</w:t>
            </w:r>
            <w:r>
              <w:rPr>
                <w:vertAlign w:val="superscript"/>
              </w:rPr>
              <w:t>μ</w:t>
            </w:r>
            <w:r>
              <w:t xml:space="preserve">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w:t>
            </w:r>
            <w:r>
              <w:rPr>
                <w:vertAlign w:val="subscript"/>
              </w:rPr>
              <w:t>μ</w:t>
            </w:r>
            <w:r>
              <w:t>Γ</w:t>
            </w:r>
            <w:r>
              <w:rPr>
                <w:vertAlign w:val="superscript"/>
              </w:rPr>
              <w:t>μ</w:t>
            </w:r>
            <w:r>
              <w:t>(p+q,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w:t>
            </w:r>
            <w:r>
              <w:rPr>
                <w:vertAlign w:val="subscript"/>
              </w:rPr>
              <w:t>μ</w:t>
            </w:r>
            <w:r>
              <w:t>Π</w:t>
            </w:r>
            <w:r>
              <w:rPr>
                <w:vertAlign w:val="superscript"/>
              </w:rPr>
              <w:t>μν</w:t>
            </w:r>
            <w:r>
              <w:t xml:space="preserve">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w:t>
            </w:r>
            <w:r>
              <w:rPr>
                <w:vertAlign w:val="subscript"/>
              </w:rPr>
              <w:t>μ</w:t>
            </w:r>
            <w:r>
              <w:t>k</w:t>
            </w:r>
            <w:r>
              <w:rPr>
                <w:vertAlign w:val="subscript"/>
              </w:rPr>
              <w:t>ν</w:t>
            </w:r>
            <w:r>
              <w:t xml:space="preserve">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10"/>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w:t>
      </w:r>
      <w:r>
        <w:rPr>
          <w:vertAlign w:val="superscript"/>
        </w:rPr>
        <w:t>ν</w:t>
      </w:r>
      <w:r>
        <w:t xml:space="preserve"> u(p) and cancel.</w:t>
      </w:r>
    </w:p>
    <w:p>
      <w:pPr>
        <w:pStyle w:val="ListNumber"/>
        <w:numPr>
          <w:ilvl w:val="0"/>
          <w:numId w:val="10"/>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w:t>
      </w:r>
      <w:r>
        <w:rPr>
          <w:vertAlign w:val="subscript"/>
        </w:rPr>
        <w:t>μν</w:t>
      </w:r>
      <w:r>
        <w:t xml:space="preserve">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shifting ε</w:t>
            </w:r>
            <w:r>
              <w:rPr>
                <w:vertAlign w:val="subscript"/>
              </w:rPr>
              <w:t>μ</w:t>
            </w:r>
            <w:r>
              <w:t xml:space="preserve"> → ε</w:t>
            </w:r>
            <w:r>
              <w:rPr>
                <w:vertAlign w:val="subscript"/>
              </w:rPr>
              <w:t>μ</w:t>
            </w:r>
            <w:r>
              <w:t xml:space="preserve"> + ck</w:t>
            </w:r>
            <w:r>
              <w:rPr>
                <w:vertAlign w:val="subscript"/>
              </w:rPr>
              <w:t>μ</w:t>
            </w:r>
            <w:r>
              <w:t xml:space="preserve"> leaves iℳ unchanged if k</w:t>
            </w:r>
            <w:r>
              <w:rPr>
                <w:vertAlign w:val="subscript"/>
              </w:rPr>
              <w:t>μ</w:t>
            </w:r>
            <w:r>
              <w:t>ℳ</w:t>
            </w:r>
            <w:r>
              <w:rPr>
                <w:vertAlign w:val="superscript"/>
              </w:rPr>
              <w:t>μ</w:t>
            </w:r>
            <w:r>
              <w:t xml:space="preserve">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Ward's form Γ</w:t>
            </w:r>
            <w:r>
              <w:rPr>
                <w:vertAlign w:val="superscript"/>
              </w:rPr>
              <w:t>μ</w:t>
            </w:r>
            <w:r>
              <w:t>(p, p) = ∂S̃⁻¹/∂p</w:t>
            </w:r>
            <w:r>
              <w:rPr>
                <w:vertAlign w:val="subscript"/>
              </w:rPr>
              <w:t>μ</w:t>
            </w:r>
            <w:r>
              <w:t xml:space="preserve">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the polarization-sum formula of Section 6.1 gives zero when contracted with k</w:t>
            </w:r>
            <w:r>
              <w:rPr>
                <w:vertAlign w:val="superscript"/>
              </w:rPr>
              <w:t>μ</w:t>
            </w:r>
            <w:r>
              <w:t>,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a term M²g</w:t>
            </w:r>
            <w:r>
              <w:rPr>
                <w:vertAlign w:val="superscript"/>
              </w:rPr>
              <w:t>μν</w:t>
            </w:r>
            <w:r>
              <w:t xml:space="preserve"> in Π</w:t>
            </w:r>
            <w:r>
              <w:rPr>
                <w:vertAlign w:val="superscript"/>
              </w:rPr>
              <w:t>μν</w:t>
            </w:r>
            <w:r>
              <w:t xml:space="preserve">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r>
        <w:t>Lesson 73, Gauge Invariance, collects the same identity as a statement that observables do not depend on the gauge, including the ξ of Lesson 71.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 Identities</dc:title>
  <dc:subject>Lesson 72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