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Kets, Bras, and the Schrödinger Equation</w:t>
      </w:r>
    </w:p>
    <w:p>
      <w:pPr>
        <w:pStyle w:val="Subtitle"/>
        <w:jc w:val="center"/>
      </w:pPr>
      <w:r>
        <w:t>Prologue 8 of Quantum, Actually, Volume 2: A QED Course</w:t>
      </w:r>
    </w:p>
    <w:p>
      <w:pPr>
        <w:jc w:val="center"/>
      </w:pPr>
      <w:r>
        <w:t>Lothar J. Musiol</w:t>
      </w:r>
    </w:p>
    <w:p>
      <w:r>
        <w:br/>
      </w:r>
    </w:p>
    <w:p>
      <w:pPr>
        <w:jc w:val="center"/>
      </w:pPr>
      <w:r>
        <w:rPr>
          <w:b/>
          <w:sz w:val="26"/>
        </w:rPr>
        <w:t>A ket names a situation; a bra asks it a question; the answer is one of Prologue 1's arrows. The Schrödinger equation is the stopwatch that turns those arrows as time passes</w:t>
      </w:r>
    </w:p>
    <w:p>
      <w:r>
        <w:br/>
        <w:br/>
      </w:r>
    </w:p>
    <w:p>
      <w:pPr>
        <w:jc w:val="center"/>
      </w:pPr>
      <w:r>
        <w:t>First edition, 2026</w:t>
      </w:r>
    </w:p>
    <w:p>
      <w:r>
        <w:br w:type="page"/>
      </w:r>
    </w:p>
    <w:p>
      <w:pPr>
        <w:pStyle w:val="Heading2"/>
      </w:pPr>
      <w:r>
        <w:t>How to use this prologue</w:t>
      </w:r>
    </w:p>
    <w:p>
      <w:r>
        <w:t>The symbols | ⟩ and ⟨ | look like a secret handshake. They are not. A ket is a name for a complete physical situation; a bra is a question you ask that situation; the answer is one of the arrows of Prologues 1–6, a complex number. The second half of this prologue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The whole of quantum mechanics is: situations combine like Prologue 1's arrows. So kets add, and they can be stretched by a complex number. That is Lesson 1's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keepNext/>
        <w:spacing w:before="160" w:after="40"/>
        <w:jc w:val="center"/>
      </w:pPr>
      <w:r>
        <w:drawing>
          <wp:inline xmlns:a="http://schemas.openxmlformats.org/drawingml/2006/main" xmlns:pic="http://schemas.openxmlformats.org/drawingml/2006/picture">
            <wp:extent cx="5120640" cy="853440"/>
            <wp:docPr id="1" name="Picture 1"/>
            <wp:cNvGraphicFramePr>
              <a:graphicFrameLocks noChangeAspect="1"/>
            </wp:cNvGraphicFramePr>
            <a:graphic>
              <a:graphicData uri="http://schemas.openxmlformats.org/drawingml/2006/picture">
                <pic:pic>
                  <pic:nvPicPr>
                    <pic:cNvPr id="0" name="P8_braket.png"/>
                    <pic:cNvPicPr/>
                  </pic:nvPicPr>
                  <pic:blipFill>
                    <a:blip r:embed="rId11"/>
                    <a:stretch>
                      <a:fillRect/>
                    </a:stretch>
                  </pic:blipFill>
                  <pic:spPr>
                    <a:xfrm>
                      <a:off x="0" y="0"/>
                      <a:ext cx="5120640" cy="853440"/>
                    </a:xfrm>
                    <a:prstGeom prst="rect"/>
                  </pic:spPr>
                </pic:pic>
              </a:graphicData>
            </a:graphic>
          </wp:inline>
        </w:drawing>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Prologue 2 in this notation.</w:t>
      </w:r>
    </w:p>
    <w:p>
      <w:pPr>
        <w:pStyle w:val="Heading2"/>
      </w:pPr>
      <w:r>
        <w:t>3 Normalization</w:t>
      </w:r>
    </w:p>
    <w:p>
      <w:r>
        <w:t>⟨ψ|ψ⟩=1 means: if you ask "is it this situation?", and it is this situation, the arrow has length 1, P=1. If a ket is not normalized, divide by its length. Lesson 10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A ket is not a little particle. A bra is not a machine in the lab. ⟨φ|ψ⟩ is not "φ times ψ" in the sense of multiplying two waves on a blackboard until Lesson 10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9; Lesson 51</w:t>
            </w:r>
          </w:p>
        </w:tc>
      </w:tr>
      <w:tr>
        <w:tc>
          <w:tcPr>
            <w:tcW w:type="dxa" w:w="3264"/>
            <w:vAlign w:val="center"/>
            <w:shd w:fill="EAF2F8"/>
            <w:tcMar>
              <w:top w:w="100" w:type="dxa"/>
              <w:start w:w="100" w:type="dxa"/>
              <w:bottom w:w="100" w:type="dxa"/>
              <w:end w:w="100" w:type="dxa"/>
            </w:tcMar>
          </w:tcPr>
          <w:p>
            <w:r>
              <w:t>iℏ d|ψ⟩/dt=Ĥ|ψ⟩</w:t>
            </w:r>
          </w:p>
        </w:tc>
        <w:tc>
          <w:tcPr>
            <w:tcW w:type="dxa" w:w="6528"/>
            <w:vAlign w:val="center"/>
            <w:shd w:fill="EAF2F8"/>
            <w:tcMar>
              <w:top w:w="100" w:type="dxa"/>
              <w:start w:w="100" w:type="dxa"/>
              <w:bottom w:w="100" w:type="dxa"/>
              <w:end w:w="100" w:type="dxa"/>
            </w:tcMar>
          </w:tcPr>
          <w:p>
            <w:r>
              <w:t>Lesson 12, in full</w:t>
            </w:r>
          </w:p>
        </w:tc>
      </w:tr>
      <w:tr>
        <w:tc>
          <w:tcPr>
            <w:tcW w:type="dxa" w:w="3264"/>
            <w:vAlign w:val="center"/>
            <w:tcMar>
              <w:top w:w="100" w:type="dxa"/>
              <w:start w:w="100" w:type="dxa"/>
              <w:bottom w:w="100" w:type="dxa"/>
              <w:end w:w="100" w:type="dxa"/>
            </w:tcMar>
          </w:tcPr>
          <w:p>
            <w:r>
              <w:t>Rotation rate E/ℏ</w:t>
            </w:r>
          </w:p>
        </w:tc>
        <w:tc>
          <w:tcPr>
            <w:tcW w:type="dxa" w:w="6528"/>
            <w:vAlign w:val="center"/>
            <w:tcMar>
              <w:top w:w="100" w:type="dxa"/>
              <w:start w:w="100" w:type="dxa"/>
              <w:bottom w:w="100" w:type="dxa"/>
              <w:end w:w="100" w:type="dxa"/>
            </w:tcMar>
          </w:tcPr>
          <w:p>
            <w:r>
              <w:t>Prologue 1 color; photon energy</w:t>
            </w:r>
          </w:p>
        </w:tc>
      </w:tr>
      <w:tr>
        <w:tc>
          <w:tcPr>
            <w:tcW w:type="dxa" w:w="3264"/>
            <w:vAlign w:val="center"/>
            <w:shd w:fill="EAF2F8"/>
            <w:tcMar>
              <w:top w:w="100" w:type="dxa"/>
              <w:start w:w="100" w:type="dxa"/>
              <w:bottom w:w="100" w:type="dxa"/>
              <w:end w:w="100" w:type="dxa"/>
            </w:tcMar>
          </w:tcPr>
          <w:p>
            <w:r>
              <w:t>Stationary P</w:t>
            </w:r>
          </w:p>
        </w:tc>
        <w:tc>
          <w:tcPr>
            <w:tcW w:type="dxa" w:w="6528"/>
            <w:vAlign w:val="center"/>
            <w:shd w:fill="EAF2F8"/>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10"/>
        </w:numPr>
      </w:pPr>
      <w:r>
        <w:t>A ket names a situation.</w:t>
      </w:r>
    </w:p>
    <w:p>
      <w:pPr>
        <w:pStyle w:val="ListNumber"/>
        <w:numPr>
          <w:ilvl w:val="0"/>
          <w:numId w:val="10"/>
        </w:numPr>
      </w:pPr>
      <w:r>
        <w:t>A bra asks a yes-amount question.</w:t>
      </w:r>
    </w:p>
    <w:p>
      <w:pPr>
        <w:pStyle w:val="ListNumber"/>
        <w:numPr>
          <w:ilvl w:val="0"/>
          <w:numId w:val="10"/>
        </w:numPr>
      </w:pPr>
      <w:r>
        <w:t>The sandwich is Prologue 1's arrow.</w:t>
      </w:r>
    </w:p>
    <w:p>
      <w:pPr>
        <w:pStyle w:val="ListNumber"/>
        <w:numPr>
          <w:ilvl w:val="0"/>
          <w:numId w:val="10"/>
        </w:numPr>
      </w:pPr>
      <w:r>
        <w:t>Its length squared is the probability.</w:t>
      </w:r>
    </w:p>
    <w:p>
      <w:pPr>
        <w:pStyle w:val="ListNumber"/>
        <w:numPr>
          <w:ilvl w:val="0"/>
          <w:numId w:val="10"/>
        </w:numPr>
      </w:pPr>
      <w:r>
        <w:t>Lesson 10 is this, with integrals.</w:t>
      </w:r>
    </w:p>
    <w:p>
      <w:pPr>
        <w:pStyle w:val="ListNumber"/>
        <w:numPr>
          <w:ilvl w:val="0"/>
          <w:numId w:val="10"/>
        </w:numPr>
      </w:pPr>
      <w:r>
        <w:t>The Schrödinger equation says how a ket changes.</w:t>
      </w:r>
    </w:p>
    <w:p>
      <w:pPr>
        <w:pStyle w:val="ListNumber"/>
        <w:numPr>
          <w:ilvl w:val="0"/>
          <w:numId w:val="10"/>
        </w:numPr>
      </w:pPr>
      <w:r>
        <w:t>Ĥ is the energy machine.</w:t>
      </w:r>
    </w:p>
    <w:p>
      <w:pPr>
        <w:pStyle w:val="ListNumber"/>
        <w:numPr>
          <w:ilvl w:val="0"/>
          <w:numId w:val="10"/>
        </w:numPr>
      </w:pPr>
      <w:r>
        <w:t>One energy: rotate, probabilities sit still.</w:t>
      </w:r>
    </w:p>
    <w:p>
      <w:pPr>
        <w:pStyle w:val="ListNumber"/>
        <w:numPr>
          <w:ilvl w:val="0"/>
          <w:numId w:val="10"/>
        </w:numPr>
      </w:pPr>
      <w:r>
        <w:t>Several energies: relative arrows move, interference ticks.</w:t>
      </w:r>
    </w:p>
    <w:p>
      <w:pPr>
        <w:pStyle w:val="ListNumber"/>
        <w:numPr>
          <w:ilvl w:val="0"/>
          <w:numId w:val="10"/>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Why ⟨φ|ψ⟩* = ⟨ψ|φ⟩, in Prologue 1's arrow language.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Say iℏ d|ψ⟩/dt=Ĥ|ψ⟩ in six words.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If Ĥ|ψ⟩=E|ψ⟩, write |ψ(t)⟩.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Why don't probabilities change in a stationary state?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Connect blue-versus-red rotation to 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What happens if two energies are superposed?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must this equation change for a fast electron?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Where is it solved in this course?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If ℏ=1, what is the period of the phase e</w:t>
            </w:r>
            <w:r>
              <w:rPr>
                <w:vertAlign w:val="superscript"/>
              </w:rPr>
              <w:t>−iEt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Prologue 9 connects the engineer's S-parameters to the S-matrix ⟨f|S|i⟩ and then draws Feynman diagrams slowly, as recipes for those in-to-out arrows.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Kets, Bras, and the Schrödinger Equation</dc:title>
  <dc:subject>Prologue 8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