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S-Matrix and Feynman Diagrams</w:t>
      </w:r>
    </w:p>
    <w:p>
      <w:pPr>
        <w:pStyle w:val="Subtitle"/>
        <w:jc w:val="center"/>
      </w:pPr>
      <w:r>
        <w:t>Prologue 9 of Quantum, Actually, Volume 2: A QED Course</w:t>
      </w:r>
    </w:p>
    <w:p>
      <w:pPr>
        <w:jc w:val="center"/>
      </w:pPr>
      <w:r>
        <w:t>Lothar J. Musiol</w:t>
      </w:r>
    </w:p>
    <w:p>
      <w:r>
        <w:br/>
      </w:r>
    </w:p>
    <w:p>
      <w:pPr>
        <w:jc w:val="center"/>
      </w:pPr>
      <w:r>
        <w:rPr>
          <w:b/>
          <w:sz w:val="26"/>
        </w:rPr>
        <w:t>The engineer's in-and-out waves are the same idea as ⟨f|S|i⟩: arrows from in to out. A Feynman diagram is a recipe for one of those arrows, built from Prologue 5's three actions. Add the recipes, then square</w:t>
      </w:r>
    </w:p>
    <w:p>
      <w:r>
        <w:br/>
        <w:br/>
      </w:r>
    </w:p>
    <w:p>
      <w:pPr>
        <w:jc w:val="center"/>
      </w:pPr>
      <w:r>
        <w:t>First edition, 2026</w:t>
      </w:r>
    </w:p>
    <w:p>
      <w:r>
        <w:br w:type="page"/>
      </w:r>
    </w:p>
    <w:p>
      <w:pPr>
        <w:pStyle w:val="Heading2"/>
      </w:pPr>
      <w:r>
        <w:t>How to use this prologue</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prologue is that dictionary. The second half is a long, slow explanation of Feynman diagrams, the pictures of Prologue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r>
        <w:tc>
          <w:tcPr>
            <w:tcW w:type="dxa" w:w="2160"/>
            <w:vAlign w:val="center"/>
            <w:shd w:fill="EAF2F8"/>
            <w:tcMar>
              <w:top w:w="100" w:type="dxa"/>
              <w:start w:w="100" w:type="dxa"/>
              <w:bottom w:w="100" w:type="dxa"/>
              <w:end w:w="100" w:type="dxa"/>
            </w:tcMar>
          </w:tcPr>
          <w:p>
            <w:r>
              <w:t>straight line</w:t>
            </w:r>
          </w:p>
        </w:tc>
        <w:tc>
          <w:tcPr>
            <w:tcW w:type="dxa" w:w="7632"/>
            <w:vAlign w:val="center"/>
            <w:shd w:fill="EAF2F8"/>
            <w:tcMar>
              <w:top w:w="100" w:type="dxa"/>
              <w:start w:w="100" w:type="dxa"/>
              <w:bottom w:w="100" w:type="dxa"/>
              <w:end w:w="100" w:type="dxa"/>
            </w:tcMar>
          </w:tcPr>
          <w:p>
            <w:r>
              <w:t>Electron (or positron) goes, Prologue 5</w:t>
            </w:r>
          </w:p>
        </w:tc>
      </w:tr>
      <w:tr>
        <w:tc>
          <w:tcPr>
            <w:tcW w:type="dxa" w:w="2160"/>
            <w:vAlign w:val="center"/>
            <w:tcMar>
              <w:top w:w="100" w:type="dxa"/>
              <w:start w:w="100" w:type="dxa"/>
              <w:bottom w:w="100" w:type="dxa"/>
              <w:end w:w="100" w:type="dxa"/>
            </w:tcMar>
          </w:tcPr>
          <w:p>
            <w:r>
              <w:t>wavy line</w:t>
            </w:r>
          </w:p>
        </w:tc>
        <w:tc>
          <w:tcPr>
            <w:tcW w:type="dxa" w:w="7632"/>
            <w:vAlign w:val="center"/>
            <w:tcMar>
              <w:top w:w="100" w:type="dxa"/>
              <w:start w:w="100" w:type="dxa"/>
              <w:bottom w:w="100" w:type="dxa"/>
              <w:end w:w="100" w:type="dxa"/>
            </w:tcMar>
          </w:tcPr>
          <w:p>
            <w:r>
              <w:t>Photon goes</w:t>
            </w:r>
          </w:p>
        </w:tc>
      </w:tr>
      <w:tr>
        <w:tc>
          <w:tcPr>
            <w:tcW w:type="dxa" w:w="2160"/>
            <w:vAlign w:val="center"/>
            <w:shd w:fill="EAF2F8"/>
            <w:tcMar>
              <w:top w:w="100" w:type="dxa"/>
              <w:start w:w="100" w:type="dxa"/>
              <w:bottom w:w="100" w:type="dxa"/>
              <w:end w:w="100" w:type="dxa"/>
            </w:tcMar>
          </w:tcPr>
          <w:p>
            <w:r>
              <w:t>dot, vertex</w:t>
            </w:r>
          </w:p>
        </w:tc>
        <w:tc>
          <w:tcPr>
            <w:tcW w:type="dxa" w:w="7632"/>
            <w:vAlign w:val="center"/>
            <w:shd w:fill="EAF2F8"/>
            <w:tcMar>
              <w:top w:w="100" w:type="dxa"/>
              <w:start w:w="100" w:type="dxa"/>
              <w:bottom w:w="100" w:type="dxa"/>
              <w:end w:w="100" w:type="dxa"/>
            </w:tcMar>
          </w:tcPr>
          <w:p>
            <w:r>
              <w:t>Electron emits or absorbs a photon</w:t>
            </w:r>
          </w:p>
        </w:tc>
      </w:tr>
      <w:tr>
        <w:tc>
          <w:tcPr>
            <w:tcW w:type="dxa" w:w="2160"/>
            <w:vAlign w:val="center"/>
            <w:tcMar>
              <w:top w:w="100" w:type="dxa"/>
              <w:start w:w="100" w:type="dxa"/>
              <w:bottom w:w="100" w:type="dxa"/>
              <w:end w:w="100" w:type="dxa"/>
            </w:tcMar>
          </w:tcPr>
          <w:p>
            <w:r>
              <w:t>external</w:t>
            </w:r>
          </w:p>
        </w:tc>
        <w:tc>
          <w:tcPr>
            <w:tcW w:type="dxa" w:w="7632"/>
            <w:vAlign w:val="center"/>
            <w:tcMar>
              <w:top w:w="100" w:type="dxa"/>
              <w:start w:w="100" w:type="dxa"/>
              <w:bottom w:w="100" w:type="dxa"/>
              <w:end w:w="100" w:type="dxa"/>
            </w:tcMar>
          </w:tcPr>
          <w:p>
            <w:r>
              <w:t>A line that ends on a real in or out particle</w:t>
            </w:r>
          </w:p>
        </w:tc>
      </w:tr>
      <w:tr>
        <w:tc>
          <w:tcPr>
            <w:tcW w:type="dxa" w:w="2160"/>
            <w:vAlign w:val="center"/>
            <w:shd w:fill="EAF2F8"/>
            <w:tcMar>
              <w:top w:w="100" w:type="dxa"/>
              <w:start w:w="100" w:type="dxa"/>
              <w:bottom w:w="100" w:type="dxa"/>
              <w:end w:w="100" w:type="dxa"/>
            </w:tcMar>
          </w:tcPr>
          <w:p>
            <w:r>
              <w:t>internal</w:t>
            </w:r>
          </w:p>
        </w:tc>
        <w:tc>
          <w:tcPr>
            <w:tcW w:type="dxa" w:w="7632"/>
            <w:vAlign w:val="center"/>
            <w:shd w:fill="EAF2F8"/>
            <w:tcMar>
              <w:top w:w="100" w:type="dxa"/>
              <w:start w:w="100" w:type="dxa"/>
              <w:bottom w:w="100" w:type="dxa"/>
              <w:end w:w="100" w:type="dxa"/>
            </w:tcMar>
          </w:tcPr>
          <w:p>
            <w:r>
              <w:t>A line that begins and ends on vertices; not detected</w:t>
            </w:r>
          </w:p>
        </w:tc>
      </w:tr>
      <w:tr>
        <w:tc>
          <w:tcPr>
            <w:tcW w:type="dxa" w:w="2160"/>
            <w:vAlign w:val="center"/>
            <w:tcMar>
              <w:top w:w="100" w:type="dxa"/>
              <w:start w:w="100" w:type="dxa"/>
              <w:bottom w:w="100" w:type="dxa"/>
              <w:end w:w="100" w:type="dxa"/>
            </w:tcMar>
          </w:tcPr>
          <w:p>
            <w:r>
              <w:t>tree</w:t>
            </w:r>
          </w:p>
        </w:tc>
        <w:tc>
          <w:tcPr>
            <w:tcW w:type="dxa" w:w="7632"/>
            <w:vAlign w:val="center"/>
            <w:tcMar>
              <w:top w:w="100" w:type="dxa"/>
              <w:start w:w="100" w:type="dxa"/>
              <w:bottom w:w="100" w:type="dxa"/>
              <w:end w:w="100" w:type="dxa"/>
            </w:tcMar>
          </w:tcPr>
          <w:p>
            <w:r>
              <w:t>A cartoon with no closed loop</w:t>
            </w:r>
          </w:p>
        </w:tc>
      </w:tr>
      <w:tr>
        <w:tc>
          <w:tcPr>
            <w:tcW w:type="dxa" w:w="2160"/>
            <w:vAlign w:val="center"/>
            <w:shd w:fill="EAF2F8"/>
            <w:tcMar>
              <w:top w:w="100" w:type="dxa"/>
              <w:start w:w="100" w:type="dxa"/>
              <w:bottom w:w="100" w:type="dxa"/>
              <w:end w:w="100" w:type="dxa"/>
            </w:tcMar>
          </w:tcPr>
          <w:p>
            <w:r>
              <w:t>loop</w:t>
            </w:r>
          </w:p>
        </w:tc>
        <w:tc>
          <w:tcPr>
            <w:tcW w:type="dxa" w:w="7632"/>
            <w:vAlign w:val="center"/>
            <w:shd w:fill="EAF2F8"/>
            <w:tcMar>
              <w:top w:w="100" w:type="dxa"/>
              <w:start w:w="100" w:type="dxa"/>
              <w:bottom w:w="100" w:type="dxa"/>
              <w:end w:w="100" w:type="dxa"/>
            </w:tcMar>
          </w:tcPr>
          <w:p>
            <w:r>
              <w:t>A closed road of internal lines</w:t>
            </w:r>
          </w:p>
        </w:tc>
      </w:tr>
    </w:tbl>
    <w:p>
      <w:pPr>
        <w:pStyle w:val="Heading2"/>
      </w:pPr>
      <w:r>
        <w:t>1 The two-port you already know</w:t>
      </w:r>
    </w:p>
    <w:p>
      <w:pPr>
        <w:keepNext/>
        <w:spacing w:before="160" w:after="40"/>
        <w:jc w:val="center"/>
      </w:pPr>
      <w:r>
        <w:drawing>
          <wp:inline xmlns:a="http://schemas.openxmlformats.org/drawingml/2006/main" xmlns:pic="http://schemas.openxmlformats.org/drawingml/2006/picture">
            <wp:extent cx="4572000" cy="1278460"/>
            <wp:docPr id="1" name="Picture 1"/>
            <wp:cNvGraphicFramePr>
              <a:graphicFrameLocks noChangeAspect="1"/>
            </wp:cNvGraphicFramePr>
            <a:graphic>
              <a:graphicData uri="http://schemas.openxmlformats.org/drawingml/2006/picture">
                <pic:pic>
                  <pic:nvPicPr>
                    <pic:cNvPr id="0" name="P9_twoport.png"/>
                    <pic:cNvPicPr/>
                  </pic:nvPicPr>
                  <pic:blipFill>
                    <a:blip r:embed="rId11"/>
                    <a:stretch>
                      <a:fillRect/>
                    </a:stretch>
                  </pic:blipFill>
                  <pic:spPr>
                    <a:xfrm>
                      <a:off x="0" y="0"/>
                      <a:ext cx="4572000" cy="1278460"/>
                    </a:xfrm>
                    <a:prstGeom prst="rect"/>
                  </pic:spPr>
                </pic:pic>
              </a:graphicData>
            </a:graphic>
          </wp:inline>
        </w:drawing>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drawing>
          <wp:inline xmlns:a="http://schemas.openxmlformats.org/drawingml/2006/main" xmlns:pic="http://schemas.openxmlformats.org/drawingml/2006/picture">
            <wp:extent cx="5120640" cy="1134342"/>
            <wp:docPr id="2" name="Picture 2"/>
            <wp:cNvGraphicFramePr>
              <a:graphicFrameLocks noChangeAspect="1"/>
            </wp:cNvGraphicFramePr>
            <a:graphic>
              <a:graphicData uri="http://schemas.openxmlformats.org/drawingml/2006/picture">
                <pic:pic>
                  <pic:nvPicPr>
                    <pic:cNvPr id="0" name="P9_marks.png"/>
                    <pic:cNvPicPr/>
                  </pic:nvPicPr>
                  <pic:blipFill>
                    <a:blip r:embed="rId12"/>
                    <a:stretch>
                      <a:fillRect/>
                    </a:stretch>
                  </pic:blipFill>
                  <pic:spPr>
                    <a:xfrm>
                      <a:off x="0" y="0"/>
                      <a:ext cx="5120640" cy="1134342"/>
                    </a:xfrm>
                    <a:prstGeom prst="rect"/>
                  </pic:spPr>
                </pic:pic>
              </a:graphicData>
            </a:graphic>
          </wp:inline>
        </w:drawing>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People argue about time pointing up or to the right. This course, matching Lesson 50,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drawing>
          <wp:inline xmlns:a="http://schemas.openxmlformats.org/drawingml/2006/main" xmlns:pic="http://schemas.openxmlformats.org/drawingml/2006/picture">
            <wp:extent cx="4206240" cy="1870154"/>
            <wp:docPr id="3" name="Picture 3"/>
            <wp:cNvGraphicFramePr>
              <a:graphicFrameLocks noChangeAspect="1"/>
            </wp:cNvGraphicFramePr>
            <a:graphic>
              <a:graphicData uri="http://schemas.openxmlformats.org/drawingml/2006/picture">
                <pic:pic>
                  <pic:nvPicPr>
                    <pic:cNvPr id="0" name="L45_vertex.png"/>
                    <pic:cNvPicPr/>
                  </pic:nvPicPr>
                  <pic:blipFill>
                    <a:blip r:embed="rId13"/>
                    <a:stretch>
                      <a:fillRect/>
                    </a:stretch>
                  </pic:blipFill>
                  <pic:spPr>
                    <a:xfrm>
                      <a:off x="0" y="0"/>
                      <a:ext cx="4206240" cy="1870154"/>
                    </a:xfrm>
                    <a:prstGeom prst="rect"/>
                  </pic:spPr>
                </pic:pic>
              </a:graphicData>
            </a:graphic>
          </wp:inline>
        </w:drawing>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drawing>
          <wp:inline xmlns:a="http://schemas.openxmlformats.org/drawingml/2006/main" xmlns:pic="http://schemas.openxmlformats.org/drawingml/2006/picture">
            <wp:extent cx="5486400" cy="1810163"/>
            <wp:docPr id="4" name="Picture 4"/>
            <wp:cNvGraphicFramePr>
              <a:graphicFrameLocks noChangeAspect="1"/>
            </wp:cNvGraphicFramePr>
            <a:graphic>
              <a:graphicData uri="http://schemas.openxmlformats.org/drawingml/2006/picture">
                <pic:pic>
                  <pic:nvPicPr>
                    <pic:cNvPr id="0" name="L57_compton.png"/>
                    <pic:cNvPicPr/>
                  </pic:nvPicPr>
                  <pic:blipFill>
                    <a:blip r:embed="rId14"/>
                    <a:stretch>
                      <a:fillRect/>
                    </a:stretch>
                  </pic:blipFill>
                  <pic:spPr>
                    <a:xfrm>
                      <a:off x="0" y="0"/>
                      <a:ext cx="5486400" cy="1810163"/>
                    </a:xfrm>
                    <a:prstGeom prst="rect"/>
                  </pic:spPr>
                </pic:pic>
              </a:graphicData>
            </a:graphic>
          </wp:inline>
        </w:drawing>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drawing>
          <wp:inline xmlns:a="http://schemas.openxmlformats.org/drawingml/2006/main" xmlns:pic="http://schemas.openxmlformats.org/drawingml/2006/picture">
            <wp:extent cx="5120640" cy="1812396"/>
            <wp:docPr id="5" name="Picture 5"/>
            <wp:cNvGraphicFramePr>
              <a:graphicFrameLocks noChangeAspect="1"/>
            </wp:cNvGraphicFramePr>
            <a:graphic>
              <a:graphicData uri="http://schemas.openxmlformats.org/drawingml/2006/picture">
                <pic:pic>
                  <pic:nvPicPr>
                    <pic:cNvPr id="0" name="L53_momentum.png"/>
                    <pic:cNvPicPr/>
                  </pic:nvPicPr>
                  <pic:blipFill>
                    <a:blip r:embed="rId15"/>
                    <a:stretch>
                      <a:fillRect/>
                    </a:stretch>
                  </pic:blipFill>
                  <pic:spPr>
                    <a:xfrm>
                      <a:off x="0" y="0"/>
                      <a:ext cx="5120640" cy="1812396"/>
                    </a:xfrm>
                    <a:prstGeom prst="rect"/>
                  </pic:spPr>
                </pic:pic>
              </a:graphicData>
            </a:graphic>
          </wp:inline>
        </w:drawing>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drawing>
          <wp:inline xmlns:a="http://schemas.openxmlformats.org/drawingml/2006/main" xmlns:pic="http://schemas.openxmlformats.org/drawingml/2006/picture">
            <wp:extent cx="5486400" cy="1810163"/>
            <wp:docPr id="6" name="Picture 6"/>
            <wp:cNvGraphicFramePr>
              <a:graphicFrameLocks noChangeAspect="1"/>
            </wp:cNvGraphicFramePr>
            <a:graphic>
              <a:graphicData uri="http://schemas.openxmlformats.org/drawingml/2006/picture">
                <pic:pic>
                  <pic:nvPicPr>
                    <pic:cNvPr id="0" name="L57_compton.png"/>
                    <pic:cNvPicPr/>
                  </pic:nvPicPr>
                  <pic:blipFill>
                    <a:blip r:embed="rId14"/>
                    <a:stretch>
                      <a:fillRect/>
                    </a:stretch>
                  </pic:blipFill>
                  <pic:spPr>
                    <a:xfrm>
                      <a:off x="0" y="0"/>
                      <a:ext cx="5486400" cy="1810163"/>
                    </a:xfrm>
                    <a:prstGeom prst="rect"/>
                  </pic:spPr>
                </pic:pic>
              </a:graphicData>
            </a:graphic>
          </wp:inline>
        </w:drawing>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r>
        <w:t>Lesson 57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drawing>
          <wp:inline xmlns:a="http://schemas.openxmlformats.org/drawingml/2006/main" xmlns:pic="http://schemas.openxmlformats.org/drawingml/2006/picture">
            <wp:extent cx="5486400" cy="2524817"/>
            <wp:docPr id="7" name="Picture 7"/>
            <wp:cNvGraphicFramePr>
              <a:graphicFrameLocks noChangeAspect="1"/>
            </wp:cNvGraphicFramePr>
            <a:graphic>
              <a:graphicData uri="http://schemas.openxmlformats.org/drawingml/2006/picture">
                <pic:pic>
                  <pic:nvPicPr>
                    <pic:cNvPr id="0" name="L55_moller.png"/>
                    <pic:cNvPicPr/>
                  </pic:nvPicPr>
                  <pic:blipFill>
                    <a:blip r:embed="rId16"/>
                    <a:stretch>
                      <a:fillRect/>
                    </a:stretch>
                  </pic:blipFill>
                  <pic:spPr>
                    <a:xfrm>
                      <a:off x="0" y="0"/>
                      <a:ext cx="5486400" cy="2524817"/>
                    </a:xfrm>
                    <a:prstGeom prst="rect"/>
                  </pic:spPr>
                </pic:pic>
              </a:graphicData>
            </a:graphic>
          </wp:inline>
        </w:drawing>
      </w:r>
    </w:p>
    <w:p>
      <w:pPr>
        <w:spacing w:after="200"/>
        <w:jc w:val="center"/>
      </w:pPr>
      <w:r>
        <w:rPr>
          <w:i/>
          <w:sz w:val="19"/>
        </w:rPr>
        <w:t>Figure P9.7. Møller scattering: two identical electrons, two diagrams, a relative minus sign (Prologue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drawing>
          <wp:inline xmlns:a="http://schemas.openxmlformats.org/drawingml/2006/main" xmlns:pic="http://schemas.openxmlformats.org/drawingml/2006/picture">
            <wp:extent cx="5486400" cy="1742400"/>
            <wp:docPr id="8" name="Picture 8"/>
            <wp:cNvGraphicFramePr>
              <a:graphicFrameLocks noChangeAspect="1"/>
            </wp:cNvGraphicFramePr>
            <a:graphic>
              <a:graphicData uri="http://schemas.openxmlformats.org/drawingml/2006/picture">
                <pic:pic>
                  <pic:nvPicPr>
                    <pic:cNvPr id="0" name="L56_annihilation.png"/>
                    <pic:cNvPicPr/>
                  </pic:nvPicPr>
                  <pic:blipFill>
                    <a:blip r:embed="rId17"/>
                    <a:stretch>
                      <a:fillRect/>
                    </a:stretch>
                  </pic:blipFill>
                  <pic:spPr>
                    <a:xfrm>
                      <a:off x="0" y="0"/>
                      <a:ext cx="5486400" cy="1742400"/>
                    </a:xfrm>
                    <a:prstGeom prst="rect"/>
                  </pic:spPr>
                </pic:pic>
              </a:graphicData>
            </a:graphic>
          </wp:inline>
        </w:drawing>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(Lesson 86).</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drawing>
          <wp:inline xmlns:a="http://schemas.openxmlformats.org/drawingml/2006/main" xmlns:pic="http://schemas.openxmlformats.org/drawingml/2006/picture">
            <wp:extent cx="5486400" cy="2228359"/>
            <wp:docPr id="9" name="Picture 9"/>
            <wp:cNvGraphicFramePr>
              <a:graphicFrameLocks noChangeAspect="1"/>
            </wp:cNvGraphicFramePr>
            <a:graphic>
              <a:graphicData uri="http://schemas.openxmlformats.org/drawingml/2006/picture">
                <pic:pic>
                  <pic:nvPicPr>
                    <pic:cNvPr id="0" name="L62_topologies.png"/>
                    <pic:cNvPicPr/>
                  </pic:nvPicPr>
                  <pic:blipFill>
                    <a:blip r:embed="rId18"/>
                    <a:stretch>
                      <a:fillRect/>
                    </a:stretch>
                  </pic:blipFill>
                  <pic:spPr>
                    <a:xfrm>
                      <a:off x="0" y="0"/>
                      <a:ext cx="5486400" cy="2228359"/>
                    </a:xfrm>
                    <a:prstGeom prst="rect"/>
                  </pic:spPr>
                </pic:pic>
              </a:graphicData>
            </a:graphic>
          </wp:inline>
        </w:drawing>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(Lesson 64). The electron that enters and the electron that leaves are still external if they hit a detector. The loop is an insertion on the line. It shifts the mass; Lesson 68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If you need a clock picture, draw two time-ordered graphs and add them. If you are willing to let Lesson 47's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5;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10"/>
        </w:numPr>
      </w:pPr>
      <w:r>
        <w:t>S-parameters are arrows from in-waves to out-waves.</w:t>
      </w:r>
    </w:p>
    <w:p>
      <w:pPr>
        <w:pStyle w:val="ListNumber"/>
        <w:numPr>
          <w:ilvl w:val="0"/>
          <w:numId w:val="10"/>
        </w:numPr>
      </w:pPr>
      <w:r>
        <w:t>|S</w:t>
      </w:r>
      <w:r>
        <w:rPr>
          <w:vertAlign w:val="subscript"/>
        </w:rPr>
        <w:t>ij</w:t>
      </w:r>
      <w:r>
        <w:t>|² is power in the microwave, probability in QED.</w:t>
      </w:r>
    </w:p>
    <w:p>
      <w:pPr>
        <w:pStyle w:val="ListNumber"/>
        <w:numPr>
          <w:ilvl w:val="0"/>
          <w:numId w:val="10"/>
        </w:numPr>
      </w:pPr>
      <w:r>
        <w:t>⟨f|S|i⟩ is the same idea for particles.</w:t>
      </w:r>
    </w:p>
    <w:p>
      <w:pPr>
        <w:pStyle w:val="ListNumber"/>
        <w:numPr>
          <w:ilvl w:val="0"/>
          <w:numId w:val="10"/>
        </w:numPr>
      </w:pPr>
      <w:r>
        <w:t>Glass was an S₁₁. Compton is a bigger S.</w:t>
      </w:r>
    </w:p>
    <w:p>
      <w:pPr>
        <w:pStyle w:val="ListNumber"/>
        <w:numPr>
          <w:ilvl w:val="0"/>
          <w:numId w:val="10"/>
        </w:numPr>
      </w:pPr>
      <w:r>
        <w:t>Lesson 51 converts |ℳ|² into a cross section, the particle version of |S₂₁|² times a flux.</w:t>
      </w:r>
    </w:p>
    <w:p>
      <w:pPr>
        <w:pStyle w:val="ListNumber"/>
        <w:numPr>
          <w:ilvl w:val="0"/>
          <w:numId w:val="10"/>
        </w:numPr>
      </w:pPr>
      <w:r>
        <w:t>Straight = electron goes. Wavy = photon goes. Dot = vertex. Only two-straight-plus-one-wavy dots are legal.</w:t>
      </w:r>
    </w:p>
    <w:p>
      <w:pPr>
        <w:pStyle w:val="ListNumber"/>
        <w:numPr>
          <w:ilvl w:val="0"/>
          <w:numId w:val="10"/>
        </w:numPr>
      </w:pPr>
      <w:r>
        <w:t>A diagram is a recipe for one arrow, not a photograph of a collision.</w:t>
      </w:r>
    </w:p>
    <w:p>
      <w:pPr>
        <w:pStyle w:val="ListNumber"/>
        <w:numPr>
          <w:ilvl w:val="0"/>
          <w:numId w:val="10"/>
        </w:numPr>
      </w:pPr>
      <w:r>
        <w:t>External lines are real on-shell particles; internal lines are virtual cables, off shell, not detected.</w:t>
      </w:r>
    </w:p>
    <w:p>
      <w:pPr>
        <w:pStyle w:val="ListNumber"/>
        <w:numPr>
          <w:ilvl w:val="0"/>
          <w:numId w:val="10"/>
        </w:numPr>
      </w:pPr>
      <w:r>
        <w:t>Each cartoon is one arrow. Add every undistinguished cartoon, then square.</w:t>
      </w:r>
    </w:p>
    <w:p>
      <w:pPr>
        <w:pStyle w:val="ListNumber"/>
        <w:numPr>
          <w:ilvl w:val="0"/>
          <w:numId w:val="10"/>
        </w:numPr>
      </w:pPr>
      <w:r>
        <w:t>Compton needs two cartoons (internal electron). Møller needs exchange cartoons (internal photon). Annihilation is the same alphabet rotated.</w:t>
      </w:r>
    </w:p>
    <w:p>
      <w:pPr>
        <w:pStyle w:val="ListNumber"/>
        <w:numPr>
          <w:ilvl w:val="0"/>
          <w:numId w:val="10"/>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Three-port, one in, two out (a decay into two particles). Which S-column is the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Draw the three legal marks and write the English sentence for each.</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is a four-line vertex illegal in QED?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In one sentence, what is a virtual line?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Why must Compton's two cartoons be added before squaring?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Is a bubble-chamber track a Feynman diagram? Say why in two sentences.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What S-parameter is a diagram computing, in the first half of this prologue's language?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Draw, as words or marks, e⁺e⁻ → two photons, including the crossed cartoon.</w:t>
            </w:r>
          </w:p>
        </w:tc>
      </w:tr>
      <w:tr>
        <w:tc>
          <w:tcPr>
            <w:tcW w:type="dxa" w:w="720"/>
            <w:vAlign w:val="center"/>
            <w:tcMar>
              <w:top w:w="100" w:type="dxa"/>
              <w:start w:w="100" w:type="dxa"/>
              <w:bottom w:w="100" w:type="dxa"/>
              <w:end w:w="100" w:type="dxa"/>
            </w:tcMar>
          </w:tcPr>
          <w:p>
            <w:r>
              <w:t>17</w:t>
            </w:r>
          </w:p>
        </w:tc>
        <w:tc>
          <w:tcPr>
            <w:tcW w:type="dxa" w:w="9072"/>
            <w:vAlign w:val="center"/>
            <w:tcMar>
              <w:top w:w="100" w:type="dxa"/>
              <w:start w:w="100" w:type="dxa"/>
              <w:bottom w:w="100" w:type="dxa"/>
              <w:end w:w="100" w:type="dxa"/>
            </w:tcMar>
          </w:tcPr>
          <w:p>
            <w:r>
              <w:rPr>
                <w:b/>
              </w:rPr>
              <w:t>Extension.</w:t>
            </w:r>
            <w:r>
              <w:t xml:space="preserve"> Why can a single on-shell photon not become e⁺e⁻ by itself?</w:t>
            </w:r>
          </w:p>
        </w:tc>
      </w:tr>
      <w:tr>
        <w:tc>
          <w:tcPr>
            <w:tcW w:type="dxa" w:w="720"/>
            <w:vAlign w:val="center"/>
            <w:shd w:fill="EAF2F8"/>
            <w:tcMar>
              <w:top w:w="100" w:type="dxa"/>
              <w:start w:w="100" w:type="dxa"/>
              <w:bottom w:w="100" w:type="dxa"/>
              <w:end w:w="100" w:type="dxa"/>
            </w:tcMar>
          </w:tcPr>
          <w:p>
            <w:r>
              <w:t>18</w:t>
            </w:r>
          </w:p>
        </w:tc>
        <w:tc>
          <w:tcPr>
            <w:tcW w:type="dxa" w:w="9072"/>
            <w:vAlign w:val="center"/>
            <w:shd w:fill="EAF2F8"/>
            <w:tcMar>
              <w:top w:w="100" w:type="dxa"/>
              <w:start w:w="100" w:type="dxa"/>
              <w:bottom w:w="100" w:type="dxa"/>
              <w:end w:w="100" w:type="dxa"/>
            </w:tcMar>
          </w:tcPr>
          <w:p>
            <w:r>
              <w:rPr>
                <w:b/>
              </w:rPr>
              <w:t>Challenge.</w:t>
            </w:r>
            <w:r>
              <w:t xml:space="preserv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19</w:t>
            </w:r>
          </w:p>
        </w:tc>
        <w:tc>
          <w:tcPr>
            <w:tcW w:type="dxa" w:w="9072"/>
            <w:vAlign w:val="center"/>
            <w:tcMar>
              <w:top w:w="100" w:type="dxa"/>
              <w:start w:w="100" w:type="dxa"/>
              <w:bottom w:w="100" w:type="dxa"/>
              <w:end w:w="100" w:type="dxa"/>
            </w:tcMar>
          </w:tcPr>
          <w:p>
            <w:r>
              <w:rPr>
                <w:b/>
              </w:rPr>
              <w:t>Extension.</w:t>
            </w:r>
            <w:r>
              <w:t xml:space="preserve"> 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20</w:t>
            </w:r>
          </w:p>
        </w:tc>
        <w:tc>
          <w:tcPr>
            <w:tcW w:type="dxa" w:w="9072"/>
            <w:vAlign w:val="center"/>
            <w:shd w:fill="EAF2F8"/>
            <w:tcMar>
              <w:top w:w="100" w:type="dxa"/>
              <w:start w:w="100" w:type="dxa"/>
              <w:bottom w:w="100" w:type="dxa"/>
              <w:end w:w="100" w:type="dxa"/>
            </w:tcMar>
          </w:tcPr>
          <w:p>
            <w:r>
              <w:rPr>
                <w:b/>
              </w:rPr>
              <w:t>Extension.</w:t>
            </w:r>
            <w:r>
              <w:t xml:space="preserve"> For Compton cartoon A, write the four-momentum at each vertex in terms of p, k, p′, k′.</w:t>
            </w:r>
          </w:p>
        </w:tc>
      </w:tr>
      <w:tr>
        <w:tc>
          <w:tcPr>
            <w:tcW w:type="dxa" w:w="720"/>
            <w:vAlign w:val="center"/>
            <w:tcMar>
              <w:top w:w="100" w:type="dxa"/>
              <w:start w:w="100" w:type="dxa"/>
              <w:bottom w:w="100" w:type="dxa"/>
              <w:end w:w="100" w:type="dxa"/>
            </w:tcMar>
          </w:tcPr>
          <w:p>
            <w:r>
              <w:t>21</w:t>
            </w:r>
          </w:p>
        </w:tc>
        <w:tc>
          <w:tcPr>
            <w:tcW w:type="dxa" w:w="9072"/>
            <w:vAlign w:val="center"/>
            <w:tcMar>
              <w:top w:w="100" w:type="dxa"/>
              <w:start w:w="100" w:type="dxa"/>
              <w:bottom w:w="100" w:type="dxa"/>
              <w:end w:w="100" w:type="dxa"/>
            </w:tcMar>
          </w:tcPr>
          <w:p>
            <w:r>
              <w:rPr>
                <w:b/>
              </w:rPr>
              <w:t>Core.</w:t>
            </w:r>
            <w:r>
              <w:t xml:space="preserve"> 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22</w:t>
            </w:r>
          </w:p>
        </w:tc>
        <w:tc>
          <w:tcPr>
            <w:tcW w:type="dxa" w:w="9072"/>
            <w:vAlign w:val="center"/>
            <w:shd w:fill="EAF2F8"/>
            <w:tcMar>
              <w:top w:w="100" w:type="dxa"/>
              <w:start w:w="100" w:type="dxa"/>
              <w:bottom w:w="100" w:type="dxa"/>
              <w:end w:w="100" w:type="dxa"/>
            </w:tcMar>
          </w:tcPr>
          <w:p>
            <w:r>
              <w:rPr>
                <w:b/>
              </w:rPr>
              <w:t>Extension.</w:t>
            </w:r>
            <w:r>
              <w:t xml:space="preserve"> 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23</w:t>
            </w:r>
          </w:p>
        </w:tc>
        <w:tc>
          <w:tcPr>
            <w:tcW w:type="dxa" w:w="9072"/>
            <w:vAlign w:val="center"/>
            <w:tcMar>
              <w:top w:w="100" w:type="dxa"/>
              <w:start w:w="100" w:type="dxa"/>
              <w:bottom w:w="100" w:type="dxa"/>
              <w:end w:w="100" w:type="dxa"/>
            </w:tcMar>
          </w:tcPr>
          <w:p>
            <w:r>
              <w:rPr>
                <w:b/>
              </w:rPr>
              <w:t>Extension.</w:t>
            </w:r>
            <w:r>
              <w:t xml:space="preserve"> 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24</w:t>
            </w:r>
          </w:p>
        </w:tc>
        <w:tc>
          <w:tcPr>
            <w:tcW w:type="dxa" w:w="9072"/>
            <w:vAlign w:val="center"/>
            <w:shd w:fill="EAF2F8"/>
            <w:tcMar>
              <w:top w:w="100" w:type="dxa"/>
              <w:start w:w="100" w:type="dxa"/>
              <w:bottom w:w="100" w:type="dxa"/>
              <w:end w:w="100" w:type="dxa"/>
            </w:tcMar>
          </w:tcPr>
          <w:p>
            <w:r>
              <w:rPr>
                <w:b/>
              </w:rPr>
              <w:t>Challenge.</w:t>
            </w:r>
            <w:r>
              <w:t xml:space="preserve"> Two electrons in, two electrons out, two internal photons, four vertices, a box. Is that a tree? What process is it a correction to?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r>
        <w:t>Lesson 1 starts the algebra: the arrows of the prologues are complex numbers, now with full rules. The diagrams return as a precise recipe in Lesson 50.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S-Matrix and Feynman Diagrams</dc:title>
  <dc:subject>Prologue 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