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Your First YouTube</w:t>
        <w:br/>
        <w:t>Channel That Sells</w:t>
      </w:r>
    </w:p>
    <w:p>
      <w:pPr>
        <w:pStyle w:val="Subtitle"/>
      </w:pPr>
      <w:r>
        <w:t>How to Make Videos Cheaply, Win the Click, and Build a Channel That Can Pay</w:t>
      </w:r>
    </w:p>
    <w:p>
      <w:r>
        <w:t>A working guide for creators who want a channel, not a hobby.</w:t>
      </w:r>
    </w:p>
    <w:p>
      <w:r>
        <w:t>Updated September 2026</w:t>
      </w:r>
    </w:p>
    <w:p>
      <w:pPr>
        <w:pStyle w:val="Heading1"/>
      </w:pPr>
      <w:r>
        <w:t>Contents</w:t>
      </w:r>
    </w:p>
    <w:p>
      <w:pPr/>
      <w:hyperlink w:anchor="ch0">
        <w:r>
          <w:rPr>
            <w:rFonts w:ascii="Calibri" w:hAnsi="Calibri"/>
            <w:sz w:val="22"/>
            <w:color w:val="1F4E79"/>
            <w:u w:val="single"/>
          </w:rPr>
          <w:t>Start here</w:t>
        </w:r>
      </w:hyperlink>
    </w:p>
    <w:p>
      <w:pPr/>
      <w:hyperlink w:anchor="ch1">
        <w:r>
          <w:rPr>
            <w:rFonts w:ascii="Calibri" w:hAnsi="Calibri"/>
            <w:sz w:val="22"/>
            <w:color w:val="1F4E79"/>
            <w:u w:val="single"/>
          </w:rPr>
          <w:t>1 The Click Is the Whole Business</w:t>
        </w:r>
      </w:hyperlink>
    </w:p>
    <w:p>
      <w:pPr/>
      <w:hyperlink w:anchor="ch2">
        <w:r>
          <w:rPr>
            <w:rFonts w:ascii="Calibri" w:hAnsi="Calibri"/>
            <w:sz w:val="22"/>
            <w:color w:val="1F4E79"/>
            <w:u w:val="single"/>
          </w:rPr>
          <w:t>2 Nobody Can Tell What It Cost</w:t>
        </w:r>
      </w:hyperlink>
    </w:p>
    <w:p>
      <w:pPr/>
      <w:hyperlink w:anchor="ch3">
        <w:r>
          <w:rPr>
            <w:rFonts w:ascii="Calibri" w:hAnsi="Calibri"/>
            <w:sz w:val="22"/>
            <w:color w:val="1F4E79"/>
            <w:u w:val="single"/>
          </w:rPr>
          <w:t>3 Where the Money Actually Comes From</w:t>
        </w:r>
      </w:hyperlink>
    </w:p>
    <w:p>
      <w:pPr/>
      <w:hyperlink w:anchor="ch4">
        <w:r>
          <w:rPr>
            <w:rFonts w:ascii="Calibri" w:hAnsi="Calibri"/>
            <w:sz w:val="22"/>
            <w:color w:val="1F4E79"/>
            <w:u w:val="single"/>
          </w:rPr>
          <w:t>Official sources and updates</w:t>
        </w:r>
      </w:hyperlink>
    </w:p>
    <w:p>
      <w:bookmarkStart w:id="1" w:name="ch0"/>
      <w:pPr>
        <w:pStyle w:val="Heading1"/>
      </w:pPr>
      <w:r>
        <w:t>Start here</w:t>
      </w:r>
      <w:bookmarkEnd w:id="1"/>
    </w:p>
    <w:p>
      <w:r>
        <w:rPr>
          <w:rFonts w:ascii="Calibri" w:hAnsi="Calibri"/>
        </w:rPr>
        <w:t>A channel starts when a stranger can find a video, tell what it offers, and decide it is worth their time. This guide is the process for doing that on a small budget: make the video cheaply, win the click honestly, and know which numbers a platform requires before it pays you.</w:t>
      </w:r>
    </w:p>
    <w:p>
      <w:r>
        <w:rPr>
          <w:rFonts w:ascii="Calibri" w:hAnsi="Calibri"/>
        </w:rPr>
        <w:t>Read the chapters in order if you are starting. If you already post, open the chapter that matches the problem you can see.</w:t>
      </w:r>
    </w:p>
    <w:p>
      <w:r>
        <w:rPr>
          <w:rFonts w:ascii="Calibri" w:hAnsi="Calibri"/>
        </w:rPr>
        <w:t>Chapter 1 is the click. A thumbnail and a title win or lose the viewer before a second of the video plays. The chapter covers the title, description, and tag limits you can count in the upload form, the words that can suppress reach, captions, retention as creator consensus rather than a published formula, and a short-form to long-form posting rhythm.</w:t>
      </w:r>
    </w:p>
    <w:p>
      <w:r>
        <w:rPr>
          <w:rFonts w:ascii="Calibri" w:hAnsi="Calibri"/>
        </w:rPr>
        <w:t>Chapter 2 is production. Footage, music, a voice, and an export each have a free or near-free tool. None of those tools tell you what you are allowed to publish. The license check is yours.</w:t>
      </w:r>
    </w:p>
    <w:p>
      <w:r>
        <w:rPr>
          <w:rFonts w:ascii="Calibri" w:hAnsi="Calibri"/>
        </w:rPr>
        <w:t>Chapter 3 is the money. A subscriber count is not a monetized channel. YouTube’s Partner Program has two gates, a second channel starts back at zero, other platforms pay on different terms that change quickly, and an affiliate link does not depend on any one of those programs surviving.</w:t>
      </w:r>
    </w:p>
    <w:p>
      <w:r>
        <w:rPr>
          <w:rFonts w:ascii="Calibri" w:hAnsi="Calibri"/>
        </w:rPr>
        <w:t>Character limits, export settings, and eligibility rules are stated as facts because they are checkable in the product. Ranking behavior and retention percentages are labeled as inference or creator consensus. Tool prices and platform thresholds move. Recheck the upload form and the linked help pages before you build a plan on a specific number.</w:t>
      </w:r>
    </w:p>
    <w:p>
      <w:r>
        <w:rPr>
          <w:rFonts w:ascii="Calibri" w:hAnsi="Calibri"/>
        </w:rPr>
        <w:t>This is a companion to a Kindle publishing guide, not a chapter of it. It does not tell you what your videos should be about, and it is not legal, tax, or official platform advice.</w:t>
      </w:r>
    </w:p>
    <w:p>
      <w:bookmarkStart w:id="2" w:name="ch1"/>
      <w:pPr>
        <w:pStyle w:val="Heading1"/>
      </w:pPr>
      <w:r>
        <w:t>1 The Click Is the Whole Business</w:t>
      </w:r>
      <w:bookmarkEnd w:id="2"/>
    </w:p>
    <w:p>
      <w:r>
        <w:rPr>
          <w:rFonts w:ascii="Calibri" w:hAnsi="Calibri"/>
          <w:i/>
        </w:rPr>
        <w:t>What a thumbnail, a title, and ninety seconds of metadata decide before a single second of the video has played — and the words that quietly cost you money.</w:t>
      </w:r>
    </w:p>
    <w:p>
      <w:r>
        <w:rPr>
          <w:rFonts w:ascii="Calibri" w:hAnsi="Calibri"/>
        </w:rPr>
        <w:t>Nobody watches a video because it is good. They watch because a thumbnail and a title, sitting next to a dozen competitors, won a fight that lasted under a second. The video can be the best thing you have ever made; if it loses that fight, nobody finds out. Everything in this chapter is about winning it honestly, and about the handful of small, checkable facts — a character limit, a banned category of words, a caption file — that decide whether the win holds up after the click.</w:t>
      </w:r>
    </w:p>
    <w:p>
      <w:r>
        <w:rPr>
          <w:rFonts w:ascii="Calibri" w:hAnsi="Calibri"/>
        </w:rPr>
        <w:t>Ranking mechanics are treated as inference unless a platform policy is cited directly. Character limits and interface steps are stated as fact because they are checkable in the upload form itself; confirm them there before you build anything on top of this chapter.</w:t>
      </w:r>
    </w:p>
    <w:p>
      <w:pPr>
        <w:pStyle w:val="Heading2"/>
      </w:pPr>
      <w:r>
        <w:t>I. The title: one keyword, one benefit, one hook</w:t>
      </w:r>
    </w:p>
    <w:p>
      <w:r>
        <w:rPr>
          <w:rFonts w:ascii="Calibri" w:hAnsi="Calibri"/>
        </w:rPr>
        <w:t>A title has 100 characters, and YouTube counts every one — letters, numbers, commas, spaces, hyphens. That is roughly twelve words. There is no room for a title that describes the video; there is only room for one that gets it clicked.</w:t>
      </w:r>
    </w:p>
    <w:p>
      <w:r>
        <w:rPr>
          <w:rFonts w:ascii="Calibri" w:hAnsi="Calibri"/>
        </w:rPr>
        <w:t>The working formula is three parts, in this order:</w:t>
      </w:r>
    </w:p>
    <w:p>
      <w:pPr>
        <w:pStyle w:val="ListNumber"/>
      </w:pPr>
      <w:r>
        <w:rPr>
          <w:rFonts w:ascii="Calibri" w:hAnsi="Calibri"/>
          <w:b/>
        </w:rPr>
        <w:t>The keyword</w:t>
      </w:r>
      <w:r>
        <w:rPr>
          <w:rFonts w:ascii="Calibri" w:hAnsi="Calibri"/>
        </w:rPr>
        <w:t xml:space="preserve"> — the exact phrase a stranger would type into the search bar, not a clever paraphrase of it.</w:t>
      </w:r>
    </w:p>
    <w:p>
      <w:pPr>
        <w:pStyle w:val="ListNumber"/>
      </w:pPr>
      <w:r>
        <w:rPr>
          <w:rFonts w:ascii="Calibri" w:hAnsi="Calibri"/>
          <w:b/>
        </w:rPr>
        <w:t>The benefit</w:t>
      </w:r>
      <w:r>
        <w:rPr>
          <w:rFonts w:ascii="Calibri" w:hAnsi="Calibri"/>
        </w:rPr>
        <w:t xml:space="preserve"> — what the viewer walks away with, stated plainly.</w:t>
      </w:r>
    </w:p>
    <w:p>
      <w:pPr>
        <w:pStyle w:val="ListNumber"/>
      </w:pPr>
      <w:r>
        <w:rPr>
          <w:rFonts w:ascii="Calibri" w:hAnsi="Calibri"/>
          <w:b/>
        </w:rPr>
        <w:t>The hook</w:t>
      </w:r>
      <w:r>
        <w:rPr>
          <w:rFonts w:ascii="Calibri" w:hAnsi="Calibri"/>
        </w:rPr>
        <w:t xml:space="preserve"> — the one detail that makes this version of the topic worth clicking over the other nine.</w:t>
      </w:r>
    </w:p>
    <w:p>
      <w:r>
        <w:rPr>
          <w:rFonts w:ascii="Calibri" w:hAnsi="Calibri"/>
        </w:rPr>
        <w:t>A title that leads with the hook and buries the keyword reads well and ranks poorly; search does not give credit for personality it cannot parse. Put the keyword first when the two goals conflict.</w:t>
      </w:r>
    </w:p>
    <w:p>
      <w:pPr>
        <w:pStyle w:val="Heading2"/>
      </w:pPr>
      <w:r>
        <w:t>II. Tags and description: what the form actually limits</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0"/>
              </w:rPr>
            </w:r>
            <w:r>
              <w:rPr>
                <w:rFonts w:ascii="Calibri" w:hAnsi="Calibri"/>
                <w:b/>
                <w:sz w:val="20"/>
              </w:rPr>
              <w:t>Field</w:t>
            </w:r>
          </w:p>
        </w:tc>
        <w:tc>
          <w:tcPr>
            <w:tcW w:type="dxa" w:w="2688"/>
            <w:tcW w:w="2160" w:type="dxa"/>
            <w:shd w:val="clear" w:color="auto" w:fill="F3F1EA"/>
          </w:tcPr>
          <w:p>
            <w:pPr>
              <w:spacing w:after="40" w:before="40"/>
            </w:pPr>
            <w:r>
              <w:rPr>
                <w:rFonts w:ascii="Calibri" w:hAnsi="Calibri"/>
                <w:b/>
                <w:sz w:val="20"/>
              </w:rPr>
            </w:r>
            <w:r>
              <w:rPr>
                <w:rFonts w:ascii="Calibri" w:hAnsi="Calibri"/>
                <w:b/>
                <w:sz w:val="20"/>
              </w:rPr>
              <w:t>Character limit</w:t>
            </w:r>
          </w:p>
        </w:tc>
        <w:tc>
          <w:tcPr>
            <w:tcW w:type="dxa" w:w="2688"/>
            <w:tcW w:w="3744" w:type="dxa"/>
            <w:shd w:val="clear" w:color="auto" w:fill="F3F1EA"/>
          </w:tcPr>
          <w:p>
            <w:pPr>
              <w:spacing w:after="40" w:before="40"/>
            </w:pPr>
            <w:r>
              <w:rPr>
                <w:rFonts w:ascii="Calibri" w:hAnsi="Calibri"/>
                <w:b/>
                <w:sz w:val="20"/>
              </w:rPr>
            </w:r>
            <w:r>
              <w:rPr>
                <w:rFonts w:ascii="Calibri" w:hAnsi="Calibri"/>
                <w:b/>
                <w:sz w:val="20"/>
              </w:rPr>
              <w:t>What that means in practice</w:t>
            </w:r>
          </w:p>
        </w:tc>
      </w:tr>
      <w:tr>
        <w:tc>
          <w:tcPr>
            <w:tcW w:type="dxa" w:w="2688"/>
            <w:tcW w:w="2160" w:type="dxa"/>
          </w:tcPr>
          <w:p>
            <w:pPr>
              <w:spacing w:after="40" w:before="40"/>
            </w:pPr>
            <w:r>
              <w:rPr>
                <w:rFonts w:ascii="Calibri" w:hAnsi="Calibri"/>
                <w:sz w:val="20"/>
              </w:rPr>
            </w:r>
            <w:r>
              <w:rPr>
                <w:rFonts w:ascii="Calibri" w:hAnsi="Calibri"/>
                <w:sz w:val="20"/>
              </w:rPr>
              <w:t>Title</w:t>
            </w:r>
          </w:p>
        </w:tc>
        <w:tc>
          <w:tcPr>
            <w:tcW w:type="dxa" w:w="2688"/>
            <w:tcW w:w="2160" w:type="dxa"/>
          </w:tcPr>
          <w:p>
            <w:pPr>
              <w:spacing w:after="40" w:before="40"/>
            </w:pPr>
            <w:r>
              <w:rPr>
                <w:rFonts w:ascii="Calibri" w:hAnsi="Calibri"/>
                <w:sz w:val="20"/>
              </w:rPr>
            </w:r>
            <w:r>
              <w:rPr>
                <w:rFonts w:ascii="Calibri" w:hAnsi="Calibri"/>
                <w:sz w:val="20"/>
              </w:rPr>
              <w:t>100</w:t>
            </w:r>
          </w:p>
        </w:tc>
        <w:tc>
          <w:tcPr>
            <w:tcW w:type="dxa" w:w="2688"/>
            <w:tcW w:w="3744" w:type="dxa"/>
          </w:tcPr>
          <w:p>
            <w:pPr>
              <w:spacing w:after="40" w:before="40"/>
            </w:pPr>
            <w:r>
              <w:rPr>
                <w:rFonts w:ascii="Calibri" w:hAnsi="Calibri"/>
                <w:sz w:val="20"/>
              </w:rPr>
            </w:r>
            <w:r>
              <w:rPr>
                <w:rFonts w:ascii="Calibri" w:hAnsi="Calibri"/>
                <w:sz w:val="20"/>
              </w:rPr>
              <w:t>About twelve words. Front-load the keyword.</w:t>
            </w:r>
          </w:p>
        </w:tc>
      </w:tr>
      <w:tr>
        <w:tc>
          <w:tcPr>
            <w:tcW w:type="dxa" w:w="2688"/>
            <w:tcW w:w="2160" w:type="dxa"/>
          </w:tcPr>
          <w:p>
            <w:pPr>
              <w:spacing w:after="40" w:before="40"/>
            </w:pPr>
            <w:r>
              <w:rPr>
                <w:rFonts w:ascii="Calibri" w:hAnsi="Calibri"/>
                <w:sz w:val="20"/>
              </w:rPr>
            </w:r>
            <w:r>
              <w:rPr>
                <w:rFonts w:ascii="Calibri" w:hAnsi="Calibri"/>
                <w:sz w:val="20"/>
              </w:rPr>
              <w:t>Description</w:t>
            </w:r>
          </w:p>
        </w:tc>
        <w:tc>
          <w:tcPr>
            <w:tcW w:type="dxa" w:w="2688"/>
            <w:tcW w:w="2160" w:type="dxa"/>
          </w:tcPr>
          <w:p>
            <w:pPr>
              <w:spacing w:after="40" w:before="40"/>
            </w:pPr>
            <w:r>
              <w:rPr>
                <w:rFonts w:ascii="Calibri" w:hAnsi="Calibri"/>
                <w:sz w:val="20"/>
              </w:rPr>
            </w:r>
            <w:r>
              <w:rPr>
                <w:rFonts w:ascii="Calibri" w:hAnsi="Calibri"/>
                <w:sz w:val="20"/>
              </w:rPr>
              <w:t>5,000</w:t>
            </w:r>
          </w:p>
        </w:tc>
        <w:tc>
          <w:tcPr>
            <w:tcW w:type="dxa" w:w="2688"/>
            <w:tcW w:w="3744" w:type="dxa"/>
          </w:tcPr>
          <w:p>
            <w:pPr>
              <w:spacing w:after="40" w:before="40"/>
            </w:pPr>
            <w:r>
              <w:rPr>
                <w:rFonts w:ascii="Calibri" w:hAnsi="Calibri"/>
                <w:sz w:val="20"/>
              </w:rPr>
            </w:r>
            <w:r>
              <w:rPr>
                <w:rFonts w:ascii="Calibri" w:hAnsi="Calibri"/>
                <w:sz w:val="20"/>
              </w:rPr>
              <w:t>Generous, but only the first two lines show before “more” — write those two lines as if they are the whole description.</w:t>
            </w:r>
          </w:p>
        </w:tc>
      </w:tr>
      <w:tr>
        <w:tc>
          <w:tcPr>
            <w:tcW w:type="dxa" w:w="2688"/>
            <w:tcW w:w="2160" w:type="dxa"/>
          </w:tcPr>
          <w:p>
            <w:pPr>
              <w:spacing w:after="40" w:before="40"/>
            </w:pPr>
            <w:r>
              <w:rPr>
                <w:rFonts w:ascii="Calibri" w:hAnsi="Calibri"/>
                <w:sz w:val="20"/>
              </w:rPr>
            </w:r>
            <w:r>
              <w:rPr>
                <w:rFonts w:ascii="Calibri" w:hAnsi="Calibri"/>
                <w:sz w:val="20"/>
              </w:rPr>
              <w:t>Tags</w:t>
            </w:r>
          </w:p>
        </w:tc>
        <w:tc>
          <w:tcPr>
            <w:tcW w:type="dxa" w:w="2688"/>
            <w:tcW w:w="2160" w:type="dxa"/>
          </w:tcPr>
          <w:p>
            <w:pPr>
              <w:spacing w:after="40" w:before="40"/>
            </w:pPr>
            <w:r>
              <w:rPr>
                <w:rFonts w:ascii="Calibri" w:hAnsi="Calibri"/>
                <w:sz w:val="20"/>
              </w:rPr>
            </w:r>
            <w:r>
              <w:rPr>
                <w:rFonts w:ascii="Calibri" w:hAnsi="Calibri"/>
                <w:sz w:val="20"/>
              </w:rPr>
              <w:t>500 total</w:t>
            </w:r>
          </w:p>
        </w:tc>
        <w:tc>
          <w:tcPr>
            <w:tcW w:type="dxa" w:w="2688"/>
            <w:tcW w:w="3744" w:type="dxa"/>
          </w:tcPr>
          <w:p>
            <w:pPr>
              <w:spacing w:after="40" w:before="40"/>
            </w:pPr>
            <w:r>
              <w:rPr>
                <w:rFonts w:ascii="Calibri" w:hAnsi="Calibri"/>
                <w:sz w:val="20"/>
              </w:rPr>
            </w:r>
            <w:r>
              <w:rPr>
                <w:rFonts w:ascii="Calibri" w:hAnsi="Calibri"/>
                <w:sz w:val="20"/>
              </w:rPr>
              <w:t>Not per tag — the whole list shares one budget. Fifteen specific tags beat thirty vague ones.</w:t>
            </w:r>
          </w:p>
        </w:tc>
      </w:tr>
    </w:tbl>
    <w:p/>
    <w:p>
      <w:r>
        <w:rPr>
          <w:rFonts w:ascii="Calibri" w:hAnsi="Calibri"/>
        </w:rPr>
        <w:t>All three limits count every character, not just letters: a comma, a space, and a hyphen each cost exactly as much as a letter does. A tag list padded with long, wordy phrases can hit the 500-character ceiling far sooner than it looks.</w:t>
      </w:r>
    </w:p>
    <w:p>
      <w:r>
        <w:rPr>
          <w:rFonts w:ascii="Calibri" w:hAnsi="Calibri"/>
        </w:rPr>
        <w:t>The description’s first two lines are the only part most viewers ever see without clicking “more” — put the keyword and the concrete benefit there, not a throat-clearing introduction. Everything after that — chapters, a fuller explanation, links — is read by the small fraction of viewers who expand it, and, separately, by YouTube’s indexing of the page itself.</w:t>
      </w:r>
    </w:p>
    <w:p>
      <w:r>
        <w:rPr>
          <w:rFonts w:ascii="Calibri" w:hAnsi="Calibri"/>
        </w:rPr>
        <w:t>Tags are a weaker signal than they were a decade ago, but they still tell the system which cluster of videos yours belongs to. Fifteen to twenty specific tags — the exact phrases a viewer would search, plus the exact phrases you say out loud in the video — do more work than a long list of generic ones.</w:t>
      </w:r>
    </w:p>
    <w:p>
      <w:pPr>
        <w:pStyle w:val="Heading2"/>
      </w:pPr>
      <w:r>
        <w:t>III. The words that cost you money</w:t>
      </w:r>
    </w:p>
    <w:p>
      <w:r>
        <w:rPr>
          <w:rFonts w:ascii="Calibri" w:hAnsi="Calibri"/>
        </w:rPr>
        <w:t>Some words hurt a video’s reach and monetization not because they are false, but because they sit in a category the platform treats cautiously regardless of context: language describing desperation, crisis, or hopelessness reads to an automated content-safety system as mental-health or crisis content, whatever the video is actually about. The practical cost is real — reduced recommendations, a limited-ads label, or Shorts suppression — even when the content itself is calm, accurate, and meant to help.</w:t>
      </w:r>
    </w:p>
    <w:p>
      <w:r>
        <w:rPr>
          <w:rFonts w:ascii="Calibri" w:hAnsi="Calibri"/>
        </w:rPr>
        <w:t>This is a real category in the platform’s advertiser-friendly content guidelines, not a superstition, but the exact triggering mechanics are not something this chapter can state precisely — the systems involved are not published in that level of detail, and they change. Confirm the current guidelines before you title or tag anything in a sensitive-adjacent niche (personal finance, health, relationships, weight loss, legal trouble). Treat this chapter’s version as the shape of the constraint, not its current fine print.</w:t>
      </w:r>
    </w:p>
    <w:p>
      <w:r>
        <w:rPr>
          <w:rFonts w:ascii="Calibri" w:hAnsi="Calibri"/>
        </w:rPr>
        <w:t>The workaround is not to avoid the underlying feeling — it is to describe it through the specific, searchable version of the problem instead of the crisis word for it. A fitness video can say “stuck at the same weight for six months” instead of “hopeless”; a personal-finance video can name the specific situation instead of naming the despair. Both keep the emotional hook a viewer searches for without landing in the category that suppresses reach. The rule of thumb: if a tag would look at home in a crisis-hotline resource list, it does not belong in a video’s metadata, no matter how accurately it describes how the viewer feels.</w:t>
      </w:r>
    </w:p>
    <w:p>
      <w:pPr>
        <w:pStyle w:val="Heading2"/>
      </w:pPr>
      <w:r>
        <w:t>IV. Captions and subtitles: the record the algorithm reads</w:t>
      </w:r>
    </w:p>
    <w:p>
      <w:r>
        <w:rPr>
          <w:rFonts w:ascii="Calibri" w:hAnsi="Calibri"/>
        </w:rPr>
        <w:t>Captions are not just an accessibility feature, though they are that too. They are a text transcript of the entire video sitting in the platform’s index — which means the words you actually say are searchable in a way the video itself is not.</w:t>
      </w:r>
    </w:p>
    <w:p>
      <w:r>
        <w:rPr>
          <w:rFonts w:ascii="Calibri" w:hAnsi="Calibri"/>
        </w:rPr>
        <w:t xml:space="preserve">Viewers control captions entirely on their own: a </w:t>
      </w:r>
      <w:r>
        <w:rPr>
          <w:rFonts w:ascii="Calibri" w:hAnsi="Calibri"/>
          <w:b/>
        </w:rPr>
        <w:t>CC</w:t>
      </w:r>
      <w:r>
        <w:rPr>
          <w:rFonts w:ascii="Calibri" w:hAnsi="Calibri"/>
        </w:rPr>
        <w:t xml:space="preserve"> button in the player, a keyboard shortcut, or a per-account setting to have them on by default, in whatever language and style the viewer prefers. Nothing about them is forced on anyone except </w:t>
      </w:r>
      <w:r>
        <w:rPr>
          <w:rFonts w:ascii="Calibri" w:hAnsi="Calibri"/>
          <w:b/>
        </w:rPr>
        <w:t>burned-in</w:t>
      </w:r>
      <w:r>
        <w:rPr>
          <w:rFonts w:ascii="Calibri" w:hAnsi="Calibri"/>
        </w:rPr>
        <w:t xml:space="preserve"> (open) captions, which are baked into the video image itself and cannot be toggled off — a different, permanent choice, not the same thing as the closed captions this chapter means.</w:t>
      </w:r>
    </w:p>
    <w:p>
      <w:r>
        <w:rPr>
          <w:rFonts w:ascii="Calibri" w:hAnsi="Calibri"/>
        </w:rPr>
        <w:t>As the creator, the practical options for adding them, in order of effort versus accuracy:</w:t>
      </w:r>
    </w:p>
    <w:p>
      <w:pPr>
        <w:pStyle w:val="ListBullet"/>
      </w:pPr>
      <w:r>
        <w:rPr>
          <w:rFonts w:ascii="Calibri" w:hAnsi="Calibri"/>
          <w:b/>
        </w:rPr>
        <w:t>Upload a caption file</w:t>
      </w:r>
      <w:r>
        <w:rPr>
          <w:rFonts w:ascii="Calibri" w:hAnsi="Calibri"/>
        </w:rPr>
        <w:t xml:space="preserve"> (</w:t>
      </w:r>
      <w:r>
        <w:rPr>
          <w:rFonts w:ascii="Calibri" w:hAnsi="Calibri"/>
        </w:rPr>
        <w:t>.srt</w:t>
      </w:r>
      <w:r>
        <w:rPr>
          <w:rFonts w:ascii="Calibri" w:hAnsi="Calibri"/>
        </w:rPr>
        <w:t xml:space="preserve">, </w:t>
      </w:r>
      <w:r>
        <w:rPr>
          <w:rFonts w:ascii="Calibri" w:hAnsi="Calibri"/>
        </w:rPr>
        <w:t>.vtt</w:t>
      </w:r>
      <w:r>
        <w:rPr>
          <w:rFonts w:ascii="Calibri" w:hAnsi="Calibri"/>
        </w:rPr>
        <w:t xml:space="preserve">, </w:t>
      </w:r>
      <w:r>
        <w:rPr>
          <w:rFonts w:ascii="Calibri" w:hAnsi="Calibri"/>
        </w:rPr>
        <w:t>.sbv</w:t>
      </w:r>
      <w:r>
        <w:rPr>
          <w:rFonts w:ascii="Calibri" w:hAnsi="Calibri"/>
        </w:rPr>
        <w:t>) you already have — the most accurate option, and the only one worth using for anything scripted.</w:t>
      </w:r>
    </w:p>
    <w:p>
      <w:pPr>
        <w:pStyle w:val="ListBullet"/>
      </w:pPr>
      <w:r>
        <w:rPr>
          <w:rFonts w:ascii="Calibri" w:hAnsi="Calibri"/>
          <w:b/>
        </w:rPr>
        <w:t>Auto-sync a plain transcript</w:t>
      </w:r>
      <w:r>
        <w:rPr>
          <w:rFonts w:ascii="Calibri" w:hAnsi="Calibri"/>
        </w:rPr>
        <w:t xml:space="preserve"> you paste in — you supply the words, the platform supplies the timing.</w:t>
      </w:r>
    </w:p>
    <w:p>
      <w:pPr>
        <w:pStyle w:val="ListBullet"/>
      </w:pPr>
      <w:r>
        <w:rPr>
          <w:rFonts w:ascii="Calibri" w:hAnsi="Calibri"/>
          <w:b/>
        </w:rPr>
        <w:t>Edit the automatic captions</w:t>
      </w:r>
      <w:r>
        <w:rPr>
          <w:rFonts w:ascii="Calibri" w:hAnsi="Calibri"/>
        </w:rPr>
        <w:t xml:space="preserve"> the platform generates for every video — always review these before publishing; automatic transcription reliably mangles names, accents, and anything said over background noise.</w:t>
      </w:r>
    </w:p>
    <w:p>
      <w:r>
        <w:rPr>
          <w:rFonts w:ascii="Calibri" w:hAnsi="Calibri"/>
        </w:rPr>
        <w:t>Publish the caption track once it is accurate, not before — an uncorrected automatic transcript full of misheard names is worse for a viewer than no captions at all, even though it is technically searchable text.</w:t>
      </w:r>
    </w:p>
    <w:p>
      <w:pPr>
        <w:pStyle w:val="Heading2"/>
      </w:pPr>
      <w:r>
        <w:t>V. Retention: the signal you cannot see, and the numbers nobody can cite</w:t>
      </w:r>
    </w:p>
    <w:p>
      <w:r>
        <w:rPr>
          <w:rFonts w:ascii="Calibri" w:hAnsi="Calibri"/>
        </w:rPr>
        <w:t>The single most repeated claim among working creators is that retention — the percentage of a video’s length an average viewer actually watches — matters more than any metadata in this chapter. That claim is plausible and close to universal among people who post regularly about the platform’s mechanics. It is also not something the platform itself publishes as a formula, which means every specific number attached to it — “aim for 50% retention at one minute,” “35% by the end” — is a commonly repeated benchmark among creators, not a published target. Use round numbers like that as a sanity check on your own videos over time, not as a pass/fail grade on any single one.</w:t>
      </w:r>
    </w:p>
    <w:p>
      <w:r>
        <w:rPr>
          <w:rFonts w:ascii="Calibri" w:hAnsi="Calibri"/>
        </w:rPr>
        <w:t>What is checkable, because it is a structural fact about how people watch rather than a claim about the algorithm: a video that loses most of its audience in the first ten seconds cannot recover in the ranking no matter how good minute three is. Put the reason to keep watching before the introduction, not after it.</w:t>
      </w:r>
    </w:p>
    <w:p>
      <w:pPr>
        <w:pStyle w:val="Heading2"/>
      </w:pPr>
      <w:r>
        <w:t>VI. A posting rhythm that does not burn out</w:t>
      </w:r>
    </w:p>
    <w:p>
      <w:r>
        <w:rPr>
          <w:rFonts w:ascii="Calibri" w:hAnsi="Calibri"/>
        </w:rPr>
        <w:t>A short-form clip and a long-form video are not competitors for the same attention; a well-built channel uses the short one to find new viewers and the long one to turn them into a session. A short with no reason to seek out the fuller video is a dead end; a long video with no short-form clip pointing at it is invisible to anyone who does not already subscribe.</w:t>
      </w:r>
    </w:p>
    <w:p>
      <w:r>
        <w:rPr>
          <w:rFonts w:ascii="Calibri" w:hAnsi="Calibri"/>
        </w:rPr>
        <w:t>Linking them is mechanical, not creative: naming the long video as the short’s “related video,” pinning a comment with the link, and — the strongest version — showing the destination inside the short itself rather than only describing it. Do all three; none of them substitutes for the others.</w:t>
      </w:r>
    </w:p>
    <w:p>
      <w:r>
        <w:rPr>
          <w:rFonts w:ascii="Calibri" w:hAnsi="Calibri"/>
        </w:rPr>
        <w:t>On cadence: posting something every week is a defensible floor for staying visible to a platform that rewards consistency, not a guarantee of anything. A schedule you keep for six months beats an ambitious one you abandon in three.</w:t>
      </w:r>
    </w:p>
    <w:p>
      <w:pPr>
        <w:pStyle w:val="Heading2"/>
      </w:pPr>
      <w:r>
        <w:t>VII. Claims that do not survive an upload form</w:t>
      </w:r>
    </w:p>
    <w:p>
      <w:pPr>
        <w:pStyle w:val="ListBullet"/>
      </w:pPr>
      <w:r>
        <w:rPr>
          <w:rFonts w:ascii="Calibri" w:hAnsi="Calibri"/>
        </w:rPr>
        <w:t>That tags barely matter anymore. They matter less than a decade ago; they still tell the system which cluster of content yours belongs to, and the 500-character budget is real.</w:t>
      </w:r>
    </w:p>
    <w:p>
      <w:pPr>
        <w:pStyle w:val="ListBullet"/>
      </w:pPr>
      <w:r>
        <w:rPr>
          <w:rFonts w:ascii="Calibri" w:hAnsi="Calibri"/>
        </w:rPr>
        <w:t>That a longer description with more keywords always helps. Only the first two lines are read by most humans; padding past that helps indexing marginally and helps conversion not at all.</w:t>
      </w:r>
    </w:p>
    <w:p>
      <w:pPr>
        <w:pStyle w:val="ListBullet"/>
      </w:pPr>
      <w:r>
        <w:rPr>
          <w:rFonts w:ascii="Calibri" w:hAnsi="Calibri"/>
        </w:rPr>
        <w:t>That emotionally honest tags and platform-safe tags are opposites. The fix in §III is usually a rewording, not a retreat from the honest angle.</w:t>
      </w:r>
    </w:p>
    <w:p>
      <w:pPr>
        <w:pStyle w:val="ListBullet"/>
      </w:pPr>
      <w:r>
        <w:rPr>
          <w:rFonts w:ascii="Calibri" w:hAnsi="Calibri"/>
        </w:rPr>
        <w:t>That a specific retention percentage is a published rule. It is a widely repeated benchmark among creators, not a number the platform states — treat it as a compass, not a grade.</w:t>
      </w:r>
    </w:p>
    <w:p>
      <w:pPr>
        <w:pStyle w:val="ListBullet"/>
      </w:pPr>
      <w:r>
        <w:rPr>
          <w:rFonts w:ascii="Calibri" w:hAnsi="Calibri"/>
        </w:rPr>
        <w:t>That burned-in captions and closed captions are the same feature with different names. One is permanent and can’t be turned off; the other is entirely the viewer’s choice.</w:t>
      </w:r>
    </w:p>
    <w:p>
      <w:r>
        <w:rPr>
          <w:rFonts w:ascii="Calibri" w:hAnsi="Calibri"/>
        </w:rPr>
        <w:t>A last limit. This chapter will not tell you what to make a video about, and it will not make a bad thumbnail’s underlying video good. What it will do is refuse the version of “I posted it and nobody watched” that blames the algorithm for a title that buried its own keyword, a tag list that tripped a content-safety category by accident, or captions nobody bothered to correct. Confirm the current interface and policy pages before you rely on any specific number in this chapter — they move; the shape of the problem does not.</w:t>
      </w:r>
    </w:p>
    <w:p>
      <w:r>
        <w:rPr>
          <w:rFonts w:ascii="Calibri" w:hAnsi="Calibri"/>
          <w:i/>
        </w:rPr>
        <w:t>Sources: YouTube Studio’s own upload interface (title/description/tag character limits and captions workflow, verified directly in the tool). YouTube’s advertiser-friendly content guidelines (the general existence of a sensitive-content category affecting monetization and reach — confirm current specifics before publishing in an adjacent niche). Retention benchmarks and posting-cadence figures in this chapter are creator consensus, not published platform figures, and are labeled as such throughout.</w:t>
      </w:r>
    </w:p>
    <w:p>
      <w:r>
        <w:rPr>
          <w:rFonts w:ascii="Calibri" w:hAnsi="Calibri"/>
          <w:i/>
        </w:rPr>
        <w:t>Not an official YouTube publication. Interface details change; verify in Studio before you rely on them.</w:t>
      </w:r>
    </w:p>
    <w:p>
      <w:bookmarkStart w:id="3" w:name="ch2"/>
      <w:pPr>
        <w:pStyle w:val="Heading1"/>
      </w:pPr>
      <w:r>
        <w:t>2 Nobody Can Tell What It Cost</w:t>
      </w:r>
      <w:bookmarkEnd w:id="3"/>
    </w:p>
    <w:p>
      <w:r>
        <w:rPr>
          <w:rFonts w:ascii="Calibri" w:hAnsi="Calibri"/>
          <w:i/>
        </w:rPr>
        <w:t>A tour of the free and near-free tools that generate footage, cut it together, score it, and put a voice on it — and the one habit none of them will build for you: checking what you are actually allowed to use.</w:t>
      </w:r>
    </w:p>
    <w:p>
      <w:r>
        <w:rPr>
          <w:rFonts w:ascii="Calibri" w:hAnsi="Calibri"/>
        </w:rPr>
        <w:t>A viewer who watches your video to the end has no idea whether it cost four hundred dollars or four dollars to make. They saw a thumbnail, they saw the first few seconds decide whether to keep watching, and then they saw a finished video — nothing about your budget survived the upload. That is the premise of this chapter: every job a first channel needs done — generating or sourcing footage, cutting it together, adding music, adding a voice, exporting it in the right shape — has a free or near-free tool doing it well enough that the gap between “free” and “paid” shows up in your time, not in what the viewer sees.</w:t>
      </w:r>
    </w:p>
    <w:p>
      <w:r>
        <w:rPr>
          <w:rFonts w:ascii="Calibri" w:hAnsi="Calibri"/>
        </w:rPr>
        <w:t>The one thing free tools do not do for you is tell you what you are allowed to do with their output. That check is yours, every time, and it is the thread running through every section below.</w:t>
      </w:r>
    </w:p>
    <w:p>
      <w:pPr>
        <w:jc w:val="center"/>
      </w:pPr>
      <w:r>
        <w:drawing>
          <wp:inline xmlns:a="http://schemas.openxmlformats.org/drawingml/2006/main" xmlns:pic="http://schemas.openxmlformats.org/drawingml/2006/picture">
            <wp:extent cx="5120640" cy="2278685"/>
            <wp:docPr id="1" name="Picture 1" descr="The Free Production Pipeline: five stages — Generate Footage (Sora 2, InVideo, Magic Hour), Stock Footage &amp; Photos (Pexels, Pixabay, Mixkit), Music &amp; Sound (YouTube Audio Library, FreePD, Incompetech), Voice (FineVoice, Revoicer, Turboscribe), and Edit &amp; Export (CapCut, 123apps, FFmpeg) — with a banner reading “Free tool ≠ free to use commercially. Read the license page before you publish.”"/>
            <wp:cNvGraphicFramePr>
              <a:graphicFrameLocks noChangeAspect="1"/>
            </wp:cNvGraphicFramePr>
            <a:graphic>
              <a:graphicData uri="http://schemas.openxmlformats.org/drawingml/2006/picture">
                <pic:pic>
                  <pic:nvPicPr>
                    <pic:cNvPr id="0" name="free-production-pipeline.png"/>
                    <pic:cNvPicPr/>
                  </pic:nvPicPr>
                  <pic:blipFill>
                    <a:blip r:embed="rId9"/>
                    <a:stretch>
                      <a:fillRect/>
                    </a:stretch>
                  </pic:blipFill>
                  <pic:spPr>
                    <a:xfrm>
                      <a:off x="0" y="0"/>
                      <a:ext cx="5120640" cy="2278685"/>
                    </a:xfrm>
                    <a:prstGeom prst="rect"/>
                  </pic:spPr>
                </pic:pic>
              </a:graphicData>
            </a:graphic>
          </wp:inline>
        </w:drawing>
      </w:r>
    </w:p>
    <w:p>
      <w:r>
        <w:rPr>
          <w:rFonts w:ascii="Calibri" w:hAnsi="Calibri"/>
          <w:i/>
        </w:rPr>
        <w:t>The five jobs this chapter covers, in order, with one example tool from each section below. Section numerals match.</w:t>
      </w:r>
    </w:p>
    <w:p>
      <w:pPr>
        <w:pStyle w:val="Heading2"/>
      </w:pPr>
      <w:r>
        <w:t>I. Generating footage without a camera</w:t>
      </w:r>
    </w:p>
    <w:p>
      <w:r>
        <w:rPr>
          <w:rFonts w:ascii="Calibri" w:hAnsi="Calibri"/>
        </w:rPr>
        <w:t xml:space="preserve">Text-to-video generators have crossed from novelty to usable in the last few years: describe a shot, get back several seconds of footage that did not exist an hour ago. Tools worth knowing by name include OpenAI’s </w:t>
      </w:r>
      <w:r>
        <w:rPr>
          <w:rFonts w:ascii="Calibri" w:hAnsi="Calibri"/>
          <w:b/>
        </w:rPr>
        <w:t>Sora 2</w:t>
      </w:r>
      <w:r>
        <w:rPr>
          <w:rFonts w:ascii="Calibri" w:hAnsi="Calibri"/>
        </w:rPr>
        <w:t xml:space="preserve">, </w:t>
      </w:r>
      <w:r>
        <w:rPr>
          <w:rFonts w:ascii="Calibri" w:hAnsi="Calibri"/>
          <w:b/>
        </w:rPr>
        <w:t>InVideo</w:t>
      </w:r>
      <w:r>
        <w:rPr>
          <w:rFonts w:ascii="Calibri" w:hAnsi="Calibri"/>
        </w:rPr>
        <w:t xml:space="preserve">, </w:t>
      </w:r>
      <w:r>
        <w:rPr>
          <w:rFonts w:ascii="Calibri" w:hAnsi="Calibri"/>
          <w:b/>
        </w:rPr>
        <w:t>Media.io</w:t>
      </w:r>
      <w:r>
        <w:rPr>
          <w:rFonts w:ascii="Calibri" w:hAnsi="Calibri"/>
        </w:rPr>
        <w:t xml:space="preserve">, </w:t>
      </w:r>
      <w:r>
        <w:rPr>
          <w:rFonts w:ascii="Calibri" w:hAnsi="Calibri"/>
          <w:b/>
        </w:rPr>
        <w:t>VEED</w:t>
      </w:r>
      <w:r>
        <w:rPr>
          <w:rFonts w:ascii="Calibri" w:hAnsi="Calibri"/>
        </w:rPr>
        <w:t xml:space="preserve">, and </w:t>
      </w:r>
      <w:r>
        <w:rPr>
          <w:rFonts w:ascii="Calibri" w:hAnsi="Calibri"/>
          <w:b/>
        </w:rPr>
        <w:t>Magic Hour</w:t>
      </w:r>
      <w:r>
        <w:rPr>
          <w:rFonts w:ascii="Calibri" w:hAnsi="Calibri"/>
        </w:rPr>
        <w:t xml:space="preserve"> — the last of which bundles far more than video generation into one account: face swap, a talking head built from a single photo, lip sync, voice cloning, image generation, and a handful of restyling filters. </w:t>
      </w:r>
      <w:r>
        <w:rPr>
          <w:rFonts w:ascii="Calibri" w:hAnsi="Calibri"/>
          <w:b/>
        </w:rPr>
        <w:t>Remaker</w:t>
      </w:r>
      <w:r>
        <w:rPr>
          <w:rFonts w:ascii="Calibri" w:hAnsi="Calibri"/>
        </w:rPr>
        <w:t xml:space="preserve"> and </w:t>
      </w:r>
      <w:r>
        <w:rPr>
          <w:rFonts w:ascii="Calibri" w:hAnsi="Calibri"/>
          <w:b/>
        </w:rPr>
        <w:t>Deepswap</w:t>
      </w:r>
      <w:r>
        <w:rPr>
          <w:rFonts w:ascii="Calibri" w:hAnsi="Calibri"/>
        </w:rPr>
        <w:t xml:space="preserve"> focus specifically on face-swap and AI video generation as their core feature. For an on-screen presenter without appearing on camera yourself, </w:t>
      </w:r>
      <w:r>
        <w:rPr>
          <w:rFonts w:ascii="Calibri" w:hAnsi="Calibri"/>
          <w:b/>
        </w:rPr>
        <w:t>HeyGen</w:t>
      </w:r>
      <w:r>
        <w:rPr>
          <w:rFonts w:ascii="Calibri" w:hAnsi="Calibri"/>
        </w:rPr>
        <w:t xml:space="preserve"> and </w:t>
      </w:r>
      <w:r>
        <w:rPr>
          <w:rFonts w:ascii="Calibri" w:hAnsi="Calibri"/>
          <w:b/>
        </w:rPr>
        <w:t>Synthesys</w:t>
      </w:r>
      <w:r>
        <w:rPr>
          <w:rFonts w:ascii="Calibri" w:hAnsi="Calibri"/>
        </w:rPr>
        <w:t xml:space="preserve"> generate a talking AI avatar from a script — useful for an explainer or a tutorial where a presence at the desk matters more than a specific face.</w:t>
      </w:r>
    </w:p>
    <w:p>
      <w:r>
        <w:rPr>
          <w:rFonts w:ascii="Calibri" w:hAnsi="Calibri"/>
        </w:rPr>
        <w:t>Two things to expect going in. First, quality is inconsistent — plan to regenerate a clip two or three times before one is usable, not once. Second, and more important: what you are allowed to do with the output — commercial use, resale, republishing at scale — is set by that specific tool’s terms of service, and those terms differ from tool to tool and change as the tools themselves update. Read the commercial-use section before you publish anything a generator made for you, not just the pricing page.</w:t>
      </w:r>
    </w:p>
    <w:p>
      <w:r>
        <w:rPr>
          <w:rFonts w:ascii="Calibri" w:hAnsi="Calibri"/>
        </w:rPr>
        <w:t xml:space="preserve">A genuinely free-forever tier — no login, no credit limit, no forced upgrade — does exist among these tools, </w:t>
      </w:r>
      <w:r>
        <w:rPr>
          <w:rFonts w:ascii="Calibri" w:hAnsi="Calibri"/>
          <w:b/>
        </w:rPr>
        <w:t>Kapwing</w:t>
      </w:r>
      <w:r>
        <w:rPr>
          <w:rFonts w:ascii="Calibri" w:hAnsi="Calibri"/>
        </w:rPr>
        <w:t xml:space="preserve"> among them; the trade is quality, not just polish. Free-forever generation tends to produce usable abstract motion, stylized animation, and short simple clips, and tends not to produce a realistic human face, accurate lip sync, or more than a few consistent seconds. Reach for it for background motion and concept visuals, and reach for a paid tier only for the specific shot that actually needs the extra realism.</w:t>
      </w:r>
    </w:p>
    <w:p>
      <w:r>
        <w:rPr>
          <w:rFonts w:ascii="Calibri" w:hAnsi="Calibri"/>
        </w:rPr>
        <w:t>One technique is worth knowing regardless of which generator you use: if the tool lets you attach reference images to a prompt, attach the same set — the same character, the same setting — to every shot you generate for one video. It is the difference between a recurring host or location that looks like the same one from shot to shot and one that visibly reinvents itself every clip, and it costs nothing extra to do.</w:t>
      </w:r>
    </w:p>
    <w:p>
      <w:r>
        <w:rPr>
          <w:rFonts w:ascii="Calibri" w:hAnsi="Calibri"/>
        </w:rPr>
        <w:t>Free tiers on the paid tools are usually measured, not unlimited — read the specific number before you plan a video around one. As of the author’s own research, InVideo’s free tier gave roughly ten AI-generation minutes a week, and HeyGen’s gave three finished avatar videos a month, three minutes each; confirm the current figures before relying on either, since free-tier limits are adjusted at least as often as prices are.</w:t>
      </w:r>
    </w:p>
    <w:p>
      <w:pPr>
        <w:pStyle w:val="Heading2"/>
      </w:pPr>
      <w:r>
        <w:t>II. The free stock library, and the license attached to each clip</w:t>
      </w:r>
    </w:p>
    <w:p>
      <w:r>
        <w:rPr>
          <w:rFonts w:ascii="Calibri" w:hAnsi="Calibri"/>
        </w:rPr>
        <w:t>For footage and photos you did not generate yourself, several libraries offer genuinely free, high-quality clips with no subscription required:</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0"/>
              </w:rPr>
            </w:r>
            <w:r>
              <w:rPr>
                <w:rFonts w:ascii="Calibri" w:hAnsi="Calibri"/>
                <w:b/>
                <w:sz w:val="20"/>
              </w:rPr>
              <w:t>Library</w:t>
            </w:r>
          </w:p>
        </w:tc>
        <w:tc>
          <w:tcPr>
            <w:tcW w:type="dxa" w:w="2688"/>
            <w:tcW w:w="2160" w:type="dxa"/>
            <w:shd w:val="clear" w:color="auto" w:fill="F3F1EA"/>
          </w:tcPr>
          <w:p>
            <w:pPr>
              <w:spacing w:after="40" w:before="40"/>
            </w:pPr>
            <w:r>
              <w:rPr>
                <w:rFonts w:ascii="Calibri" w:hAnsi="Calibri"/>
                <w:b/>
                <w:sz w:val="20"/>
              </w:rPr>
            </w:r>
            <w:r>
              <w:rPr>
                <w:rFonts w:ascii="Calibri" w:hAnsi="Calibri"/>
                <w:b/>
                <w:sz w:val="20"/>
              </w:rPr>
              <w:t>Attribution required</w:t>
            </w:r>
          </w:p>
        </w:tc>
        <w:tc>
          <w:tcPr>
            <w:tcW w:type="dxa" w:w="2688"/>
            <w:tcW w:w="3744" w:type="dxa"/>
            <w:shd w:val="clear" w:color="auto" w:fill="F3F1EA"/>
          </w:tcPr>
          <w:p>
            <w:pPr>
              <w:spacing w:after="40" w:before="40"/>
            </w:pPr>
            <w:r>
              <w:rPr>
                <w:rFonts w:ascii="Calibri" w:hAnsi="Calibri"/>
                <w:b/>
                <w:sz w:val="20"/>
              </w:rPr>
            </w:r>
            <w:r>
              <w:rPr>
                <w:rFonts w:ascii="Calibri" w:hAnsi="Calibri"/>
                <w:b/>
                <w:sz w:val="20"/>
              </w:rPr>
              <w:t>Note</w:t>
            </w:r>
          </w:p>
        </w:tc>
      </w:tr>
      <w:tr>
        <w:tc>
          <w:tcPr>
            <w:tcW w:type="dxa" w:w="2688"/>
            <w:tcW w:w="2160" w:type="dxa"/>
          </w:tcPr>
          <w:p>
            <w:pPr>
              <w:spacing w:after="40" w:before="40"/>
            </w:pPr>
            <w:r>
              <w:rPr>
                <w:rFonts w:ascii="Calibri" w:hAnsi="Calibri"/>
                <w:sz w:val="20"/>
              </w:rPr>
            </w:r>
            <w:hyperlink r:id="rId10">
              <w:r>
                <w:rPr>
                  <w:rStyle w:val="Hyperlink"/>
                  <w:sz w:val="22"/>
                  <w:rFonts w:ascii="Calibri" w:hAnsi="Calibri"/>
                </w:rPr>
                <w:t xml:space="preserve">Pexels</w:t>
              </w:r>
            </w:hyperlink>
          </w:p>
        </w:tc>
        <w:tc>
          <w:tcPr>
            <w:tcW w:type="dxa" w:w="2688"/>
            <w:tcW w:w="2160" w:type="dxa"/>
          </w:tcPr>
          <w:p>
            <w:pPr>
              <w:spacing w:after="40" w:before="40"/>
            </w:pPr>
            <w:r>
              <w:rPr>
                <w:rFonts w:ascii="Calibri" w:hAnsi="Calibri"/>
                <w:sz w:val="20"/>
              </w:rPr>
            </w:r>
            <w:r>
              <w:rPr>
                <w:rFonts w:ascii="Calibri" w:hAnsi="Calibri"/>
                <w:sz w:val="20"/>
              </w:rPr>
              <w:t>No</w:t>
            </w:r>
          </w:p>
        </w:tc>
        <w:tc>
          <w:tcPr>
            <w:tcW w:type="dxa" w:w="2688"/>
            <w:tcW w:w="3744" w:type="dxa"/>
          </w:tcPr>
          <w:p>
            <w:pPr>
              <w:spacing w:after="40" w:before="40"/>
            </w:pPr>
            <w:r>
              <w:rPr>
                <w:rFonts w:ascii="Calibri" w:hAnsi="Calibri"/>
                <w:sz w:val="20"/>
              </w:rPr>
            </w:r>
            <w:r>
              <w:rPr>
                <w:rFonts w:ascii="Calibri" w:hAnsi="Calibri"/>
                <w:sz w:val="20"/>
              </w:rPr>
              <w:t>Free for commercial use, no signup needed to browse.</w:t>
            </w:r>
          </w:p>
        </w:tc>
      </w:tr>
      <w:tr>
        <w:tc>
          <w:tcPr>
            <w:tcW w:type="dxa" w:w="2688"/>
            <w:tcW w:w="2160" w:type="dxa"/>
          </w:tcPr>
          <w:p>
            <w:pPr>
              <w:spacing w:after="40" w:before="40"/>
            </w:pPr>
            <w:r>
              <w:rPr>
                <w:rFonts w:ascii="Calibri" w:hAnsi="Calibri"/>
                <w:sz w:val="20"/>
              </w:rPr>
            </w:r>
            <w:hyperlink r:id="rId11">
              <w:r>
                <w:rPr>
                  <w:rStyle w:val="Hyperlink"/>
                  <w:sz w:val="22"/>
                  <w:rFonts w:ascii="Calibri" w:hAnsi="Calibri"/>
                </w:rPr>
                <w:t xml:space="preserve">Pixabay</w:t>
              </w:r>
            </w:hyperlink>
          </w:p>
        </w:tc>
        <w:tc>
          <w:tcPr>
            <w:tcW w:type="dxa" w:w="2688"/>
            <w:tcW w:w="2160" w:type="dxa"/>
          </w:tcPr>
          <w:p>
            <w:pPr>
              <w:spacing w:after="40" w:before="40"/>
            </w:pPr>
            <w:r>
              <w:rPr>
                <w:rFonts w:ascii="Calibri" w:hAnsi="Calibri"/>
                <w:sz w:val="20"/>
              </w:rPr>
            </w:r>
            <w:r>
              <w:rPr>
                <w:rFonts w:ascii="Calibri" w:hAnsi="Calibri"/>
                <w:sz w:val="20"/>
              </w:rPr>
              <w:t>No</w:t>
            </w:r>
          </w:p>
        </w:tc>
        <w:tc>
          <w:tcPr>
            <w:tcW w:type="dxa" w:w="2688"/>
            <w:tcW w:w="3744" w:type="dxa"/>
          </w:tcPr>
          <w:p>
            <w:pPr>
              <w:spacing w:after="40" w:before="40"/>
            </w:pPr>
            <w:r>
              <w:rPr>
                <w:rFonts w:ascii="Calibri" w:hAnsi="Calibri"/>
                <w:sz w:val="20"/>
              </w:rPr>
            </w:r>
            <w:r>
              <w:rPr>
                <w:rFonts w:ascii="Calibri" w:hAnsi="Calibri"/>
                <w:sz w:val="20"/>
              </w:rPr>
              <w:t>Video, photo, and music under one shared license.</w:t>
            </w:r>
          </w:p>
        </w:tc>
      </w:tr>
      <w:tr>
        <w:tc>
          <w:tcPr>
            <w:tcW w:type="dxa" w:w="2688"/>
            <w:tcW w:w="2160" w:type="dxa"/>
          </w:tcPr>
          <w:p>
            <w:pPr>
              <w:spacing w:after="40" w:before="40"/>
            </w:pPr>
            <w:r>
              <w:rPr>
                <w:rFonts w:ascii="Calibri" w:hAnsi="Calibri"/>
                <w:sz w:val="20"/>
              </w:rPr>
            </w:r>
            <w:hyperlink r:id="rId12">
              <w:r>
                <w:rPr>
                  <w:rStyle w:val="Hyperlink"/>
                  <w:sz w:val="22"/>
                  <w:rFonts w:ascii="Calibri" w:hAnsi="Calibri"/>
                </w:rPr>
                <w:t xml:space="preserve">Mixkit</w:t>
              </w:r>
            </w:hyperlink>
          </w:p>
        </w:tc>
        <w:tc>
          <w:tcPr>
            <w:tcW w:type="dxa" w:w="2688"/>
            <w:tcW w:w="2160" w:type="dxa"/>
          </w:tcPr>
          <w:p>
            <w:pPr>
              <w:spacing w:after="40" w:before="40"/>
            </w:pPr>
            <w:r>
              <w:rPr>
                <w:rFonts w:ascii="Calibri" w:hAnsi="Calibri"/>
                <w:sz w:val="20"/>
              </w:rPr>
            </w:r>
            <w:r>
              <w:rPr>
                <w:rFonts w:ascii="Calibri" w:hAnsi="Calibri"/>
                <w:sz w:val="20"/>
              </w:rPr>
              <w:t>No</w:t>
            </w:r>
          </w:p>
        </w:tc>
        <w:tc>
          <w:tcPr>
            <w:tcW w:type="dxa" w:w="2688"/>
            <w:tcW w:w="3744" w:type="dxa"/>
          </w:tcPr>
          <w:p>
            <w:pPr>
              <w:spacing w:after="40" w:before="40"/>
            </w:pPr>
            <w:r>
              <w:rPr>
                <w:rFonts w:ascii="Calibri" w:hAnsi="Calibri"/>
                <w:sz w:val="20"/>
              </w:rPr>
            </w:r>
            <w:r>
              <w:rPr>
                <w:rFonts w:ascii="Calibri" w:hAnsi="Calibri"/>
                <w:sz w:val="20"/>
              </w:rPr>
              <w:t>Smaller, cinematic-quality library; also free music and editing templates.</w:t>
            </w:r>
          </w:p>
        </w:tc>
      </w:tr>
      <w:tr>
        <w:tc>
          <w:tcPr>
            <w:tcW w:type="dxa" w:w="2688"/>
            <w:tcW w:w="2160" w:type="dxa"/>
          </w:tcPr>
          <w:p>
            <w:pPr>
              <w:spacing w:after="40" w:before="40"/>
            </w:pPr>
            <w:r>
              <w:rPr>
                <w:rFonts w:ascii="Calibri" w:hAnsi="Calibri"/>
                <w:sz w:val="20"/>
              </w:rPr>
            </w:r>
            <w:hyperlink r:id="rId13">
              <w:r>
                <w:rPr>
                  <w:rStyle w:val="Hyperlink"/>
                  <w:sz w:val="22"/>
                  <w:rFonts w:ascii="Calibri" w:hAnsi="Calibri"/>
                </w:rPr>
                <w:t xml:space="preserve">Coverr</w:t>
              </w:r>
            </w:hyperlink>
          </w:p>
        </w:tc>
        <w:tc>
          <w:tcPr>
            <w:tcW w:type="dxa" w:w="2688"/>
            <w:tcW w:w="2160" w:type="dxa"/>
          </w:tcPr>
          <w:p>
            <w:pPr>
              <w:spacing w:after="40" w:before="40"/>
            </w:pPr>
            <w:r>
              <w:rPr>
                <w:rFonts w:ascii="Calibri" w:hAnsi="Calibri"/>
                <w:sz w:val="20"/>
              </w:rPr>
            </w:r>
            <w:r>
              <w:rPr>
                <w:rFonts w:ascii="Calibri" w:hAnsi="Calibri"/>
                <w:sz w:val="20"/>
              </w:rPr>
              <w:t>No</w:t>
            </w:r>
          </w:p>
        </w:tc>
        <w:tc>
          <w:tcPr>
            <w:tcW w:type="dxa" w:w="2688"/>
            <w:tcW w:w="3744" w:type="dxa"/>
          </w:tcPr>
          <w:p>
            <w:pPr>
              <w:spacing w:after="40" w:before="40"/>
            </w:pPr>
            <w:r>
              <w:rPr>
                <w:rFonts w:ascii="Calibri" w:hAnsi="Calibri"/>
                <w:sz w:val="20"/>
              </w:rPr>
            </w:r>
            <w:r>
              <w:rPr>
                <w:rFonts w:ascii="Calibri" w:hAnsi="Calibri"/>
                <w:sz w:val="20"/>
              </w:rPr>
              <w:t>Film-style background clips, personal and commercial use.</w:t>
            </w:r>
          </w:p>
        </w:tc>
      </w:tr>
      <w:tr>
        <w:tc>
          <w:tcPr>
            <w:tcW w:type="dxa" w:w="2688"/>
            <w:tcW w:w="2160" w:type="dxa"/>
          </w:tcPr>
          <w:p>
            <w:pPr>
              <w:spacing w:after="40" w:before="40"/>
            </w:pPr>
            <w:r>
              <w:rPr>
                <w:rFonts w:ascii="Calibri" w:hAnsi="Calibri"/>
                <w:sz w:val="20"/>
              </w:rPr>
            </w:r>
            <w:hyperlink r:id="rId14">
              <w:r>
                <w:rPr>
                  <w:rStyle w:val="Hyperlink"/>
                  <w:sz w:val="22"/>
                  <w:rFonts w:ascii="Calibri" w:hAnsi="Calibri"/>
                </w:rPr>
                <w:t xml:space="preserve">Videezy</w:t>
              </w:r>
            </w:hyperlink>
          </w:p>
        </w:tc>
        <w:tc>
          <w:tcPr>
            <w:tcW w:type="dxa" w:w="2688"/>
            <w:tcW w:w="2160" w:type="dxa"/>
          </w:tcPr>
          <w:p>
            <w:pPr>
              <w:spacing w:after="40" w:before="40"/>
            </w:pPr>
            <w:r>
              <w:rPr>
                <w:rFonts w:ascii="Calibri" w:hAnsi="Calibri"/>
                <w:sz w:val="20"/>
              </w:rPr>
            </w:r>
            <w:r>
              <w:rPr>
                <w:rFonts w:ascii="Calibri" w:hAnsi="Calibri"/>
                <w:sz w:val="20"/>
              </w:rPr>
              <w:t>Varies by clip</w:t>
            </w:r>
          </w:p>
        </w:tc>
        <w:tc>
          <w:tcPr>
            <w:tcW w:type="dxa" w:w="2688"/>
            <w:tcW w:w="3744" w:type="dxa"/>
          </w:tcPr>
          <w:p>
            <w:pPr>
              <w:spacing w:after="40" w:before="40"/>
            </w:pPr>
            <w:r>
              <w:rPr>
                <w:rFonts w:ascii="Calibri" w:hAnsi="Calibri"/>
                <w:sz w:val="20"/>
              </w:rPr>
            </w:r>
            <w:r>
              <w:rPr>
                <w:rFonts w:ascii="Calibri" w:hAnsi="Calibri"/>
                <w:sz w:val="20"/>
              </w:rPr>
              <w:t>Free and paid mixed together — check each clip’s own license page.</w:t>
            </w:r>
          </w:p>
        </w:tc>
      </w:tr>
      <w:tr>
        <w:tc>
          <w:tcPr>
            <w:tcW w:type="dxa" w:w="2688"/>
            <w:tcW w:w="2160" w:type="dxa"/>
          </w:tcPr>
          <w:p>
            <w:pPr>
              <w:spacing w:after="40" w:before="40"/>
            </w:pPr>
            <w:r>
              <w:rPr>
                <w:rFonts w:ascii="Calibri" w:hAnsi="Calibri"/>
                <w:sz w:val="20"/>
              </w:rPr>
            </w:r>
            <w:hyperlink r:id="rId15">
              <w:r>
                <w:rPr>
                  <w:rStyle w:val="Hyperlink"/>
                  <w:sz w:val="22"/>
                  <w:rFonts w:ascii="Calibri" w:hAnsi="Calibri"/>
                </w:rPr>
                <w:t xml:space="preserve">Vecteezy</w:t>
              </w:r>
            </w:hyperlink>
          </w:p>
        </w:tc>
        <w:tc>
          <w:tcPr>
            <w:tcW w:type="dxa" w:w="2688"/>
            <w:tcW w:w="2160" w:type="dxa"/>
          </w:tcPr>
          <w:p>
            <w:pPr>
              <w:spacing w:after="40" w:before="40"/>
            </w:pPr>
            <w:r>
              <w:rPr>
                <w:rFonts w:ascii="Calibri" w:hAnsi="Calibri"/>
                <w:sz w:val="20"/>
              </w:rPr>
            </w:r>
            <w:r>
              <w:rPr>
                <w:rFonts w:ascii="Calibri" w:hAnsi="Calibri"/>
                <w:sz w:val="20"/>
              </w:rPr>
              <w:t>Varies by asset</w:t>
            </w:r>
          </w:p>
        </w:tc>
        <w:tc>
          <w:tcPr>
            <w:tcW w:type="dxa" w:w="2688"/>
            <w:tcW w:w="3744" w:type="dxa"/>
          </w:tcPr>
          <w:p>
            <w:pPr>
              <w:spacing w:after="40" w:before="40"/>
            </w:pPr>
            <w:r>
              <w:rPr>
                <w:rFonts w:ascii="Calibri" w:hAnsi="Calibri"/>
                <w:sz w:val="20"/>
              </w:rPr>
            </w:r>
            <w:r>
              <w:rPr>
                <w:rFonts w:ascii="Calibri" w:hAnsi="Calibri"/>
                <w:sz w:val="20"/>
              </w:rPr>
              <w:t>Free tier exists; read the specific asset’s terms before use.</w:t>
            </w:r>
          </w:p>
        </w:tc>
      </w:tr>
      <w:tr>
        <w:tc>
          <w:tcPr>
            <w:tcW w:type="dxa" w:w="2688"/>
            <w:tcW w:w="2160" w:type="dxa"/>
          </w:tcPr>
          <w:p>
            <w:pPr>
              <w:spacing w:after="40" w:before="40"/>
            </w:pPr>
            <w:r>
              <w:rPr>
                <w:rFonts w:ascii="Calibri" w:hAnsi="Calibri"/>
                <w:sz w:val="20"/>
              </w:rPr>
            </w:r>
            <w:hyperlink r:id="rId16">
              <w:r>
                <w:rPr>
                  <w:rStyle w:val="Hyperlink"/>
                  <w:sz w:val="22"/>
                  <w:rFonts w:ascii="Calibri" w:hAnsi="Calibri"/>
                </w:rPr>
                <w:t xml:space="preserve">Videvo</w:t>
              </w:r>
            </w:hyperlink>
          </w:p>
        </w:tc>
        <w:tc>
          <w:tcPr>
            <w:tcW w:type="dxa" w:w="2688"/>
            <w:tcW w:w="2160" w:type="dxa"/>
          </w:tcPr>
          <w:p>
            <w:pPr>
              <w:spacing w:after="40" w:before="40"/>
            </w:pPr>
            <w:r>
              <w:rPr>
                <w:rFonts w:ascii="Calibri" w:hAnsi="Calibri"/>
                <w:sz w:val="20"/>
              </w:rPr>
            </w:r>
            <w:r>
              <w:rPr>
                <w:rFonts w:ascii="Calibri" w:hAnsi="Calibri"/>
                <w:sz w:val="20"/>
              </w:rPr>
              <w:t>Varies by clip</w:t>
            </w:r>
          </w:p>
        </w:tc>
        <w:tc>
          <w:tcPr>
            <w:tcW w:type="dxa" w:w="2688"/>
            <w:tcW w:w="3744" w:type="dxa"/>
          </w:tcPr>
          <w:p>
            <w:pPr>
              <w:spacing w:after="40" w:before="40"/>
            </w:pPr>
            <w:r>
              <w:rPr>
                <w:rFonts w:ascii="Calibri" w:hAnsi="Calibri"/>
                <w:sz w:val="20"/>
              </w:rPr>
            </w:r>
            <w:r>
              <w:rPr>
                <w:rFonts w:ascii="Calibri" w:hAnsi="Calibri"/>
                <w:sz w:val="20"/>
              </w:rPr>
              <w:t>Mixes its own royalty-free license with Creative Commons clips — check each one.</w:t>
            </w:r>
          </w:p>
        </w:tc>
      </w:tr>
      <w:tr>
        <w:tc>
          <w:tcPr>
            <w:tcW w:type="dxa" w:w="2688"/>
            <w:tcW w:w="2160" w:type="dxa"/>
          </w:tcPr>
          <w:p>
            <w:pPr>
              <w:spacing w:after="40" w:before="40"/>
            </w:pPr>
            <w:r>
              <w:rPr>
                <w:rFonts w:ascii="Calibri" w:hAnsi="Calibri"/>
                <w:sz w:val="20"/>
              </w:rPr>
            </w:r>
            <w:hyperlink r:id="rId17">
              <w:r>
                <w:rPr>
                  <w:rStyle w:val="Hyperlink"/>
                  <w:sz w:val="22"/>
                  <w:rFonts w:ascii="Calibri" w:hAnsi="Calibri"/>
                </w:rPr>
                <w:t xml:space="preserve">Life of Vids</w:t>
              </w:r>
            </w:hyperlink>
          </w:p>
        </w:tc>
        <w:tc>
          <w:tcPr>
            <w:tcW w:type="dxa" w:w="2688"/>
            <w:tcW w:w="2160" w:type="dxa"/>
          </w:tcPr>
          <w:p>
            <w:pPr>
              <w:spacing w:after="40" w:before="40"/>
            </w:pPr>
            <w:r>
              <w:rPr>
                <w:rFonts w:ascii="Calibri" w:hAnsi="Calibri"/>
                <w:sz w:val="20"/>
              </w:rPr>
            </w:r>
            <w:r>
              <w:rPr>
                <w:rFonts w:ascii="Calibri" w:hAnsi="Calibri"/>
                <w:sz w:val="20"/>
              </w:rPr>
              <w:t>No</w:t>
            </w:r>
          </w:p>
        </w:tc>
        <w:tc>
          <w:tcPr>
            <w:tcW w:type="dxa" w:w="2688"/>
            <w:tcW w:w="3744" w:type="dxa"/>
          </w:tcPr>
          <w:p>
            <w:pPr>
              <w:spacing w:after="40" w:before="40"/>
            </w:pPr>
            <w:r>
              <w:rPr>
                <w:rFonts w:ascii="Calibri" w:hAnsi="Calibri"/>
                <w:sz w:val="20"/>
              </w:rPr>
            </w:r>
            <w:r>
              <w:rPr>
                <w:rFonts w:ascii="Calibri" w:hAnsi="Calibri"/>
                <w:sz w:val="20"/>
              </w:rPr>
              <w:t>Free for personal and commercial use, but caps how many of its clips you may re-host on another site.</w:t>
            </w:r>
          </w:p>
        </w:tc>
      </w:tr>
      <w:tr>
        <w:tc>
          <w:tcPr>
            <w:tcW w:type="dxa" w:w="2688"/>
            <w:tcW w:w="2160" w:type="dxa"/>
          </w:tcPr>
          <w:p>
            <w:pPr>
              <w:spacing w:after="40" w:before="40"/>
            </w:pPr>
            <w:r>
              <w:rPr>
                <w:rFonts w:ascii="Calibri" w:hAnsi="Calibri"/>
                <w:sz w:val="20"/>
              </w:rPr>
            </w:r>
            <w:hyperlink r:id="rId18">
              <w:r>
                <w:rPr>
                  <w:rStyle w:val="Hyperlink"/>
                  <w:sz w:val="22"/>
                  <w:rFonts w:ascii="Calibri" w:hAnsi="Calibri"/>
                </w:rPr>
                <w:t xml:space="preserve">Mazwai</w:t>
              </w:r>
            </w:hyperlink>
          </w:p>
        </w:tc>
        <w:tc>
          <w:tcPr>
            <w:tcW w:type="dxa" w:w="2688"/>
            <w:tcW w:w="2160" w:type="dxa"/>
          </w:tcPr>
          <w:p>
            <w:pPr>
              <w:spacing w:after="40" w:before="40"/>
            </w:pPr>
            <w:r>
              <w:rPr>
                <w:rFonts w:ascii="Calibri" w:hAnsi="Calibri"/>
                <w:sz w:val="20"/>
              </w:rPr>
            </w:r>
            <w:r>
              <w:rPr>
                <w:rFonts w:ascii="Calibri" w:hAnsi="Calibri"/>
                <w:sz w:val="20"/>
              </w:rPr>
              <w:t>Requested</w:t>
            </w:r>
          </w:p>
        </w:tc>
        <w:tc>
          <w:tcPr>
            <w:tcW w:type="dxa" w:w="2688"/>
            <w:tcW w:w="3744" w:type="dxa"/>
          </w:tcPr>
          <w:p>
            <w:pPr>
              <w:spacing w:after="40" w:before="40"/>
            </w:pPr>
            <w:r>
              <w:rPr>
                <w:rFonts w:ascii="Calibri" w:hAnsi="Calibri"/>
                <w:sz w:val="20"/>
              </w:rPr>
            </w:r>
            <w:r>
              <w:rPr>
                <w:rFonts w:ascii="Calibri" w:hAnsi="Calibri"/>
                <w:sz w:val="20"/>
              </w:rPr>
              <w:t>Smaller, cinematic-style library; free to use, credit appreciated.</w:t>
            </w:r>
          </w:p>
        </w:tc>
      </w:tr>
      <w:tr>
        <w:tc>
          <w:tcPr>
            <w:tcW w:type="dxa" w:w="2688"/>
            <w:tcW w:w="2160" w:type="dxa"/>
          </w:tcPr>
          <w:p>
            <w:pPr>
              <w:spacing w:after="40" w:before="40"/>
            </w:pPr>
            <w:r>
              <w:rPr>
                <w:rFonts w:ascii="Calibri" w:hAnsi="Calibri"/>
                <w:sz w:val="20"/>
              </w:rPr>
            </w:r>
            <w:hyperlink r:id="rId19">
              <w:r>
                <w:rPr>
                  <w:rStyle w:val="Hyperlink"/>
                  <w:sz w:val="22"/>
                  <w:rFonts w:ascii="Calibri" w:hAnsi="Calibri"/>
                </w:rPr>
                <w:t xml:space="preserve">Dareful</w:t>
              </w:r>
            </w:hyperlink>
          </w:p>
        </w:tc>
        <w:tc>
          <w:tcPr>
            <w:tcW w:type="dxa" w:w="2688"/>
            <w:tcW w:w="2160" w:type="dxa"/>
          </w:tcPr>
          <w:p>
            <w:pPr>
              <w:spacing w:after="40" w:before="40"/>
            </w:pPr>
            <w:r>
              <w:rPr>
                <w:rFonts w:ascii="Calibri" w:hAnsi="Calibri"/>
                <w:sz w:val="20"/>
              </w:rPr>
            </w:r>
            <w:r>
              <w:rPr>
                <w:rFonts w:ascii="Calibri" w:hAnsi="Calibri"/>
                <w:sz w:val="20"/>
              </w:rPr>
              <w:t>Requested</w:t>
            </w:r>
          </w:p>
        </w:tc>
        <w:tc>
          <w:tcPr>
            <w:tcW w:type="dxa" w:w="2688"/>
            <w:tcW w:w="3744" w:type="dxa"/>
          </w:tcPr>
          <w:p>
            <w:pPr>
              <w:spacing w:after="40" w:before="40"/>
            </w:pPr>
            <w:r>
              <w:rPr>
                <w:rFonts w:ascii="Calibri" w:hAnsi="Calibri"/>
                <w:sz w:val="20"/>
              </w:rPr>
            </w:r>
            <w:r>
              <w:rPr>
                <w:rFonts w:ascii="Calibri" w:hAnsi="Calibri"/>
                <w:sz w:val="20"/>
              </w:rPr>
              <w:t>4K footage, free with credit.</w:t>
            </w:r>
          </w:p>
        </w:tc>
      </w:tr>
      <w:tr>
        <w:tc>
          <w:tcPr>
            <w:tcW w:type="dxa" w:w="2688"/>
            <w:tcW w:w="2160" w:type="dxa"/>
          </w:tcPr>
          <w:p>
            <w:pPr>
              <w:spacing w:after="40" w:before="40"/>
            </w:pPr>
            <w:r>
              <w:rPr>
                <w:rFonts w:ascii="Calibri" w:hAnsi="Calibri"/>
                <w:sz w:val="20"/>
              </w:rPr>
            </w:r>
            <w:hyperlink r:id="rId20">
              <w:r>
                <w:rPr>
                  <w:rStyle w:val="Hyperlink"/>
                  <w:sz w:val="22"/>
                  <w:rFonts w:ascii="Calibri" w:hAnsi="Calibri"/>
                </w:rPr>
                <w:t xml:space="preserve">Envato Elements</w:t>
              </w:r>
            </w:hyperlink>
            <w:r>
              <w:rPr>
                <w:rFonts w:ascii="Calibri" w:hAnsi="Calibri"/>
                <w:sz w:val="20"/>
              </w:rPr>
              <w:t xml:space="preserve"> / </w:t>
            </w:r>
            <w:hyperlink r:id="rId21">
              <w:r>
                <w:rPr>
                  <w:rStyle w:val="Hyperlink"/>
                  <w:sz w:val="22"/>
                  <w:rFonts w:ascii="Calibri" w:hAnsi="Calibri"/>
                </w:rPr>
                <w:t xml:space="preserve">iStock</w:t>
              </w:r>
            </w:hyperlink>
          </w:p>
        </w:tc>
        <w:tc>
          <w:tcPr>
            <w:tcW w:type="dxa" w:w="2688"/>
            <w:tcW w:w="2160" w:type="dxa"/>
          </w:tcPr>
          <w:p>
            <w:pPr>
              <w:spacing w:after="40" w:before="40"/>
            </w:pPr>
            <w:r>
              <w:rPr>
                <w:rFonts w:ascii="Calibri" w:hAnsi="Calibri"/>
                <w:sz w:val="20"/>
              </w:rPr>
            </w:r>
            <w:r>
              <w:rPr>
                <w:rFonts w:ascii="Calibri" w:hAnsi="Calibri"/>
                <w:sz w:val="20"/>
              </w:rPr>
              <w:t>Paid</w:t>
            </w:r>
          </w:p>
        </w:tc>
        <w:tc>
          <w:tcPr>
            <w:tcW w:type="dxa" w:w="2688"/>
            <w:tcW w:w="3744" w:type="dxa"/>
          </w:tcPr>
          <w:p>
            <w:pPr>
              <w:spacing w:after="40" w:before="40"/>
            </w:pPr>
            <w:r>
              <w:rPr>
                <w:rFonts w:ascii="Calibri" w:hAnsi="Calibri"/>
                <w:sz w:val="20"/>
              </w:rPr>
            </w:r>
            <w:r>
              <w:rPr>
                <w:rFonts w:ascii="Calibri" w:hAnsi="Calibri"/>
                <w:sz w:val="20"/>
              </w:rPr>
              <w:t>Subscription libraries — worth it once the free libraries stop covering a niche, not before.</w:t>
            </w:r>
          </w:p>
        </w:tc>
      </w:tr>
    </w:tbl>
    <w:p/>
    <w:p>
      <w:hyperlink r:id="rId22">
        <w:r>
          <w:rPr>
            <w:rStyle w:val="Hyperlink"/>
            <w:sz w:val="22"/>
            <w:rFonts w:ascii="Calibri" w:hAnsi="Calibri"/>
          </w:rPr>
          <w:t xml:space="preserve">Unsplash</w:t>
        </w:r>
      </w:hyperlink>
      <w:r>
        <w:rPr>
          <w:rFonts w:ascii="Calibri" w:hAnsi="Calibri"/>
        </w:rPr>
        <w:t xml:space="preserve"> covers photos on similar terms to the no-attribution rows above: free for commercial and non-commercial use under its own license, no permission required.</w:t>
      </w:r>
    </w:p>
    <w:p>
      <w:r>
        <w:rPr>
          <w:rFonts w:ascii="Calibri" w:hAnsi="Calibri"/>
        </w:rPr>
        <w:t>Treat “no attribution required” as that library’s current policy, not a permanent guarantee attached to every clip forever — it can change going forward. The habit worth building is reading the license line on a library before a batch download, not assuming last year’s library still works the same way this year.</w:t>
      </w:r>
    </w:p>
    <w:p>
      <w:pPr>
        <w:pStyle w:val="Heading2"/>
      </w:pPr>
      <w:r>
        <w:t>III. Free music and sound effects, and the one library built for this platform</w:t>
      </w:r>
    </w:p>
    <w:p>
      <w:r>
        <w:rPr>
          <w:rFonts w:ascii="Calibri" w:hAnsi="Calibri"/>
        </w:rPr>
        <w:t xml:space="preserve">Start with </w:t>
      </w:r>
      <w:r>
        <w:rPr>
          <w:rFonts w:ascii="Calibri" w:hAnsi="Calibri"/>
          <w:b/>
        </w:rPr>
        <w:t>YouTube’s own Audio Library</w:t>
      </w:r>
      <w:r>
        <w:rPr>
          <w:rFonts w:ascii="Calibri" w:hAnsi="Calibri"/>
        </w:rPr>
        <w:t xml:space="preserve">, inside </w:t>
      </w:r>
      <w:hyperlink r:id="rId23">
        <w:r>
          <w:rPr>
            <w:rStyle w:val="Hyperlink"/>
            <w:sz w:val="22"/>
            <w:rFonts w:ascii="Calibri" w:hAnsi="Calibri"/>
          </w:rPr>
          <w:t xml:space="preserve">YouTube Studio</w:t>
        </w:r>
      </w:hyperlink>
      <w:r>
        <w:rPr>
          <w:rFonts w:ascii="Calibri" w:hAnsi="Calibri"/>
        </w:rPr>
        <w:t>. It exists specifically so creators can score a video without a copyright claim landing on it afterward, which makes it the safest default — especially before you have learned to read a third-party library’s license carefully.</w:t>
      </w:r>
    </w:p>
    <w:p>
      <w:r>
        <w:rPr>
          <w:rFonts w:ascii="Calibri" w:hAnsi="Calibri"/>
        </w:rPr>
        <w:t xml:space="preserve">Beyond it: </w:t>
      </w:r>
      <w:hyperlink r:id="rId24">
        <w:r>
          <w:rPr>
            <w:rStyle w:val="Hyperlink"/>
            <w:sz w:val="22"/>
            <w:rFonts w:ascii="Calibri" w:hAnsi="Calibri"/>
          </w:rPr>
          <w:t xml:space="preserve">Pixabay Music</w:t>
        </w:r>
      </w:hyperlink>
      <w:r>
        <w:rPr>
          <w:rFonts w:ascii="Calibri" w:hAnsi="Calibri"/>
        </w:rPr>
        <w:t xml:space="preserve"> and </w:t>
      </w:r>
      <w:hyperlink r:id="rId25">
        <w:r>
          <w:rPr>
            <w:rStyle w:val="Hyperlink"/>
            <w:sz w:val="22"/>
            <w:rFonts w:ascii="Calibri" w:hAnsi="Calibri"/>
          </w:rPr>
          <w:t xml:space="preserve">FreePD</w:t>
        </w:r>
      </w:hyperlink>
      <w:r>
        <w:rPr>
          <w:rFonts w:ascii="Calibri" w:hAnsi="Calibri"/>
        </w:rPr>
        <w:t xml:space="preserve"> are free with no attribution required, the latter because its tracks are public domain outright. Sites built around a specific composer’s catalog, like Incompetech, or a named creator’s free tier, like Bensound, commonly require crediting that person by name in the video description even when the track itself costs nothing — read the attribution wording on the specific track, not just its price. For sound effects and short clips rather than full tracks, </w:t>
      </w:r>
      <w:hyperlink r:id="rId26">
        <w:r>
          <w:rPr>
            <w:rStyle w:val="Hyperlink"/>
            <w:sz w:val="22"/>
            <w:rFonts w:ascii="Calibri" w:hAnsi="Calibri"/>
          </w:rPr>
          <w:t xml:space="preserve">bitmidi.com</w:t>
        </w:r>
      </w:hyperlink>
      <w:r>
        <w:rPr>
          <w:rFonts w:ascii="Calibri" w:hAnsi="Calibri"/>
        </w:rPr>
        <w:t xml:space="preserve"> and </w:t>
      </w:r>
      <w:hyperlink r:id="rId27">
        <w:r>
          <w:rPr>
            <w:rStyle w:val="Hyperlink"/>
            <w:sz w:val="22"/>
            <w:rFonts w:ascii="Calibri" w:hAnsi="Calibri"/>
          </w:rPr>
          <w:t xml:space="preserve">sounddino.com</w:t>
        </w:r>
      </w:hyperlink>
      <w:r>
        <w:rPr>
          <w:rFonts w:ascii="Calibri" w:hAnsi="Calibri"/>
        </w:rPr>
        <w:t xml:space="preserve"> are worth bookmarking, along with </w:t>
      </w:r>
      <w:hyperlink r:id="rId28">
        <w:r>
          <w:rPr>
            <w:rStyle w:val="Hyperlink"/>
            <w:sz w:val="22"/>
            <w:rFonts w:ascii="Calibri" w:hAnsi="Calibri"/>
          </w:rPr>
          <w:t xml:space="preserve">101soundboards</w:t>
        </w:r>
      </w:hyperlink>
      <w:r>
        <w:rPr>
          <w:rFonts w:ascii="Calibri" w:hAnsi="Calibri"/>
        </w:rPr>
        <w:t xml:space="preserve"> for effect and voice-line boards; </w:t>
      </w:r>
      <w:hyperlink r:id="rId29">
        <w:r>
          <w:rPr>
            <w:rStyle w:val="Hyperlink"/>
            <w:sz w:val="22"/>
            <w:rFonts w:ascii="Calibri" w:hAnsi="Calibri"/>
          </w:rPr>
          <w:t xml:space="preserve">mp3cut.net</w:t>
        </w:r>
      </w:hyperlink>
      <w:r>
        <w:rPr>
          <w:rFonts w:ascii="Calibri" w:hAnsi="Calibri"/>
        </w:rPr>
        <w:t xml:space="preserve"> handles trimming a track down to length once you have picked one.</w:t>
      </w:r>
    </w:p>
    <w:p>
      <w:hyperlink r:id="rId30">
        <w:r>
          <w:rPr>
            <w:rStyle w:val="Hyperlink"/>
            <w:sz w:val="22"/>
            <w:rFonts w:ascii="Calibri" w:hAnsi="Calibri"/>
          </w:rPr>
          <w:t xml:space="preserve">Uppbeat</w:t>
        </w:r>
      </w:hyperlink>
      <w:r>
        <w:rPr>
          <w:rFonts w:ascii="Calibri" w:hAnsi="Calibri"/>
        </w:rPr>
        <w:t xml:space="preserve"> and </w:t>
      </w:r>
      <w:hyperlink r:id="rId31">
        <w:r>
          <w:rPr>
            <w:rStyle w:val="Hyperlink"/>
            <w:sz w:val="22"/>
            <w:rFonts w:ascii="Calibri" w:hAnsi="Calibri"/>
          </w:rPr>
          <w:t xml:space="preserve">Jamendo Music</w:t>
        </w:r>
      </w:hyperlink>
      <w:r>
        <w:rPr>
          <w:rFonts w:ascii="Calibri" w:hAnsi="Calibri"/>
        </w:rPr>
        <w:t xml:space="preserve"> add two more variations on the same free-with-conditions pattern: Uppbeat clears its free tracks for monetized use with a one-line credit unless you pay to drop the credit, while Jamendo’s library of independent artists needs filtering specifically for its Creative Commons tracks, since not everything hosted there is free to use commercially. </w:t>
      </w:r>
      <w:hyperlink r:id="rId32">
        <w:r>
          <w:rPr>
            <w:rStyle w:val="Hyperlink"/>
            <w:sz w:val="22"/>
            <w:rFonts w:ascii="Calibri" w:hAnsi="Calibri"/>
          </w:rPr>
          <w:t xml:space="preserve">Purple Planet Music</w:t>
        </w:r>
      </w:hyperlink>
      <w:r>
        <w:rPr>
          <w:rFonts w:ascii="Calibri" w:hAnsi="Calibri"/>
        </w:rPr>
        <w:t xml:space="preserve"> is a smaller, composer-run instrumental library on the same attribution-for-free-use trade.</w:t>
      </w:r>
    </w:p>
    <w:p>
      <w:r>
        <w:rPr>
          <w:rFonts w:ascii="Calibri" w:hAnsi="Calibri"/>
        </w:rPr>
        <w:t>A generator can also build the track for you instead of you searching one out: pick a genre, a mood, and a tempo, and an AI music tool turns that into an original, loopable instrumental roughly matched to your video’s length. That is worth reaching for specifically when nothing in a library matches the tone you want, or when a video is long enough that a short stock loop would otherwise repeat noticeably.</w:t>
      </w:r>
    </w:p>
    <w:p>
      <w:r>
        <w:rPr>
          <w:rFonts w:ascii="Calibri" w:hAnsi="Calibri"/>
        </w:rPr>
        <w:t xml:space="preserve">That is a different job from a full song with vocals, which is its own category of tool — </w:t>
      </w:r>
      <w:r>
        <w:rPr>
          <w:rFonts w:ascii="Calibri" w:hAnsi="Calibri"/>
          <w:b/>
        </w:rPr>
        <w:t>Suno</w:t>
      </w:r>
      <w:r>
        <w:rPr>
          <w:rFonts w:ascii="Calibri" w:hAnsi="Calibri"/>
        </w:rPr>
        <w:t xml:space="preserve"> and </w:t>
      </w:r>
      <w:r>
        <w:rPr>
          <w:rFonts w:ascii="Calibri" w:hAnsi="Calibri"/>
          <w:b/>
        </w:rPr>
        <w:t>Udio</w:t>
      </w:r>
      <w:r>
        <w:rPr>
          <w:rFonts w:ascii="Calibri" w:hAnsi="Calibri"/>
        </w:rPr>
        <w:t xml:space="preserve"> are the two most established. The prompt is different too: your own lyrics, or a plain text idea for the tool to turn into lyrics, plus a genre, a mood, and usually a tempo and a vocal type. Keep the text short and rhythmic, a line or two rather than a paragraph, and expect to generate a handful of takes before one is usable — output quality varies take to take here the same way it does for the video generators in §I. A generated song can be background music, but it can just as easily be the video itself — a jingle, a parody, a novelty song built entirely around one idea — which makes the same rights question in §I apply here with extra weight: AI-generated music sits in an even less settled legal area than AI-generated video, so read the specific tool’s commercial-use terms before a generated song is anything more than a placeholder in your edit.</w:t>
      </w:r>
    </w:p>
    <w:p>
      <w:r>
        <w:rPr>
          <w:rFonts w:ascii="Calibri" w:hAnsi="Calibri"/>
        </w:rPr>
        <w:t>Whichever source the music comes from, three mixing habits do more for how professional a video sounds than which track you picked. Keep the voice at or near full volume and never let music or effects compete with it. Keep background music low enough that a viewer feels it rather than consciously hears it — roughly a tenth to a fifth of the voice’s volume is a reasonable starting point. And leave a fraction of a second of near-silence right before a punchline or a key line; it is a cheap way to make a script’s turn land harder, and it costs nothing but attention to timing.</w:t>
      </w:r>
    </w:p>
    <w:p>
      <w:pPr>
        <w:pStyle w:val="Heading2"/>
      </w:pPr>
      <w:r>
        <w:t>IV. Getting a voice into the video without recording one</w:t>
      </w:r>
    </w:p>
    <w:p>
      <w:r>
        <w:rPr>
          <w:rFonts w:ascii="Calibri" w:hAnsi="Calibri"/>
        </w:rPr>
        <w:t xml:space="preserve">Text-to-speech tools like </w:t>
      </w:r>
      <w:hyperlink r:id="rId33">
        <w:r>
          <w:rPr>
            <w:rStyle w:val="Hyperlink"/>
            <w:sz w:val="22"/>
            <w:rFonts w:ascii="Calibri" w:hAnsi="Calibri"/>
          </w:rPr>
          <w:t xml:space="preserve">FineVoice</w:t>
        </w:r>
      </w:hyperlink>
      <w:r>
        <w:rPr>
          <w:rFonts w:ascii="Calibri" w:hAnsi="Calibri"/>
        </w:rPr>
        <w:t xml:space="preserve"> and </w:t>
      </w:r>
      <w:hyperlink r:id="rId34">
        <w:r>
          <w:rPr>
            <w:rStyle w:val="Hyperlink"/>
            <w:sz w:val="22"/>
            <w:rFonts w:ascii="Calibri" w:hAnsi="Calibri"/>
          </w:rPr>
          <w:t xml:space="preserve">Revoicer</w:t>
        </w:r>
      </w:hyperlink>
      <w:r>
        <w:rPr>
          <w:rFonts w:ascii="Calibri" w:hAnsi="Calibri"/>
        </w:rPr>
        <w:t xml:space="preserve"> generate a spoken voiceover from a script; free tiers are normally sufficient to test how a script sounds before paying for a final, higher-quality render. A few other names come up often enough to be worth knowing: </w:t>
      </w:r>
      <w:r>
        <w:rPr>
          <w:rFonts w:ascii="Calibri" w:hAnsi="Calibri"/>
          <w:b/>
        </w:rPr>
        <w:t>ElevenLabs</w:t>
      </w:r>
      <w:r>
        <w:rPr>
          <w:rFonts w:ascii="Calibri" w:hAnsi="Calibri"/>
        </w:rPr>
        <w:t xml:space="preserve"> is widely considered the most natural-sounding option at the time of writing, with a free tier generous enough for several short scripts a month; </w:t>
      </w:r>
      <w:r>
        <w:rPr>
          <w:rFonts w:ascii="Calibri" w:hAnsi="Calibri"/>
          <w:b/>
        </w:rPr>
        <w:t>NaturalReader</w:t>
      </w:r>
      <w:r>
        <w:rPr>
          <w:rFonts w:ascii="Calibri" w:hAnsi="Calibri"/>
        </w:rPr>
        <w:t xml:space="preserve"> and </w:t>
      </w:r>
      <w:r>
        <w:rPr>
          <w:rFonts w:ascii="Calibri" w:hAnsi="Calibri"/>
          <w:b/>
        </w:rPr>
        <w:t>Speechify</w:t>
      </w:r>
      <w:r>
        <w:rPr>
          <w:rFonts w:ascii="Calibri" w:hAnsi="Calibri"/>
        </w:rPr>
        <w:t xml:space="preserve"> cover the same job more simply, with a lower ceiling on how natural the result sounds. Several general-purpose editors bundle a basic text-to-speech option directly into the editing timeline too — worth trying first, since it skips a separate export-and-import step entirely. </w:t>
      </w:r>
      <w:r>
        <w:rPr>
          <w:rFonts w:ascii="Calibri" w:hAnsi="Calibri"/>
          <w:b/>
        </w:rPr>
        <w:t>Turboscribe</w:t>
      </w:r>
      <w:r>
        <w:rPr>
          <w:rFonts w:ascii="Calibri" w:hAnsi="Calibri"/>
        </w:rPr>
        <w:t xml:space="preserve"> does the reverse job — turning a recorded voice into text — which is worth knowing about specifically because that transcript can go straight into the caption workflow this book’s first chapter covers, rather than requiring a second, separate transcription pass.</w:t>
      </w:r>
    </w:p>
    <w:p>
      <w:r>
        <w:rPr>
          <w:rFonts w:ascii="Calibri" w:hAnsi="Calibri"/>
        </w:rPr>
        <w:t>Not using a voice at all is a legitimate third option, not a compromise. A short built entirely from on-screen text, still images, and music — no narration, synthetic or otherwise — routinely performs as well as a narrated one, particularly in fact, list, and reveal formats; the format asks the viewer to read rather than listen, which works fine muted, on a platform most people scroll with the sound off anyway.</w:t>
      </w:r>
    </w:p>
    <w:p>
      <w:r>
        <w:rPr>
          <w:rFonts w:ascii="Calibri" w:hAnsi="Calibri"/>
        </w:rPr>
        <w:t>Voice cloning deserves a harder line than the rest of this chapter. Cloning your own voice to save recording time is the low-risk version of this feature. Cloning someone else’s — a narrator whose style you like, a public figure, a relative — moves into consent and, in a growing number of places, legal territory that a hobbyist tool’s terms of service does not resolve on your behalf. If a tool offers voice cloning as a feature, that permission question is yours to answer before you use it, not the tool’s.</w:t>
      </w:r>
    </w:p>
    <w:p>
      <w:pPr>
        <w:pStyle w:val="Heading2"/>
      </w:pPr>
      <w:r>
        <w:t>V. The free engine editing everything else runs on</w:t>
      </w:r>
    </w:p>
    <w:p>
      <w:r>
        <w:rPr>
          <w:rFonts w:ascii="Calibri" w:hAnsi="Calibri"/>
        </w:rPr>
        <w:t xml:space="preserve">For the mechanical editing work — trimming, resizing to the 9:16 vertical frame Shorts needs, merging clips, burning in a caption, converting a file to a format YouTube accepts — general-purpose browser editors cover a first channel’s needs at no cost. </w:t>
      </w:r>
      <w:r>
        <w:rPr>
          <w:rFonts w:ascii="Calibri" w:hAnsi="Calibri"/>
          <w:b/>
        </w:rPr>
        <w:t>123apps</w:t>
      </w:r>
      <w:r>
        <w:rPr>
          <w:rFonts w:ascii="Calibri" w:hAnsi="Calibri"/>
        </w:rPr>
        <w:t xml:space="preserve">, </w:t>
      </w:r>
      <w:r>
        <w:rPr>
          <w:rFonts w:ascii="Calibri" w:hAnsi="Calibri"/>
          <w:b/>
        </w:rPr>
        <w:t>EZGIF</w:t>
      </w:r>
      <w:r>
        <w:rPr>
          <w:rFonts w:ascii="Calibri" w:hAnsi="Calibri"/>
        </w:rPr>
        <w:t xml:space="preserve">, </w:t>
      </w:r>
      <w:r>
        <w:rPr>
          <w:rFonts w:ascii="Calibri" w:hAnsi="Calibri"/>
          <w:b/>
        </w:rPr>
        <w:t>Clideo</w:t>
      </w:r>
      <w:r>
        <w:rPr>
          <w:rFonts w:ascii="Calibri" w:hAnsi="Calibri"/>
        </w:rPr>
        <w:t xml:space="preserve">, and </w:t>
      </w:r>
      <w:r>
        <w:rPr>
          <w:rFonts w:ascii="Calibri" w:hAnsi="Calibri"/>
          <w:b/>
        </w:rPr>
        <w:t>CapCut</w:t>
      </w:r>
      <w:r>
        <w:rPr>
          <w:rFonts w:ascii="Calibri" w:hAnsi="Calibri"/>
        </w:rPr>
        <w:t xml:space="preserve"> each bundle most of that into one free tier; </w:t>
      </w:r>
      <w:hyperlink r:id="rId35">
        <w:r>
          <w:rPr>
            <w:rStyle w:val="Hyperlink"/>
            <w:sz w:val="22"/>
            <w:rFonts w:ascii="Calibri" w:hAnsi="Calibri"/>
          </w:rPr>
          <w:t xml:space="preserve">online-video-cutter.com</w:t>
        </w:r>
      </w:hyperlink>
      <w:r>
        <w:rPr>
          <w:rFonts w:ascii="Calibri" w:hAnsi="Calibri"/>
        </w:rPr>
        <w:t xml:space="preserve"> is a narrower option if all you need is a trim, and </w:t>
      </w:r>
      <w:r>
        <w:rPr>
          <w:rFonts w:ascii="Calibri" w:hAnsi="Calibri"/>
          <w:b/>
        </w:rPr>
        <w:t>cloudconvert.com</w:t>
      </w:r>
      <w:r>
        <w:rPr>
          <w:rFonts w:ascii="Calibri" w:hAnsi="Calibri"/>
        </w:rPr>
        <w:t xml:space="preserve"> covers the specific job of turning one file format into another when an editor’s own export options do not include the one you need. Where a free tier hits a wall — Clideo’s watermark, for instance, lifts only on its paid subscription, in roughly the $6–9-per-month range at the time of the author’s own research, though confirm current pricing before relying on that figure — it is usually because the export is genuinely a premium feature, not because the tool is holding basic editing hostage.</w:t>
      </w:r>
    </w:p>
    <w:p>
      <w:r>
        <w:rPr>
          <w:rFonts w:ascii="Calibri" w:hAnsi="Calibri"/>
        </w:rPr>
        <w:t xml:space="preserve">Underneath nearly all of these, doing the actual video processing, is </w:t>
      </w:r>
      <w:r>
        <w:rPr>
          <w:rFonts w:ascii="Calibri" w:hAnsi="Calibri"/>
          <w:b/>
        </w:rPr>
        <w:t>FFmpeg</w:t>
      </w:r>
      <w:r>
        <w:rPr>
          <w:rFonts w:ascii="Calibri" w:hAnsi="Calibri"/>
        </w:rPr>
        <w:t xml:space="preserve"> — the same free, open-source engine much commercial editing software is built on. It has no graphical interface of its own and no watermark or subscription either; </w:t>
      </w:r>
      <w:r>
        <w:rPr>
          <w:rFonts w:ascii="Calibri" w:hAnsi="Calibri"/>
          <w:b/>
        </w:rPr>
        <w:t>Shutter Encoder</w:t>
      </w:r>
      <w:r>
        <w:rPr>
          <w:rFonts w:ascii="Calibri" w:hAnsi="Calibri"/>
        </w:rPr>
        <w:t xml:space="preserve"> wraps it in one for anyone not ready to type commands. Worth learning once uploading is a weekly habit, not before — the browser tools above cover everything a first month of videos actually needs.</w:t>
      </w:r>
    </w:p>
    <w:p>
      <w:r>
        <w:rPr>
          <w:rFonts w:ascii="Calibri" w:hAnsi="Calibri"/>
        </w:rPr>
        <w:t>Whatever tool does the final export, a handful of settings decide whether the upload looks sharp rather than soft: 1080p resolution, or 1440p if the source supports it — YouTube’s encoder treats the higher resolution more favorably. 30 frames per second, matching what most editors default to. The H.264 codec inside an MP4 container, which is what YouTube’s own upload pipeline expects. A bitrate around 12–16 Mbps at 1080p, roughly double that at 1440p. Audio exports cleanest as AAC at 320 kbps and a 48 kHz sample rate, YouTube’s own standard rate. A Short uses the same settings with one number flipped: 1080×1920 instead of 1920×1080, the vertical 9:16 frame rather than the horizontal one.</w:t>
      </w:r>
    </w:p>
    <w:p>
      <w:pPr>
        <w:pStyle w:val="Heading2"/>
      </w:pPr>
      <w:r>
        <w:t>VI. The one workflow that never needs a rights check</w:t>
      </w:r>
    </w:p>
    <w:p>
      <w:r>
        <w:rPr>
          <w:rFonts w:ascii="Calibri" w:hAnsi="Calibri"/>
        </w:rPr>
        <w:t>Every tool in this chapter comes with a permissions question attached to it — a license to read, a terms-of-service section to check, a voice to get consent for. There is exactly one production path that skips all of it: take an idea, rewrite it entirely in your own words, record it in your own voice or a text-to-speech tool trained on nobody else’s identity, and pair it with visuals you made, generated, or sourced from a library that grants commercial use. Nothing in that chain is borrowed, so nothing in it needs a license defense, a copyright claim response, or a monetization appeal later. It is slower than reusing someone else’s clip or someone else’s exact wording — and it is the only version of a video that is safe by construction, rather than safe because you happened to read the right page before you clicked publish.</w:t>
      </w:r>
    </w:p>
    <w:p>
      <w:pPr>
        <w:pStyle w:val="Heading2"/>
      </w:pPr>
      <w:r>
        <w:t>VII. Claims that do not survive checking a license page</w:t>
      </w:r>
    </w:p>
    <w:p>
      <w:pPr>
        <w:pStyle w:val="ListBullet"/>
      </w:pPr>
      <w:r>
        <w:rPr>
          <w:rFonts w:ascii="Calibri" w:hAnsi="Calibri"/>
        </w:rPr>
        <w:t>That “free” and “free to use commercially” mean the same thing. They frequently do not — an AI generator’s free tier and a stock clip’s license can each carry restrictions a price tag alone does not disclose.</w:t>
      </w:r>
    </w:p>
    <w:p>
      <w:pPr>
        <w:pStyle w:val="ListBullet"/>
      </w:pPr>
      <w:r>
        <w:rPr>
          <w:rFonts w:ascii="Calibri" w:hAnsi="Calibri"/>
        </w:rPr>
        <w:t>That every clip in a “no attribution required” library carries that status forever, unchanged. It is the library’s current policy, not a permanent grant attached to the file you downloaded last year.</w:t>
      </w:r>
    </w:p>
    <w:p>
      <w:pPr>
        <w:pStyle w:val="ListBullet"/>
      </w:pPr>
      <w:r>
        <w:rPr>
          <w:rFonts w:ascii="Calibri" w:hAnsi="Calibri"/>
        </w:rPr>
        <w:t>That professional-looking video requires paid software. Every job in this chapter — generation, footage, music, voice, editing — has a free tool doing it competently; money buys convenience and polish, not a capability a free tier lacks entirely.</w:t>
      </w:r>
    </w:p>
    <w:p>
      <w:pPr>
        <w:pStyle w:val="ListBullet"/>
      </w:pPr>
      <w:r>
        <w:rPr>
          <w:rFonts w:ascii="Calibri" w:hAnsi="Calibri"/>
        </w:rPr>
        <w:t>That an AI-cloned voice is fine to use as long as the result sounds good. Sounding good and having the right to use that voice are unrelated questions, and only one of them is checkable by ear.</w:t>
      </w:r>
    </w:p>
    <w:p>
      <w:pPr>
        <w:pStyle w:val="ListBullet"/>
      </w:pPr>
      <w:r>
        <w:rPr>
          <w:rFonts w:ascii="Calibri" w:hAnsi="Calibri"/>
        </w:rPr>
        <w:t>That auto-transcribed narration is caption-ready the moment it is generated. It still needs the same review pass this book’s first chapter describes for automatic captions — a transcription tool mishears the same way a captioning one does.</w:t>
      </w:r>
    </w:p>
    <w:p>
      <w:pPr>
        <w:pStyle w:val="ListBullet"/>
      </w:pPr>
      <w:r>
        <w:rPr>
          <w:rFonts w:ascii="Calibri" w:hAnsi="Calibri"/>
        </w:rPr>
        <w:t>That a muted, text-only Short is a downgrade from a narrated one. It is a different format, not an unfinished one — plenty of viewers watch with the sound off regardless of what you gave them to listen to.</w:t>
      </w:r>
    </w:p>
    <w:p>
      <w:pPr>
        <w:pStyle w:val="ListBullet"/>
      </w:pPr>
      <w:r>
        <w:rPr>
          <w:rFonts w:ascii="Calibri" w:hAnsi="Calibri"/>
        </w:rPr>
        <w:t>That a free-forever AI video generator is simply a slower version of the paid ones. The gap is usually in what it can render reliably, not just how fast — realistic faces and lip sync are frequently where the free tier stops.</w:t>
      </w:r>
    </w:p>
    <w:p>
      <w:r>
        <w:rPr>
          <w:rFonts w:ascii="Calibri" w:hAnsi="Calibri"/>
        </w:rPr>
        <w:t>A last limit. This chapter names specific tools because specific tools are what a first video actually needs, not because any one of them is guaranteed to still exist, still be free, or still carry the same terms by the time you read this. Confirm the current price, license, and terms of service on any tool or library named here before you build a video on top of it — tool lineups change faster than platform policy does.</w:t>
      </w:r>
    </w:p>
    <w:p>
      <w:r>
        <w:rPr>
          <w:rFonts w:ascii="Calibri" w:hAnsi="Calibri"/>
        </w:rPr>
        <w:t xml:space="preserve">A working list this long outgrows a browser’s plain bookmarks folder fast. A free bookmark manager built for exactly this — </w:t>
      </w:r>
      <w:r>
        <w:rPr>
          <w:rFonts w:ascii="Calibri" w:hAnsi="Calibri"/>
          <w:b/>
        </w:rPr>
        <w:t>raindrop.io</w:t>
      </w:r>
      <w:r>
        <w:rPr>
          <w:rFonts w:ascii="Calibri" w:hAnsi="Calibri"/>
        </w:rPr>
        <w:t xml:space="preserve"> is one option — adds folders, tags, and a thumbnail per link, which turns a wall of URLs back into something you can actually scan when you need the one tool for tonight’s edit.</w:t>
      </w:r>
    </w:p>
    <w:p>
      <w:r>
        <w:rPr>
          <w:rFonts w:ascii="Calibri" w:hAnsi="Calibri"/>
          <w:i/>
        </w:rPr>
        <w:t>Sources: Tool names and URLs in this chapter are drawn from the author’s own working bookmark lists of video, footage, music, and voice tools, current at the time of writing. A handful of general, transferable techniques and checkable facts — reference-image consistency in AI video generation, audio-mixing ratios, standard YouTube export settings, the copyright-safe original-content workflow in §VI — were extracted from the author’s own saved chat transcripts on those topics; specific projects, scripts, and creative examples in that source material were not used, per this book’s own source-handling rule. Pricing, license terms, and feature availability on every platform named here change; none of this chapter is a substitute for reading that platform’s own current terms before publishing anything built with it. Not legal advice on licensing, attribution, or AI-generated content rights.</w:t>
      </w:r>
    </w:p>
    <w:p>
      <w:r>
        <w:rPr>
          <w:rFonts w:ascii="Calibri" w:hAnsi="Calibri"/>
          <w:i/>
        </w:rPr>
        <w:t>Not an official YouTube publication.</w:t>
      </w:r>
    </w:p>
    <w:p>
      <w:bookmarkStart w:id="4" w:name="ch3"/>
      <w:pPr>
        <w:pStyle w:val="Heading1"/>
      </w:pPr>
      <w:r>
        <w:t>3 Where the Money Actually Comes From</w:t>
      </w:r>
      <w:bookmarkEnd w:id="4"/>
    </w:p>
    <w:p>
      <w:r>
        <w:rPr>
          <w:rFonts w:ascii="Calibri" w:hAnsi="Calibri"/>
          <w:i/>
        </w:rPr>
        <w:t>The specific numbers a platform requires before it pays you anything, how fast those numbers change, and the tactics — on YouTube and beyond — that actually move them.</w:t>
      </w:r>
    </w:p>
    <w:p>
      <w:r>
        <w:rPr>
          <w:rFonts w:ascii="Calibri" w:hAnsi="Calibri"/>
        </w:rPr>
        <w:t>A subscriber count and a monetized channel are not the same thing, and treating them as the same thing is the single most common reason a channel that looks successful earns nothing. Every platform that pays for video sets a specific bar first — a follower floor, a watch-time or view floor, sometimes a content-length minimum, almost always a country restriction — and none of it happens by accident. This chapter covers YouTube’s own bar and how creators actually clear it, what a second channel does and does not inherit, the wider landscape of platforms willing to pay for the same video, and the one revenue stream that does not depend on any platform’s program surviving intact.</w:t>
      </w:r>
    </w:p>
    <w:p>
      <w:r>
        <w:rPr>
          <w:rFonts w:ascii="Calibri" w:hAnsi="Calibri"/>
        </w:rPr>
        <w:t>Every specific number below is a snapshot. Platform monetization terms move faster than almost anything else in this book — faster than tool pricing, faster than a content-safety policy — and two of the programs described here changed entirely within the months before this chapter was written. Confirm each one on the platform’s own creator or help pages before you plan around it.</w:t>
      </w:r>
    </w:p>
    <w:p>
      <w:pPr>
        <w:pStyle w:val="Heading2"/>
      </w:pPr>
      <w:r>
        <w:t>I. YouTube’s own bar, and how to clear it</w:t>
      </w:r>
    </w:p>
    <w:p>
      <w:r>
        <w:rPr>
          <w:rFonts w:ascii="Calibri" w:hAnsi="Calibri"/>
        </w:rPr>
        <w:t>YouTube pays through two separate gates, not one. The first unlocks fan-funding features — Super Thanks, channel memberships, YouTube Shopping — at 500 subscribers, three public uploads in the trailing 90 days, and either 3,000 watch hours in the trailing year or 3 million Shorts views in the trailing 90 days. The second, full ad monetization through the YouTube Partner Program, needs 1,000 subscribers and 4,000 watch hours in the trailing 12 months, or 10 million Shorts views in the trailing 90 days. Both require an account at least 30 days old, a linked AdSense account, and residence in one of the roughly 120 countries the program currently covers. Confirm all of this directly in YouTube Studio’s own monetization checklist — the fan-funding tier did not exist in this form a few years ago, which is itself a reminder that the rest of this list can change the same way.</w:t>
      </w:r>
    </w:p>
    <w:p>
      <w:r>
        <w:rPr>
          <w:rFonts w:ascii="Calibri" w:hAnsi="Calibri"/>
        </w:rPr>
        <w:t>None of those thresholds move on their own. A handful of tactics do more to move them than most channels realize, and none of them cost anything:</w:t>
      </w:r>
    </w:p>
    <w:p>
      <w:pPr>
        <w:pStyle w:val="ListBullet"/>
      </w:pPr>
      <w:r>
        <w:rPr>
          <w:rFonts w:ascii="Calibri" w:hAnsi="Calibri"/>
        </w:rPr>
        <w:t>State the reason to subscribe, not just the request. “Subscribe” converts worse than “subscribe if you want part two” or “subscribe so this shows up when I post the next one” — a viewer who arrived through search in particular needs a reason tied to future value, not a bare command.</w:t>
      </w:r>
    </w:p>
    <w:p>
      <w:pPr>
        <w:pStyle w:val="ListBullet"/>
      </w:pPr>
      <w:r>
        <w:rPr>
          <w:rFonts w:ascii="Calibri" w:hAnsi="Calibri"/>
        </w:rPr>
        <w:t xml:space="preserve">Set a custom subscribe-confirmation link — </w:t>
      </w:r>
      <w:r>
        <w:rPr>
          <w:rFonts w:ascii="Calibri" w:hAnsi="Calibri"/>
        </w:rPr>
        <w:t>youtube.com/@YourHandle?sub_confirmation=1</w:t>
      </w:r>
      <w:r>
        <w:rPr>
          <w:rFonts w:ascii="Calibri" w:hAnsi="Calibri"/>
        </w:rPr>
        <w:t>, built from Customization → Basic info in Studio — and put it in the channel description, every video description, and a pinned comment. Clicking it prompts an instant subscribe pop-up, which measurably outperforms asking a viewer to find the button themselves.</w:t>
      </w:r>
    </w:p>
    <w:p>
      <w:pPr>
        <w:pStyle w:val="ListBullet"/>
      </w:pPr>
      <w:r>
        <w:rPr>
          <w:rFonts w:ascii="Calibri" w:hAnsi="Calibri"/>
        </w:rPr>
        <w:t>Turn on the end screen’s subscribe element once you are eligible, and pair it with a related-video link rather than leaving it bare. A viewer who clicks through to a second video is a viewer with a second chance to subscribe.</w:t>
      </w:r>
    </w:p>
    <w:p>
      <w:pPr>
        <w:pStyle w:val="ListBullet"/>
      </w:pPr>
      <w:r>
        <w:rPr>
          <w:rFonts w:ascii="Calibri" w:hAnsi="Calibri"/>
        </w:rPr>
        <w:t>Group videos into playlists. A playlist keeps a viewer who found one video through search inside the channel for the next one, which is where watch-hour totals actually accumulate — a single ten-minute video and ten minutes spread across a playlist move the number by the same amount, but the playlist is far more likely to actually happen.</w:t>
      </w:r>
    </w:p>
    <w:p>
      <w:pPr>
        <w:pStyle w:val="ListBullet"/>
      </w:pPr>
      <w:r>
        <w:rPr>
          <w:rFonts w:ascii="Calibri" w:hAnsi="Calibri"/>
        </w:rPr>
        <w:t>Ask once per video, not several times. A single, benefit-tied ask converts better than a handful of generic ones, which read as pushy and cost retention.</w:t>
      </w:r>
    </w:p>
    <w:p>
      <w:r>
        <w:rPr>
          <w:rFonts w:ascii="Calibri" w:hAnsi="Calibri"/>
        </w:rPr>
        <w:t>None of this is published mechanics — YouTube does not publish a conversion-rate formula for any of it — but it is close to universal agreement among creators who track their own numbers, and every item on the list costs nothing to test.</w:t>
      </w:r>
    </w:p>
    <w:p>
      <w:pPr>
        <w:pStyle w:val="Heading2"/>
      </w:pPr>
      <w:r>
        <w:t>II. A second channel starts back at zero</w:t>
      </w:r>
    </w:p>
    <w:p>
      <w:r>
        <w:rPr>
          <w:rFonts w:ascii="Calibri" w:hAnsi="Calibri"/>
        </w:rPr>
        <w:t>Running a second, minimal channel — to protect a name, redirect traffic, or eventually branch into Shorts-only content or a different language — is allowed. YouTube’s own rules permit multiple channels under one account, a channel with no videos at all, and links to the main channel in the About section, the banner, the description, the featured-channels list, and a pinned comment on a placeholder video. What crosses the line is spam (mass-posting links), a name that impersonates someone else, or anything designed to artificially inflate the main channel’s numbers — a simple redirect channel is none of those things.</w:t>
      </w:r>
    </w:p>
    <w:p>
      <w:r>
        <w:rPr>
          <w:rFonts w:ascii="Calibri" w:hAnsi="Calibri"/>
        </w:rPr>
        <w:t>What a second channel does not get is the main channel’s monetized status. Every channel clears the thresholds in §I on its own: its own subscribers, its own watch hours, its own 30-day account age. A placeholder channel with one video and a pinned link to the real channel is not, and will never become, a monetized channel by association. If it later turns into something real — a Shorts-only spinoff, a second-language version, a genuinely separate show — it starts the clock at zero, exactly like any new channel would.</w:t>
      </w:r>
    </w:p>
    <w:p>
      <w:pPr>
        <w:pStyle w:val="Heading2"/>
      </w:pPr>
      <w:r>
        <w:t>III. The rest of the landscape, and how fast it moves</w:t>
      </w:r>
    </w:p>
    <w:p>
      <w:r>
        <w:rPr>
          <w:rFonts w:ascii="Calibri" w:hAnsi="Calibri"/>
        </w:rPr>
        <w:t>YouTube is not the only platform that will pay for a video, and treating it as the only one leaves money on the table that a second upload of the same file could pick up elsewhere. Every program below shares the same basic shape — a follower or subscriber floor, a recent-activity or view floor, sometimes a minimum content length, almost always a geographic restriction — but the specific numbers differ, and they move.</w:t>
      </w:r>
    </w:p>
    <w:p>
      <w:pPr>
        <w:jc w:val="center"/>
      </w:pPr>
      <w:r>
        <w:drawing>
          <wp:inline xmlns:a="http://schemas.openxmlformats.org/drawingml/2006/main" xmlns:pic="http://schemas.openxmlformats.org/drawingml/2006/picture">
            <wp:extent cx="5120640" cy="2729941"/>
            <wp:docPr id="2" name="Picture 2" descr="The Follower Floor: a bar chart of the subscriber or follower count needed before each platform’s main monetization program is available. Rumble has no minimum. X needs 500. YouTube, highlighted, needs 1,000. TikTok and Facebook each need 10,000. Snapchat needs 50,000."/>
            <wp:cNvGraphicFramePr>
              <a:graphicFrameLocks noChangeAspect="1"/>
            </wp:cNvGraphicFramePr>
            <a:graphic>
              <a:graphicData uri="http://schemas.openxmlformats.org/drawingml/2006/picture">
                <pic:pic>
                  <pic:nvPicPr>
                    <pic:cNvPr id="0" name="follower-floor.png"/>
                    <pic:cNvPicPr/>
                  </pic:nvPicPr>
                  <pic:blipFill>
                    <a:blip r:embed="rId36"/>
                    <a:stretch>
                      <a:fillRect/>
                    </a:stretch>
                  </pic:blipFill>
                  <pic:spPr>
                    <a:xfrm>
                      <a:off x="0" y="0"/>
                      <a:ext cx="5120640" cy="2729941"/>
                    </a:xfrm>
                    <a:prstGeom prst="rect"/>
                  </pic:spPr>
                </pic:pic>
              </a:graphicData>
            </a:graphic>
          </wp:inline>
        </w:drawing>
      </w:r>
    </w:p>
    <w:p>
      <w:r>
        <w:rPr>
          <w:rFonts w:ascii="Calibri" w:hAnsi="Calibri"/>
          <w:i/>
        </w:rPr>
        <w:t>Where YouTube’s bar sits relative to the rest of the field it competes with for upload time — the one dimension of each program that’s directly comparable across all of them. Figures as of the time of writing; see the table below for the fuller picture, since a follower count alone doesn’t determine eligibility on most of these platforms.</w:t>
      </w:r>
    </w:p>
    <w:tbl>
      <w:tblPr>
        <w:tblStyle w:val="TableGrid"/>
        <w:tblW w:type="auto" w:w="0"/>
        <w:tblLayout w:type="fixed"/>
        <w:tblLook w:firstColumn="1" w:firstRow="1" w:lastColumn="0" w:lastRow="0" w:noHBand="0" w:noVBand="1" w:val="04A0"/>
        <w:tblW w:w="8063" w:type="dxa"/>
      </w:tblPr>
      <w:tblGrid>
        <w:gridCol w:w="2016"/>
        <w:gridCol w:w="2016"/>
        <w:gridCol w:w="2016"/>
        <w:gridCol w:w="2016"/>
      </w:tblGrid>
      <w:tr>
        <w:tc>
          <w:tcPr>
            <w:tcW w:type="dxa" w:w="2016"/>
            <w:tcW w:w="1655" w:type="dxa"/>
            <w:shd w:val="clear" w:color="auto" w:fill="F3F1EA"/>
          </w:tcPr>
          <w:p>
            <w:pPr>
              <w:spacing w:after="40" w:before="40"/>
            </w:pPr>
            <w:r>
              <w:rPr>
                <w:rFonts w:ascii="Calibri" w:hAnsi="Calibri"/>
                <w:b/>
                <w:sz w:val="20"/>
              </w:rPr>
            </w:r>
            <w:r>
              <w:rPr>
                <w:rFonts w:ascii="Calibri" w:hAnsi="Calibri"/>
                <w:b/>
                <w:sz w:val="20"/>
              </w:rPr>
              <w:t>Platform</w:t>
            </w:r>
          </w:p>
        </w:tc>
        <w:tc>
          <w:tcPr>
            <w:tcW w:type="dxa" w:w="2016"/>
            <w:tcW w:w="1944" w:type="dxa"/>
            <w:shd w:val="clear" w:color="auto" w:fill="F3F1EA"/>
          </w:tcPr>
          <w:p>
            <w:pPr>
              <w:spacing w:after="40" w:before="40"/>
            </w:pPr>
            <w:r>
              <w:rPr>
                <w:rFonts w:ascii="Calibri" w:hAnsi="Calibri"/>
                <w:b/>
                <w:sz w:val="20"/>
              </w:rPr>
            </w:r>
            <w:r>
              <w:rPr>
                <w:rFonts w:ascii="Calibri" w:hAnsi="Calibri"/>
                <w:b/>
                <w:sz w:val="20"/>
              </w:rPr>
              <w:t>Program</w:t>
            </w:r>
          </w:p>
        </w:tc>
        <w:tc>
          <w:tcPr>
            <w:tcW w:type="dxa" w:w="2016"/>
            <w:tcW w:w="2736" w:type="dxa"/>
            <w:shd w:val="clear" w:color="auto" w:fill="F3F1EA"/>
          </w:tcPr>
          <w:p>
            <w:pPr>
              <w:spacing w:after="40" w:before="40"/>
            </w:pPr>
            <w:r>
              <w:rPr>
                <w:rFonts w:ascii="Calibri" w:hAnsi="Calibri"/>
                <w:b/>
                <w:sz w:val="20"/>
              </w:rPr>
            </w:r>
            <w:r>
              <w:rPr>
                <w:rFonts w:ascii="Calibri" w:hAnsi="Calibri"/>
                <w:b/>
                <w:sz w:val="20"/>
              </w:rPr>
              <w:t>Threshold (at time of writing)</w:t>
            </w:r>
          </w:p>
        </w:tc>
        <w:tc>
          <w:tcPr>
            <w:tcW w:type="dxa" w:w="2016"/>
            <w:tcW w:w="1728" w:type="dxa"/>
            <w:shd w:val="clear" w:color="auto" w:fill="F3F1EA"/>
          </w:tcPr>
          <w:p>
            <w:pPr>
              <w:spacing w:after="40" w:before="40"/>
            </w:pPr>
            <w:r>
              <w:rPr>
                <w:rFonts w:ascii="Calibri" w:hAnsi="Calibri"/>
                <w:b/>
                <w:sz w:val="20"/>
              </w:rPr>
            </w:r>
            <w:r>
              <w:rPr>
                <w:rFonts w:ascii="Calibri" w:hAnsi="Calibri"/>
                <w:b/>
                <w:sz w:val="20"/>
              </w:rPr>
              <w:t>Model</w:t>
            </w:r>
          </w:p>
        </w:tc>
      </w:tr>
      <w:tr>
        <w:tc>
          <w:tcPr>
            <w:tcW w:type="dxa" w:w="2016"/>
            <w:tcW w:w="1655" w:type="dxa"/>
          </w:tcPr>
          <w:p>
            <w:pPr>
              <w:spacing w:after="40" w:before="40"/>
            </w:pPr>
            <w:r>
              <w:rPr>
                <w:rFonts w:ascii="Calibri" w:hAnsi="Calibri"/>
                <w:sz w:val="20"/>
              </w:rPr>
            </w:r>
            <w:r>
              <w:rPr>
                <w:rFonts w:ascii="Calibri" w:hAnsi="Calibri"/>
                <w:sz w:val="20"/>
              </w:rPr>
              <w:t>YouTube</w:t>
            </w:r>
          </w:p>
        </w:tc>
        <w:tc>
          <w:tcPr>
            <w:tcW w:type="dxa" w:w="2016"/>
            <w:tcW w:w="1944" w:type="dxa"/>
          </w:tcPr>
          <w:p>
            <w:pPr>
              <w:spacing w:after="40" w:before="40"/>
            </w:pPr>
            <w:r>
              <w:rPr>
                <w:rFonts w:ascii="Calibri" w:hAnsi="Calibri"/>
                <w:sz w:val="20"/>
              </w:rPr>
            </w:r>
            <w:r>
              <w:rPr>
                <w:rFonts w:ascii="Calibri" w:hAnsi="Calibri"/>
                <w:sz w:val="20"/>
              </w:rPr>
              <w:t>Partner Program</w:t>
            </w:r>
          </w:p>
        </w:tc>
        <w:tc>
          <w:tcPr>
            <w:tcW w:type="dxa" w:w="2016"/>
            <w:tcW w:w="2736" w:type="dxa"/>
          </w:tcPr>
          <w:p>
            <w:pPr>
              <w:spacing w:after="40" w:before="40"/>
            </w:pPr>
            <w:r>
              <w:rPr>
                <w:rFonts w:ascii="Calibri" w:hAnsi="Calibri"/>
                <w:sz w:val="20"/>
              </w:rPr>
            </w:r>
            <w:r>
              <w:rPr>
                <w:rFonts w:ascii="Calibri" w:hAnsi="Calibri"/>
                <w:sz w:val="20"/>
              </w:rPr>
              <w:t>1,000 subscribers + 4,000 watch hours/12 months, or 10M Shorts views/90 days</w:t>
            </w:r>
          </w:p>
        </w:tc>
        <w:tc>
          <w:tcPr>
            <w:tcW w:type="dxa" w:w="2016"/>
            <w:tcW w:w="1728" w:type="dxa"/>
          </w:tcPr>
          <w:p>
            <w:pPr>
              <w:spacing w:after="40" w:before="40"/>
            </w:pPr>
            <w:r>
              <w:rPr>
                <w:rFonts w:ascii="Calibri" w:hAnsi="Calibri"/>
                <w:sz w:val="20"/>
              </w:rPr>
            </w:r>
            <w:r>
              <w:rPr>
                <w:rFonts w:ascii="Calibri" w:hAnsi="Calibri"/>
                <w:sz w:val="20"/>
              </w:rPr>
              <w:t>Ad revenue share</w:t>
            </w:r>
          </w:p>
        </w:tc>
      </w:tr>
      <w:tr>
        <w:tc>
          <w:tcPr>
            <w:tcW w:type="dxa" w:w="2016"/>
            <w:tcW w:w="1655" w:type="dxa"/>
          </w:tcPr>
          <w:p>
            <w:pPr>
              <w:spacing w:after="40" w:before="40"/>
            </w:pPr>
            <w:r>
              <w:rPr>
                <w:rFonts w:ascii="Calibri" w:hAnsi="Calibri"/>
                <w:sz w:val="20"/>
              </w:rPr>
            </w:r>
            <w:hyperlink r:id="rId37">
              <w:r>
                <w:rPr>
                  <w:rStyle w:val="Hyperlink"/>
                  <w:sz w:val="22"/>
                  <w:rFonts w:ascii="Calibri" w:hAnsi="Calibri"/>
                </w:rPr>
                <w:t xml:space="preserve">TikTok</w:t>
              </w:r>
            </w:hyperlink>
          </w:p>
        </w:tc>
        <w:tc>
          <w:tcPr>
            <w:tcW w:type="dxa" w:w="2016"/>
            <w:tcW w:w="1944" w:type="dxa"/>
          </w:tcPr>
          <w:p>
            <w:pPr>
              <w:spacing w:after="40" w:before="40"/>
            </w:pPr>
            <w:r>
              <w:rPr>
                <w:rFonts w:ascii="Calibri" w:hAnsi="Calibri"/>
                <w:sz w:val="20"/>
              </w:rPr>
            </w:r>
            <w:r>
              <w:rPr>
                <w:rFonts w:ascii="Calibri" w:hAnsi="Calibri"/>
                <w:sz w:val="20"/>
              </w:rPr>
              <w:t>Creator Rewards</w:t>
            </w:r>
          </w:p>
        </w:tc>
        <w:tc>
          <w:tcPr>
            <w:tcW w:type="dxa" w:w="2016"/>
            <w:tcW w:w="2736" w:type="dxa"/>
          </w:tcPr>
          <w:p>
            <w:pPr>
              <w:spacing w:after="40" w:before="40"/>
            </w:pPr>
            <w:r>
              <w:rPr>
                <w:rFonts w:ascii="Calibri" w:hAnsi="Calibri"/>
                <w:sz w:val="20"/>
              </w:rPr>
            </w:r>
            <w:r>
              <w:rPr>
                <w:rFonts w:ascii="Calibri" w:hAnsi="Calibri"/>
                <w:sz w:val="20"/>
              </w:rPr>
              <w:t>10,000 followers + 100,000 views/30 days; 18+; videos 60s or longer; limited countries</w:t>
            </w:r>
          </w:p>
        </w:tc>
        <w:tc>
          <w:tcPr>
            <w:tcW w:type="dxa" w:w="2016"/>
            <w:tcW w:w="1728" w:type="dxa"/>
          </w:tcPr>
          <w:p>
            <w:pPr>
              <w:spacing w:after="40" w:before="40"/>
            </w:pPr>
            <w:r>
              <w:rPr>
                <w:rFonts w:ascii="Calibri" w:hAnsi="Calibri"/>
                <w:sz w:val="20"/>
              </w:rPr>
            </w:r>
            <w:r>
              <w:rPr>
                <w:rFonts w:ascii="Calibri" w:hAnsi="Calibri"/>
                <w:sz w:val="20"/>
              </w:rPr>
              <w:t>Pay per qualified view</w:t>
            </w:r>
          </w:p>
        </w:tc>
      </w:tr>
      <w:tr>
        <w:tc>
          <w:tcPr>
            <w:tcW w:type="dxa" w:w="2016"/>
            <w:tcW w:w="1655" w:type="dxa"/>
          </w:tcPr>
          <w:p>
            <w:pPr>
              <w:spacing w:after="40" w:before="40"/>
            </w:pPr>
            <w:r>
              <w:rPr>
                <w:rFonts w:ascii="Calibri" w:hAnsi="Calibri"/>
                <w:sz w:val="20"/>
              </w:rPr>
            </w:r>
            <w:hyperlink r:id="rId38">
              <w:r>
                <w:rPr>
                  <w:rStyle w:val="Hyperlink"/>
                  <w:sz w:val="22"/>
                  <w:rFonts w:ascii="Calibri" w:hAnsi="Calibri"/>
                </w:rPr>
                <w:t xml:space="preserve">Facebook</w:t>
              </w:r>
            </w:hyperlink>
          </w:p>
        </w:tc>
        <w:tc>
          <w:tcPr>
            <w:tcW w:type="dxa" w:w="2016"/>
            <w:tcW w:w="1944" w:type="dxa"/>
          </w:tcPr>
          <w:p>
            <w:pPr>
              <w:spacing w:after="40" w:before="40"/>
            </w:pPr>
            <w:r>
              <w:rPr>
                <w:rFonts w:ascii="Calibri" w:hAnsi="Calibri"/>
                <w:sz w:val="20"/>
              </w:rPr>
            </w:r>
            <w:r>
              <w:rPr>
                <w:rFonts w:ascii="Calibri" w:hAnsi="Calibri"/>
                <w:sz w:val="20"/>
              </w:rPr>
              <w:t>Content Monetization</w:t>
            </w:r>
          </w:p>
        </w:tc>
        <w:tc>
          <w:tcPr>
            <w:tcW w:type="dxa" w:w="2016"/>
            <w:tcW w:w="2736" w:type="dxa"/>
          </w:tcPr>
          <w:p>
            <w:pPr>
              <w:spacing w:after="40" w:before="40"/>
            </w:pPr>
            <w:r>
              <w:rPr>
                <w:rFonts w:ascii="Calibri" w:hAnsi="Calibri"/>
                <w:sz w:val="20"/>
              </w:rPr>
            </w:r>
            <w:r>
              <w:rPr>
                <w:rFonts w:ascii="Calibri" w:hAnsi="Calibri"/>
                <w:sz w:val="20"/>
              </w:rPr>
              <w:t>10,000 followers + 600,000 minutes watched/60 days + 5 videos on the Page</w:t>
            </w:r>
          </w:p>
        </w:tc>
        <w:tc>
          <w:tcPr>
            <w:tcW w:type="dxa" w:w="2016"/>
            <w:tcW w:w="1728" w:type="dxa"/>
          </w:tcPr>
          <w:p>
            <w:pPr>
              <w:spacing w:after="40" w:before="40"/>
            </w:pPr>
            <w:r>
              <w:rPr>
                <w:rFonts w:ascii="Calibri" w:hAnsi="Calibri"/>
                <w:sz w:val="20"/>
              </w:rPr>
            </w:r>
            <w:r>
              <w:rPr>
                <w:rFonts w:ascii="Calibri" w:hAnsi="Calibri"/>
                <w:sz w:val="20"/>
              </w:rPr>
              <w:t>Ad revenue share</w:t>
            </w:r>
          </w:p>
        </w:tc>
      </w:tr>
      <w:tr>
        <w:tc>
          <w:tcPr>
            <w:tcW w:type="dxa" w:w="2016"/>
            <w:tcW w:w="1655" w:type="dxa"/>
          </w:tcPr>
          <w:p>
            <w:pPr>
              <w:spacing w:after="40" w:before="40"/>
            </w:pPr>
            <w:r>
              <w:rPr>
                <w:rFonts w:ascii="Calibri" w:hAnsi="Calibri"/>
                <w:sz w:val="20"/>
              </w:rPr>
            </w:r>
            <w:hyperlink r:id="rId39">
              <w:r>
                <w:rPr>
                  <w:rStyle w:val="Hyperlink"/>
                  <w:sz w:val="22"/>
                  <w:rFonts w:ascii="Calibri" w:hAnsi="Calibri"/>
                </w:rPr>
                <w:t xml:space="preserve">Snapchat</w:t>
              </w:r>
            </w:hyperlink>
          </w:p>
        </w:tc>
        <w:tc>
          <w:tcPr>
            <w:tcW w:type="dxa" w:w="2016"/>
            <w:tcW w:w="1944" w:type="dxa"/>
          </w:tcPr>
          <w:p>
            <w:pPr>
              <w:spacing w:after="40" w:before="40"/>
            </w:pPr>
            <w:r>
              <w:rPr>
                <w:rFonts w:ascii="Calibri" w:hAnsi="Calibri"/>
                <w:sz w:val="20"/>
              </w:rPr>
            </w:r>
            <w:r>
              <w:rPr>
                <w:rFonts w:ascii="Calibri" w:hAnsi="Calibri"/>
                <w:sz w:val="20"/>
              </w:rPr>
              <w:t>Spotlight monetization</w:t>
            </w:r>
          </w:p>
        </w:tc>
        <w:tc>
          <w:tcPr>
            <w:tcW w:type="dxa" w:w="2016"/>
            <w:tcW w:w="2736" w:type="dxa"/>
          </w:tcPr>
          <w:p>
            <w:pPr>
              <w:spacing w:after="40" w:before="40"/>
            </w:pPr>
            <w:r>
              <w:rPr>
                <w:rFonts w:ascii="Calibri" w:hAnsi="Calibri"/>
                <w:sz w:val="20"/>
              </w:rPr>
            </w:r>
            <w:r>
              <w:rPr>
                <w:rFonts w:ascii="Calibri" w:hAnsi="Calibri"/>
                <w:sz w:val="20"/>
              </w:rPr>
              <w:t>50,000 followers + 25 posts/month + 100 hours of Spotlight view time/28 days</w:t>
            </w:r>
          </w:p>
        </w:tc>
        <w:tc>
          <w:tcPr>
            <w:tcW w:type="dxa" w:w="2016"/>
            <w:tcW w:w="1728" w:type="dxa"/>
          </w:tcPr>
          <w:p>
            <w:pPr>
              <w:spacing w:after="40" w:before="40"/>
            </w:pPr>
            <w:r>
              <w:rPr>
                <w:rFonts w:ascii="Calibri" w:hAnsi="Calibri"/>
                <w:sz w:val="20"/>
              </w:rPr>
            </w:r>
            <w:r>
              <w:rPr>
                <w:rFonts w:ascii="Calibri" w:hAnsi="Calibri"/>
                <w:sz w:val="20"/>
              </w:rPr>
              <w:t>Ad revenue share</w:t>
            </w:r>
          </w:p>
        </w:tc>
      </w:tr>
      <w:tr>
        <w:tc>
          <w:tcPr>
            <w:tcW w:type="dxa" w:w="2016"/>
            <w:tcW w:w="1655" w:type="dxa"/>
          </w:tcPr>
          <w:p>
            <w:pPr>
              <w:spacing w:after="40" w:before="40"/>
            </w:pPr>
            <w:r>
              <w:rPr>
                <w:rFonts w:ascii="Calibri" w:hAnsi="Calibri"/>
                <w:sz w:val="20"/>
              </w:rPr>
            </w:r>
            <w:hyperlink r:id="rId40">
              <w:r>
                <w:rPr>
                  <w:rStyle w:val="Hyperlink"/>
                  <w:sz w:val="22"/>
                  <w:rFonts w:ascii="Calibri" w:hAnsi="Calibri"/>
                </w:rPr>
                <w:t xml:space="preserve">X</w:t>
              </w:r>
            </w:hyperlink>
          </w:p>
        </w:tc>
        <w:tc>
          <w:tcPr>
            <w:tcW w:type="dxa" w:w="2016"/>
            <w:tcW w:w="1944" w:type="dxa"/>
          </w:tcPr>
          <w:p>
            <w:pPr>
              <w:spacing w:after="40" w:before="40"/>
            </w:pPr>
            <w:r>
              <w:rPr>
                <w:rFonts w:ascii="Calibri" w:hAnsi="Calibri"/>
                <w:sz w:val="20"/>
              </w:rPr>
            </w:r>
            <w:r>
              <w:rPr>
                <w:rFonts w:ascii="Calibri" w:hAnsi="Calibri"/>
                <w:sz w:val="20"/>
              </w:rPr>
              <w:t>Original Content Rewards</w:t>
            </w:r>
          </w:p>
        </w:tc>
        <w:tc>
          <w:tcPr>
            <w:tcW w:type="dxa" w:w="2016"/>
            <w:tcW w:w="2736" w:type="dxa"/>
          </w:tcPr>
          <w:p>
            <w:pPr>
              <w:spacing w:after="40" w:before="40"/>
            </w:pPr>
            <w:r>
              <w:rPr>
                <w:rFonts w:ascii="Calibri" w:hAnsi="Calibri"/>
                <w:sz w:val="20"/>
              </w:rPr>
            </w:r>
            <w:r>
              <w:rPr>
                <w:rFonts w:ascii="Calibri" w:hAnsi="Calibri"/>
                <w:sz w:val="20"/>
              </w:rPr>
              <w:t>Active Premium subscription + 500 verified followers + 500,000 impressions/90 days</w:t>
            </w:r>
          </w:p>
        </w:tc>
        <w:tc>
          <w:tcPr>
            <w:tcW w:type="dxa" w:w="2016"/>
            <w:tcW w:w="1728" w:type="dxa"/>
          </w:tcPr>
          <w:p>
            <w:pPr>
              <w:spacing w:after="40" w:before="40"/>
            </w:pPr>
            <w:r>
              <w:rPr>
                <w:rFonts w:ascii="Calibri" w:hAnsi="Calibri"/>
                <w:sz w:val="20"/>
              </w:rPr>
            </w:r>
            <w:r>
              <w:rPr>
                <w:rFonts w:ascii="Calibri" w:hAnsi="Calibri"/>
                <w:sz w:val="20"/>
              </w:rPr>
              <w:t>Pay per qualified impression</w:t>
            </w:r>
          </w:p>
        </w:tc>
      </w:tr>
      <w:tr>
        <w:tc>
          <w:tcPr>
            <w:tcW w:type="dxa" w:w="2016"/>
            <w:tcW w:w="1655" w:type="dxa"/>
          </w:tcPr>
          <w:p>
            <w:pPr>
              <w:spacing w:after="40" w:before="40"/>
            </w:pPr>
            <w:r>
              <w:rPr>
                <w:rFonts w:ascii="Calibri" w:hAnsi="Calibri"/>
                <w:sz w:val="20"/>
              </w:rPr>
            </w:r>
            <w:hyperlink r:id="rId41">
              <w:r>
                <w:rPr>
                  <w:rStyle w:val="Hyperlink"/>
                  <w:sz w:val="22"/>
                  <w:rFonts w:ascii="Calibri" w:hAnsi="Calibri"/>
                </w:rPr>
                <w:t xml:space="preserve">Rumble</w:t>
              </w:r>
            </w:hyperlink>
          </w:p>
        </w:tc>
        <w:tc>
          <w:tcPr>
            <w:tcW w:type="dxa" w:w="2016"/>
            <w:tcW w:w="1944" w:type="dxa"/>
          </w:tcPr>
          <w:p>
            <w:pPr>
              <w:spacing w:after="40" w:before="40"/>
            </w:pPr>
            <w:r>
              <w:rPr>
                <w:rFonts w:ascii="Calibri" w:hAnsi="Calibri"/>
                <w:sz w:val="20"/>
              </w:rPr>
            </w:r>
            <w:r>
              <w:rPr>
                <w:rFonts w:ascii="Calibri" w:hAnsi="Calibri"/>
                <w:sz w:val="20"/>
              </w:rPr>
              <w:t>Partner Program</w:t>
            </w:r>
          </w:p>
        </w:tc>
        <w:tc>
          <w:tcPr>
            <w:tcW w:type="dxa" w:w="2016"/>
            <w:tcW w:w="2736" w:type="dxa"/>
          </w:tcPr>
          <w:p>
            <w:pPr>
              <w:spacing w:after="40" w:before="40"/>
            </w:pPr>
            <w:r>
              <w:rPr>
                <w:rFonts w:ascii="Calibri" w:hAnsi="Calibri"/>
                <w:sz w:val="20"/>
              </w:rPr>
            </w:r>
            <w:r>
              <w:rPr>
                <w:rFonts w:ascii="Calibri" w:hAnsi="Calibri"/>
                <w:sz w:val="20"/>
              </w:rPr>
              <w:t>No follower minimum; 30-day-old account in good standing, one original upload</w:t>
            </w:r>
          </w:p>
        </w:tc>
        <w:tc>
          <w:tcPr>
            <w:tcW w:type="dxa" w:w="2016"/>
            <w:tcW w:w="1728" w:type="dxa"/>
          </w:tcPr>
          <w:p>
            <w:pPr>
              <w:spacing w:after="40" w:before="40"/>
            </w:pPr>
            <w:r>
              <w:rPr>
                <w:rFonts w:ascii="Calibri" w:hAnsi="Calibri"/>
                <w:sz w:val="20"/>
              </w:rPr>
            </w:r>
            <w:r>
              <w:rPr>
                <w:rFonts w:ascii="Calibri" w:hAnsi="Calibri"/>
                <w:sz w:val="20"/>
              </w:rPr>
              <w:t>Ad revenue share</w:t>
            </w:r>
          </w:p>
        </w:tc>
      </w:tr>
      <w:tr>
        <w:tc>
          <w:tcPr>
            <w:tcW w:type="dxa" w:w="2016"/>
            <w:tcW w:w="1655" w:type="dxa"/>
          </w:tcPr>
          <w:p>
            <w:pPr>
              <w:spacing w:after="40" w:before="40"/>
            </w:pPr>
            <w:r>
              <w:rPr>
                <w:rFonts w:ascii="Calibri" w:hAnsi="Calibri"/>
                <w:sz w:val="20"/>
              </w:rPr>
            </w:r>
            <w:hyperlink r:id="rId42">
              <w:r>
                <w:rPr>
                  <w:rStyle w:val="Hyperlink"/>
                  <w:sz w:val="22"/>
                  <w:rFonts w:ascii="Calibri" w:hAnsi="Calibri"/>
                </w:rPr>
                <w:t xml:space="preserve">Dailymotion</w:t>
              </w:r>
            </w:hyperlink>
          </w:p>
        </w:tc>
        <w:tc>
          <w:tcPr>
            <w:tcW w:type="dxa" w:w="2016"/>
            <w:tcW w:w="1944" w:type="dxa"/>
          </w:tcPr>
          <w:p>
            <w:pPr>
              <w:spacing w:after="40" w:before="40"/>
            </w:pPr>
            <w:r>
              <w:rPr>
                <w:rFonts w:ascii="Calibri" w:hAnsi="Calibri"/>
                <w:sz w:val="20"/>
              </w:rPr>
            </w:r>
            <w:r>
              <w:rPr>
                <w:rFonts w:ascii="Calibri" w:hAnsi="Calibri"/>
                <w:sz w:val="20"/>
              </w:rPr>
              <w:t>Partner Program</w:t>
            </w:r>
          </w:p>
        </w:tc>
        <w:tc>
          <w:tcPr>
            <w:tcW w:type="dxa" w:w="2016"/>
            <w:tcW w:w="2736" w:type="dxa"/>
          </w:tcPr>
          <w:p>
            <w:pPr>
              <w:spacing w:after="40" w:before="40"/>
            </w:pPr>
            <w:r>
              <w:rPr>
                <w:rFonts w:ascii="Calibri" w:hAnsi="Calibri"/>
                <w:sz w:val="20"/>
              </w:rPr>
            </w:r>
            <w:r>
              <w:rPr>
                <w:rFonts w:ascii="Calibri" w:hAnsi="Calibri"/>
                <w:sz w:val="20"/>
              </w:rPr>
              <w:t>Sources disagree — confirm directly with Dailymotion</w:t>
            </w:r>
          </w:p>
        </w:tc>
        <w:tc>
          <w:tcPr>
            <w:tcW w:type="dxa" w:w="2016"/>
            <w:tcW w:w="1728" w:type="dxa"/>
          </w:tcPr>
          <w:p>
            <w:pPr>
              <w:spacing w:after="40" w:before="40"/>
            </w:pPr>
            <w:r>
              <w:rPr>
                <w:rFonts w:ascii="Calibri" w:hAnsi="Calibri"/>
                <w:sz w:val="20"/>
              </w:rPr>
            </w:r>
            <w:r>
              <w:rPr>
                <w:rFonts w:ascii="Calibri" w:hAnsi="Calibri"/>
                <w:sz w:val="20"/>
              </w:rPr>
              <w:t>Ad revenue share</w:t>
            </w:r>
          </w:p>
        </w:tc>
      </w:tr>
      <w:tr>
        <w:tc>
          <w:tcPr>
            <w:tcW w:type="dxa" w:w="2016"/>
            <w:tcW w:w="1655" w:type="dxa"/>
          </w:tcPr>
          <w:p>
            <w:pPr>
              <w:spacing w:after="40" w:before="40"/>
            </w:pPr>
            <w:r>
              <w:rPr>
                <w:rFonts w:ascii="Calibri" w:hAnsi="Calibri"/>
                <w:sz w:val="20"/>
              </w:rPr>
            </w:r>
            <w:r>
              <w:rPr>
                <w:rFonts w:ascii="Calibri" w:hAnsi="Calibri"/>
                <w:sz w:val="20"/>
              </w:rPr>
              <w:t>Instagram</w:t>
            </w:r>
          </w:p>
        </w:tc>
        <w:tc>
          <w:tcPr>
            <w:tcW w:type="dxa" w:w="2016"/>
            <w:tcW w:w="1944" w:type="dxa"/>
          </w:tcPr>
          <w:p>
            <w:pPr>
              <w:spacing w:after="40" w:before="40"/>
            </w:pPr>
            <w:r>
              <w:rPr>
                <w:rFonts w:ascii="Calibri" w:hAnsi="Calibri"/>
                <w:sz w:val="20"/>
              </w:rPr>
            </w:r>
            <w:r>
              <w:rPr>
                <w:rFonts w:ascii="Calibri" w:hAnsi="Calibri"/>
                <w:sz w:val="20"/>
              </w:rPr>
              <w:t>Gifts / Subscriptions</w:t>
            </w:r>
          </w:p>
        </w:tc>
        <w:tc>
          <w:tcPr>
            <w:tcW w:type="dxa" w:w="2016"/>
            <w:tcW w:w="2736" w:type="dxa"/>
          </w:tcPr>
          <w:p>
            <w:pPr>
              <w:spacing w:after="40" w:before="40"/>
            </w:pPr>
            <w:r>
              <w:rPr>
                <w:rFonts w:ascii="Calibri" w:hAnsi="Calibri"/>
                <w:sz w:val="20"/>
              </w:rPr>
            </w:r>
            <w:r>
              <w:rPr>
                <w:rFonts w:ascii="Calibri" w:hAnsi="Calibri"/>
                <w:sz w:val="20"/>
              </w:rPr>
              <w:t>No fixed public threshold; direct-payout bonus programs are mostly invite-only</w:t>
            </w:r>
          </w:p>
        </w:tc>
        <w:tc>
          <w:tcPr>
            <w:tcW w:type="dxa" w:w="2016"/>
            <w:tcW w:w="1728" w:type="dxa"/>
          </w:tcPr>
          <w:p>
            <w:pPr>
              <w:spacing w:after="40" w:before="40"/>
            </w:pPr>
            <w:r>
              <w:rPr>
                <w:rFonts w:ascii="Calibri" w:hAnsi="Calibri"/>
                <w:sz w:val="20"/>
              </w:rPr>
            </w:r>
            <w:r>
              <w:rPr>
                <w:rFonts w:ascii="Calibri" w:hAnsi="Calibri"/>
                <w:sz w:val="20"/>
              </w:rPr>
              <w:t>Viewer tipping / subscriptions</w:t>
            </w:r>
          </w:p>
        </w:tc>
      </w:tr>
      <w:tr>
        <w:tc>
          <w:tcPr>
            <w:tcW w:type="dxa" w:w="2016"/>
            <w:tcW w:w="1655" w:type="dxa"/>
          </w:tcPr>
          <w:p>
            <w:pPr>
              <w:spacing w:after="40" w:before="40"/>
            </w:pPr>
            <w:r>
              <w:rPr>
                <w:rFonts w:ascii="Calibri" w:hAnsi="Calibri"/>
                <w:sz w:val="20"/>
              </w:rPr>
            </w:r>
            <w:r>
              <w:rPr>
                <w:rFonts w:ascii="Calibri" w:hAnsi="Calibri"/>
                <w:sz w:val="20"/>
              </w:rPr>
              <w:t>Vimeo</w:t>
            </w:r>
          </w:p>
        </w:tc>
        <w:tc>
          <w:tcPr>
            <w:tcW w:type="dxa" w:w="2016"/>
            <w:tcW w:w="1944" w:type="dxa"/>
          </w:tcPr>
          <w:p>
            <w:pPr>
              <w:spacing w:after="40" w:before="40"/>
            </w:pPr>
            <w:r>
              <w:rPr>
                <w:rFonts w:ascii="Calibri" w:hAnsi="Calibri"/>
                <w:sz w:val="20"/>
              </w:rPr>
            </w:r>
            <w:r>
              <w:rPr>
                <w:rFonts w:ascii="Calibri" w:hAnsi="Calibri"/>
                <w:sz w:val="20"/>
              </w:rPr>
              <w:t>—</w:t>
            </w:r>
          </w:p>
        </w:tc>
        <w:tc>
          <w:tcPr>
            <w:tcW w:type="dxa" w:w="2016"/>
            <w:tcW w:w="2736" w:type="dxa"/>
          </w:tcPr>
          <w:p>
            <w:pPr>
              <w:spacing w:after="40" w:before="40"/>
            </w:pPr>
            <w:r>
              <w:rPr>
                <w:rFonts w:ascii="Calibri" w:hAnsi="Calibri"/>
                <w:sz w:val="20"/>
              </w:rPr>
            </w:r>
            <w:r>
              <w:rPr>
                <w:rFonts w:ascii="Calibri" w:hAnsi="Calibri"/>
                <w:sz w:val="20"/>
              </w:rPr>
              <w:t>On Demand is being discontinued in 2026, not replaced with an equivalent</w:t>
            </w:r>
          </w:p>
        </w:tc>
        <w:tc>
          <w:tcPr>
            <w:tcW w:type="dxa" w:w="2016"/>
            <w:tcW w:w="1728" w:type="dxa"/>
          </w:tcPr>
          <w:p>
            <w:pPr>
              <w:spacing w:after="40" w:before="40"/>
            </w:pPr>
            <w:r>
              <w:rPr>
                <w:rFonts w:ascii="Calibri" w:hAnsi="Calibri"/>
                <w:sz w:val="20"/>
              </w:rPr>
            </w:r>
            <w:r>
              <w:rPr>
                <w:rFonts w:ascii="Calibri" w:hAnsi="Calibri"/>
                <w:sz w:val="20"/>
              </w:rPr>
              <w:t>Was pay-per-view; replaced by a paid-subscription tool, not a payout program</w:t>
            </w:r>
          </w:p>
        </w:tc>
      </w:tr>
      <w:tr>
        <w:tc>
          <w:tcPr>
            <w:tcW w:type="dxa" w:w="2016"/>
            <w:tcW w:w="1655" w:type="dxa"/>
          </w:tcPr>
          <w:p>
            <w:pPr>
              <w:spacing w:after="40" w:before="40"/>
            </w:pPr>
            <w:r>
              <w:rPr>
                <w:rFonts w:ascii="Calibri" w:hAnsi="Calibri"/>
                <w:sz w:val="20"/>
              </w:rPr>
            </w:r>
            <w:hyperlink r:id="rId43">
              <w:r>
                <w:rPr>
                  <w:rStyle w:val="Hyperlink"/>
                  <w:sz w:val="22"/>
                  <w:rFonts w:ascii="Calibri" w:hAnsi="Calibri"/>
                </w:rPr>
                <w:t xml:space="preserve">Tumblr</w:t>
              </w:r>
            </w:hyperlink>
          </w:p>
        </w:tc>
        <w:tc>
          <w:tcPr>
            <w:tcW w:type="dxa" w:w="2016"/>
            <w:tcW w:w="1944" w:type="dxa"/>
          </w:tcPr>
          <w:p>
            <w:pPr>
              <w:spacing w:after="40" w:before="40"/>
            </w:pPr>
            <w:r>
              <w:rPr>
                <w:rFonts w:ascii="Calibri" w:hAnsi="Calibri"/>
                <w:sz w:val="20"/>
              </w:rPr>
            </w:r>
            <w:r>
              <w:rPr>
                <w:rFonts w:ascii="Calibri" w:hAnsi="Calibri"/>
                <w:sz w:val="20"/>
              </w:rPr>
              <w:t>—</w:t>
            </w:r>
          </w:p>
        </w:tc>
        <w:tc>
          <w:tcPr>
            <w:tcW w:type="dxa" w:w="2016"/>
            <w:tcW w:w="2736" w:type="dxa"/>
          </w:tcPr>
          <w:p>
            <w:pPr>
              <w:spacing w:after="40" w:before="40"/>
            </w:pPr>
            <w:r>
              <w:rPr>
                <w:rFonts w:ascii="Calibri" w:hAnsi="Calibri"/>
                <w:sz w:val="20"/>
              </w:rPr>
            </w:r>
            <w:r>
              <w:rPr>
                <w:rFonts w:ascii="Calibri" w:hAnsi="Calibri"/>
                <w:sz w:val="20"/>
              </w:rPr>
              <w:t>No dedicated video ad-monetization program</w:t>
            </w:r>
          </w:p>
        </w:tc>
        <w:tc>
          <w:tcPr>
            <w:tcW w:type="dxa" w:w="2016"/>
            <w:tcW w:w="1728" w:type="dxa"/>
          </w:tcPr>
          <w:p>
            <w:pPr>
              <w:spacing w:after="40" w:before="40"/>
            </w:pPr>
            <w:r>
              <w:rPr>
                <w:rFonts w:ascii="Calibri" w:hAnsi="Calibri"/>
                <w:sz w:val="20"/>
              </w:rPr>
            </w:r>
            <w:r>
              <w:rPr>
                <w:rFonts w:ascii="Calibri" w:hAnsi="Calibri"/>
                <w:sz w:val="20"/>
              </w:rPr>
              <w:t>Traffic and referral platform, not currently a payout source</w:t>
            </w:r>
          </w:p>
        </w:tc>
      </w:tr>
    </w:tbl>
    <w:p/>
    <w:p>
      <w:r>
        <w:rPr>
          <w:rFonts w:ascii="Calibri" w:hAnsi="Calibri"/>
        </w:rPr>
        <w:t>Two platforms in this table changed their entire monetization program within the same year this chapter was written. Facebook’s old In-Stream Ads program ended outright — for on-demand video in 2025, for Live video in mid-2026 — replaced by the unified Content Monetization Program above. X retired its original revenue-sharing program in September 2026, the same month this chapter was drafted, in favor of the Original Content Rewards Program shown here, which pays for qualified impressions on original content rather than for engagement on replies. Neither change was unusual; it is the normal pace at which a platform’s monetization terms move, and it is the reason every number in this table needs reconfirming before you rely on it.</w:t>
      </w:r>
    </w:p>
    <w:p>
      <w:r>
        <w:rPr>
          <w:rFonts w:ascii="Calibri" w:hAnsi="Calibri"/>
        </w:rPr>
        <w:t>Dailymotion’s own published requirements were inconsistent across sources at the time of writing — some describing a threshold that mirrors YouTube’s almost exactly, others describing a much lower bar. That inconsistency is itself useful information: check the platform’s own creator help center directly, here and for every platform in this table, rather than a secondhand guide.</w:t>
      </w:r>
    </w:p>
    <w:p>
      <w:r>
        <w:rPr>
          <w:rFonts w:ascii="Calibri" w:hAnsi="Calibri"/>
        </w:rPr>
        <w:t>Instagram and Tumblr are worth naming because creators ask about them, not because either is currently a strong ad-revenue-share platform for video the way YouTube or TikTok are. Instagram’s direct-payout bonus programs are largely invite-only; its dependable monetization tools are viewer-funded — Gifts and Subscriptions — which pay only if an audience is already willing to pay directly. Tumblr has no comparable video ad-monetization program at all; treat it as a place to post and link back to a monetized upload elsewhere, not as a payout source in its own right.</w:t>
      </w:r>
    </w:p>
    <w:p>
      <w:pPr>
        <w:pStyle w:val="Heading2"/>
      </w:pPr>
      <w:r>
        <w:t>IV. Affiliate links: revenue that survives a platform’s program changing</w:t>
      </w:r>
    </w:p>
    <w:p>
      <w:r>
        <w:rPr>
          <w:rFonts w:ascii="Calibri" w:hAnsi="Calibri"/>
        </w:rPr>
        <w:t>Every program in §III can change or disappear — two already did while this chapter was being written. An affiliate link does not depend on any of them; it pays on a sale, regardless of whether the platform hosting the video has an ad-share program at all, which makes it worth setting up before a channel clears any monetization threshold, not after.</w:t>
      </w:r>
    </w:p>
    <w:p>
      <w:r>
        <w:rPr>
          <w:rFonts w:ascii="Calibri" w:hAnsi="Calibri"/>
        </w:rPr>
        <w:t>The mechanics are the same across any platform that allows a clickable link in a description. Disclose clearly and prominently — “affiliate link” or “#ad” near the link itself, not buried in a wall of text — since FTC disclosure requirements apply regardless of which platform hosts the video. Put the best-converting link first, within the first two or three lines of the description, since that is the part visible without a viewer expanding it. A pinned comment repeating the top link gets read even by viewers who never expand the description at all. Three to five links is a practical ceiling before a list starts reading as spam rather than a recommendation — put the ones actually worth recommending first, and drop the rest.</w:t>
      </w:r>
    </w:p>
    <w:p>
      <w:r>
        <w:rPr>
          <w:rFonts w:ascii="Calibri" w:hAnsi="Calibri"/>
        </w:rPr>
        <w:t>Where a platform supports it — YouTube’s Shopping tab for eligible channels, cards, and end screens among them — a product tagged directly inside the video converts better than a link a viewer has to leave the video to find, because it does not ask them to stop watching in order to act on it. Where a platform does not support that, the description and the pinned comment do nearly all of the work anyway.</w:t>
      </w:r>
    </w:p>
    <w:p>
      <w:pPr>
        <w:pStyle w:val="Heading2"/>
      </w:pPr>
      <w:r>
        <w:t>V. Claims that do not survive a platform’s own eligibility page</w:t>
      </w:r>
    </w:p>
    <w:p>
      <w:pPr>
        <w:pStyle w:val="ListBullet"/>
      </w:pPr>
      <w:r>
        <w:rPr>
          <w:rFonts w:ascii="Calibri" w:hAnsi="Calibri"/>
        </w:rPr>
        <w:t>That hitting a platform’s follower or subscriber number is the same as being approved for monetization. Most programs add a second gate — watch time, a view count in a trailing window, account age, sometimes manual review — that a follower count alone does not satisfy.</w:t>
      </w:r>
    </w:p>
    <w:p>
      <w:pPr>
        <w:pStyle w:val="ListBullet"/>
      </w:pPr>
      <w:r>
        <w:rPr>
          <w:rFonts w:ascii="Calibri" w:hAnsi="Calibri"/>
        </w:rPr>
        <w:t>That a platform’s monetization program, once joined, is permanent. Facebook’s entire In-Stream Ads program and X’s original revenue-sharing program both ended within the year this chapter was written, each replaced by a different program with different rules.</w:t>
      </w:r>
    </w:p>
    <w:p>
      <w:pPr>
        <w:pStyle w:val="ListBullet"/>
      </w:pPr>
      <w:r>
        <w:rPr>
          <w:rFonts w:ascii="Calibri" w:hAnsi="Calibri"/>
        </w:rPr>
        <w:t>That a second channel inherits the first one’s monetized status. It does not; every channel clears its own thresholds from zero, with its own subscriber count and its own watch hours.</w:t>
      </w:r>
    </w:p>
    <w:p>
      <w:pPr>
        <w:pStyle w:val="ListBullet"/>
      </w:pPr>
      <w:r>
        <w:rPr>
          <w:rFonts w:ascii="Calibri" w:hAnsi="Calibri"/>
        </w:rPr>
        <w:t>That more affiliate links convert better than fewer. Past three to five in one description, a list reads as spam rather than a recommendation, and conversion tends to drop rather than rise.</w:t>
      </w:r>
    </w:p>
    <w:p>
      <w:pPr>
        <w:pStyle w:val="ListBullet"/>
      </w:pPr>
      <w:r>
        <w:rPr>
          <w:rFonts w:ascii="Calibri" w:hAnsi="Calibri"/>
        </w:rPr>
        <w:t>That Instagram and TikTok pay the way YouTube does. Both lean more heavily on viewer-funded tipping and invite-only bonus programs than on YouTube’s comparatively open, formula-based ad-revenue share.</w:t>
      </w:r>
    </w:p>
    <w:p>
      <w:r>
        <w:rPr>
          <w:rFonts w:ascii="Calibri" w:hAnsi="Calibri"/>
        </w:rPr>
        <w:t>A last limit. Every number in this chapter is a snapshot, and platform monetization terms are the fastest-moving fact category in this book. Confirm each threshold on the platform’s own creator or help pages before planning a channel, a second channel, or a cross-posting schedule around any of them.</w:t>
      </w:r>
    </w:p>
    <w:p>
      <w:r>
        <w:rPr>
          <w:rFonts w:ascii="Calibri" w:hAnsi="Calibri"/>
          <w:i/>
        </w:rPr>
        <w:t>Sources: YouTube Partner Program requirements verified against YouTube’s own creator-facing monetization guidance, current at the time of writing. Facebook, TikTok, Snapchat, X, Rumble, Instagram, Vimeo, and Tumblr monetization details are drawn from each platform’s own current creator or help pages, cross-checked against multiple independent sources; Dailymotion’s requirements could not be confirmed to the same standard and are flagged as such in the text. Subscriber-conversion tactics in §I and affiliate-link placement tactics in §IV are creator consensus drawn from the author’s own saved research on those topics, not published platform policy, and are labeled as such throughout. The second-channel rules in §II reflect YouTube’s own stated policy on multiple channels.</w:t>
      </w:r>
    </w:p>
    <w:p>
      <w:r>
        <w:rPr>
          <w:rFonts w:ascii="Calibri" w:hAnsi="Calibri"/>
          <w:i/>
        </w:rPr>
        <w:t>Not an official publication of YouTube or any other platform named in this chapter. Not legal or tax advice.</w:t>
      </w:r>
    </w:p>
    <w:p>
      <w:bookmarkStart w:id="5" w:name="ch4"/>
      <w:pPr>
        <w:pStyle w:val="Heading1"/>
      </w:pPr>
      <w:r>
        <w:t>Official sources and updates</w:t>
      </w:r>
      <w:bookmarkEnd w:id="5"/>
    </w:p>
    <w:p>
      <w:r>
        <w:rPr>
          <w:rFonts w:ascii="Calibri" w:hAnsi="Calibri"/>
        </w:rPr>
        <w:t>These notes support the claims in the chapters. Planning methods and creator-consensus tactics are editorial guidance, not platform requirements. Accessed September 2026.</w:t>
      </w:r>
    </w:p>
    <w:p>
      <w:r>
        <w:rPr>
          <w:rFonts w:ascii="Calibri" w:hAnsi="Calibri"/>
          <w:i/>
        </w:rPr>
        <w:t>Chapter 1. YouTube Studio’s own upload interface (title, description, and tag character limits, and the captions workflow). YouTube’s advertiser-friendly content guidelines, for the existence of a sensitive-content category. Retention benchmarks and posting-cadence figures are creator consensus, not published platform figures.</w:t>
      </w:r>
    </w:p>
    <w:p>
      <w:r>
        <w:rPr>
          <w:rFonts w:ascii="Calibri" w:hAnsi="Calibri"/>
          <w:i/>
        </w:rPr>
        <w:t>Chapter 2. Tool names and URLs come from working bookmark lists of video, footage, music, and voice tools. A few transferable techniques — reference-image consistency, mixing ratios, export settings, and the fully original workflow — were taken from saved research and rewritten. Specific personal projects were not used. Pricing, licenses, and features change.</w:t>
      </w:r>
    </w:p>
    <w:p>
      <w:r>
        <w:rPr>
          <w:rFonts w:ascii="Calibri" w:hAnsi="Calibri"/>
          <w:i/>
        </w:rPr>
        <w:t>Chapter 3. YouTube Partner Program requirements were checked against YouTube’s own monetization guidance. Other platforms were checked against their own creator or help pages. Dailymotion’s requirements could not be confirmed to the same standard and are flagged in the chapter. Subscriber-conversion tactics and affiliate-link placement are creator consensus, not published policy.</w:t>
      </w:r>
    </w:p>
    <w:p>
      <w:r>
        <w:rPr>
          <w:rFonts w:ascii="Calibri" w:hAnsi="Calibri"/>
        </w:rPr>
        <w:t>Independent guide. Not affiliated with or endorsed by YouTube or any other platform named here. Not legal or tax advice. Check current official terms before acting.</w:t>
      </w:r>
    </w:p>
    <w:sectPr w:rsidR="00FC693F" w:rsidRPr="0006063C" w:rsidSect="00034616">
      <w:pgSz w:w="10080" w:h="1440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0"/>
      <w:outlineLvl w:val="0"/>
    </w:pPr>
    <w:rPr>
      <w:rFonts w:asciiTheme="majorHAnsi" w:eastAsiaTheme="majorEastAsia" w:hAnsiTheme="majorHAnsi" w:cstheme="majorBidi" w:ascii="Calibri" w:hAnsi="Calibri"/>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www.pexels.com/videos/" TargetMode="External"/><Relationship Id="rId11" Type="http://schemas.openxmlformats.org/officeDocument/2006/relationships/hyperlink" Target="https://pixabay.com/videos/" TargetMode="External"/><Relationship Id="rId12" Type="http://schemas.openxmlformats.org/officeDocument/2006/relationships/hyperlink" Target="https://mixkit.co/free-stock-video/" TargetMode="External"/><Relationship Id="rId13" Type="http://schemas.openxmlformats.org/officeDocument/2006/relationships/hyperlink" Target="https://coverr.co/" TargetMode="External"/><Relationship Id="rId14" Type="http://schemas.openxmlformats.org/officeDocument/2006/relationships/hyperlink" Target="https://www.videezy.com/" TargetMode="External"/><Relationship Id="rId15" Type="http://schemas.openxmlformats.org/officeDocument/2006/relationships/hyperlink" Target="https://www.vecteezy.com/" TargetMode="External"/><Relationship Id="rId16" Type="http://schemas.openxmlformats.org/officeDocument/2006/relationships/hyperlink" Target="https://www.videvo.net/" TargetMode="External"/><Relationship Id="rId17" Type="http://schemas.openxmlformats.org/officeDocument/2006/relationships/hyperlink" Target="https://www.lifeofvids.com/" TargetMode="External"/><Relationship Id="rId18" Type="http://schemas.openxmlformats.org/officeDocument/2006/relationships/hyperlink" Target="https://mazwai.com/" TargetMode="External"/><Relationship Id="rId19" Type="http://schemas.openxmlformats.org/officeDocument/2006/relationships/hyperlink" Target="https://dareful.com/" TargetMode="External"/><Relationship Id="rId20" Type="http://schemas.openxmlformats.org/officeDocument/2006/relationships/hyperlink" Target="https://elements.envato.com/stock-video" TargetMode="External"/><Relationship Id="rId21" Type="http://schemas.openxmlformats.org/officeDocument/2006/relationships/hyperlink" Target="https://www.istockphoto.com" TargetMode="External"/><Relationship Id="rId22" Type="http://schemas.openxmlformats.org/officeDocument/2006/relationships/hyperlink" Target="https://unsplash.com/" TargetMode="External"/><Relationship Id="rId23" Type="http://schemas.openxmlformats.org/officeDocument/2006/relationships/hyperlink" Target="https://studio.youtube.com/channel/UC/audio" TargetMode="External"/><Relationship Id="rId24" Type="http://schemas.openxmlformats.org/officeDocument/2006/relationships/hyperlink" Target="https://pixabay.com/music/" TargetMode="External"/><Relationship Id="rId25" Type="http://schemas.openxmlformats.org/officeDocument/2006/relationships/hyperlink" Target="https://freepd.com/" TargetMode="External"/><Relationship Id="rId26" Type="http://schemas.openxmlformats.org/officeDocument/2006/relationships/hyperlink" Target="http://bitmidi.com" TargetMode="External"/><Relationship Id="rId27" Type="http://schemas.openxmlformats.org/officeDocument/2006/relationships/hyperlink" Target="https://sounddino.com/" TargetMode="External"/><Relationship Id="rId28" Type="http://schemas.openxmlformats.org/officeDocument/2006/relationships/hyperlink" Target="https://www.101soundboards.com/" TargetMode="External"/><Relationship Id="rId29" Type="http://schemas.openxmlformats.org/officeDocument/2006/relationships/hyperlink" Target="https://mp3cut.net" TargetMode="External"/><Relationship Id="rId30" Type="http://schemas.openxmlformats.org/officeDocument/2006/relationships/hyperlink" Target="https://uppbeat.io/" TargetMode="External"/><Relationship Id="rId31" Type="http://schemas.openxmlformats.org/officeDocument/2006/relationships/hyperlink" Target="https://www.jamendo.com/music" TargetMode="External"/><Relationship Id="rId32" Type="http://schemas.openxmlformats.org/officeDocument/2006/relationships/hyperlink" Target="https://www.purple-planet.com/" TargetMode="External"/><Relationship Id="rId33" Type="http://schemas.openxmlformats.org/officeDocument/2006/relationships/hyperlink" Target="https://finevoice.ai/" TargetMode="External"/><Relationship Id="rId34" Type="http://schemas.openxmlformats.org/officeDocument/2006/relationships/hyperlink" Target="https://revoicer.com/" TargetMode="External"/><Relationship Id="rId35" Type="http://schemas.openxmlformats.org/officeDocument/2006/relationships/hyperlink" Target="https://online-video-cutter.com/" TargetMode="External"/><Relationship Id="rId36" Type="http://schemas.openxmlformats.org/officeDocument/2006/relationships/image" Target="media/image2.png"/><Relationship Id="rId37" Type="http://schemas.openxmlformats.org/officeDocument/2006/relationships/hyperlink" Target="https://www.tiktok.com/creator-academy/article/eligibility" TargetMode="External"/><Relationship Id="rId38" Type="http://schemas.openxmlformats.org/officeDocument/2006/relationships/hyperlink" Target="https://creators.facebook.com/tools/ad-breaks/v2/" TargetMode="External"/><Relationship Id="rId39" Type="http://schemas.openxmlformats.org/officeDocument/2006/relationships/hyperlink" Target="https://help.snapchat.com/hc/en-us/articles/7012310905876" TargetMode="External"/><Relationship Id="rId40" Type="http://schemas.openxmlformats.org/officeDocument/2006/relationships/hyperlink" Target="https://help.x.com/en/using-x/original-content-rewards" TargetMode="External"/><Relationship Id="rId41" Type="http://schemas.openxmlformats.org/officeDocument/2006/relationships/hyperlink" Target="https://rumble.support/help/rumble-creator-program" TargetMode="External"/><Relationship Id="rId42" Type="http://schemas.openxmlformats.org/officeDocument/2006/relationships/hyperlink" Target="https://faq.dailymotion.com/hc/en-us/articles/11526400930194-Become-a-Creator" TargetMode="External"/><Relationship Id="rId43" Type="http://schemas.openxmlformats.org/officeDocument/2006/relationships/hyperlink" Target="https://help.tumblr.com/knowledge-base/paid-feature-eligibil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First YouTube Channel That Sells</dc:title>
  <dc:subject>A working guide for creators who want a channel, not a hobby</dc:subject>
  <dc:creator>Kevin Drew Peters</dc:creator>
  <cp:keywords/>
  <dc:description>generated by python-docx</dc:description>
  <cp:lastModifiedBy/>
  <cp:revision>1</cp:revision>
  <dcterms:created xsi:type="dcterms:W3CDTF">2013-12-23T23:15:00Z</dcterms:created>
  <dcterms:modified xsi:type="dcterms:W3CDTF">2013-12-23T23:15:00Z</dcterms:modified>
  <cp:category/>
</cp:coreProperties>
</file>