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3" w:id="1"/>
      <w:r>
        <w:rPr>
          <w:rFonts w:ascii="Amazon Ember" w:cs="Amazon Ember" w:eastAsia="Amazon Ember" w:hAnsi="Amazon Ember"/>
          <w:b/>
          <w:bCs/>
          <w:color w:val="1F4E79"/>
          <w:sz w:val="32"/>
          <w:szCs w:val="32"/>
        </w:rPr>
        <w:t xml:space="preserve">The Thirteenth B’ak’tun, 2012: The World Was Supposed to End in 2012 (It Didn’t)</w:t>
      </w:r>
      <w:bookmarkEnd w:id="1"/>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became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This is not even an unusual case. Humans have forecast their own ending with some regularity and no shortage of confidence: recurring religious end-times predictions across multiple faiths and centuries. Closer to 2012 came the Y2K computer bug scare of 1999–2000, which anticipated a global systems collapse when computer clocks rolled from 99 to 00. It was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2026-10-12T19:06:45.034Z</dcterms:created>
  <dcterms:modified xsi:type="dcterms:W3CDTF">2026-10-12T19:06:45.034Z</dcterms:modified>
</cp:coreProperties>
</file>

<file path=docProps/custom.xml><?xml version="1.0" encoding="utf-8"?>
<Properties xmlns="http://schemas.openxmlformats.org/officeDocument/2006/custom-properties" xmlns:vt="http://schemas.openxmlformats.org/officeDocument/2006/docPropsVTypes"/>
</file>