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Somewhere, a dolphin named Sherlock was already thinking about it, which nobody had yet found stranger than the case itself.</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bookmarkEnd w:id="2756"/>
      <w:r>
        <w:t xml:space="preserve">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bookmarkEnd w:id="3417"/>
      <w:r>
        <w:t xml:space="preserve">"It is. So is the Underground. And it's raining."</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bookmarkStart w:id="4816" w:name="Penny_had_decided_that_Derek_was"/>
      <w:bookmarkEnd w:id="4816"/>
      <w:r>
        <w:t xml:space="preserve">What was unusual was the film she chose: Everything Everywhere All at Once. She settled in with popcorn, watched Jamie Lee Curtis survive yet another franchise, and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bookmarkStart w:id="4816" w:name="Penny_had_decided_that_Derek_was"/>
      <w:bookmarkEnd w:id="4816"/>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was cold, a strip-light flickered out of time with the others, and it smelled, faintly and wrongly, of hot brake dust and cold stone at once.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bookmarkEnd w:id="5657"/>
      <w:r>
        <w:t xml:space="preserve">Derek indicated a bench. A newspaper lay there. He picked it up. The headline read:</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bookmarkEnd w:id="5802"/>
      <w:r>
        <w:t xml:space="preserve">Sherlock did not reply.</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She wanted a terrace with no view of a filing cabinet, and did not particularly care what Weinstein thought about that.</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a Klein bottle - the glass novelty object with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