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pStyle w:val="ListParagraph"/>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register she’d perfected for delivering bad news to people who outranked her: already edited, as if the sentence had spent a night in the green notebook first.</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as if confirming a line she had already written.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without looking up from the lanes,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2EDC7FCB" w14:textId="77777777" w:rsidR="00EE19D9" w:rsidRDefault="00000000">
      <w:r>
        <w:t xml:space="preserve">Where Venn would later manage menace with a perfectly level voice, Catchpole achieved something close to its opposite: a permanent, apologetic dampness at the collar, as if his body had voted against the policy long before his mouth caught up with it.</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hoping the notebook would contradict her.</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humming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without giving the room the satisfaction of a shout.</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graphite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 “And the anchor’s noise?”</w:t>
      </w:r>
      <w:r>
        <w:br/>
        <w:t> “Decoherence. The environment starts keeping the record instead of you.”</w:t>
      </w:r>
      <w:r>
        <w:br/>
        <w:t> “And once it’s kept?”</w:t>
      </w:r>
      <w:r>
        <w:br/>
        <w:t> “The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 “No,”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 Eilstein inclined his head, almost approving. “Dressed in a filing cabinet. Yes. I may steal that.”</w:t>
      </w:r>
      <w:r>
        <w:br/>
        <w:t> “Then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setting the word down carefully,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She had not been back to the Institute in three weeks.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102DE30E" w14:textId="77777777" w:rsidR="00EE19D9" w:rsidRDefault="00000000">
      <w:r>
        <w:t xml:space="preserve">None of them, it should be said, were only the label pinned to them. Heisenburger kept a photograph of a garden he had not seen in four years clipped inside his tablet case, and refused to discuss it. Tengelman was, improbably, an excellent cook, and had once talked an entire seminar out of a fire alarm by continuing, calmly, to finish an omelette. Bellboy sent money home to a niece in Belfast every month without fail, and would have denied it under oath. Lolly noticed none of this yet. She would, eventually.</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surprising himself by not talking over it.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 “What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8191700" w14:textId="77777777" w:rsidR="00EE19D9" w:rsidRDefault="00000000">
      <w:r>
        <w:t>It was a strange thing to sit with: the one person in the room who had never once been wrong about anything that mattered, wrong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r>
        <w:t xml:space="preserve">On the Tuesday of the ninth week a man from the Cardiff office waited at the annex gate with a chit Jago had been not-quite-paying since the spring. Jago counted the notes out of the courier float, in cash, and did not put the payment on a form. “That’s the one I minded,” he said, and went back to the lattice.</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Gideon Wigglesworth located the correct relay by the light of a torch the technician held in her teeth. He removed it the way one removes a fuse. He had found the junction box three days earlier, going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 “Then why bring it?”</w:t>
      </w:r>
      <w:r>
        <w:br/>
      </w:r>
      <w:r>
        <w:t> “Because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The Board went on. Mr Pilbeam still chaired it, because nobody could work out how to un-volunteer him, and Nelson still attended without permission and still managed more clarity per sitting than the Board.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Lolly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r>
        <w:t xml:space="preserve"> 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is Lesson 10.</w:t>
      </w:r>
      <w:r>
        <w:rPr>
          <w:b/>
          <w:bCs/>
        </w:rPr>
        <w:t/>
      </w:r>
      <w:r>
        <w:t/>
      </w:r>
    </w:p>
    <w:p w14:paraId="3D874C49" w14:textId="77777777" w:rsidR="00C049FC" w:rsidRDefault="00BE6621" w:rsidP="000103B4">
      <w:pPr>
        <w:spacing w:after="60"/>
        <w:jc w:val="both"/>
      </w:pPr>
      <w:r>
        <w:t xml:space="preserve">6. Lesson 10 is </w:t>
      </w:r>
      <w:r>
        <w:rPr>
          <w:b/>
          <w:bCs/>
        </w:rPr>
        <w:t>decoherence</w:t>
      </w:r>
      <w:r>
        <w:t>.</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Léon Brillouin later read Schrödinger’s phrase as being about information rather than heat alone: staying distinguishable — holding a shape, keeping a record —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