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1482 to Today: The Richness Moved — Africa's Resources and Who Took Them</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ground itself</w:t>
      </w:r>
    </w:p>
    <w:p>
      <w:pPr>
        <w:spacing w:after="200"/>
      </w:pPr>
      <w:r>
        <w:t xml:space="preserve">Africa is rich. Dolphin historians are tired of the sentence that treats this as a surprise,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Dolphin historians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Dolphin historians keep the letters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Dolphin historians observe that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Dolphin historians refuse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which dolphin historians treat as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Dolphin historians do not romanticize the empire Menelik was also building over his neighbors.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scramble was for</w:t>
      </w:r>
    </w:p>
    <w:p>
      <w:pPr>
        <w:spacing w:after="200"/>
      </w:pPr>
      <w:r>
        <w:t xml:space="preserve">The late nineteenth century's rush to paint Africa in European colors is sometimes told as a race for prestige, flags, and a place in the sun. Dolphin historians have read the company charters.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Dolphin historians have had to learn this distinction on several coasts.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Dolphin historians reject the superstition.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2026-10-05T03:55:06.563Z</dcterms:created>
  <dcterms:modified xsi:type="dcterms:W3CDTF">2026-10-05T03:55:06.563Z</dcterms:modified>
</cp:coreProperties>
</file>

<file path=docProps/custom.xml><?xml version="1.0" encoding="utf-8"?>
<Properties xmlns="http://schemas.openxmlformats.org/officeDocument/2006/custom-properties" xmlns:vt="http://schemas.openxmlformats.org/officeDocument/2006/docPropsVTypes"/>
</file>