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The printer chose that week, of all weeks, to die - quietly, without explanation, and with a finality that felt almost pointed after everything else the office had survived. Mrs Marsh diagnosed it as "tired," which nobody had the energy to dispute. A replacement was ordered, and would arrive, according to the supplier, "sometime" - a word Weinstein found so philosophically offensive he refused to use it again for the rest of the week. Until then, every case, form, and stamp had to be written out by hand. Trevor took to this with the wounded dignity of a man performing manual labour beneath his station. "We investigate the fabric of causality," he informed the room, "and we cannot print a receipt." Derek pointed out that his handwriting, whatever its faults, could not spontaneously rewrite itself at 3 a.m., which he had come, this year especially, to regard as a considerable point in its favour.</w:t>
      </w:r>
    </w:p>
    <w:p>
      <w:r>
        <w:t xml:space="preserve">Penny's phone, meanwhile, had developed an opinion of its own about where she was. It insisted, with quiet blue confidence, that she was several metres underground, or occasionally in the middle of the Thames, depending on the satellite's mood. Weinstein explained, entirely unprompted and at a length nobody had requested, that GPS satellites ran fast by about thirty-eight microseconds a day - faster clocks, weaker gravity up there, more speed down here, and the two effects didn't even agree on which direction to cheat - and that without a standing correction built into the system, the whole network would drift out useful by several miles before lunch. "So my phone thinks I'm in the river," Penny said, "because a satellite is quietly relativistic." "Everything is quietly relativistic," Weinstein said. "Your phone is simply the first thing in your life honest enough to admit it." Penny put the phone away and walked to the shop from memory instead, which she noted was the one navigation system in the building that had never once claimed she was underwater.</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hire a tachyon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Einstein's own example.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whatever light cone might have delivered it to him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