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r: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r: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r: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r: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r: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r: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r: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r: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r: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Die drängendste Frage ist nicht das Land. Es ist die Frage, ob du überhaupt bereit für diesen Schritt bist, egal wohin er am Ende führt. Das betrifft deine finanzielle Lage, deinen Beruf, deine Familie und deine Fähigkeit, mit Unsicherheit zu leben.</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 Die Frage „Bin ich bereit?“ kommt vor der Frage „Wohin?“. Sie betrifft alle vier Zielländer gleichermaßen.</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Dieses Buch gliedert sich in einen gemeinsamen Teil für alle vier Zielländer und vier eigene Länder-Teile für die vier Zielländer. Die meisten Auswanderungsratgeber steigen direkt bei der </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w:t>
      </w:r>
    </w:p>
    <w:p ns2:paraId="0A96BF15" ns2:textId="77777777" w:rsidR="001F7233" w:rsidRDefault="00000000">
      <w:pPr>
        <w:spacing w:after="140"/>
      </w:pPr>
      <w:r>
        <w: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braucht bei der unabhängigen Kategorie in der Hälfte der Fälle rund 6 Monate, in 9 von 10 Fällen bis zu 15 Monate. Bei der staatlich nominierten Variante ist es meist etwas weniger, zuzüglich 4–14 Wochen für die Nominierung selbst. Neuseeland ist bei der regulären Kategorie mit rund 2–4 Monaten am schnellsten, bei der Green List rund 6–10 Monate.</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zugänglich, während Great-Walk-Hütten, Campingplätze und gefragte Strecken gebucht und bezahlt werden. Zugangsentgelte für internationale Besucher an einzelnen stark besuchten DOC-Orten werden vorbereitet; die Regierung treibt 2026 die Umsetzung voran. Vor dem Ausflug die konkrete Parkseite auf Gebühren, Tageskontingente, Camping, Hunde, Feuer, Drohnen, Straßensperren, Wetter und Mobilfunk prüfen. Ein Parkpass deckt nicht automatisch Camping oder geführte Touren ab. </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r: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r: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deutlich höhere Brutto- und Nettogehälter, aber ohne das deutsche soziale Netz: kein Kündigungsschutz, kaum gesetzlicher Urlaub, Krankenversicherung hängt am Job.</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r: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74.000–219.000 $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lag die Final Action Date in EB-2, „All Chargeability Areas Except Those Listed“, auf dem 1. Januar 2025; in EB-3 auf dem 15. Mai 2024. Ein Priority Date vor dem jeweiligen Stichtag kann – sofern alle übrigen Voraussetzungen erfüllt sind – zur Visaerteilung führen.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war für „Rest der Welt“ (also die meisten in Deutschland Geborenen) current. Die EB-2-Stichtage lagen bei 1. Januar 2025 (Final Action) und 15. März 2026 (Dates for Filing); bei EB-3 bei 15. Mai 2024 beziehungsweise 1. August 2024. USCIS erlaubte im Oktober für I-485 die Dates-for-Filing-Tabelle. Filing-Stichtag bedeutet Einreichung, nicht sofortige Visaerteilung.</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und deiner Qualifikation, nicht allein nach deinem Lebenslauf: Verlangt die Stelle einen Master oder einen Bachelorabschluss plus fünf Jahre progressive Berufserfahrung, kommt EB-2 infrage. Im Oktober 2026 konnte ein in Deutschland geborener Antragsteller mit EB-2-Priority-Date vor dem 15. März 2026 gemäß der Dates-for-Filing-Tabelle I-485 einreichen; eine Visaerteilung blieb aber an die Final Action Date vom 1. Januar 2025 gebunden. Für EB-3 lagen die entsprechenden Stichtage bei 1. August 2024 (Einreichung) und 15. Mai 2024 (Final Action). USCIS legt die Filing-Tabelle monatlich fest; die Einstufung prüft die Kanzlei.</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uscis.gov/visabulletininfo</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r: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die meisten in Deutschland Geborenen galt im Oktober 2026: EB-1 war bei den Final Action Dates current. Bei EB-2 lag die Final Action Date auf dem 1. Januar 2025 (Dates for Filing: 15. März 2026); bei EB-3 auf dem 15. Mai 2024 (Dates for Filing: 1. August 2024). Das Arbeitgeberverfahren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Ein zweijähriger Master kostet grob 74.000–219.000 $ einschließlich der 535 $ für SEVIS und Visumantrag; Bücher, Flüge und programmspezifische Gebühren kommen hinzu.</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Visumantrag</w:t>
      </w:r>
    </w:p>
    <w:p ns2:paraId="07A4CBCE" ns2:textId="77777777" w:rsidR="001F7233" w:rsidRDefault="00000000">
      <w:r>
        <w:rPr>
          <w:b/>
        </w:rPr>
        <w:t xml:space="preserve">Betrag: </w:t>
      </w:r>
      <w:r>
        <w:t>535 $</w:t>
      </w:r>
    </w:p>
    <w:p ns2:paraId="582B4B8B" ns2:textId="77777777" w:rsidR="001F7233" w:rsidRDefault="00000000">
      <w:r>
        <w:rPr>
          <w:b/>
        </w:rPr>
        <w:t xml:space="preserve">Anmerkung: </w:t>
      </w:r>
      <w:r>
        <w:t>350 $ I-901 + 185 $ Visumantrag. Die aktuell veröffentlichte Gebührenliste des State Department führt keine separate Visa Integrity Fee auf; prüfe vor dem Termin die Zahlungsanweisung des Konsulats.</w:t>
      </w:r>
    </w:p>
    <w:p ns2:paraId="0FFDE5B2" ns2:textId="77777777" w:rsidR="001F7233" w:rsidRDefault="001F7233">
      <w:pPr>
        <w:spacing w:line="180" w:lineRule="exact"/>
      </w:pPr>
    </w:p>
    <w:p ns2:paraId="1A619B1C" ns2:textId="77777777" w:rsidR="001F7233" w:rsidRDefault="00000000">
      <w:pPr>
        <w:spacing w:after="140"/>
      </w:pPr>
      <w:r>
        <w:t>Aus den Tabellenwerten ergeben sich für zwei Studienjahre etwa 74.000 bis 219.000 $ einschließlich SEVIS- und Visumantragsgebühr (350 $ + 185 $). Die Schätzung umfasst Studiengebühren, Lebenshaltung und Krankenversicherung, aber weder Bücher, Flüge, Kautionen, programmspezifische Gebühren noch künftige Preiserhöhungen. Bei einem einjährigen Programm halbieren sich die laufenden Kosten ungefähr; die einmaligen Gebühren bleiben. Die Boston University veranschlagt für viele Graduate-Programme 105.566 $ für neun Monate im Studienjahr 2026/27. Den verbindlichen Finanznachweis und zusätzliche Gebühren nennt deine Hochschule im I-20. Quelle: Boston University, bu.edu/isso/international-students/required-financial-documentation/graduate-estimate-of-expenses-charles-river-campus.</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74.000–219.000 $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Fast überall gilt At-will Employment (Kündigung ohne Grund, für beide Seiten). Ausnahmen betreffen vor allem Diskriminierung, Vergeltung und Vertragsbruch.</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Krankenversicherung hängt am Job: Wartefristen bis 90 Tage, COBRA rund 790 $ pro Monat</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r:id="rId452">
        <w:r w:rsidR="001F7233">
          <w:rPr>
            <w:color w:val="0563C1"/>
            <w:u w:val="single"/>
          </w:rPr>
          <w:t>HUD: Find homelessness assistance through local 211</w:t>
        </w:r>
      </w:hyperlink>
    </w:p>
    <w:p ns2:paraId="1BB91053" ns2:textId="77777777" w:rsidR="001F7233" w:rsidRDefault="00000000">
      <w:r>
        <w:t>Quelle: </w:t>
      </w:r>
      <w:hyperlink r: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r: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r: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r: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r: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r: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nach Visumbedingung 8501 eine angemessene private Krankenversicherung (Overseas Visitor Health Cover, OVHC) unterhalten. Wer auf ein Parent-Visum wartet, hat vor der Erteilung meist ebenfalls keinen Medicare-Zugang und sollte eigene Absicherung einplanen; ob diese als Visumbedingung vorgeschrieben ist, hängt vom jeweiligen Status ab. Prämien, Leistungen und Anspruchsvoraussetzungen unterscheiden sich je nach Police; pauschale Monatsbeträge sind deshalb wenig aussagekräftig. Vergleiche mindestens drei Angebote für dieselbe Aufenthaltsdauer und prüfe Deckung, Selbstbehalt, Wartezeiten und Ausschlüsse – besonders bei Vorerkrankungen und Medikamenten. Home Affairs weist darauf hin, dass auch OVHC nicht zwangsläufig sämtliche Behandlungskosten übernimmt. Erst mit einem dauerhaften Eltern-Visum (103, 143 und die verwandten Kategorien) besteht regulärer Medicare-Zugang wie für jeden anderen Daueraufenthaltsberechtigten.</w:t>
      </w:r>
      <w:r>
        <w:t xml:space="preserve"/>
      </w:r>
      <w:r>
        <w:rPr>
          <w:i/>
          <w:iCs/>
        </w:rPr>
        <w:t xml:space="preserve"/>
      </w:r>
      <w:r>
        <w:t xml:space="preserve"/>
      </w:r>
      <w:r>
        <w:t xml:space="preserve"/>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Australian Taxation Office — </w:t>
      </w:r>
      <w:hyperlink r:id="rId1167">
        <w:r>
          <w:rPr>
            <w:rStyle w:val="Hyperlink"/>
          </w:rPr>
          <w:t>Foreign pensions and annuities</w:t>
        </w:r>
      </w:hyperlink>
      <w:r>
        <w:t>; Australian Treasury — </w:t>
      </w:r>
      <w:hyperlink r:id="rId1184">
        <w:r>
          <w:rPr>
            <w:rStyle w:val="Hyperlink"/>
          </w:rPr>
          <w:t>treaty, Articles 17, 18 and 22</w:t>
        </w:r>
      </w:hyperlink>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r: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r: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r:id="rId1035">
        <w:r w:rsidR="001F7233">
          <w:rPr>
            <w:color w:val="0563C1"/>
            <w:u w:val="single"/>
          </w:rPr>
          <w:t>Ministry of Health: Patient information and trusted services</w:t>
        </w:r>
      </w:hyperlink>
    </w:p>
    <w:p ns2:paraId="6B24A3C3" ns2:textId="77777777" w:rsidR="001F7233" w:rsidRDefault="00000000">
      <w:r>
        <w:t>Quelle: </w:t>
      </w:r>
      <w:hyperlink r: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Vor einem Angebot klärst du die entscheidende Frage: Giltst du nach neuseeländischem Recht als „</w:t>
      </w:r>
      <w:r>
        <w:rPr>
          <w:i/>
          <w:iCs/>
        </w:rPr>
        <w:t xml:space="preserve">Overseas Person</w:t>
      </w:r>
      <w:r>
        <w:t xml:space="preserve">“ oder nicht? Wenn du LINZ-Zustimmung brauchst, muss jeder Kaufvertrag ausdrücklich davon abhängen.</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dürfen sie ein bestehendes Haus für mehr als 5 Mio. NZD kaufen. Beim Neubau muss die Summe aus Grundstückspreis und Baukosten über 5 Mio. NZD liegen. Der Kaufvertrag muss von der Zustimmung abhängen; LINZ muss sie vor dem Abschluss erteilen.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Für die Zustimmung musst du dich verpflichten, im ersten Jahr nach der Erteilung mindestens 183 Tage in Neuseeland zu verbringen und steuerlich ansässig zu werden. Solange du noch nicht die Kriterien für „ordinarily resident“ erfüllst, musst du auch in jedem weiteren maßgeblichen Zwölfmonatszeitraum mehr als 183 Tage im Land sein. Ein Kaufvertrag muss ausdrücklich von der LINZ-Zustimmung abhängen; schließe den Kauf erst ab, wenn sie vorliegt. Wer zwölf Monate im Land gelebt hat, im unmittelbar vorhergehenden Jahr mehr als 183 Tage anwesend war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LINZ ? Ordinarily resident criteria (linz.govt.nz/guidance/overseas-investment/who-needs-consent-invest/ordinarily-resident-new-zealand)</w:t>
      </w:r>
    </w:p>
    <w:p>
      <w:pPr>
        <w:pStyle w:val="Compact"/>
        <w:numPr>
          <w:ilvl w:val="0"/>
          <w:numId w:val="86"/>
        </w:numPr>
      </w:pPr>
      <w:r>
        <w:t xml:space="preserve">LINZ ? $5 million plus house pathway (linz.govt.nz/guidance/overseas-investment/ways-invest/pathways-migrants-and-visa-holders/investing-residential-land-over-5-million)</w:t>
      </w:r>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r:id="rId1084">
        <w:r w:rsidR="001F7233">
          <w:rPr>
            <w:color w:val="0563C1"/>
            <w:u w:val="single"/>
          </w:rPr>
          <w:t>Ministry of Social Development: Emergency housing information</w:t>
        </w:r>
      </w:hyperlink>
    </w:p>
    <w:p ns2:paraId="1FEC4839" ns2:textId="77777777" w:rsidR="001F7233" w:rsidRDefault="00000000">
      <w:r>
        <w:t>Quelle: </w:t>
      </w:r>
      <w:hyperlink r: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www.uscis.gov/green-card/green-card-processes-and-procedures/visa-availability-priority-dates/adjustment-of-status-filing-charts-from-the-visa-bulletin"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www.uscis.gov/green-card/green-card-processes-and-procedures/visa-availability-priority-dates/adjustment-of-status-filing-charts-from-the-visa-bulletin"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 Id="rId1185" Type="http://schemas.openxmlformats.org/officeDocument/2006/relationships/hyperlink" Target="https://immi.homeaffairs.gov.au/help-support/meeting-our-requirements/health/adequate-health-insurance" TargetMode="External" /><ns0:Relationship Id="rId1186" Type="http://schemas.openxmlformats.org/officeDocument/2006/relationships/hyperlink" Target="https://www.privatehealth.gov.au/health_insurance/overseas/overseas_visitors_health_cover.htm"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