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1" w:id="1"/>
      <w:r>
        <w:rPr>
          <w:rFonts w:ascii="Amazon Ember" w:cs="Amazon Ember" w:eastAsia="Amazon Ember" w:hAnsi="Amazon Ember"/>
          <w:b/>
          <w:bCs/>
          <w:color w:val="1F4E79"/>
          <w:sz w:val="32"/>
          <w:szCs w:val="32"/>
        </w:rPr>
        <w:t xml:space="preserve">1917–1991: The Soviet Union, Ideals and Iron</w:t>
      </w:r>
      <w:bookmarkEnd w:id="1"/>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of the century.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A shorter accounting would flatten out the other half: the Soviet Union also paid the highest cost, by a wide margin, of any Allied power in defeating Nazi Germany. Estimates of Soviet dead in the Second World War run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Professor Click-Click-Whoosh observed.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2026-10-13T00:22:28.039Z</dcterms:created>
  <dcterms:modified xsi:type="dcterms:W3CDTF">2026-10-13T00:22:28.039Z</dcterms:modified>
</cp:coreProperties>
</file>

<file path=docProps/custom.xml><?xml version="1.0" encoding="utf-8"?>
<Properties xmlns="http://schemas.openxmlformats.org/officeDocument/2006/custom-properties" xmlns:vt="http://schemas.openxmlformats.org/officeDocument/2006/docPropsVTypes"/>
</file>