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Normal"/>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Normal"/>
      </w:pPr>
      <w:r>
        <w:t>Newton asks, “What force is acting?”</w:t>
      </w:r>
    </w:p>
    <w:p w14:paraId="54AF0173" w14:textId="77777777" w:rsidR="007A6FAE" w:rsidRDefault="00CA171D">
      <w:pPr>
        <w:pStyle w:val="Normal"/>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Normal"/>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pPr>
        <w:pStyle w:val="Heading2"/>
      </w:pPr>
      <w:r>
        <w:t xml:space="preserve">What is actually curved?</w:t>
      </w:r>
    </w:p>
    <w:p>
      <w:pPr>
        <w:jc w:val="both"/>
      </w:pPr>
      <w:r>
        <w:t xml:space="preserve">This is where language can become dangerous.</w:t>
      </w:r>
    </w:p>
    <w:p w14:paraId="6BE46B15" w14:textId="77777777" w:rsidR="007A6FAE" w:rsidRDefault="00CA171D">
      <w:pPr>
        <w:pStyle w:val="Normal"/>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Where this stands: EVIDENCE, NOT YET GOLD-STANDARD CONFIRMATION — pulsar timing arrays (NANOGrav and partner collaborations) reported evidence for a nanohertz stochastic background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pPr>
        <w:pStyle w:val="Heading2"/>
      </w:pPr>
      <w:r>
        <w:t xml:space="preserve">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pPr>
        <w:pStyle w:val="Heading2"/>
      </w:pPr>
      <w:r>
        <w:t xml:space="preserve">What is expanding?</w:t>
      </w:r>
    </w:p>
    <w:p>
      <w:pPr>
        <w:jc w:val="both"/>
      </w:pPr>
      <w:r>
        <w:t xml:space="preserve">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pPr>
        <w:pStyle w:val="Heading2"/>
      </w:pPr>
      <w:r>
        <w:t xml:space="preserve">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pPr>
        <w:jc w:val="both"/>
      </w:pPr>
      <w:r>
        <w:t xml:space="preserve">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ħ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pStyle w:val="Heading2"/>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5">
        <w:r>
          <w:rPr>
            <w:color w:val="0563C1"/>
            <w:u w:val="single"/>
          </w:rPr>
          <w:t>Chapter 9</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t xml:space="preserve">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4,000 × 10⁻²¹ = 4×10⁻¹⁸ meters. Compared with a proton’s 10⁻¹⁵ meters, that’s about 1/250th the width of a proton — LIGO routinely measures distance changes hundreds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 xml:space="preserve">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essentially all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jc w:val="center"/>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