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Heading2"/>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Heading2"/>
      </w:pPr>
      <w:r>
        <w:t>Newton asks, “What force is acting?”</w:t>
      </w:r>
    </w:p>
    <w:p w14:paraId="54AF0173" w14:textId="77777777" w:rsidR="007A6FAE" w:rsidRDefault="00CA171D">
      <w:pPr>
        <w:pStyle w:val="Heading2"/>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Heading2"/>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in a memorable way: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 What is actually curved? This is where language can become dangerous.</w:t>
      </w:r>
    </w:p>
    <w:p w14:paraId="6BE46B15" w14:textId="77777777" w:rsidR="007A6FAE" w:rsidRDefault="00CA171D">
      <w:pPr>
        <w:pStyle w:val="Heading2"/>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The detector converts the measured gravitational-wave signal into an audio frequency so that we can hear it.</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kilometers.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 xml:space="preserve">Where this stands: OPEN QUESTION — a stochastic gravitational-wave background and other exotic sources remain active searches, not confirmed detections.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 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 What is expanding? 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 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lastRenderedPageBreak/>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The first clue: 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lastRenderedPageBreak/>
        <w:t>That was a problem. If visible matter were the whole story, those outer stars shouldn’t have behaved that way. Something else was contributing gravitational mass — something surrounding the visible galaxy, something nobody could see.</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lastRenderedPageBreak/>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lastRenderedPageBreak/>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ΛCDM's fit to the observational data is remarkably robust.</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lastRenderedPageBreak/>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collide and combine into groups, groups assemble into clusters, and clusters build even larger structures still. Small first, big later — never the other way around.</w:t>
      </w:r>
    </w:p>
    <w:p w14:paraId="6CBA617B" w14:textId="77777777" w:rsidR="007A6FAE" w:rsidRDefault="00CA171D">
      <w:pPr>
        <w:jc w:val="both"/>
      </w:pPr>
      <w:r>
        <w:lastRenderedPageBreak/>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lastRenderedPageBreak/>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most of the atom would be empty space. Almost all the mass is concentrated in the nucleus. So why does your hand not pass through the table? Quantum mechanics.</w:t>
      </w:r>
    </w:p>
    <w:p w14:paraId="14D7A634" w14:textId="77777777" w:rsidR="007A6FAE" w:rsidRDefault="00CA171D">
      <w:pPr>
        <w:jc w:val="both"/>
      </w:pPr>
      <w:r>
        <w:t>Electromagnetism. And, underneath the nucleus, the strong interaction.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Almost no charge.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 xml:space="preserve">Where this stands: OBSERVED — Supernova 1987A, the only confirmed extrasolar neutrino detection to date.</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7F659562" w14:textId="77777777" w:rsidR="007A6FAE" w:rsidRDefault="00CA171D">
      <w:pPr>
        <w:jc w:val="both"/>
      </w:pPr>
      <w:r>
        <w:t>The answer might be: nothing resembling a little piece of spacetime. The wave is a pattern in something deeper,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w:t>
      </w:r>
    </w:p>
    <w:p w14:paraId="46FB8E7A" w14:textId="77777777" w:rsidR="007A6FAE" w:rsidRDefault="00CA171D">
      <w:pPr>
        <w:jc w:val="both"/>
      </w:pPr>
      <w:r>
        <w:t>Intergalactic transportation solved. 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w:t>
      </w:r>
      <w:r>
        <w:lastRenderedPageBreak/>
        <w:t>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smaller than a fraction of a proton's width.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 xml:space="preserve">Ordinary matter — atoms, stars, planets, you — is a minority component. Dark matter supplies gravitational scaffolding we cannot see directly. Dark energy dominates the universe's </w:t>
      </w:r>
      <w:r>
        <w:lastRenderedPageBreak/>
        <w:t>overall energy budget and is accelerating its expansion. Together they outweigh ordinary matter by roughly five to one, and we still do not know what either of them fundamentally is.</w:t>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1E9CEB26" w14:textId="77777777" w:rsidR="007A6FAE" w:rsidRDefault="00CA171D">
      <w:pPr>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cw">
        <w:r>
          <w:rPr>
            <w:color w:val="0563C1"/>
            <w:u w:val="single"/>
          </w:rPr>
          <w:t>Chapter 6</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7">
        <w:r>
          <w:rPr>
            <w:color w:val="0563C1"/>
            <w:u w:val="single"/>
          </w:rPr>
          <w:t>Chapter 11</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lastRenderedPageBreak/>
        <w:t xml:space="preserve">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 xml:space="preserve">None of these need more than arithmetic you can do in your head or on the back of an envelope — no calculus, no calculator required beyond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 xml:space="preserve">4,000 × 10⁻²¹ = 4×10⁻¹⁸ meters. Compared with a proton’s 10⁻¹⁵ meters, that’s about 1/250th the width of a proton — LIGO routinely measures distance changes thousands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 xml:space="preserve">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essentially all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pPr>
      <w:r>
        <w:t>Rubin, Vera C., and W. Kent Ford Jr. “Rotation of the Andromeda Nebula from a Spectroscopic Survey of Emission Regions.” Astrophysical Journal 159 (1970): 379–403.</w:t>
      </w:r>
    </w:p>
    <w:p w14:paraId="271A6464" w14:textId="77777777" w:rsidR="000A14B8" w:rsidRDefault="000A14B8">
      <w:pPr>
        <w:jc w:val="both"/>
      </w:pPr>
    </w:p>
    <w:p w14:paraId="5CCEFB5A" w14:textId="77777777" w:rsidR="000A14B8" w:rsidRDefault="000A14B8">
      <w:pPr>
        <w:jc w:val="both"/>
      </w:pPr>
    </w:p>
    <w:p w14:paraId="4EA7B1AF" w14:textId="77777777" w:rsidR="000A14B8" w:rsidRDefault="000A14B8">
      <w:pPr>
        <w:jc w:val="both"/>
      </w:pPr>
    </w:p>
    <w:p w14:paraId="637D53EB" w14:textId="77777777" w:rsidR="000A14B8" w:rsidRDefault="000A14B8">
      <w:pPr>
        <w:jc w:val="both"/>
      </w:pPr>
    </w:p>
    <w:p w14:paraId="33308E14" w14:textId="77777777" w:rsidR="000A14B8" w:rsidRDefault="000A14B8">
      <w:pPr>
        <w:jc w:val="both"/>
      </w:pPr>
    </w:p>
    <w:p w14:paraId="42D394F3" w14:textId="77777777" w:rsidR="000A14B8" w:rsidRDefault="000A14B8">
      <w:pPr>
        <w:jc w:val="both"/>
      </w:pPr>
    </w:p>
    <w:p w14:paraId="661025F2" w14:textId="77777777" w:rsidR="000A14B8" w:rsidRDefault="000A14B8">
      <w:pPr>
        <w:jc w:val="both"/>
      </w:pPr>
    </w:p>
    <w:p w14:paraId="7249F162" w14:textId="77777777" w:rsidR="000A14B8" w:rsidRDefault="000A14B8">
      <w:pPr>
        <w:jc w:val="both"/>
      </w:pPr>
    </w:p>
    <w:p w14:paraId="2ED12362" w14:textId="77777777" w:rsidR="000A14B8" w:rsidRDefault="000A14B8">
      <w:pPr>
        <w:jc w:val="both"/>
      </w:pPr>
    </w:p>
    <w:p w14:paraId="4D07C8AF" w14:textId="77777777" w:rsidR="000A14B8" w:rsidRDefault="000A14B8">
      <w:pPr>
        <w:jc w:val="both"/>
      </w:pPr>
    </w:p>
    <w:p w14:paraId="37EFF727" w14:textId="0BE96CF0" w:rsidR="000A14B8" w:rsidRDefault="000A14B8">
      <w:pPr>
        <w:spacing w:after="200" w:line="276" w:lineRule="auto"/>
        <w:jc w:val="left"/>
      </w:pPr>
      <w:r>
        <w:br w:type="page"/>
      </w:r>
    </w:p>
    <w:p w14:paraId="1504D788" w14:textId="03C7ECEE" w:rsidR="000A14B8" w:rsidRDefault="000A14B8">
      <w:pPr>
        <w:jc w:val="both"/>
      </w:pPr>
      <w:r>
        <w:rPr>
          <w:noProof/>
        </w:rPr>
        <w:lastRenderedPageBreak/>
        <w:drawing>
          <wp:inline distT="0" distB="0" distL="0" distR="0" wp14:anchorId="4CEB4DF4" wp14:editId="7F693FF7">
            <wp:extent cx="3876675" cy="5819775"/>
            <wp:effectExtent l="0" t="0" r="9525" b="9525"/>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6675" cy="5819775"/>
                    </a:xfrm>
                    <a:prstGeom prst="rect">
                      <a:avLst/>
                    </a:prstGeom>
                    <a:noFill/>
                    <a:ln>
                      <a:noFill/>
                    </a:ln>
                  </pic:spPr>
                </pic:pic>
              </a:graphicData>
            </a:graphic>
          </wp:inline>
        </w:drawing>
      </w:r>
    </w:p>
    <w:sectPr w:rsidR="000A14B8">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