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21</w:t>
      </w:r>
    </w:p>
    <w:p>
      <w:pPr>
        <w:pStyle w:val="Heading1"/>
        <w:ind w:left="0" w:right="0" w:firstLine="0"/>
        <w:jc w:val="center"/>
      </w:pPr>
      <w:r>
        <w:t>Patterns, Emergence and the Laws of Physics</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 xml:space="preserve">Also no. Does it have a temperature in the ordinary macroscopic sense? Not really. Put an enormous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 xml:space="preserve">Computer scientists discovered something delightfully annoying. You can write down extremely simple rules and get behavior that is spectacularly complicated. A tiny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Chaos Is Not Randomness</w:t>
      </w:r>
    </w:p>
    <w:p>
      <w:pPr>
        <w:jc w:val="both"/>
      </w:pPr>
      <w:r>
        <w:t>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 xml:space="preserve">The butterfly effect does not mean one butterfly single-handedly orders a hurricane. It means nonlinear systems can amplify tiny differences. The butterfly makes a tiny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 xml:space="preserve">Snowflakes form intricate structures. Crystals grow. Convection cells appear in heated fluids. Galaxies develop large-scale structure.</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 xml:space="preserve">If they are unchanged when we rotate it, that matters. If certain transformations leave the laws unchanged, conservation laws follow. Noether's theorem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rPr>
          <w:i/>
        </w:rPr>
        <w:t xml:space="preserve">Metamagical Themas</w:t>
      </w:r>
      <w:r>
        <w:t xml:space="preserve">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 xml:space="preserve">A brain has memory. You can reduce every one of these to lower-level physics in principle. But if you insist on using only the lowest-level vocabulary, you may make the explanation practically useless. Sometimes the higher-level pattern is the thing you actually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