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6: Writing and Memory — How Humans Learned to Speak to the Future</w:t>
      </w:r>
    </w:p>
    <w:p>
      <w:pPr>
        <w:spacing w:after="200"/>
      </w:pPr>
      <w:r>
        <w:t xml:space="preserve">For every chapter so far, dolphin historians have had to reconstruct human behavior from bones, stone, and ash, the same tools they would use on any other animal.</w:t>
      </w:r>
    </w:p>
    <w:p>
      <w:pPr>
        <w:spacing w:after="200"/>
      </w:pPr>
      <w:r>
        <w:t xml:space="preserve">This is the chapter where the sources start talking back.</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The earliest personal name in the written record may be Kushim, which appears on a set of barley receipts from Uruk and may belong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t xml:space="preserve">Dolphin historians linger here longer than anywhere else in the book.</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2026-10-02T03:13:45.206Z</dcterms:created>
  <dcterms:modified xsi:type="dcterms:W3CDTF">2026-10-02T03:13:45.206Z</dcterms:modified>
</cp:coreProperties>
</file>

<file path=docProps/custom.xml><?xml version="1.0" encoding="utf-8"?>
<Properties xmlns="http://schemas.openxmlformats.org/officeDocument/2006/custom-properties" xmlns:vt="http://schemas.openxmlformats.org/officeDocument/2006/docPropsVTypes"/>
</file>