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4"/>
          <w:szCs w:val="44"/>
        </w:rPr>
        <w:t xml:space="preserve">INTEGRAL GEOMETRY</w:t>
      </w:r>
    </w:p>
    <w:p>
      <w:pPr>
        <w:spacing w:after="200"/>
        <w:jc w:val="center"/>
      </w:pPr>
      <w:r>
        <w:rPr>
          <w:rFonts w:ascii="Georgia" w:cs="Georgia" w:eastAsia="Georgia" w:hAnsi="Georgia"/>
          <w:b/>
          <w:bCs/>
          <w:color w:val="1F4E79"/>
          <w:sz w:val="36"/>
          <w:szCs w:val="36"/>
        </w:rPr>
        <w:t xml:space="preserve">(ADVANCED)</w:t>
      </w:r>
    </w:p>
    <w:p>
      <w:pPr>
        <w:spacing w:after="500"/>
        <w:jc w:val="center"/>
      </w:pPr>
      <w:r>
        <w:rPr>
          <w:rFonts w:ascii="Georgia" w:cs="Georgia" w:eastAsia="Georgia" w:hAnsi="Georgia"/>
          <w:i/>
          <w:iCs/>
          <w:color w:val="5B9BD5"/>
          <w:sz w:val="18"/>
          <w:szCs w:val="18"/>
        </w:rPr>
        <w:t xml:space="preserve">Valuations, Kinematic Formulas, and the Art of Measuring Geometry with Groups</w:t>
      </w:r>
    </w:p>
    <w:p>
      <w:pPr>
        <w:spacing w:before="600"/>
        <w:jc w:val="center"/>
      </w:pPr>
      <w:r>
        <w:rPr>
          <w:rFonts w:ascii="Georgia" w:cs="Georgia" w:eastAsia="Georgia" w:hAnsi="Georgia"/>
          <w:color w:val="666666"/>
          <w:sz w:val="22"/>
          <w:szCs w:val="22"/>
        </w:rPr>
        <w:t xml:space="preserve">Book 33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3300" w:id="3300"/>
      <w:r>
        <w:rPr>
          <w:rFonts w:ascii="Georgia" w:cs="Georgia" w:eastAsia="Georgia" w:hAnsi="Georgia"/>
          <w:b/>
          <w:bCs/>
          <w:sz w:val="32"/>
          <w:szCs w:val="32"/>
        </w:rPr>
        <w:t xml:space="preserve">Preface</w:t>
      </w:r>
      <w:bookmarkEnd w:id="3300"/>
    </w:p>
    <w:p>
      <w:pPr>
        <w:spacing w:after="200"/>
      </w:pPr>
      <w:r>
        <w:rPr>
          <w:rFonts w:ascii="Georgia" w:cs="Georgia" w:eastAsia="Georgia" w:hAnsi="Georgia"/>
          <w:i/>
          <w:iCs/>
          <w:sz w:val="22"/>
          <w:szCs w:val="22"/>
        </w:rPr>
        <w:t xml:space="preserve">(Or: How We Learned to Let Groups Measure Geometry)</w:t>
      </w:r>
    </w:p>
    <w:p>
      <w:pPr>
        <w:spacing w:after="200" w:line="276"/>
      </w:pPr>
      <w:r>
        <w:rPr>
          <w:rFonts w:ascii="Georgia" w:cs="Georgia" w:eastAsia="Georgia" w:hAnsi="Georgia"/>
          <w:sz w:val="22"/>
          <w:szCs w:val="22"/>
        </w:rPr>
        <w:t xml:space="preserve">Book 19 introduced the classical core of integral geometry: invariant measures on spaces of lines and planes, Crofton formulas, the Cauchy–Crofton theorem, elementary kinematic formulas, and the Radon transform. The present book develops the modern theory that grew from those foundations.</w:t>
      </w:r>
    </w:p>
    <w:p>
      <w:pPr>
        <w:spacing w:after="200" w:line="276"/>
      </w:pPr>
      <w:r>
        <w:rPr>
          <w:rFonts w:ascii="Georgia" w:cs="Georgia" w:eastAsia="Georgia" w:hAnsi="Georgia"/>
          <w:sz w:val="22"/>
          <w:szCs w:val="22"/>
        </w:rPr>
        <w:t xml:space="preserve">The central objects are now continuous valuations on convex bodies (or on more general sets), the algebraic structure they form, and the kinematic formulas that express the integral of a valuation over the rigid-motion group in terms of intrinsic volumes or curvature measures. Hadwiger’s characterization theorem, the principal kinematic formula of Chern and others, and the representation of valuations by curvature measures form the backbone of the subject.</w:t>
      </w:r>
    </w:p>
    <w:p>
      <w:pPr>
        <w:spacing w:after="200" w:line="276"/>
      </w:pPr>
      <w:r>
        <w:rPr>
          <w:rFonts w:ascii="Georgia" w:cs="Georgia" w:eastAsia="Georgia" w:hAnsi="Georgia"/>
          <w:sz w:val="22"/>
          <w:szCs w:val="22"/>
        </w:rPr>
        <w:t xml:space="preserve">These tools have applications in convex geometry, geometric probability, stereology, tomography, and, more recently, in algebraic geometry and in the study of valuations on manifolds. The treatment assumes the classical material of Book 19 and the language of convex geometry and differential forms.</w:t>
      </w:r>
    </w:p>
    <w:p>
      <w:pPr>
        <w:spacing w:after="200" w:line="276"/>
      </w:pPr>
      <w:r>
        <w:rPr>
          <w:rFonts w:ascii="Georgia" w:cs="Georgia" w:eastAsia="Georgia" w:hAnsi="Georgia"/>
          <w:sz w:val="22"/>
          <w:szCs w:val="22"/>
        </w:rPr>
        <w:t xml:space="preserve">A small confession: advanced integral geometry can appear as a long list of highly structured formulas. The list becomes coherent once one sees that the formulas are the consequences of a single principle — the uniqueness of invariant valuations and the algebraic structure of the kinematic product. The geometry is encoded in the representation theory of the motion group.</w:t>
      </w:r>
    </w:p>
    <w:p>
      <w:pPr>
        <w:spacing w:after="200" w:line="276"/>
      </w:pPr>
      <w:r>
        <w:rPr>
          <w:rFonts w:ascii="Georgia" w:cs="Georgia" w:eastAsia="Georgia" w:hAnsi="Georgia"/>
          <w:sz w:val="22"/>
          <w:szCs w:val="22"/>
        </w:rPr>
        <w:t xml:space="preserve">If classical integral geometry taught us to average geometric quantities over lines and planes, the advanced theory teaches us to let the full group of rigid motions act and to read the geometry from the resulting integrals.</w:t>
      </w:r>
    </w:p>
    <w:p>
      <w:pPr>
        <w:spacing w:after="200" w:line="276"/>
      </w:pPr>
      <w:r>
        <w:rPr>
          <w:rFonts w:ascii="Georgia" w:cs="Georgia" w:eastAsia="Georgia" w:hAnsi="Georgia"/>
          <w:sz w:val="22"/>
          <w:szCs w:val="22"/>
        </w:rPr>
        <w:t xml:space="preserve">Let’s let the group measure.</w:t>
      </w:r>
    </w:p>
    <w:p>
      <w:r>
        <w:br w:type="page"/>
      </w:r>
    </w:p>
    <w:p>
      <w:pPr>
        <w:pStyle w:val="Heading1"/>
        <w:spacing w:after="240" w:before="360"/>
      </w:pPr>
      <w:bookmarkStart w:name="3301" w:id="3301"/>
      <w:r>
        <w:rPr>
          <w:rFonts w:ascii="Georgia" w:cs="Georgia" w:eastAsia="Georgia" w:hAnsi="Georgia"/>
          <w:b/>
          <w:bCs/>
          <w:sz w:val="32"/>
          <w:szCs w:val="32"/>
        </w:rPr>
        <w:t xml:space="preserve">Table of Contents</w:t>
      </w:r>
      <w:bookmarkEnd w:id="3301"/>
    </w:p>
    <w:p>
      <w:pPr>
        <w:spacing w:after="120"/>
      </w:pPr>
      <w:hyperlink w:history="1" w:anchor="3302">
        <w:r>
          <w:rPr>
            <w:rFonts w:ascii="Georgia" w:cs="Georgia" w:eastAsia="Georgia" w:hAnsi="Georgia"/>
            <w:color w:val="0563C1"/>
            <w:sz w:val="22"/>
            <w:szCs w:val="22"/>
            <w:u w:val="single"/>
          </w:rPr>
          <w:t xml:space="preserve">1. From Classical Formulas to Modern Valuations</w:t>
        </w:r>
      </w:hyperlink>
    </w:p>
    <w:p>
      <w:pPr>
        <w:spacing w:after="120"/>
      </w:pPr>
      <w:hyperlink w:history="1" w:anchor="3303">
        <w:r>
          <w:rPr>
            <w:rFonts w:ascii="Georgia" w:cs="Georgia" w:eastAsia="Georgia" w:hAnsi="Georgia"/>
            <w:color w:val="0563C1"/>
            <w:sz w:val="22"/>
            <w:szCs w:val="22"/>
            <w:u w:val="single"/>
          </w:rPr>
          <w:t xml:space="preserve">2. Convex Bodies and Intrinsic Volumes</w:t>
        </w:r>
      </w:hyperlink>
    </w:p>
    <w:p>
      <w:pPr>
        <w:spacing w:after="120"/>
      </w:pPr>
      <w:hyperlink w:history="1" w:anchor="3304">
        <w:r>
          <w:rPr>
            <w:rFonts w:ascii="Georgia" w:cs="Georgia" w:eastAsia="Georgia" w:hAnsi="Georgia"/>
            <w:color w:val="0563C1"/>
            <w:sz w:val="22"/>
            <w:szCs w:val="22"/>
            <w:u w:val="single"/>
          </w:rPr>
          <w:t xml:space="preserve">3. Continuous Valuations and Hadwiger’s Theorem</w:t>
        </w:r>
      </w:hyperlink>
    </w:p>
    <w:p>
      <w:pPr>
        <w:spacing w:after="120"/>
      </w:pPr>
      <w:hyperlink w:history="1" w:anchor="3305">
        <w:r>
          <w:rPr>
            <w:rFonts w:ascii="Georgia" w:cs="Georgia" w:eastAsia="Georgia" w:hAnsi="Georgia"/>
            <w:color w:val="0563C1"/>
            <w:sz w:val="22"/>
            <w:szCs w:val="22"/>
            <w:u w:val="single"/>
          </w:rPr>
          <w:t xml:space="preserve">4. Curvature Measures and the Normal Cycle</w:t>
        </w:r>
      </w:hyperlink>
    </w:p>
    <w:p>
      <w:pPr>
        <w:spacing w:after="120"/>
      </w:pPr>
      <w:hyperlink w:history="1" w:anchor="3306">
        <w:r>
          <w:rPr>
            <w:rFonts w:ascii="Georgia" w:cs="Georgia" w:eastAsia="Georgia" w:hAnsi="Georgia"/>
            <w:color w:val="0563C1"/>
            <w:sz w:val="22"/>
            <w:szCs w:val="22"/>
            <w:u w:val="single"/>
          </w:rPr>
          <w:t xml:space="preserve">5. The Principal Kinematic Formula and Its Relatives</w:t>
        </w:r>
      </w:hyperlink>
    </w:p>
    <w:p>
      <w:pPr>
        <w:spacing w:after="120"/>
      </w:pPr>
      <w:hyperlink w:history="1" w:anchor="3307">
        <w:r>
          <w:rPr>
            <w:rFonts w:ascii="Georgia" w:cs="Georgia" w:eastAsia="Georgia" w:hAnsi="Georgia"/>
            <w:color w:val="0563C1"/>
            <w:sz w:val="22"/>
            <w:szCs w:val="22"/>
            <w:u w:val="single"/>
          </w:rPr>
          <w:t xml:space="preserve">6. The Algebra of Valuations</w:t>
        </w:r>
      </w:hyperlink>
    </w:p>
    <w:p>
      <w:pPr>
        <w:spacing w:after="120"/>
      </w:pPr>
      <w:hyperlink w:history="1" w:anchor="3308">
        <w:r>
          <w:rPr>
            <w:rFonts w:ascii="Georgia" w:cs="Georgia" w:eastAsia="Georgia" w:hAnsi="Georgia"/>
            <w:color w:val="0563C1"/>
            <w:sz w:val="22"/>
            <w:szCs w:val="22"/>
            <w:u w:val="single"/>
          </w:rPr>
          <w:t xml:space="preserve">7. Integral Geometry on Spaces of Higher Rank</w:t>
        </w:r>
      </w:hyperlink>
    </w:p>
    <w:p>
      <w:pPr>
        <w:spacing w:after="120"/>
      </w:pPr>
      <w:hyperlink w:history="1" w:anchor="3309">
        <w:r>
          <w:rPr>
            <w:rFonts w:ascii="Georgia" w:cs="Georgia" w:eastAsia="Georgia" w:hAnsi="Georgia"/>
            <w:color w:val="0563C1"/>
            <w:sz w:val="22"/>
            <w:szCs w:val="22"/>
            <w:u w:val="single"/>
          </w:rPr>
          <w:t xml:space="preserve">8. Applications: Stereology, Tomography, and Geometric Probability</w:t>
        </w:r>
      </w:hyperlink>
    </w:p>
    <w:p>
      <w:pPr>
        <w:spacing w:after="120"/>
      </w:pPr>
      <w:hyperlink w:history="1" w:anchor="3310">
        <w:r>
          <w:rPr>
            <w:rFonts w:ascii="Georgia" w:cs="Georgia" w:eastAsia="Georgia" w:hAnsi="Georgia"/>
            <w:color w:val="0563C1"/>
            <w:sz w:val="22"/>
            <w:szCs w:val="22"/>
            <w:u w:val="single"/>
          </w:rPr>
          <w:t xml:space="preserve">9. Looking Ahead: Valuations on Manifolds and Algebraic Integral Geometry</w:t>
        </w:r>
      </w:hyperlink>
    </w:p>
    <w:p>
      <w:r>
        <w:br w:type="page"/>
      </w:r>
    </w:p>
    <w:p>
      <w:pPr>
        <w:pStyle w:val="Heading1"/>
        <w:spacing w:after="240" w:before="360"/>
      </w:pPr>
      <w:bookmarkStart w:name="3302" w:id="3302"/>
      <w:r>
        <w:rPr>
          <w:rFonts w:ascii="Georgia" w:cs="Georgia" w:eastAsia="Georgia" w:hAnsi="Georgia"/>
          <w:b/>
          <w:bCs/>
          <w:sz w:val="32"/>
          <w:szCs w:val="32"/>
        </w:rPr>
        <w:t xml:space="preserve">Chapter 1  ·  From Classical Formulas to Modern Valuations</w:t>
      </w:r>
      <w:bookmarkEnd w:id="3302"/>
    </w:p>
    <w:p>
      <w:pPr>
        <w:spacing w:after="200" w:line="276"/>
      </w:pPr>
      <w:r>
        <w:rPr>
          <w:rFonts w:ascii="Georgia" w:cs="Georgia" w:eastAsia="Georgia" w:hAnsi="Georgia"/>
          <w:sz w:val="22"/>
          <w:szCs w:val="22"/>
        </w:rPr>
        <w:t xml:space="preserve">The classical Crofton and kinematic formulas express mean values of length, area, volume, and Euler characteristic in terms of invariant measures on the motion group. Modern integral geometry abstracts the left-hand sides of those formulas into the notion of a valuation — a finitely additive functional on convex bodies (or polyhedra, or sets of positive reach) — and asks for a complete description of all continuous rigid-motion-invariant valuations.</w:t>
      </w:r>
    </w:p>
    <w:p>
      <w:pPr>
        <w:spacing w:after="200" w:line="276"/>
      </w:pPr>
      <w:r>
        <w:rPr>
          <w:rFonts w:ascii="Georgia" w:cs="Georgia" w:eastAsia="Georgia" w:hAnsi="Georgia"/>
          <w:sz w:val="22"/>
          <w:szCs w:val="22"/>
        </w:rPr>
        <w:t xml:space="preserve">Once that description is known, every kinematic formula becomes an algebraic identity in the space of valuations. The classical formulas reappear as the simplest special cases; new formulas for intermediate curvature measures and for tensor-valued valuations follow systematically.</w:t>
      </w:r>
    </w:p>
    <w:p>
      <w:pPr>
        <w:spacing w:after="200" w:line="276"/>
      </w:pPr>
      <w:r>
        <w:rPr>
          <w:rFonts w:ascii="Georgia" w:cs="Georgia" w:eastAsia="Georgia" w:hAnsi="Georgia"/>
          <w:sz w:val="22"/>
          <w:szCs w:val="22"/>
        </w:rPr>
        <w:t xml:space="preserve">The program is the natural continuation of Blaschke’s and Santaló’s work, completed in the convex setting by Hadwiger, Federer, Alesker, and others.</w:t>
      </w:r>
    </w:p>
    <w:p>
      <w:r>
        <w:br w:type="page"/>
      </w:r>
    </w:p>
    <w:p>
      <w:pPr>
        <w:pStyle w:val="Heading1"/>
        <w:spacing w:after="240" w:before="360"/>
      </w:pPr>
      <w:bookmarkStart w:name="3303" w:id="3303"/>
      <w:r>
        <w:rPr>
          <w:rFonts w:ascii="Georgia" w:cs="Georgia" w:eastAsia="Georgia" w:hAnsi="Georgia"/>
          <w:b/>
          <w:bCs/>
          <w:sz w:val="32"/>
          <w:szCs w:val="32"/>
        </w:rPr>
        <w:t xml:space="preserve">Chapter 2  ·  Convex Bodies and Intrinsic Volumes</w:t>
      </w:r>
      <w:bookmarkEnd w:id="3303"/>
    </w:p>
    <w:p>
      <w:pPr>
        <w:spacing w:after="200" w:line="276"/>
      </w:pPr>
      <w:r>
        <w:rPr>
          <w:rFonts w:ascii="Georgia" w:cs="Georgia" w:eastAsia="Georgia" w:hAnsi="Georgia"/>
          <w:sz w:val="22"/>
          <w:szCs w:val="22"/>
        </w:rPr>
        <w:t xml:space="preserve">The intrinsic volumes V₀, …, Vₙ of a convex body in ℝⁿ are the unique continuous rigid-motion-invariant valuations that extend the elementary notions of Euler characteristic, mean width, surface area, and volume. They appear as coefficients in the Steiner formula for the volume of parallel sets.</w:t>
      </w:r>
    </w:p>
    <w:p>
      <w:pPr>
        <w:spacing w:after="200" w:line="276"/>
      </w:pPr>
      <w:r>
        <w:rPr>
          <w:rFonts w:ascii="Georgia" w:cs="Georgia" w:eastAsia="Georgia" w:hAnsi="Georgia"/>
          <w:sz w:val="22"/>
          <w:szCs w:val="22"/>
        </w:rPr>
        <w:t xml:space="preserve">Hadwiger’s characterization theorem asserts that every continuous rigid-motion-invariant valuation is a linear combination of the intrinsic volumes. The theorem is the cornerstone of the modern theory: once a functional is known to be a continuous invariant valuation, it is completely determined by its values on balls (or on any other convenient family of bodies).</w:t>
      </w:r>
    </w:p>
    <w:p>
      <w:pPr>
        <w:spacing w:after="200" w:line="276"/>
      </w:pPr>
      <w:r>
        <w:rPr>
          <w:rFonts w:ascii="Georgia" w:cs="Georgia" w:eastAsia="Georgia" w:hAnsi="Georgia"/>
          <w:sz w:val="22"/>
          <w:szCs w:val="22"/>
        </w:rPr>
        <w:t xml:space="preserve">Intrinsic volumes satisfy Kubota-type integral-geometric representations and Crofton-type formulas that generalize the classical results of Book 19.</w:t>
      </w:r>
    </w:p>
    <w:p>
      <w:r>
        <w:br w:type="page"/>
      </w:r>
    </w:p>
    <w:p>
      <w:pPr>
        <w:pStyle w:val="Heading1"/>
        <w:spacing w:after="240" w:before="360"/>
      </w:pPr>
      <w:bookmarkStart w:name="3304" w:id="3304"/>
      <w:r>
        <w:rPr>
          <w:rFonts w:ascii="Georgia" w:cs="Georgia" w:eastAsia="Georgia" w:hAnsi="Georgia"/>
          <w:b/>
          <w:bCs/>
          <w:sz w:val="32"/>
          <w:szCs w:val="32"/>
        </w:rPr>
        <w:t xml:space="preserve">Chapter 3  ·  Continuous Valuations and Hadwiger’s Theorem</w:t>
      </w:r>
      <w:bookmarkEnd w:id="3304"/>
    </w:p>
    <w:p>
      <w:pPr>
        <w:spacing w:after="200" w:line="276"/>
      </w:pPr>
      <w:r>
        <w:rPr>
          <w:rFonts w:ascii="Georgia" w:cs="Georgia" w:eastAsia="Georgia" w:hAnsi="Georgia"/>
          <w:sz w:val="22"/>
          <w:szCs w:val="22"/>
        </w:rPr>
        <w:t xml:space="preserve">A valuation on convex bodies satisfies μ(K ∪ L) + μ(K ∩ L) = μ(K) + μ(L) whenever the union is convex. Continuity is with respect to the Hausdorff metric. </w:t>
      </w:r>
      <w:hyperlink w:history="1" r:id="rIdljdmnzdgs61bhifdqkhdt">
        <w:r>
          <w:rPr>
            <w:rFonts w:ascii="Georgia" w:cs="Georgia" w:eastAsia="Georgia" w:hAnsi="Georgia"/>
            <w:color w:val="0563C1"/>
            <w:sz w:val="22"/>
            <w:szCs w:val="22"/>
            <w:u w:val="single"/>
          </w:rPr>
          <w:t xml:space="preserve">Hadwiger’s theorem</w:t>
        </w:r>
      </w:hyperlink>
      <w:r>
        <w:rPr>
          <w:rFonts w:ascii="Georgia" w:cs="Georgia" w:eastAsia="Georgia" w:hAnsi="Georgia"/>
          <w:sz w:val="22"/>
          <w:szCs w:val="22"/>
        </w:rPr>
        <w:t xml:space="preserve"> classifies the continuous rigid-motion-invariant scalar valuations.</w:t>
      </w:r>
    </w:p>
    <w:p>
      <w:pPr>
        <w:spacing w:after="200" w:line="276"/>
      </w:pPr>
      <w:r>
        <w:rPr>
          <w:rFonts w:ascii="Georgia" w:cs="Georgia" w:eastAsia="Georgia" w:hAnsi="Georgia"/>
          <w:sz w:val="22"/>
          <w:szCs w:val="22"/>
        </w:rPr>
        <w:t xml:space="preserve">The proof proceeds by showing that a valuation vanishing on lower-dimensional bodies is a multiple of volume, then by induction on dimension. Smooth valuations (those given by integration of differential forms on the sphere bundle) are dense and admit an explicit description that later generalizes to manifolds.</w:t>
      </w:r>
    </w:p>
    <w:p>
      <w:pPr>
        <w:spacing w:after="200" w:line="276"/>
      </w:pPr>
      <w:r>
        <w:rPr>
          <w:rFonts w:ascii="Georgia" w:cs="Georgia" w:eastAsia="Georgia" w:hAnsi="Georgia"/>
          <w:sz w:val="22"/>
          <w:szCs w:val="22"/>
        </w:rPr>
        <w:t xml:space="preserve">Extensions to tensor-valued valuations, to translation-invariant valuations, and to valuations continuous in weaker topologies enlarge the scope while preserving the same structural features.</w:t>
      </w:r>
    </w:p>
    <w:p>
      <w:r>
        <w:br w:type="page"/>
      </w:r>
    </w:p>
    <w:p>
      <w:pPr>
        <w:pStyle w:val="Heading1"/>
        <w:spacing w:after="240" w:before="360"/>
      </w:pPr>
      <w:bookmarkStart w:name="3305" w:id="3305"/>
      <w:r>
        <w:rPr>
          <w:rFonts w:ascii="Georgia" w:cs="Georgia" w:eastAsia="Georgia" w:hAnsi="Georgia"/>
          <w:b/>
          <w:bCs/>
          <w:sz w:val="32"/>
          <w:szCs w:val="32"/>
        </w:rPr>
        <w:t xml:space="preserve">Chapter 4  ·  Curvature Measures and the Normal Cycle</w:t>
      </w:r>
      <w:bookmarkEnd w:id="3305"/>
    </w:p>
    <w:p>
      <w:pPr>
        <w:spacing w:after="200" w:line="276"/>
      </w:pPr>
      <w:r>
        <w:rPr>
          <w:rFonts w:ascii="Georgia" w:cs="Georgia" w:eastAsia="Georgia" w:hAnsi="Georgia"/>
          <w:sz w:val="22"/>
          <w:szCs w:val="22"/>
        </w:rPr>
        <w:t xml:space="preserve">Curvature measures are the localizations of the intrinsic volumes. They are measures supported on the boundary of a convex body (or on the normal cycle of a more general set) whose total masses recover the intrinsic volumes. Federer’s curvature measures extend the theory to sets of positive reach.</w:t>
      </w:r>
    </w:p>
    <w:p>
      <w:pPr>
        <w:spacing w:after="200" w:line="276"/>
      </w:pPr>
      <w:r>
        <w:rPr>
          <w:rFonts w:ascii="Georgia" w:cs="Georgia" w:eastAsia="Georgia" w:hAnsi="Georgia"/>
          <w:sz w:val="22"/>
          <w:szCs w:val="22"/>
        </w:rPr>
        <w:t xml:space="preserve">The normal cycle of a set is a current (or a Legendrian cycle) in the sphere bundle that encodes the exterior geometry of the set. Integration of appropriate differential forms over the normal cycle recovers the curvature measures. The construction is the bridge between convex geometry and geometric measure theory.</w:t>
      </w:r>
    </w:p>
    <w:p>
      <w:pPr>
        <w:spacing w:after="200" w:line="276"/>
      </w:pPr>
      <w:r>
        <w:rPr>
          <w:rFonts w:ascii="Georgia" w:cs="Georgia" w:eastAsia="Georgia" w:hAnsi="Georgia"/>
          <w:sz w:val="22"/>
          <w:szCs w:val="22"/>
        </w:rPr>
        <w:t xml:space="preserve">Kinematic formulas for curvature measures refine the global kinematic formulas and are the analytic engine of modern stereology.</w:t>
      </w:r>
    </w:p>
    <w:p>
      <w:r>
        <w:br w:type="page"/>
      </w:r>
    </w:p>
    <w:p>
      <w:pPr>
        <w:pStyle w:val="Heading1"/>
        <w:spacing w:after="240" w:before="360"/>
      </w:pPr>
      <w:bookmarkStart w:name="3306" w:id="3306"/>
      <w:r>
        <w:rPr>
          <w:rFonts w:ascii="Georgia" w:cs="Georgia" w:eastAsia="Georgia" w:hAnsi="Georgia"/>
          <w:b/>
          <w:bCs/>
          <w:sz w:val="32"/>
          <w:szCs w:val="32"/>
        </w:rPr>
        <w:t xml:space="preserve">Chapter 5  ·  The Principal Kinematic Formula and Its Relatives</w:t>
      </w:r>
      <w:bookmarkEnd w:id="3306"/>
    </w:p>
    <w:p>
      <w:pPr>
        <w:spacing w:after="200" w:line="276"/>
      </w:pPr>
      <w:r>
        <w:rPr>
          <w:rFonts w:ascii="Georgia" w:cs="Georgia" w:eastAsia="Georgia" w:hAnsi="Georgia"/>
          <w:sz w:val="22"/>
          <w:szCs w:val="22"/>
        </w:rPr>
        <w:t xml:space="preserve">The principal kinematic formula expresses the integral, over the group of rigid motions, of the Euler characteristic of the intersection of two bodies as a sum of products of intrinsic volumes. Higher kinematic formulas do the same for the other intrinsic volumes and for curvature measures.</w:t>
      </w:r>
    </w:p>
    <w:p>
      <w:pPr>
        <w:spacing w:after="200" w:line="276"/>
      </w:pPr>
      <w:r>
        <w:rPr>
          <w:rFonts w:ascii="Georgia" w:cs="Georgia" w:eastAsia="Georgia" w:hAnsi="Georgia"/>
          <w:sz w:val="22"/>
          <w:szCs w:val="22"/>
        </w:rPr>
        <w:t xml:space="preserve">The formulas are most cleanly written in the language of the algebra of valuations: the kinematic product of two valuations is again a valuation, and the principal kinematic formula is the expansion of that product in the intrinsic-volume basis.</w:t>
      </w:r>
    </w:p>
    <w:p>
      <w:pPr>
        <w:spacing w:after="200" w:line="276"/>
      </w:pPr>
      <w:r>
        <w:rPr>
          <w:rFonts w:ascii="Georgia" w:cs="Georgia" w:eastAsia="Georgia" w:hAnsi="Georgia"/>
          <w:sz w:val="22"/>
          <w:szCs w:val="22"/>
        </w:rPr>
        <w:t xml:space="preserve">Transfer principles and template methods reduce many concrete integral-geometric computations to the evaluation of a finite number of coefficients.</w:t>
      </w:r>
    </w:p>
    <w:p>
      <w:r>
        <w:br w:type="page"/>
      </w:r>
    </w:p>
    <w:p>
      <w:pPr>
        <w:pStyle w:val="Heading1"/>
        <w:spacing w:after="240" w:before="360"/>
      </w:pPr>
      <w:bookmarkStart w:name="3307" w:id="3307"/>
      <w:r>
        <w:rPr>
          <w:rFonts w:ascii="Georgia" w:cs="Georgia" w:eastAsia="Georgia" w:hAnsi="Georgia"/>
          <w:b/>
          <w:bCs/>
          <w:sz w:val="32"/>
          <w:szCs w:val="32"/>
        </w:rPr>
        <w:t xml:space="preserve">Chapter 6  ·  The Algebra of Valuations</w:t>
      </w:r>
      <w:bookmarkEnd w:id="3307"/>
    </w:p>
    <w:p>
      <w:pPr>
        <w:spacing w:after="200" w:line="276"/>
      </w:pPr>
      <w:r>
        <w:rPr>
          <w:rFonts w:ascii="Georgia" w:cs="Georgia" w:eastAsia="Georgia" w:hAnsi="Georgia"/>
          <w:sz w:val="22"/>
          <w:szCs w:val="22"/>
        </w:rPr>
        <w:t xml:space="preserve">The space of continuous translation-invariant valuations carries a natural commutative associative product (Alesker’s product) compatible with the kinematic formulas. The resulting algebra is filtered by degree and is intimately related to the algebra of dual Lipschitz–Killing curvatures.</w:t>
      </w:r>
    </w:p>
    <w:p>
      <w:pPr>
        <w:spacing w:after="200" w:line="276"/>
      </w:pPr>
      <w:r>
        <w:rPr>
          <w:rFonts w:ascii="Georgia" w:cs="Georgia" w:eastAsia="Georgia" w:hAnsi="Georgia"/>
          <w:sz w:val="22"/>
          <w:szCs w:val="22"/>
        </w:rPr>
        <w:t xml:space="preserve">Irreducible representations of the orthogonal group appear as the graded pieces; the hard Lefschetz theorem and Poincaré duality for the algebra of valuations mirror the corresponding theorems in complex geometry and in intersection theory.</w:t>
      </w:r>
    </w:p>
    <w:p>
      <w:pPr>
        <w:spacing w:after="200" w:line="276"/>
      </w:pPr>
      <w:r>
        <w:rPr>
          <w:rFonts w:ascii="Georgia" w:cs="Georgia" w:eastAsia="Georgia" w:hAnsi="Georgia"/>
          <w:sz w:val="22"/>
          <w:szCs w:val="22"/>
        </w:rPr>
        <w:t xml:space="preserve">The algebraic structure organizes the multitude of kinematic formulas into a single coherent calculus.</w:t>
      </w:r>
    </w:p>
    <w:p>
      <w:r>
        <w:br w:type="page"/>
      </w:r>
    </w:p>
    <w:p>
      <w:pPr>
        <w:pStyle w:val="Heading1"/>
        <w:spacing w:after="240" w:before="360"/>
      </w:pPr>
      <w:bookmarkStart w:name="3308" w:id="3308"/>
      <w:r>
        <w:rPr>
          <w:rFonts w:ascii="Georgia" w:cs="Georgia" w:eastAsia="Georgia" w:hAnsi="Georgia"/>
          <w:b/>
          <w:bCs/>
          <w:sz w:val="32"/>
          <w:szCs w:val="32"/>
        </w:rPr>
        <w:t xml:space="preserve">Chapter 7  ·  Integral Geometry on Spaces of Higher Rank</w:t>
      </w:r>
      <w:bookmarkEnd w:id="3308"/>
    </w:p>
    <w:p>
      <w:pPr>
        <w:spacing w:after="200" w:line="276"/>
      </w:pPr>
      <w:r>
        <w:rPr>
          <w:rFonts w:ascii="Georgia" w:cs="Georgia" w:eastAsia="Georgia" w:hAnsi="Georgia"/>
          <w:sz w:val="22"/>
          <w:szCs w:val="22"/>
        </w:rPr>
        <w:t xml:space="preserve">Spaces of affine subspaces of fixed dimension, spaces of flags, and homogeneous spaces of the orthogonal or unitary groups admit invariant measures and support integral-geometric formulas of Crofton type. The kinematic formulas for these spaces involve higher-rank intrinsic volumes and curvature measures.</w:t>
      </w:r>
    </w:p>
    <w:p>
      <w:pPr>
        <w:spacing w:after="200" w:line="276"/>
      </w:pPr>
      <w:r>
        <w:rPr>
          <w:rFonts w:ascii="Georgia" w:cs="Georgia" w:eastAsia="Georgia" w:hAnsi="Georgia"/>
          <w:sz w:val="22"/>
          <w:szCs w:val="22"/>
        </w:rPr>
        <w:t xml:space="preserve">Complex integral geometry (actions of the unitary group) and quaternionic analogues produce parallel theories with their own intrinsic volumes and kinematic formulas. The common pattern is the representation theory of the underlying compact group.</w:t>
      </w:r>
    </w:p>
    <w:p>
      <w:pPr>
        <w:spacing w:after="200" w:line="276"/>
      </w:pPr>
      <w:r>
        <w:rPr>
          <w:rFonts w:ascii="Georgia" w:cs="Georgia" w:eastAsia="Georgia" w:hAnsi="Georgia"/>
          <w:sz w:val="22"/>
          <w:szCs w:val="22"/>
        </w:rPr>
        <w:t xml:space="preserve">These extensions are the natural setting for questions about random subspaces, about the average geometry of intersections, and about integral geometry on Grassmannians.</w:t>
      </w:r>
    </w:p>
    <w:p>
      <w:r>
        <w:br w:type="page"/>
      </w:r>
    </w:p>
    <w:p>
      <w:pPr>
        <w:pStyle w:val="Heading1"/>
        <w:spacing w:after="240" w:before="360"/>
      </w:pPr>
      <w:bookmarkStart w:name="3309" w:id="3309"/>
      <w:r>
        <w:rPr>
          <w:rFonts w:ascii="Georgia" w:cs="Georgia" w:eastAsia="Georgia" w:hAnsi="Georgia"/>
          <w:b/>
          <w:bCs/>
          <w:sz w:val="32"/>
          <w:szCs w:val="32"/>
        </w:rPr>
        <w:t xml:space="preserve">Chapter 8  ·  Applications: Stereology, Tomography, and Geometric Probability</w:t>
      </w:r>
      <w:bookmarkEnd w:id="3309"/>
    </w:p>
    <w:p>
      <w:pPr>
        <w:spacing w:after="200" w:line="276"/>
      </w:pPr>
      <w:r>
        <w:rPr>
          <w:rFonts w:ascii="Georgia" w:cs="Georgia" w:eastAsia="Georgia" w:hAnsi="Georgia"/>
          <w:sz w:val="22"/>
          <w:szCs w:val="22"/>
        </w:rPr>
        <w:t xml:space="preserve">Modern stereology uses the kinematic formulas and curvature measures to design unbiased estimators of intrinsic volumes from lower-dimensional samples. The Crofton formula for area, the principal kinematic formula for Euler characteristic, and the buffer-zone formulas for surface area are the classical examples; the curvature-measure versions refine them.</w:t>
      </w:r>
    </w:p>
    <w:p>
      <w:pPr>
        <w:spacing w:after="200" w:line="276"/>
      </w:pPr>
      <w:r>
        <w:rPr>
          <w:rFonts w:ascii="Georgia" w:cs="Georgia" w:eastAsia="Georgia" w:hAnsi="Georgia"/>
          <w:sz w:val="22"/>
          <w:szCs w:val="22"/>
        </w:rPr>
        <w:t xml:space="preserve">Tomographic reconstruction from local data, support functions, or section data relies on invertibility results for the Radon-type transforms that appear in integral geometry. Stability estimates quantify the effect of noise.</w:t>
      </w:r>
    </w:p>
    <w:p>
      <w:pPr>
        <w:spacing w:after="200" w:line="276"/>
      </w:pPr>
      <w:r>
        <w:rPr>
          <w:rFonts w:ascii="Georgia" w:cs="Georgia" w:eastAsia="Georgia" w:hAnsi="Georgia"/>
          <w:sz w:val="22"/>
          <w:szCs w:val="22"/>
        </w:rPr>
        <w:t xml:space="preserve">Geometric probability computes the likelihood of intersections, containments, and other geometric events for randomly placed convex bodies; the kinematic formulas convert those probabilities into ratios of intrinsic volumes.</w:t>
      </w:r>
    </w:p>
    <w:p>
      <w:r>
        <w:br w:type="page"/>
      </w:r>
    </w:p>
    <w:p>
      <w:pPr>
        <w:pStyle w:val="Heading1"/>
        <w:spacing w:after="240" w:before="360"/>
      </w:pPr>
      <w:bookmarkStart w:name="3310" w:id="3310"/>
      <w:r>
        <w:rPr>
          <w:rFonts w:ascii="Georgia" w:cs="Georgia" w:eastAsia="Georgia" w:hAnsi="Georgia"/>
          <w:b/>
          <w:bCs/>
          <w:sz w:val="32"/>
          <w:szCs w:val="32"/>
        </w:rPr>
        <w:t xml:space="preserve">Chapter 9  ·  Looking Ahead: Valuations on Manifolds and Algebraic Integral Geometry</w:t>
      </w:r>
      <w:bookmarkEnd w:id="3310"/>
    </w:p>
    <w:p>
      <w:pPr>
        <w:spacing w:after="200" w:line="276"/>
      </w:pPr>
      <w:r>
        <w:rPr>
          <w:rFonts w:ascii="Georgia" w:cs="Georgia" w:eastAsia="Georgia" w:hAnsi="Georgia"/>
          <w:sz w:val="22"/>
          <w:szCs w:val="22"/>
        </w:rPr>
        <w:t xml:space="preserve">We have now acquired the modern core of integral geometry: continuous valuations, Hadwiger’s theorem, curvature measures, kinematic formulas, the algebra of valuations, and the principal applications.</w:t>
      </w:r>
    </w:p>
    <w:p>
      <w:pPr>
        <w:spacing w:after="200" w:line="276"/>
      </w:pPr>
      <w:r>
        <w:rPr>
          <w:rFonts w:ascii="Georgia" w:cs="Georgia" w:eastAsia="Georgia" w:hAnsi="Georgia"/>
          <w:sz w:val="22"/>
          <w:szCs w:val="22"/>
        </w:rPr>
        <w:t xml:space="preserve">These tools open onto valuations on manifolds (Alesker’s theory of smooth valuations on smooth manifolds), onto the algebraic-geometric analogues that appear in the study of constructible functions and characteristic cycles, and onto the deep relations between integral geometry and representation theory. The same circle of ideas reappears in convex optimization (support functions, mixed volumes) and in the statistical study of random geometric structures.</w:t>
      </w:r>
    </w:p>
    <w:p>
      <w:pPr>
        <w:spacing w:after="200" w:line="276"/>
      </w:pPr>
      <w:r>
        <w:rPr>
          <w:rFonts w:ascii="Georgia" w:cs="Georgia" w:eastAsia="Georgia" w:hAnsi="Georgia"/>
          <w:sz w:val="22"/>
          <w:szCs w:val="22"/>
        </w:rPr>
        <w:t xml:space="preserve">The deeper lesson is that the group of rigid motions, acting on the space of geometric objects, produces a finite-dimensional algebra of invariants whose multiplication table is the kinematic formula. Geometry is thereby reduced, in a precise sense, to representation theory and measure theory.</w:t>
      </w:r>
    </w:p>
    <w:p>
      <w:pPr>
        <w:spacing w:after="200" w:line="276"/>
      </w:pPr>
      <w:r>
        <w:rPr>
          <w:rFonts w:ascii="Georgia" w:cs="Georgia" w:eastAsia="Georgia" w:hAnsi="Georgia"/>
          <w:sz w:val="22"/>
          <w:szCs w:val="22"/>
        </w:rPr>
        <w:t xml:space="preserve">Advanced integral geometry is the systematic exploitation of that reduction.</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let groups measure geometry.</w:t>
      </w:r>
    </w:p>
    <w:p>
      <w:pPr>
        <w:spacing w:after="200" w:line="276"/>
      </w:pPr>
      <w:r>
        <w:rPr>
          <w:rFonts w:ascii="Georgia" w:cs="Georgia" w:eastAsia="Georgia" w:hAnsi="Georgia"/>
          <w:sz w:val="22"/>
          <w:szCs w:val="22"/>
        </w:rPr>
        <w:t xml:space="preserve">End of Book 33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6"/>
        <w:szCs w:val="16"/>
      </w:rPr>
      <w:t xml:space="preserve">Integral Geometry (Advanced)  ·  Book 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jdmnzdgs61bhifdqkhdt" Type="http://schemas.openxmlformats.org/officeDocument/2006/relationships/hyperlink" Target="https://en.wikipedia.org/wiki/Hadwiger%27s_theore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2026-08-22T05:42:19.224Z</dcterms:created>
  <dcterms:modified xsi:type="dcterms:W3CDTF">2026-08-22T05:42:19.224Z</dcterms:modified>
</cp:coreProperties>
</file>

<file path=docProps/custom.xml><?xml version="1.0" encoding="utf-8"?>
<Properties xmlns="http://schemas.openxmlformats.org/officeDocument/2006/custom-properties" xmlns:vt="http://schemas.openxmlformats.org/officeDocument/2006/docPropsVTypes"/>
</file>