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8"/>
          <w:szCs w:val="48"/>
        </w:rPr>
        <w:t xml:space="preserve">LINEAR ALGEBRA</w:t>
      </w:r>
    </w:p>
    <w:p>
      <w:pPr>
        <w:spacing w:after="500"/>
        <w:jc w:val="center"/>
      </w:pPr>
      <w:r>
        <w:rPr>
          <w:rFonts w:ascii="Georgia" w:cs="Georgia" w:eastAsia="Georgia" w:hAnsi="Georgia"/>
          <w:i/>
          <w:iCs/>
          <w:color w:val="5B9BD5"/>
          <w:sz w:val="20"/>
          <w:szCs w:val="20"/>
        </w:rPr>
        <w:t xml:space="preserve">Vector Spaces, Linear Maps, and the Art of Seeing Structure Beneath Coordinates</w:t>
      </w:r>
    </w:p>
    <w:p>
      <w:pPr>
        <w:spacing w:before="600"/>
        <w:jc w:val="center"/>
      </w:pPr>
      <w:r>
        <w:rPr>
          <w:rFonts w:ascii="Georgia" w:cs="Georgia" w:eastAsia="Georgia" w:hAnsi="Georgia"/>
          <w:color w:val="666666"/>
          <w:sz w:val="22"/>
          <w:szCs w:val="22"/>
        </w:rPr>
        <w:t xml:space="preserve">Book 21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2100" w:id="2100"/>
      <w:r>
        <w:rPr>
          <w:rFonts w:ascii="Georgia" w:cs="Georgia" w:eastAsia="Georgia" w:hAnsi="Georgia"/>
          <w:b/>
          <w:bCs/>
          <w:sz w:val="32"/>
          <w:szCs w:val="32"/>
        </w:rPr>
        <w:t xml:space="preserve">Preface</w:t>
      </w:r>
      <w:bookmarkEnd w:id="2100"/>
    </w:p>
    <w:p>
      <w:pPr>
        <w:spacing w:after="200"/>
      </w:pPr>
      <w:r>
        <w:rPr>
          <w:rFonts w:ascii="Georgia" w:cs="Georgia" w:eastAsia="Georgia" w:hAnsi="Georgia"/>
          <w:i/>
          <w:iCs/>
          <w:sz w:val="22"/>
          <w:szCs w:val="22"/>
        </w:rPr>
        <w:t xml:space="preserve">(Or: How We Learned to Forget the Coordinates and Keep the Structure)</w:t>
      </w:r>
    </w:p>
    <w:p>
      <w:pPr>
        <w:spacing w:after="200" w:line="276"/>
      </w:pPr>
      <w:r>
        <w:rPr>
          <w:rFonts w:ascii="Georgia" w:cs="Georgia" w:eastAsia="Georgia" w:hAnsi="Georgia"/>
          <w:sz w:val="22"/>
          <w:szCs w:val="22"/>
        </w:rPr>
        <w:t xml:space="preserve">In Book 20 we treated matrices as concrete arrays and saw that they encode linear maps between coordinate spaces. Linear algebra abstracts that picture. A vector space is any set in which one can add elements and multiply them by scalars, subject to the usual axioms. A linear map is any function between vector spaces that respects addition and scalar multiplication. Bases, dimension, rank, eigenvalues, and inner products become intrinsic properties rather than artifacts of a particular coordinate system.</w:t>
      </w:r>
    </w:p>
    <w:p>
      <w:pPr>
        <w:spacing w:after="200" w:line="276"/>
      </w:pPr>
      <w:r>
        <w:rPr>
          <w:rFonts w:ascii="Georgia" w:cs="Georgia" w:eastAsia="Georgia" w:hAnsi="Georgia"/>
          <w:sz w:val="22"/>
          <w:szCs w:val="22"/>
        </w:rPr>
        <w:t xml:space="preserve">The abstraction is not an exercise in purity for its own sake. Once the coordinate-free language is available, the same theorems apply to spaces of functions, spaces of polynomials, solution spaces of linear differential equations, and tangent spaces in geometry. The matrix theory of the previous book becomes the special case in which the spaces are ℝⁿ and ℝᵐ with their standard bases.</w:t>
      </w:r>
    </w:p>
    <w:p>
      <w:pPr>
        <w:spacing w:after="200" w:line="276"/>
      </w:pPr>
      <w:r>
        <w:rPr>
          <w:rFonts w:ascii="Georgia" w:cs="Georgia" w:eastAsia="Georgia" w:hAnsi="Georgia"/>
          <w:sz w:val="22"/>
          <w:szCs w:val="22"/>
        </w:rPr>
        <w:t xml:space="preserve">This book develops the core theory: vector spaces and subspaces, linear independence and bases, linear maps and matrices with respect to bases, the rank-nullity theorem, eigenvalues and diagonalization, inner-product spaces, orthogonality, and the spectral theorem for symmetric matrices. The Jordan form and the singular-value decomposition appear as the natural completions of the spectral picture.</w:t>
      </w:r>
    </w:p>
    <w:p>
      <w:pPr>
        <w:spacing w:after="200" w:line="276"/>
      </w:pPr>
      <w:r>
        <w:rPr>
          <w:rFonts w:ascii="Georgia" w:cs="Georgia" w:eastAsia="Georgia" w:hAnsi="Georgia"/>
          <w:sz w:val="22"/>
          <w:szCs w:val="22"/>
        </w:rPr>
        <w:t xml:space="preserve">A small confession: the jump from matrices to abstract vector spaces is the first place where many students feel that mathematics has become “about symbols rather than about things.” The feeling is temporary. The symbols name geometric and algebraic relationships that were already present in the matrix calculations; the abstraction merely makes those relationships visible without the clutter of coordinates.</w:t>
      </w:r>
    </w:p>
    <w:p>
      <w:pPr>
        <w:spacing w:after="200" w:line="276"/>
      </w:pPr>
      <w:r>
        <w:rPr>
          <w:rFonts w:ascii="Georgia" w:cs="Georgia" w:eastAsia="Georgia" w:hAnsi="Georgia"/>
          <w:sz w:val="22"/>
          <w:szCs w:val="22"/>
        </w:rPr>
        <w:t xml:space="preserve">If matrices taught us to compute with linear maps, linear algebra teaches us to understand them.</w:t>
      </w:r>
    </w:p>
    <w:p>
      <w:pPr>
        <w:spacing w:after="200" w:line="276"/>
      </w:pPr>
      <w:r>
        <w:rPr>
          <w:rFonts w:ascii="Georgia" w:cs="Georgia" w:eastAsia="Georgia" w:hAnsi="Georgia"/>
          <w:sz w:val="22"/>
          <w:szCs w:val="22"/>
        </w:rPr>
        <w:t xml:space="preserve">Let’s forget the bases (temporarily).</w:t>
      </w:r>
    </w:p>
    <w:p>
      <w:r>
        <w:br w:type="page"/>
      </w:r>
    </w:p>
    <w:p>
      <w:pPr>
        <w:pStyle w:val="Heading1"/>
        <w:spacing w:after="240" w:before="360"/>
      </w:pPr>
      <w:bookmarkStart w:name="2101" w:id="2101"/>
      <w:r>
        <w:rPr>
          <w:rFonts w:ascii="Georgia" w:cs="Georgia" w:eastAsia="Georgia" w:hAnsi="Georgia"/>
          <w:b/>
          <w:bCs/>
          <w:sz w:val="32"/>
          <w:szCs w:val="32"/>
        </w:rPr>
        <w:t xml:space="preserve">Table of Contents</w:t>
      </w:r>
      <w:bookmarkEnd w:id="2101"/>
    </w:p>
    <w:p>
      <w:pPr>
        <w:spacing w:after="120"/>
      </w:pPr>
      <w:hyperlink w:history="1" w:anchor="2102">
        <w:r>
          <w:rPr>
            <w:rFonts w:ascii="Georgia" w:cs="Georgia" w:eastAsia="Georgia" w:hAnsi="Georgia"/>
            <w:color w:val="0563C1"/>
            <w:sz w:val="22"/>
            <w:szCs w:val="22"/>
            <w:u w:val="single"/>
          </w:rPr>
          <w:t xml:space="preserve">1. Vector Spaces and Subspaces</w:t>
        </w:r>
      </w:hyperlink>
    </w:p>
    <w:p>
      <w:pPr>
        <w:spacing w:after="120"/>
      </w:pPr>
      <w:hyperlink w:history="1" w:anchor="2103">
        <w:r>
          <w:rPr>
            <w:rFonts w:ascii="Georgia" w:cs="Georgia" w:eastAsia="Georgia" w:hAnsi="Georgia"/>
            <w:color w:val="0563C1"/>
            <w:sz w:val="22"/>
            <w:szCs w:val="22"/>
            <w:u w:val="single"/>
          </w:rPr>
          <w:t xml:space="preserve">2. Linear Independence, Bases, and Dimension</w:t>
        </w:r>
      </w:hyperlink>
    </w:p>
    <w:p>
      <w:pPr>
        <w:spacing w:after="120"/>
      </w:pPr>
      <w:hyperlink w:history="1" w:anchor="2104">
        <w:r>
          <w:rPr>
            <w:rFonts w:ascii="Georgia" w:cs="Georgia" w:eastAsia="Georgia" w:hAnsi="Georgia"/>
            <w:color w:val="0563C1"/>
            <w:sz w:val="22"/>
            <w:szCs w:val="22"/>
            <w:u w:val="single"/>
          </w:rPr>
          <w:t xml:space="preserve">3. Linear Maps and Matrices with Respect to Bases</w:t>
        </w:r>
      </w:hyperlink>
    </w:p>
    <w:p>
      <w:pPr>
        <w:spacing w:after="120"/>
      </w:pPr>
      <w:hyperlink w:history="1" w:anchor="2105">
        <w:r>
          <w:rPr>
            <w:rFonts w:ascii="Georgia" w:cs="Georgia" w:eastAsia="Georgia" w:hAnsi="Georgia"/>
            <w:color w:val="0563C1"/>
            <w:sz w:val="22"/>
            <w:szCs w:val="22"/>
            <w:u w:val="single"/>
          </w:rPr>
          <w:t xml:space="preserve">4. Rank, Nullity, and the Fundamental Theorem</w:t>
        </w:r>
      </w:hyperlink>
    </w:p>
    <w:p>
      <w:pPr>
        <w:spacing w:after="120"/>
      </w:pPr>
      <w:hyperlink w:history="1" w:anchor="2106">
        <w:r>
          <w:rPr>
            <w:rFonts w:ascii="Georgia" w:cs="Georgia" w:eastAsia="Georgia" w:hAnsi="Georgia"/>
            <w:color w:val="0563C1"/>
            <w:sz w:val="22"/>
            <w:szCs w:val="22"/>
            <w:u w:val="single"/>
          </w:rPr>
          <w:t xml:space="preserve">5. Eigenvalues, Eigenvectors, and Diagonalization</w:t>
        </w:r>
      </w:hyperlink>
    </w:p>
    <w:p>
      <w:pPr>
        <w:spacing w:after="120"/>
      </w:pPr>
      <w:hyperlink w:history="1" w:anchor="2107">
        <w:r>
          <w:rPr>
            <w:rFonts w:ascii="Georgia" w:cs="Georgia" w:eastAsia="Georgia" w:hAnsi="Georgia"/>
            <w:color w:val="0563C1"/>
            <w:sz w:val="22"/>
            <w:szCs w:val="22"/>
            <w:u w:val="single"/>
          </w:rPr>
          <w:t xml:space="preserve">6. Inner-Product Spaces and Orthogonality</w:t>
        </w:r>
      </w:hyperlink>
    </w:p>
    <w:p>
      <w:pPr>
        <w:spacing w:after="120"/>
      </w:pPr>
      <w:hyperlink w:history="1" w:anchor="2108">
        <w:r>
          <w:rPr>
            <w:rFonts w:ascii="Georgia" w:cs="Georgia" w:eastAsia="Georgia" w:hAnsi="Georgia"/>
            <w:color w:val="0563C1"/>
            <w:sz w:val="22"/>
            <w:szCs w:val="22"/>
            <w:u w:val="single"/>
          </w:rPr>
          <w:t xml:space="preserve">7. The Spectral Theorem and Quadratic Forms</w:t>
        </w:r>
      </w:hyperlink>
    </w:p>
    <w:p>
      <w:pPr>
        <w:spacing w:after="120"/>
      </w:pPr>
      <w:hyperlink w:history="1" w:anchor="2109">
        <w:r>
          <w:rPr>
            <w:rFonts w:ascii="Georgia" w:cs="Georgia" w:eastAsia="Georgia" w:hAnsi="Georgia"/>
            <w:color w:val="0563C1"/>
            <w:sz w:val="22"/>
            <w:szCs w:val="22"/>
            <w:u w:val="single"/>
          </w:rPr>
          <w:t xml:space="preserve">8. Jordan Form, SVD, and Canonical Forms</w:t>
        </w:r>
      </w:hyperlink>
    </w:p>
    <w:p>
      <w:pPr>
        <w:spacing w:after="120"/>
      </w:pPr>
      <w:hyperlink w:history="1" w:anchor="2110">
        <w:r>
          <w:rPr>
            <w:rFonts w:ascii="Georgia" w:cs="Georgia" w:eastAsia="Georgia" w:hAnsi="Georgia"/>
            <w:color w:val="0563C1"/>
            <w:sz w:val="22"/>
            <w:szCs w:val="22"/>
            <w:u w:val="single"/>
          </w:rPr>
          <w:t xml:space="preserve">9. Looking Ahead: From Linear Algebra to Modules, Representations, and Functional Analysis</w:t>
        </w:r>
      </w:hyperlink>
    </w:p>
    <w:p>
      <w:r>
        <w:br w:type="page"/>
      </w:r>
    </w:p>
    <w:p>
      <w:pPr>
        <w:pStyle w:val="Heading1"/>
        <w:spacing w:after="240" w:before="360"/>
      </w:pPr>
      <w:bookmarkStart w:name="2102" w:id="2102"/>
      <w:r>
        <w:rPr>
          <w:rFonts w:ascii="Georgia" w:cs="Georgia" w:eastAsia="Georgia" w:hAnsi="Georgia"/>
          <w:b/>
          <w:bCs/>
          <w:sz w:val="32"/>
          <w:szCs w:val="32"/>
        </w:rPr>
        <w:t xml:space="preserve">Chapter 1  ·  Vector Spaces and Subspaces</w:t>
      </w:r>
      <w:bookmarkEnd w:id="2102"/>
    </w:p>
    <w:p>
      <w:pPr>
        <w:spacing w:after="200" w:line="276"/>
      </w:pPr>
      <w:r>
        <w:rPr>
          <w:rFonts w:ascii="Georgia" w:cs="Georgia" w:eastAsia="Georgia" w:hAnsi="Georgia"/>
          <w:sz w:val="22"/>
          <w:szCs w:val="22"/>
        </w:rPr>
        <w:t xml:space="preserve">A </w:t>
      </w:r>
      <w:hyperlink w:history="1" r:id="rIdkqgnabhvxon80m0pqtaun">
        <w:r>
          <w:rPr>
            <w:rFonts w:ascii="Georgia" w:cs="Georgia" w:eastAsia="Georgia" w:hAnsi="Georgia"/>
            <w:color w:val="0563C1"/>
            <w:sz w:val="22"/>
            <w:szCs w:val="22"/>
            <w:u w:val="single"/>
          </w:rPr>
          <w:t xml:space="preserve">vector space</w:t>
        </w:r>
      </w:hyperlink>
      <w:r>
        <w:rPr>
          <w:rFonts w:ascii="Georgia" w:cs="Georgia" w:eastAsia="Georgia" w:hAnsi="Georgia"/>
          <w:sz w:val="22"/>
          <w:szCs w:val="22"/>
        </w:rPr>
        <w:t xml:space="preserve"> over a field F is a set V equipped with addition and scalar multiplication satisfying the familiar axioms: associativity, commutativity, identity, inverses, distributivity, and compatibility of scalar multiplication. The field is usually ℝ or ℂ in this book; the same definitions work over any field.</w:t>
      </w:r>
    </w:p>
    <w:p>
      <w:pPr>
        <w:spacing w:after="200" w:line="276"/>
      </w:pPr>
      <w:r>
        <w:rPr>
          <w:rFonts w:ascii="Georgia" w:cs="Georgia" w:eastAsia="Georgia" w:hAnsi="Georgia"/>
          <w:sz w:val="22"/>
          <w:szCs w:val="22"/>
        </w:rPr>
        <w:t xml:space="preserve">Subspaces are subsets closed under the two operations. The intersection of subspaces is a subspace; the sum of subspaces is a subspace. The span of a set of vectors is the smallest subspace containing them.</w:t>
      </w:r>
    </w:p>
    <w:p>
      <w:pPr>
        <w:spacing w:after="200" w:line="276"/>
      </w:pPr>
      <w:r>
        <w:rPr>
          <w:rFonts w:ascii="Georgia" w:cs="Georgia" w:eastAsia="Georgia" w:hAnsi="Georgia"/>
          <w:sz w:val="22"/>
          <w:szCs w:val="22"/>
        </w:rPr>
        <w:t xml:space="preserve">Classic examples include ℝⁿ, spaces of matrices, spaces of polynomials of degree at most n, spaces of continuous functions, and solution spaces of homogeneous linear differential equations. The axioms are few; the examples are many. That is the source of the subject’s ubiquity.</w:t>
      </w:r>
    </w:p>
    <w:p>
      <w:r>
        <w:br w:type="page"/>
      </w:r>
    </w:p>
    <w:p>
      <w:pPr>
        <w:pStyle w:val="Heading1"/>
        <w:spacing w:after="240" w:before="360"/>
      </w:pPr>
      <w:bookmarkStart w:name="2103" w:id="2103"/>
      <w:r>
        <w:rPr>
          <w:rFonts w:ascii="Georgia" w:cs="Georgia" w:eastAsia="Georgia" w:hAnsi="Georgia"/>
          <w:b/>
          <w:bCs/>
          <w:sz w:val="32"/>
          <w:szCs w:val="32"/>
        </w:rPr>
        <w:t xml:space="preserve">Chapter 2  ·  Linear Independence, Bases, and Dimension</w:t>
      </w:r>
      <w:bookmarkEnd w:id="2103"/>
    </w:p>
    <w:p>
      <w:pPr>
        <w:spacing w:after="200" w:line="276"/>
      </w:pPr>
      <w:r>
        <w:rPr>
          <w:rFonts w:ascii="Georgia" w:cs="Georgia" w:eastAsia="Georgia" w:hAnsi="Georgia"/>
          <w:sz w:val="22"/>
          <w:szCs w:val="22"/>
        </w:rPr>
        <w:t xml:space="preserve">A set of vectors is linearly independent if the only linear combination that yields zero is the trivial combination. A basis is a linearly independent spanning set. Every vector space that admits a finite spanning set has a basis, and any two bases have the same number of elements — the dimension of the space.</w:t>
      </w:r>
    </w:p>
    <w:p>
      <w:pPr>
        <w:spacing w:after="200" w:line="276"/>
      </w:pPr>
      <w:r>
        <w:rPr>
          <w:rFonts w:ascii="Georgia" w:cs="Georgia" w:eastAsia="Georgia" w:hAnsi="Georgia"/>
          <w:sz w:val="22"/>
          <w:szCs w:val="22"/>
        </w:rPr>
        <w:t xml:space="preserve">The replacement theorem (Steinitz exchange) controls how independent sets sit inside spanning sets and yields the well-definedness of dimension. Finite-dimensional spaces are the main focus of this book; infinite-dimensional examples appear as motivation for later functional analysis.</w:t>
      </w:r>
    </w:p>
    <w:p>
      <w:pPr>
        <w:spacing w:after="200" w:line="276"/>
      </w:pPr>
      <w:r>
        <w:rPr>
          <w:rFonts w:ascii="Georgia" w:cs="Georgia" w:eastAsia="Georgia" w:hAnsi="Georgia"/>
          <w:sz w:val="22"/>
          <w:szCs w:val="22"/>
        </w:rPr>
        <w:t xml:space="preserve">Once a basis is chosen, every vector acquires unique coordinates, and every linear map acquires a matrix. The abstract theory and the matrix theory become interchangeable.</w:t>
      </w:r>
    </w:p>
    <w:p>
      <w:r>
        <w:br w:type="page"/>
      </w:r>
    </w:p>
    <w:p>
      <w:pPr>
        <w:pStyle w:val="Heading1"/>
        <w:spacing w:after="240" w:before="360"/>
      </w:pPr>
      <w:bookmarkStart w:name="2104" w:id="2104"/>
      <w:r>
        <w:rPr>
          <w:rFonts w:ascii="Georgia" w:cs="Georgia" w:eastAsia="Georgia" w:hAnsi="Georgia"/>
          <w:b/>
          <w:bCs/>
          <w:sz w:val="32"/>
          <w:szCs w:val="32"/>
        </w:rPr>
        <w:t xml:space="preserve">Chapter 3  ·  Linear Maps and Matrices with Respect to Bases</w:t>
      </w:r>
      <w:bookmarkEnd w:id="2104"/>
    </w:p>
    <w:p>
      <w:pPr>
        <w:spacing w:after="200" w:line="276"/>
      </w:pPr>
      <w:r>
        <w:rPr>
          <w:rFonts w:ascii="Georgia" w:cs="Georgia" w:eastAsia="Georgia" w:hAnsi="Georgia"/>
          <w:sz w:val="22"/>
          <w:szCs w:val="22"/>
        </w:rPr>
        <w:t xml:space="preserve">A linear map T: V → W satisfies T(u + v) = T(u) + T(v) and T(λu) = λT(u). The kernel (null space) and image (range) are subspaces. Composition of linear maps is linear; the identity map is linear.</w:t>
      </w:r>
    </w:p>
    <w:p>
      <w:pPr>
        <w:spacing w:after="200" w:line="276"/>
      </w:pPr>
      <w:r>
        <w:rPr>
          <w:rFonts w:ascii="Georgia" w:cs="Georgia" w:eastAsia="Georgia" w:hAnsi="Georgia"/>
          <w:sz w:val="22"/>
          <w:szCs w:val="22"/>
        </w:rPr>
        <w:t xml:space="preserve">Given bases of V and W, T is represented by a unique matrix A such that the coordinate vector of T(v) is A times the coordinate vector of v. Change of basis conjugates the matrix: the new matrix is P^{-1}AP (or an analogous rectangular expression when the spaces differ). Similarity of matrices is therefore the concrete shadow of the abstract relation “represent the same linear map with respect to different bases.”</w:t>
      </w:r>
    </w:p>
    <w:p>
      <w:pPr>
        <w:spacing w:after="200" w:line="276"/>
      </w:pPr>
      <w:r>
        <w:rPr>
          <w:rFonts w:ascii="Georgia" w:cs="Georgia" w:eastAsia="Georgia" w:hAnsi="Georgia"/>
          <w:sz w:val="22"/>
          <w:szCs w:val="22"/>
        </w:rPr>
        <w:t xml:space="preserve">The matrix representation turns questions about abstract maps into questions about matrix algebra, and vice versa.</w:t>
      </w:r>
    </w:p>
    <w:p>
      <w:r>
        <w:br w:type="page"/>
      </w:r>
    </w:p>
    <w:p>
      <w:pPr>
        <w:pStyle w:val="Heading1"/>
        <w:spacing w:after="240" w:before="360"/>
      </w:pPr>
      <w:bookmarkStart w:name="2105" w:id="2105"/>
      <w:r>
        <w:rPr>
          <w:rFonts w:ascii="Georgia" w:cs="Georgia" w:eastAsia="Georgia" w:hAnsi="Georgia"/>
          <w:b/>
          <w:bCs/>
          <w:sz w:val="32"/>
          <w:szCs w:val="32"/>
        </w:rPr>
        <w:t xml:space="preserve">Chapter 4  ·  Rank, Nullity, and the Fundamental Theorem</w:t>
      </w:r>
      <w:bookmarkEnd w:id="2105"/>
    </w:p>
    <w:p>
      <w:pPr>
        <w:spacing w:after="200" w:line="276"/>
      </w:pPr>
      <w:r>
        <w:rPr>
          <w:rFonts w:ascii="Georgia" w:cs="Georgia" w:eastAsia="Georgia" w:hAnsi="Georgia"/>
          <w:sz w:val="22"/>
          <w:szCs w:val="22"/>
        </w:rPr>
        <w:t xml:space="preserve">The rank of a linear map is the dimension of its image; the nullity is the dimension of its kernel. The rank-nullity theorem asserts that rank(T) + nullity(T) = dim V for any linear map T from a finite-dimensional space V.</w:t>
      </w:r>
    </w:p>
    <w:p>
      <w:pPr>
        <w:spacing w:after="200" w:line="276"/>
      </w:pPr>
      <w:r>
        <w:rPr>
          <w:rFonts w:ascii="Georgia" w:cs="Georgia" w:eastAsia="Georgia" w:hAnsi="Georgia"/>
          <w:sz w:val="22"/>
          <w:szCs w:val="22"/>
        </w:rPr>
        <w:t xml:space="preserve">The theorem is the precise relationship between the number of independent constraints (rows) and the number of free variables in a linear system. It also implies that an endomorphism of a finite-dimensional space is injective if and only if it is surjective if and only if it is bijective.</w:t>
      </w:r>
    </w:p>
    <w:p>
      <w:pPr>
        <w:spacing w:after="200" w:line="276"/>
      </w:pPr>
      <w:r>
        <w:rPr>
          <w:rFonts w:ascii="Georgia" w:cs="Georgia" w:eastAsia="Georgia" w:hAnsi="Georgia"/>
          <w:sz w:val="22"/>
          <w:szCs w:val="22"/>
        </w:rPr>
        <w:t xml:space="preserve">Four fundamental subspaces are associated with a matrix A: the column space, the row space, the null space, and the left null space. Their dimensions are related by rank-nullity, and they are orthogonal in pairs once an inner product is present.</w:t>
      </w:r>
    </w:p>
    <w:p>
      <w:r>
        <w:br w:type="page"/>
      </w:r>
    </w:p>
    <w:p>
      <w:pPr>
        <w:pStyle w:val="Heading1"/>
        <w:spacing w:after="240" w:before="360"/>
      </w:pPr>
      <w:bookmarkStart w:name="2106" w:id="2106"/>
      <w:r>
        <w:rPr>
          <w:rFonts w:ascii="Georgia" w:cs="Georgia" w:eastAsia="Georgia" w:hAnsi="Georgia"/>
          <w:b/>
          <w:bCs/>
          <w:sz w:val="32"/>
          <w:szCs w:val="32"/>
        </w:rPr>
        <w:t xml:space="preserve">Chapter 5  ·  Eigenvalues, Eigenvectors, and Diagonalization</w:t>
      </w:r>
      <w:bookmarkEnd w:id="2106"/>
    </w:p>
    <w:p>
      <w:pPr>
        <w:spacing w:after="200" w:line="276"/>
      </w:pPr>
      <w:r>
        <w:rPr>
          <w:rFonts w:ascii="Georgia" w:cs="Georgia" w:eastAsia="Georgia" w:hAnsi="Georgia"/>
          <w:sz w:val="22"/>
          <w:szCs w:val="22"/>
        </w:rPr>
        <w:t xml:space="preserve">An eigenvector of an endomorphism T is a nonzero vector v such that T(v) = λv. The scalar λ is the eigenvalue. The eigenspace belonging to λ is the kernel of T − λI. The characteristic polynomial det(T − λI) is independent of the choice of basis; its roots are the eigenvalues.</w:t>
      </w:r>
    </w:p>
    <w:p>
      <w:pPr>
        <w:spacing w:after="200" w:line="276"/>
      </w:pPr>
      <w:r>
        <w:rPr>
          <w:rFonts w:ascii="Georgia" w:cs="Georgia" w:eastAsia="Georgia" w:hAnsi="Georgia"/>
          <w:sz w:val="22"/>
          <w:szCs w:val="22"/>
        </w:rPr>
        <w:t xml:space="preserve">T is diagonalizable if V admits a basis of eigenvectors, or equivalently if the minimal polynomial splits into distinct linear factors, or if the algebraic and geometric multiplicities agree for every eigenvalue. Diagonalization converts the action of T into independent scalings along the eigenbasis — the simplest possible description.</w:t>
      </w:r>
    </w:p>
    <w:p>
      <w:pPr>
        <w:spacing w:after="200" w:line="276"/>
      </w:pPr>
      <w:r>
        <w:rPr>
          <w:rFonts w:ascii="Georgia" w:cs="Georgia" w:eastAsia="Georgia" w:hAnsi="Georgia"/>
          <w:sz w:val="22"/>
          <w:szCs w:val="22"/>
        </w:rPr>
        <w:t xml:space="preserve">Not every matrix is diagonalizable. The obstruction is measured by the sizes of the Jordan blocks, which appear in the next chapter but are already visible in the discrepancy between algebraic and geometric multiplicity.</w:t>
      </w:r>
    </w:p>
    <w:p>
      <w:r>
        <w:br w:type="page"/>
      </w:r>
    </w:p>
    <w:p>
      <w:pPr>
        <w:pStyle w:val="Heading1"/>
        <w:spacing w:after="240" w:before="360"/>
      </w:pPr>
      <w:bookmarkStart w:name="2107" w:id="2107"/>
      <w:r>
        <w:rPr>
          <w:rFonts w:ascii="Georgia" w:cs="Georgia" w:eastAsia="Georgia" w:hAnsi="Georgia"/>
          <w:b/>
          <w:bCs/>
          <w:sz w:val="32"/>
          <w:szCs w:val="32"/>
        </w:rPr>
        <w:t xml:space="preserve">Chapter 6  ·  Inner-Product Spaces and Orthogonality</w:t>
      </w:r>
      <w:bookmarkEnd w:id="2107"/>
    </w:p>
    <w:p>
      <w:pPr>
        <w:spacing w:after="200" w:line="276"/>
      </w:pPr>
      <w:r>
        <w:rPr>
          <w:rFonts w:ascii="Georgia" w:cs="Georgia" w:eastAsia="Georgia" w:hAnsi="Georgia"/>
          <w:sz w:val="22"/>
          <w:szCs w:val="22"/>
        </w:rPr>
        <w:t xml:space="preserve">An inner product is a positive-definite symmetric bilinear form (or Hermitian form over ℂ). It defines lengths, angles, and orthogonality. The orthogonal complement of a subspace is itself a subspace, and V is the direct sum of any subspace and its orthogonal complement.</w:t>
      </w:r>
    </w:p>
    <w:p>
      <w:pPr>
        <w:spacing w:after="200" w:line="276"/>
      </w:pPr>
      <w:r>
        <w:rPr>
          <w:rFonts w:ascii="Georgia" w:cs="Georgia" w:eastAsia="Georgia" w:hAnsi="Georgia"/>
          <w:sz w:val="22"/>
          <w:szCs w:val="22"/>
        </w:rPr>
        <w:t xml:space="preserve">Orthonormal bases are especially convenient: coordinates are given by inner products with the basis vectors, and the matrix of an orthogonal projection is easy to write. The Gram–Schmidt process converts any basis into an orthonormal basis.</w:t>
      </w:r>
    </w:p>
    <w:p>
      <w:pPr>
        <w:spacing w:after="200" w:line="276"/>
      </w:pPr>
      <w:r>
        <w:rPr>
          <w:rFonts w:ascii="Georgia" w:cs="Georgia" w:eastAsia="Georgia" w:hAnsi="Georgia"/>
          <w:sz w:val="22"/>
          <w:szCs w:val="22"/>
        </w:rPr>
        <w:t xml:space="preserve">The adjoint of a linear map is defined by the relation ⟨T(v), w⟩ = ⟨v, T*(w)⟩. Self-adjoint, unitary, and normal operators are characterized by their relationship to the adjoint and will be the stars of the spectral theorem.</w:t>
      </w:r>
    </w:p>
    <w:p>
      <w:r>
        <w:br w:type="page"/>
      </w:r>
    </w:p>
    <w:p>
      <w:pPr>
        <w:pStyle w:val="Heading1"/>
        <w:spacing w:after="240" w:before="360"/>
      </w:pPr>
      <w:bookmarkStart w:name="2108" w:id="2108"/>
      <w:r>
        <w:rPr>
          <w:rFonts w:ascii="Georgia" w:cs="Georgia" w:eastAsia="Georgia" w:hAnsi="Georgia"/>
          <w:b/>
          <w:bCs/>
          <w:sz w:val="32"/>
          <w:szCs w:val="32"/>
        </w:rPr>
        <w:t xml:space="preserve">Chapter 7  ·  The Spectral Theorem and Quadratic Forms</w:t>
      </w:r>
      <w:bookmarkEnd w:id="2108"/>
    </w:p>
    <w:p>
      <w:pPr>
        <w:spacing w:after="200" w:line="276"/>
      </w:pPr>
      <w:r>
        <w:rPr>
          <w:rFonts w:ascii="Georgia" w:cs="Georgia" w:eastAsia="Georgia" w:hAnsi="Georgia"/>
          <w:sz w:val="22"/>
          <w:szCs w:val="22"/>
        </w:rPr>
        <w:t xml:space="preserve">The </w:t>
      </w:r>
      <w:hyperlink w:history="1" r:id="rIdmorcuktcrmrsayxzh2aih">
        <w:r>
          <w:rPr>
            <w:rFonts w:ascii="Georgia" w:cs="Georgia" w:eastAsia="Georgia" w:hAnsi="Georgia"/>
            <w:color w:val="0563C1"/>
            <w:sz w:val="22"/>
            <w:szCs w:val="22"/>
            <w:u w:val="single"/>
          </w:rPr>
          <w:t xml:space="preserve">spectral theorem</w:t>
        </w:r>
      </w:hyperlink>
      <w:r>
        <w:rPr>
          <w:rFonts w:ascii="Georgia" w:cs="Georgia" w:eastAsia="Georgia" w:hAnsi="Georgia"/>
          <w:sz w:val="22"/>
          <w:szCs w:val="22"/>
        </w:rPr>
        <w:t xml:space="preserve"> asserts that every self-adjoint operator on a finite-dimensional inner-product space is diagonalizable by an orthonormal basis of eigenvectors. Over ℂ the same statement holds for normal operators. The real spectral theorem for symmetric matrices is the version most often used in applications.</w:t>
      </w:r>
    </w:p>
    <w:p>
      <w:pPr>
        <w:spacing w:after="200" w:line="276"/>
      </w:pPr>
      <w:r>
        <w:rPr>
          <w:rFonts w:ascii="Georgia" w:cs="Georgia" w:eastAsia="Georgia" w:hAnsi="Georgia"/>
          <w:sz w:val="22"/>
          <w:szCs w:val="22"/>
        </w:rPr>
        <w:t xml:space="preserve">Quadratic forms are diagonalized by the same process: there exists an orthonormal change of coordinates that eliminates cross terms. The signature of the form (the numbers of positive, negative, and zero eigenvalues) is an invariant and classifies the form up to isomorphism.</w:t>
      </w:r>
    </w:p>
    <w:p>
      <w:pPr>
        <w:spacing w:after="200" w:line="276"/>
      </w:pPr>
      <w:r>
        <w:rPr>
          <w:rFonts w:ascii="Georgia" w:cs="Georgia" w:eastAsia="Georgia" w:hAnsi="Georgia"/>
          <w:sz w:val="22"/>
          <w:szCs w:val="22"/>
        </w:rPr>
        <w:t xml:space="preserve">Principal-component analysis, the classification of conics and quadrics, and the stability analysis of equilibria in mechanics all rest on the spectral theorem.</w:t>
      </w:r>
    </w:p>
    <w:p>
      <w:r>
        <w:br w:type="page"/>
      </w:r>
    </w:p>
    <w:p>
      <w:pPr>
        <w:pStyle w:val="Heading1"/>
        <w:spacing w:after="240" w:before="360"/>
      </w:pPr>
      <w:bookmarkStart w:name="2109" w:id="2109"/>
      <w:r>
        <w:rPr>
          <w:rFonts w:ascii="Georgia" w:cs="Georgia" w:eastAsia="Georgia" w:hAnsi="Georgia"/>
          <w:b/>
          <w:bCs/>
          <w:sz w:val="32"/>
          <w:szCs w:val="32"/>
        </w:rPr>
        <w:t xml:space="preserve">Chapter 8  ·  Jordan Form, SVD, and Canonical Forms</w:t>
      </w:r>
      <w:bookmarkEnd w:id="2109"/>
    </w:p>
    <w:p>
      <w:pPr>
        <w:spacing w:after="200" w:line="276"/>
      </w:pPr>
      <w:r>
        <w:rPr>
          <w:rFonts w:ascii="Georgia" w:cs="Georgia" w:eastAsia="Georgia" w:hAnsi="Georgia"/>
          <w:sz w:val="22"/>
          <w:szCs w:val="22"/>
        </w:rPr>
        <w:t xml:space="preserve">Every endomorphism of a finite-dimensional complex vector space has a Jordan canonical form: a block-diagonal matrix whose blocks are Jordan blocks with eigenvalues on the diagonal and 1’s on the superdiagonal. The sizes of the blocks are determined by the dimensions of the kernels of the powers of (T − λI). The Jordan form is unique up to order of blocks.</w:t>
      </w:r>
    </w:p>
    <w:p>
      <w:pPr>
        <w:spacing w:after="200" w:line="276"/>
      </w:pPr>
      <w:r>
        <w:rPr>
          <w:rFonts w:ascii="Georgia" w:cs="Georgia" w:eastAsia="Georgia" w:hAnsi="Georgia"/>
          <w:sz w:val="22"/>
          <w:szCs w:val="22"/>
        </w:rPr>
        <w:t xml:space="preserve">The singular-value decomposition (SVD) writes an arbitrary m × n matrix as UΣV*, where U and V are unitary (or orthogonal) and Σ is diagonal with non-negative entries. The singular values are the square roots of the eigenvalues of A*A. The SVD is the most useful matrix factorization in numerical linear algebra and in data science.</w:t>
      </w:r>
    </w:p>
    <w:p>
      <w:pPr>
        <w:spacing w:after="200" w:line="276"/>
      </w:pPr>
      <w:r>
        <w:rPr>
          <w:rFonts w:ascii="Georgia" w:cs="Georgia" w:eastAsia="Georgia" w:hAnsi="Georgia"/>
          <w:sz w:val="22"/>
          <w:szCs w:val="22"/>
        </w:rPr>
        <w:t xml:space="preserve">Together the Jordan form and the SVD complete the classification of linear maps up to change of basis (or change of orthonormal basis).</w:t>
      </w:r>
    </w:p>
    <w:p>
      <w:r>
        <w:br w:type="page"/>
      </w:r>
    </w:p>
    <w:p>
      <w:pPr>
        <w:pStyle w:val="Heading1"/>
        <w:spacing w:after="240" w:before="360"/>
      </w:pPr>
      <w:bookmarkStart w:name="2110" w:id="2110"/>
      <w:r>
        <w:rPr>
          <w:rFonts w:ascii="Georgia" w:cs="Georgia" w:eastAsia="Georgia" w:hAnsi="Georgia"/>
          <w:b/>
          <w:bCs/>
          <w:sz w:val="32"/>
          <w:szCs w:val="32"/>
        </w:rPr>
        <w:t xml:space="preserve">Chapter 9  ·  Looking Ahead: From Linear Algebra to Modules, Representations, and Functional Analysis</w:t>
      </w:r>
      <w:bookmarkEnd w:id="2110"/>
    </w:p>
    <w:p>
      <w:pPr>
        <w:spacing w:after="200" w:line="276"/>
      </w:pPr>
      <w:r>
        <w:rPr>
          <w:rFonts w:ascii="Georgia" w:cs="Georgia" w:eastAsia="Georgia" w:hAnsi="Georgia"/>
          <w:sz w:val="22"/>
          <w:szCs w:val="22"/>
        </w:rPr>
        <w:t xml:space="preserve">We have now acquired the core language of linear algebra: vector spaces, linear maps, dimension, rank-nullity, eigenvalues, inner products, the spectral theorem, Jordan form, and SVD.</w:t>
      </w:r>
    </w:p>
    <w:p>
      <w:pPr>
        <w:spacing w:after="200" w:line="276"/>
      </w:pPr>
      <w:r>
        <w:rPr>
          <w:rFonts w:ascii="Georgia" w:cs="Georgia" w:eastAsia="Georgia" w:hAnsi="Georgia"/>
          <w:sz w:val="22"/>
          <w:szCs w:val="22"/>
        </w:rPr>
        <w:t xml:space="preserve">These tools are the foundation of large parts of the rest of the series. Modules over rings generalize vector spaces; representation theory studies linear actions of groups; functional analysis extends the theory to infinite-dimensional spaces of functions; quantum mechanics identifies observables with self-adjoint operators; numerical linear algebra studies the stability and complexity of the algorithms that compute the objects defined here.</w:t>
      </w:r>
    </w:p>
    <w:p>
      <w:pPr>
        <w:spacing w:after="200" w:line="276"/>
      </w:pPr>
      <w:r>
        <w:rPr>
          <w:rFonts w:ascii="Georgia" w:cs="Georgia" w:eastAsia="Georgia" w:hAnsi="Georgia"/>
          <w:sz w:val="22"/>
          <w:szCs w:val="22"/>
        </w:rPr>
        <w:t xml:space="preserve">The deeper lesson is that linearity is a powerful simplifying assumption, and that the structure theory of linear maps is both complete and applicable far beyond the original matrix setting.</w:t>
      </w:r>
    </w:p>
    <w:p>
      <w:pPr>
        <w:spacing w:after="200" w:line="276"/>
      </w:pPr>
      <w:r>
        <w:rPr>
          <w:rFonts w:ascii="Georgia" w:cs="Georgia" w:eastAsia="Georgia" w:hAnsi="Georgia"/>
          <w:sz w:val="22"/>
          <w:szCs w:val="22"/>
        </w:rPr>
        <w:t xml:space="preserve">Linear algebra is the backbone of modern mathematical science.</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see the structure beneath the coordinates.</w:t>
      </w:r>
    </w:p>
    <w:p>
      <w:pPr>
        <w:spacing w:after="200" w:line="276"/>
      </w:pPr>
      <w:r>
        <w:rPr>
          <w:rFonts w:ascii="Georgia" w:cs="Georgia" w:eastAsia="Georgia" w:hAnsi="Georgia"/>
          <w:sz w:val="22"/>
          <w:szCs w:val="22"/>
        </w:rPr>
        <w:t xml:space="preserve">End of Book 21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Linear Algebra  ·  Book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qgnabhvxon80m0pqtaun" Type="http://schemas.openxmlformats.org/officeDocument/2006/relationships/hyperlink" Target="https://en.wikipedia.org/wiki/Vector_space" TargetMode="External"/><Relationship Id="rIdmorcuktcrmrsayxzh2aih" Type="http://schemas.openxmlformats.org/officeDocument/2006/relationships/hyperlink" Target="https://en.wikipedia.org/wiki/Spectral_theore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2026-08-22T05:07:07.389Z</dcterms:created>
  <dcterms:modified xsi:type="dcterms:W3CDTF">2026-08-22T05:07:07.389Z</dcterms:modified>
</cp:coreProperties>
</file>

<file path=docProps/custom.xml><?xml version="1.0" encoding="utf-8"?>
<Properties xmlns="http://schemas.openxmlformats.org/officeDocument/2006/custom-properties" xmlns:vt="http://schemas.openxmlformats.org/officeDocument/2006/docPropsVTypes"/>
</file>