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Interaction Vertices</w:t>
      </w:r>
    </w:p>
    <w:p>
      <w:pPr>
        <w:pStyle w:val="Subtitle"/>
        <w:jc w:val="center"/>
      </w:pPr>
      <w:r>
        <w:t>Lesson 49 of Quantum, Actually, Volume 2: A QED Course</w:t>
      </w:r>
    </w:p>
    <w:p>
      <w:pPr>
        <w:jc w:val="center"/>
      </w:pPr>
      <w:r>
        <w:t>Lothar J. Musiol</w:t>
      </w:r>
    </w:p>
    <w:p>
      <w:r>
        <w:br/>
      </w:r>
    </w:p>
    <w:p>
      <w:pPr>
        <w:jc w:val="center"/>
      </w:pPr>
      <w:r>
        <w:rPr>
          <w:b/>
          <w:sz w:val="26"/>
        </w:rPr>
        <w:t>The complete set of six external-line factors attached to the electron-photon vertex, the fermion-flow assembly rule, and why the same ieγ^μ serves every combination</w:t>
      </w:r>
    </w:p>
    <w:p>
      <w:r>
        <w:br/>
        <w:br/>
      </w:r>
    </w:p>
    <w:p>
      <w:pPr>
        <w:jc w:val="center"/>
      </w:pPr>
      <w:r>
        <w:t>First edition, 2026</w:t>
      </w:r>
    </w:p>
    <w:p>
      <w:r>
        <w:br w:type="page"/>
      </w:r>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w:t>
      </w:r>
      <w:r>
        <w:rPr>
          <w:vertAlign w:val="subscript"/>
        </w:rPr>
        <w:t>μ</w:t>
      </w:r>
      <w:r>
        <w:t>(k)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w:t>
            </w:r>
            <w:r>
              <w:rPr>
                <w:vertAlign w:val="subscript"/>
              </w:rPr>
              <w:t>s</w:t>
            </w:r>
            <w:r>
              <w:t>(p), ū</w:t>
            </w:r>
            <w:r>
              <w:rPr>
                <w:vertAlign w:val="subscript"/>
              </w:rPr>
              <w:t>s</w:t>
            </w:r>
            <w:r>
              <w:t>(p)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w:t>
            </w:r>
            <w:r>
              <w:rPr>
                <w:vertAlign w:val="subscript"/>
              </w:rPr>
              <w:t>λ</w:t>
            </w:r>
            <w:r>
              <w:t>,μ(k)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w:t>
            </w:r>
            <w:r>
              <w:rPr>
                <w:vertAlign w:val="subscript"/>
              </w:rPr>
              <w:t>+</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(p), an operator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w:t>
            </w:r>
            <w:r>
              <w:rPr>
                <w:vertAlign w:val="subscript"/>
              </w:rPr>
              <w:t>s</w:t>
            </w:r>
            <w:r>
              <w:t>(p)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w:t>
            </w:r>
            <w:r>
              <w:rPr>
                <w:vertAlign w:val="subscript"/>
              </w:rPr>
              <w:t>s′</w:t>
            </w:r>
            <w:r>
              <w:t>(p′)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w:t>
            </w:r>
            <w:r>
              <w:rPr>
                <w:vertAlign w:val="subscript"/>
              </w:rPr>
              <w:t>s</w:t>
            </w:r>
            <w:r>
              <w:t>(p)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w:t>
            </w:r>
            <w:r>
              <w:rPr>
                <w:vertAlign w:val="subscript"/>
              </w:rPr>
              <w:t>s′</w:t>
            </w:r>
            <w:r>
              <w:t>(p′)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w:t>
            </w:r>
            <w:r>
              <w:rPr>
                <w:vertAlign w:val="subscript"/>
              </w:rPr>
              <w:t>λ</w:t>
            </w:r>
            <w:r>
              <w:t>,μ(k)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w:t>
            </w:r>
            <w:r>
              <w:rPr>
                <w:vertAlign w:val="subscript"/>
              </w:rPr>
              <w:t>λ</w:t>
            </w:r>
            <w:r>
              <w:t>,μ(k)</w:t>
            </w:r>
          </w:p>
        </w:tc>
      </w:tr>
    </w:tbl>
    <w:p>
      <w:pPr>
        <w:keepNext/>
        <w:spacing w:before="160" w:after="40"/>
        <w:jc w:val="center"/>
      </w:pPr>
      <w:r>
        <w:drawing>
          <wp:inline xmlns:a="http://schemas.openxmlformats.org/drawingml/2006/main" xmlns:pic="http://schemas.openxmlformats.org/drawingml/2006/picture">
            <wp:extent cx="5486400" cy="1871084"/>
            <wp:docPr id="1" name="Picture 1"/>
            <wp:cNvGraphicFramePr>
              <a:graphicFrameLocks noChangeAspect="1"/>
            </wp:cNvGraphicFramePr>
            <a:graphic>
              <a:graphicData uri="http://schemas.openxmlformats.org/drawingml/2006/picture">
                <pic:pic>
                  <pic:nvPicPr>
                    <pic:cNvPr id="0" name="L52_external.png"/>
                    <pic:cNvPicPr/>
                  </pic:nvPicPr>
                  <pic:blipFill>
                    <a:blip r:embed="rId11"/>
                    <a:stretch>
                      <a:fillRect/>
                    </a:stretch>
                  </pic:blipFill>
                  <pic:spPr>
                    <a:xfrm>
                      <a:off x="0" y="0"/>
                      <a:ext cx="5486400" cy="1871084"/>
                    </a:xfrm>
                    <a:prstGeom prst="rect"/>
                  </pic:spPr>
                </pic:pic>
              </a:graphicData>
            </a:graphic>
          </wp:inline>
        </w:drawing>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drawing>
          <wp:inline xmlns:a="http://schemas.openxmlformats.org/drawingml/2006/main" xmlns:pic="http://schemas.openxmlformats.org/drawingml/2006/picture">
            <wp:extent cx="5486400" cy="1687169"/>
            <wp:docPr id="2" name="Picture 2"/>
            <wp:cNvGraphicFramePr>
              <a:graphicFrameLocks noChangeAspect="1"/>
            </wp:cNvGraphicFramePr>
            <a:graphic>
              <a:graphicData uri="http://schemas.openxmlformats.org/drawingml/2006/picture">
                <pic:pic>
                  <pic:nvPicPr>
                    <pic:cNvPr id="0" name="L49_vertices.png"/>
                    <pic:cNvPicPr/>
                  </pic:nvPicPr>
                  <pic:blipFill>
                    <a:blip r:embed="rId12"/>
                    <a:stretch>
                      <a:fillRect/>
                    </a:stretch>
                  </pic:blipFill>
                  <pic:spPr>
                    <a:xfrm>
                      <a:off x="0" y="0"/>
                      <a:ext cx="5486400" cy="1687169"/>
                    </a:xfrm>
                    <a:prstGeom prst="rect"/>
                  </pic:spPr>
                </pic:pic>
              </a:graphicData>
            </a:graphic>
          </wp:inline>
        </w:drawing>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r>
        <w:t>Lesson 50 now has every ingredient needed to state the complete, formal Feynman rules of QED: the vertex of Lesson 45, the propagators of Lessons 46–48, and this lesson's six external-line factors.</w:t>
      </w:r>
    </w:p>
    <w:p>
      <w:pPr>
        <w:pStyle w:val="Heading2"/>
      </w:pPr>
      <w:r>
        <w:t>8 Summary</w:t>
      </w:r>
    </w:p>
    <w:p>
      <w:pPr>
        <w:pStyle w:val="ListNumber"/>
        <w:numPr>
          <w:ilvl w:val="0"/>
          <w:numId w:val="10"/>
        </w:numPr>
      </w:pPr>
      <w:r>
        <w:t>The vertex factor ieγ</w:t>
      </w:r>
      <w:r>
        <w:rPr>
          <w:vertAlign w:val="superscript"/>
        </w:rPr>
        <w:t>μ</w:t>
      </w:r>
      <w:r>
        <w:t>, derived in Lesson 45, is unchanged by which specific particles occupy a diagram's legs.</w:t>
      </w:r>
    </w:p>
    <w:p>
      <w:pPr>
        <w:pStyle w:val="ListNumber"/>
        <w:numPr>
          <w:ilvl w:val="0"/>
          <w:numId w:val="10"/>
        </w:numPr>
      </w:pPr>
      <w:r>
        <w:t>Conjugating ψ's mode expansion shows ψ̄ contains the positron's annihilation operator and the electron's creation operator, the reverse of ψ itself.</w:t>
      </w:r>
    </w:p>
    <w:p>
      <w:pPr>
        <w:pStyle w:val="ListNumber"/>
        <w:numPr>
          <w:ilvl w:val="0"/>
          <w:numId w:val="10"/>
        </w:numPr>
      </w:pPr>
      <w:r>
        <w:t>An incoming positron is read off from ψ̄ as v̄(p); an outgoing positron is read off from ψ as v(p′), the reverse of the electron's u/ū assignment.</w:t>
      </w:r>
    </w:p>
    <w:p>
      <w:pPr>
        <w:pStyle w:val="ListNumber"/>
        <w:numPr>
          <w:ilvl w:val="0"/>
          <w:numId w:val="10"/>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10"/>
        </w:numPr>
      </w:pPr>
      <w:r>
        <w:t>The general assembly rule places a barred spinor to the left of the vertex factor and an unbarred spinor to the right, regardless of which specific particle or antiparticle is involved.</w:t>
      </w:r>
    </w:p>
    <w:p>
      <w:pPr>
        <w:pStyle w:val="ListNumber"/>
        <w:numPr>
          <w:ilvl w:val="0"/>
          <w:numId w:val="10"/>
        </w:numPr>
      </w:pPr>
      <w:r>
        <w:t>A single-vertex assembly for e⁻e⁺→γ, like Lesson 45's e⁻γ→e⁻ vertex, is not a complete physical process on its own.</w:t>
      </w:r>
    </w:p>
    <w:p>
      <w:pPr>
        <w:pStyle w:val="ListNumber"/>
        <w:numPr>
          <w:ilvl w:val="0"/>
          <w:numId w:val="10"/>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Conjugate ψ(x)'s b</w:t>
            </w:r>
            <w:r>
              <w:rPr>
                <w:vertAlign w:val="subscript"/>
              </w:rPr>
              <w:t>s</w:t>
            </w:r>
            <w:r>
              <w:t>(p)u</w:t>
            </w:r>
            <w:r>
              <w:rPr>
                <w:vertAlign w:val="subscript"/>
              </w:rPr>
              <w:t>s</w:t>
            </w:r>
            <w:r>
              <w:t>(p)e</w:t>
            </w:r>
            <w:r>
              <w:rPr>
                <w:vertAlign w:val="superscript"/>
              </w:rPr>
              <w:t>−ipx</w:t>
            </w:r>
            <w:r>
              <w:t xml:space="preserve"> term explicitly and show it becomes b</w:t>
            </w:r>
            <w:r>
              <w:rPr>
                <w:vertAlign w:val="subscript"/>
              </w:rPr>
              <w:t>s†</w:t>
            </w:r>
            <w:r>
              <w:t>(p)u</w:t>
            </w:r>
            <w:r>
              <w:rPr>
                <w:vertAlign w:val="subscript"/>
              </w:rPr>
              <w:t>s†</w:t>
            </w:r>
            <w:r>
              <w:t>(p)e</w:t>
            </w:r>
            <w:r>
              <w:rPr>
                <w:vertAlign w:val="superscript"/>
              </w:rPr>
              <w:t>ipx</w:t>
            </w:r>
            <w:r>
              <w:t xml:space="preserve">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Conjugate ψ(x)'s d</w:t>
            </w:r>
            <w:r>
              <w:rPr>
                <w:vertAlign w:val="subscript"/>
              </w:rPr>
              <w:t>s†</w:t>
            </w:r>
            <w:r>
              <w:t>(p)v</w:t>
            </w:r>
            <w:r>
              <w:rPr>
                <w:vertAlign w:val="subscript"/>
              </w:rPr>
              <w:t>s</w:t>
            </w:r>
            <w:r>
              <w:t>(p)e</w:t>
            </w:r>
            <w:r>
              <w:rPr>
                <w:vertAlign w:val="superscript"/>
              </w:rPr>
              <w:t>ipx</w:t>
            </w:r>
            <w:r>
              <w:t xml:space="preserve"> term explicitly and show it becomes d</w:t>
            </w:r>
            <w:r>
              <w:rPr>
                <w:vertAlign w:val="subscript"/>
              </w:rPr>
              <w:t>s</w:t>
            </w:r>
            <w:r>
              <w:t>(p)v</w:t>
            </w:r>
            <w:r>
              <w:rPr>
                <w:vertAlign w:val="subscript"/>
              </w:rPr>
              <w:t>s†</w:t>
            </w:r>
            <w:r>
              <w:t>(p)e</w:t>
            </w:r>
            <w:r>
              <w:rPr>
                <w:vertAlign w:val="superscript"/>
              </w:rPr>
              <w:t>−ipx</w:t>
            </w:r>
            <w:r>
              <w:t xml:space="preserve">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the result of Exercise 3 by γ⁰ and use v̄=v†γ⁰ to derive the d</w:t>
            </w:r>
            <w:r>
              <w:rPr>
                <w:vertAlign w:val="subscript"/>
              </w:rPr>
              <w:t>s</w:t>
            </w:r>
            <w:r>
              <w:t>(p)v̄</w:t>
            </w:r>
            <w:r>
              <w:rPr>
                <w:vertAlign w:val="subscript"/>
              </w:rPr>
              <w:t>s</w:t>
            </w:r>
            <w:r>
              <w:t>(p)e</w:t>
            </w:r>
            <w:r>
              <w:rPr>
                <w:vertAlign w:val="superscript"/>
              </w:rPr>
              <w:t>−ipx</w:t>
            </w:r>
            <w:r>
              <w:t xml:space="preserve">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which term of ψ(x) is responsible for creating an outgoing positron, and its contribution v</w:t>
            </w:r>
            <w:r>
              <w:rPr>
                <w:vertAlign w:val="subscript"/>
              </w:rPr>
              <w:t>s′</w:t>
            </w:r>
            <w:r>
              <w:t>(p′)e</w:t>
            </w:r>
            <w:r>
              <w:rPr>
                <w:vertAlign w:val="superscript"/>
              </w:rPr>
              <w:t>ip′x</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outgoing-photon factor ε</w:t>
            </w:r>
            <w:r>
              <w:rPr>
                <w:vertAlign w:val="subscript"/>
              </w:rPr>
              <w:t>λ</w:t>
            </w:r>
            <w:r>
              <w:t>,μ(k)e</w:t>
            </w:r>
            <w:r>
              <w:rPr>
                <w:vertAlign w:val="superscript"/>
              </w:rPr>
              <w:t>ikx</w:t>
            </w:r>
            <w:r>
              <w:t xml:space="preserve"> from the creation piece of A</w:t>
            </w:r>
            <w:r>
              <w:rPr>
                <w:vertAlign w:val="superscript"/>
              </w:rPr>
              <w:t>i</w:t>
            </w:r>
            <w:r>
              <w:t>(x)'s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process e⁻(p)+e⁺(p</w:t>
            </w:r>
            <w:r>
              <w:rPr>
                <w:vertAlign w:val="subscript"/>
              </w:rPr>
              <w:t>+</w:t>
            </w:r>
            <w:r>
              <w:t>)→γ(k) at a single vertex, identify which of the six factors attaches to each of the three legs, and assemble the amplitude ie v̄(p</w:t>
            </w:r>
            <w:r>
              <w:rPr>
                <w:vertAlign w:val="subscript"/>
              </w:rPr>
              <w:t>+</w:t>
            </w:r>
            <w:r>
              <w:t>)γ</w:t>
            </w:r>
            <w:r>
              <w:rPr>
                <w:vertAlign w:val="superscript"/>
              </w:rPr>
              <w:t>μ</w:t>
            </w:r>
            <w:r>
              <w:t>u(p)ε</w:t>
            </w:r>
            <w:r>
              <w:rPr>
                <w:vertAlign w:val="subscript"/>
              </w:rPr>
              <w:t>μ</w:t>
            </w:r>
            <w:r>
              <w:t>(k).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the general placement rule (barred spinor left, unbarred spinor right) holds for both Lesson 45's ū(p′)γ</w:t>
            </w:r>
            <w:r>
              <w:rPr>
                <w:vertAlign w:val="superscript"/>
              </w:rPr>
              <w:t>μ</w:t>
            </w:r>
            <w:r>
              <w:t>u(p) and this lesson's v̄(p</w:t>
            </w:r>
            <w:r>
              <w:rPr>
                <w:vertAlign w:val="subscript"/>
              </w:rPr>
              <w:t>+</w:t>
            </w:r>
            <w:r>
              <w:t>)γ</w:t>
            </w:r>
            <w:r>
              <w:rPr>
                <w:vertAlign w:val="superscript"/>
              </w:rPr>
              <w:t>μ</w:t>
            </w:r>
            <w:r>
              <w:t>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e⁻(p)+e⁺(p</w:t>
            </w:r>
            <w:r>
              <w:rPr>
                <w:vertAlign w:val="subscript"/>
              </w:rPr>
              <w:t>+</w:t>
            </w:r>
            <w:r>
              <w:t>)→γ(k) cannot conserve momentum for on-shell particles at a single vertex, by squaring p+p</w:t>
            </w:r>
            <w:r>
              <w:rPr>
                <w:vertAlign w:val="subscript"/>
              </w:rPr>
              <w:t>+</w:t>
            </w:r>
            <w:r>
              <w:t>=k and showing this requires p·p</w:t>
            </w:r>
            <w:r>
              <w:rPr>
                <w:vertAlign w:val="subscript"/>
              </w:rPr>
              <w:t>+</w:t>
            </w:r>
            <w:r>
              <w:t>=−m², while p·p</w:t>
            </w:r>
            <w:r>
              <w:rPr>
                <w:vertAlign w:val="subscript"/>
              </w:rPr>
              <w:t>+</w:t>
            </w:r>
            <w:r>
              <w:t>≥m² always holds for two on-shell, positive-energy four-momenta of mass m (evaluate p·p</w:t>
            </w:r>
            <w:r>
              <w:rPr>
                <w:vertAlign w:val="subscript"/>
              </w:rPr>
              <w:t>+</w:t>
            </w:r>
            <w:r>
              <w:t xml:space="preserve">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t xml:space="preserve"> again rather than requiring a new, muon-specific constant.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50 collects this lesson's six leg factors, the three propagators of Lessons 46–48, and Lesson 45's vertex into the complete, formal Feynman rules of QED, the recipe used to write down any diagram's amplitude directly from its picture.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 Vertices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