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As for the purpose of everything, the Bureau’s unofficial position was that it was probably 42. No one had successfully derived the corresponding question, and the forms required to request it had been missing since before the Pre-Transition drawer was labelled.
There were, of course, children. Someone had to grow up and fill in the forms. Someone had to pay for the pensions of the people currently failing to prevent the disasters. The Bureau’s official position on children was that they were a long-term staffing solution and should be discouraged from developing an interest in geometry until after their GCSEs. Someone, after all, had to grow up and pay for the pensions of the people currently failing to prevent the disasters.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Some of the older ones still carried the wrong headers, as if the filing system itself had not been fully briefed on the new arrangements. The rest of the country was worse. The Bureau’s unofficial map of Britain included several regions marked simply “Do Not Attempt to Classify.” One of them was in Wales. Two were in Scotland.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Some of the older ones still carried the wrong headers, as if the filing system itself had not been fully briefed on the new arrangements. The rest of the country was worse. The Bureau’s unofficial map of Britain included several regions marked simply “Do Not Attempt to Classify.” One of them was in Wales. Two were in Scotland.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