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recovered. Then there was Sherlock. Sherlock was a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w:t>
      </w:r>
    </w:p>
    <w:p w14:paraId="387840AB" w14:textId="77777777" w:rsidR="00A1675C" w:rsidRDefault="00000000">
      <w:pPr>
        <w:widowControl/>
        <w:ind w:firstLine="432"/>
      </w:pPr>
      <w:r>
        <w:rPr>
          <w:rFonts w:ascii="Palatino" w:hAnsi="Palatino" w:cs="Palatino Linotype" w:eastAsia="Palatino Linotype"/>
          <w:sz w:val="22"/>
        </w:rPr>
        <w:t>Preferably before 11:17.</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administrative.</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and getting wet.</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w:t>
      </w:r>
    </w:p>
    <w:p w14:paraId="5C499786" w14:textId="77777777" w:rsidR="00A1675C" w:rsidRDefault="00000000">
      <w:pPr>
        <w:widowControl/>
        <w:ind w:firstLine="432"/>
      </w:pPr>
      <w:r>
        <w:rPr>
          <w:rFonts w:ascii="Palatino" w:hAnsi="Palatino" w:cs="Palatino Linotype" w:eastAsia="Palatino Linotype"/>
          <w:sz w:val="22"/>
        </w:rPr>
        <w:t>They stepped into the strange corridor. The heavy door closed behind them. Inside the empty office, the old brass clock appeared on Derek's desk.</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w:hAnsi="Palatino" w:cs="Palatino Linotype" w:eastAsia="Palatino Linotyp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Probably.</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