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There were, of course, children. Someone had to grow up and fill in the forms. Someone had to pay for the pensions of the people currently failing to prevent the disasters. The Bureau’s official position on children was that they were a long-term staffing solution and should be discouraged from developing an interest in geometry until after their GCSEs. Someone, after all, had to grow up and pay for the pensions of the people currently failing to prevent the disasters.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Some of the older ones still carried the wrong headers, as if the filing system itself had not been fully briefed on the new arrangements. The rest of the country was worse. The Bureau’s unofficial map of Britain included several regions marked simply “Do Not Attempt to Classify.” One of them was in Wales. Two were in Scotland. One moved.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Some of the older ones still carried the wrong headers, as if the filing system itself had not been fully briefed on the new arrangements. The rest of the country was worse. The Bureau’s unofficial map of Britain included several regions marked simply “Do Not Attempt to Classify.” One of them was in Wales. Two were in Scotland. One moved.
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