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There were, of course, children. Someone had to grow up and fill in the forms. Someone had to pay for the pensions of the people currently failing to prevent the disasters. The Bureau’s official position on children was that they were a long-term staffing solution and should be discouraged from developing an interest in geometry until after their GCSEs. Someone, after all, had to grow up and pay for the pensions of the people currently failing to prevent the disasters. Social security, like spacetime, required a continuous supply of new observers.
London supplied them without comment. The city had always been better at producing new observers than at agreeing what they were observing.”</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The rest of the country was worse. The Bureau’s unofficial map of Britain included several regions marked simply “Do Not Attempt to Classify.” One of them was in Wales. Two were in Scotland. One moved.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The city around them was full of people who had learned the same lesson in different accents. Derek had long since stopped trying to file London by category. The categories kept moving. The rest of the country was worse. The Bureau’s unofficial map of Britain included several regions marked simply “Do Not Attempt to Classify.” One of them was in Wales. Two were in Scotland. One moved.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