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Somewhere beneath the professional irritation, something colder and more personal had stirred — the quiet recognition that the face in the photograph was not merely a case, but a deadline.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which is to say, it is the part that still manages to surprise people who thought they already understood time. They almost never have. Time, it turns out, is less a river than a set of carefully negotiated local agreements."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The universe simply declines to supply a single, universal 'now' — a fact that continues to inconvenience anyone who prefers their reality tidy. Most people prefer it tidy. The universe has never taken this preference into account."</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This is obvious until one realises how many conclusions quietly depend on pretending it does not. The camera, like every other observer, is trapped inside its own light-cone and has never been consulted about the matter."</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widowControl/>
        <w:ind w:firstLine="432"/>
      </w:pPr>
      <w:r>
        <w:rPr>
          <w:rFonts w:ascii="Palatino" w:hAnsi="Palatino" w:cs="Palatino Linotype" w:eastAsia="Palatino Linotype"/>
          <w:sz w:val="22"/>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The second statement is the troublesome one.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