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Somewhere beneath the professional irritation, something colder and more personal had stirred. Derek filed the sensation under 'to be examined later' and continued working. He was good at filing things under 'later'.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which is to say, it is the part that still manages to surprise people who thought they already understood time. They almost never have."</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declines to supply a single, universal 'now' — a fact that continues to inconvenience anyone who prefers their reality tidy. Most people prefer it tidy."</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This is obvious until one realises how many conclusions quietly depend on pretending it does not."</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rPr>
          <w:rFonts w:ascii="Palatino" w:hAnsi="Palatino" w:cs="Palatino Linotype" w:eastAsia="Palatino Linotype"/>
          <w:sz w:val="22"/>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